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9A8E50">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96597"/>
      <w:bookmarkStart w:id="2" w:name="_Toc15306267"/>
      <w:bookmarkStart w:id="3" w:name="_Toc15396475"/>
      <w:bookmarkStart w:id="4" w:name="_Toc15377193"/>
      <w:bookmarkStart w:id="5" w:name="_Toc15377425"/>
    </w:p>
    <w:p w14:paraId="4C232D6C">
      <w:pPr>
        <w:pStyle w:val="5"/>
        <w:rPr>
          <w:rFonts w:hint="eastAsia" w:ascii="Times New Roman" w:hAnsi="Times New Roman" w:eastAsia="方正小标宋简体" w:cs="Times New Roman"/>
          <w:color w:val="auto"/>
          <w:kern w:val="2"/>
          <w:sz w:val="72"/>
          <w:szCs w:val="72"/>
          <w:highlight w:val="none"/>
          <w:lang w:val="en-US" w:eastAsia="zh-CN" w:bidi="ar-SA"/>
        </w:rPr>
      </w:pPr>
    </w:p>
    <w:p w14:paraId="432E5EAC">
      <w:pPr>
        <w:pStyle w:val="5"/>
        <w:rPr>
          <w:rFonts w:hint="eastAsia" w:ascii="Times New Roman" w:hAnsi="Times New Roman" w:eastAsia="方正小标宋简体" w:cs="Times New Roman"/>
          <w:color w:val="auto"/>
          <w:kern w:val="2"/>
          <w:sz w:val="72"/>
          <w:szCs w:val="72"/>
          <w:highlight w:val="none"/>
          <w:lang w:val="en-US" w:eastAsia="zh-CN" w:bidi="ar-SA"/>
        </w:rPr>
      </w:pPr>
    </w:p>
    <w:p w14:paraId="3CC9E8DC">
      <w:pPr>
        <w:pStyle w:val="5"/>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eastAsia" w:ascii="方正小标宋简体" w:hAnsi="宋体" w:eastAsia="方正小标宋简体" w:cs="Times New Roman"/>
          <w:color w:val="auto"/>
          <w:kern w:val="2"/>
          <w:sz w:val="44"/>
          <w:szCs w:val="44"/>
          <w:highlight w:val="none"/>
          <w:lang w:val="en-US" w:eastAsia="zh-CN" w:bidi="ar-SA"/>
        </w:rPr>
        <w:t>松潘县住房和城乡建设部门</w:t>
      </w:r>
    </w:p>
    <w:p w14:paraId="00FFC66B">
      <w:pPr>
        <w:pStyle w:val="5"/>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决算</w:t>
      </w:r>
      <w:r>
        <w:rPr>
          <w:rFonts w:hint="eastAsia" w:ascii="Times New Roman" w:hAnsi="Times New Roman" w:eastAsia="方正小标宋简体" w:cs="Times New Roman"/>
          <w:color w:val="auto"/>
          <w:kern w:val="2"/>
          <w:sz w:val="44"/>
          <w:szCs w:val="44"/>
          <w:highlight w:val="none"/>
          <w:lang w:val="en-US" w:eastAsia="zh-CN" w:bidi="ar-SA"/>
        </w:rPr>
        <w:t>公开</w:t>
      </w:r>
    </w:p>
    <w:p w14:paraId="73A06090">
      <w:pPr>
        <w:pStyle w:val="19"/>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bookmarkEnd w:id="0"/>
    <w:bookmarkEnd w:id="1"/>
    <w:bookmarkEnd w:id="2"/>
    <w:bookmarkEnd w:id="3"/>
    <w:bookmarkEnd w:id="4"/>
    <w:bookmarkEnd w:id="5"/>
    <w:p w14:paraId="0CE3CEA7">
      <w:pPr>
        <w:pStyle w:val="14"/>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lang w:val="en-US" w:eastAsia="zh-CN"/>
        </w:rPr>
      </w:pPr>
    </w:p>
    <w:p w14:paraId="0855D18F">
      <w:pPr>
        <w:widowControl/>
        <w:jc w:val="center"/>
        <w:rPr>
          <w:rFonts w:ascii="Times New Roman" w:hAnsi="Times New Roman" w:eastAsia="黑体"/>
          <w:color w:val="auto"/>
          <w:sz w:val="48"/>
          <w:szCs w:val="48"/>
          <w:highlight w:val="none"/>
        </w:rPr>
      </w:pPr>
      <w:r>
        <w:rPr>
          <w:rFonts w:ascii="Times New Roman" w:hAnsi="Times New Roman" w:eastAsia="方正小标宋简体"/>
          <w:color w:val="auto"/>
          <w:sz w:val="36"/>
          <w:szCs w:val="36"/>
          <w:highlight w:val="none"/>
        </w:rPr>
        <w:br w:type="page"/>
      </w:r>
      <w:r>
        <w:rPr>
          <w:rFonts w:hint="eastAsia" w:ascii="Times New Roman" w:hAnsi="Times New Roman" w:eastAsia="黑体"/>
          <w:color w:val="auto"/>
          <w:sz w:val="48"/>
          <w:szCs w:val="48"/>
          <w:highlight w:val="none"/>
        </w:rPr>
        <w:t>目录</w:t>
      </w:r>
    </w:p>
    <w:p w14:paraId="2E63C9BC">
      <w:pPr>
        <w:widowControl/>
        <w:jc w:val="center"/>
        <w:rPr>
          <w:rFonts w:ascii="Times New Roman" w:hAnsi="Times New Roman" w:eastAsia="黑体" w:cstheme="minorBidi"/>
          <w:color w:val="auto"/>
          <w:sz w:val="28"/>
          <w:szCs w:val="28"/>
          <w:highlight w:val="none"/>
        </w:rPr>
      </w:pPr>
    </w:p>
    <w:p w14:paraId="25F6708F">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15  </w:t>
      </w:r>
      <w:r>
        <w:rPr>
          <w:rFonts w:hint="eastAsia" w:ascii="Times New Roman" w:hAnsi="Times New Roman" w:eastAsia="仿宋_GB2312" w:cs="仿宋_GB2312"/>
          <w:color w:val="auto"/>
          <w:sz w:val="32"/>
          <w:szCs w:val="32"/>
          <w:highlight w:val="none"/>
        </w:rPr>
        <w:t>日</w:t>
      </w:r>
    </w:p>
    <w:p w14:paraId="43B48384">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79696"/>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55F1336B">
          <w:pPr>
            <w:spacing w:before="0" w:beforeLines="0" w:after="0" w:afterLines="0" w:line="240" w:lineRule="auto"/>
            <w:ind w:left="0" w:leftChars="0" w:right="0" w:rightChars="0" w:firstLine="0" w:firstLineChars="0"/>
            <w:jc w:val="center"/>
          </w:pPr>
          <w:bookmarkStart w:id="6" w:name="_Toc15396599"/>
          <w:bookmarkStart w:id="7" w:name="_Toc15377196"/>
          <w:r>
            <w:rPr>
              <w:rFonts w:ascii="宋体" w:hAnsi="宋体" w:eastAsia="宋体"/>
              <w:sz w:val="21"/>
            </w:rPr>
            <w:t>目录</w:t>
          </w:r>
        </w:p>
        <w:p w14:paraId="30D22B55">
          <w:pPr>
            <w:pStyle w:val="12"/>
            <w:tabs>
              <w:tab w:val="right" w:leader="dot" w:pos="8306"/>
              <w:tab w:val="clear" w:pos="8296"/>
            </w:tabs>
          </w:pPr>
          <w:r>
            <w:fldChar w:fldCharType="begin"/>
          </w:r>
          <w:r>
            <w:instrText xml:space="preserve">TOC \o "1-2" \h \u </w:instrText>
          </w:r>
          <w:r>
            <w:fldChar w:fldCharType="separate"/>
          </w:r>
          <w:r>
            <w:fldChar w:fldCharType="begin"/>
          </w:r>
          <w:r>
            <w:instrText xml:space="preserve"> HYPERLINK \l _Toc22875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_Toc22875 \h </w:instrText>
          </w:r>
          <w:r>
            <w:fldChar w:fldCharType="separate"/>
          </w:r>
          <w:r>
            <w:t>- 3 -</w:t>
          </w:r>
          <w:r>
            <w:fldChar w:fldCharType="end"/>
          </w:r>
          <w:r>
            <w:fldChar w:fldCharType="end"/>
          </w:r>
        </w:p>
        <w:p w14:paraId="12928C25">
          <w:pPr>
            <w:pStyle w:val="14"/>
            <w:tabs>
              <w:tab w:val="right" w:leader="dot" w:pos="8306"/>
              <w:tab w:val="clear" w:pos="8296"/>
            </w:tabs>
          </w:pPr>
          <w:r>
            <w:fldChar w:fldCharType="begin"/>
          </w:r>
          <w:r>
            <w:instrText xml:space="preserve"> HYPERLINK \l _Toc19220 </w:instrText>
          </w:r>
          <w: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_Toc19220 \h </w:instrText>
          </w:r>
          <w:r>
            <w:fldChar w:fldCharType="separate"/>
          </w:r>
          <w:r>
            <w:t>- 3 -</w:t>
          </w:r>
          <w:r>
            <w:fldChar w:fldCharType="end"/>
          </w:r>
          <w:r>
            <w:fldChar w:fldCharType="end"/>
          </w:r>
        </w:p>
        <w:p w14:paraId="6DE6FEDC">
          <w:pPr>
            <w:pStyle w:val="14"/>
            <w:tabs>
              <w:tab w:val="right" w:leader="dot" w:pos="8306"/>
              <w:tab w:val="clear" w:pos="8296"/>
            </w:tabs>
          </w:pPr>
          <w:r>
            <w:fldChar w:fldCharType="begin"/>
          </w:r>
          <w:r>
            <w:instrText xml:space="preserve"> HYPERLINK \l _Toc24475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_Toc24475 \h </w:instrText>
          </w:r>
          <w:r>
            <w:fldChar w:fldCharType="separate"/>
          </w:r>
          <w:r>
            <w:t>- 7 -</w:t>
          </w:r>
          <w:r>
            <w:fldChar w:fldCharType="end"/>
          </w:r>
          <w:r>
            <w:fldChar w:fldCharType="end"/>
          </w:r>
        </w:p>
        <w:p w14:paraId="00348A17">
          <w:pPr>
            <w:pStyle w:val="12"/>
            <w:tabs>
              <w:tab w:val="right" w:leader="dot" w:pos="8306"/>
              <w:tab w:val="clear" w:pos="8296"/>
            </w:tabs>
          </w:pPr>
          <w:r>
            <w:fldChar w:fldCharType="begin"/>
          </w:r>
          <w:r>
            <w:instrText xml:space="preserve"> HYPERLINK \l _Toc12833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_Toc12833 \h </w:instrText>
          </w:r>
          <w:r>
            <w:fldChar w:fldCharType="separate"/>
          </w:r>
          <w:r>
            <w:t>- 8 -</w:t>
          </w:r>
          <w:r>
            <w:fldChar w:fldCharType="end"/>
          </w:r>
          <w:r>
            <w:fldChar w:fldCharType="end"/>
          </w:r>
        </w:p>
        <w:p w14:paraId="2F1C29CD">
          <w:pPr>
            <w:pStyle w:val="14"/>
            <w:tabs>
              <w:tab w:val="right" w:leader="dot" w:pos="8306"/>
              <w:tab w:val="clear" w:pos="8296"/>
            </w:tabs>
          </w:pPr>
          <w:r>
            <w:fldChar w:fldCharType="begin"/>
          </w:r>
          <w:r>
            <w:instrText xml:space="preserve"> HYPERLINK \l _Toc25262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_Toc25262 \h </w:instrText>
          </w:r>
          <w:r>
            <w:fldChar w:fldCharType="separate"/>
          </w:r>
          <w:r>
            <w:t>- 8 -</w:t>
          </w:r>
          <w:r>
            <w:fldChar w:fldCharType="end"/>
          </w:r>
          <w:r>
            <w:fldChar w:fldCharType="end"/>
          </w:r>
        </w:p>
        <w:p w14:paraId="7716AD38">
          <w:pPr>
            <w:pStyle w:val="14"/>
            <w:tabs>
              <w:tab w:val="right" w:leader="dot" w:pos="8306"/>
              <w:tab w:val="clear" w:pos="8296"/>
            </w:tabs>
          </w:pPr>
          <w:r>
            <w:fldChar w:fldCharType="begin"/>
          </w:r>
          <w:r>
            <w:instrText xml:space="preserve"> HYPERLINK \l _Toc27195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_Toc27195 \h </w:instrText>
          </w:r>
          <w:r>
            <w:fldChar w:fldCharType="separate"/>
          </w:r>
          <w:r>
            <w:t>- 8 -</w:t>
          </w:r>
          <w:r>
            <w:fldChar w:fldCharType="end"/>
          </w:r>
          <w:r>
            <w:fldChar w:fldCharType="end"/>
          </w:r>
        </w:p>
        <w:p w14:paraId="1C0C5FE6">
          <w:pPr>
            <w:pStyle w:val="14"/>
            <w:tabs>
              <w:tab w:val="right" w:leader="dot" w:pos="8306"/>
              <w:tab w:val="clear" w:pos="8296"/>
            </w:tabs>
          </w:pPr>
          <w:r>
            <w:fldChar w:fldCharType="begin"/>
          </w:r>
          <w:r>
            <w:instrText xml:space="preserve"> HYPERLINK \l _Toc6100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_Toc6100 \h </w:instrText>
          </w:r>
          <w:r>
            <w:fldChar w:fldCharType="separate"/>
          </w:r>
          <w:r>
            <w:t>- 9 -</w:t>
          </w:r>
          <w:r>
            <w:fldChar w:fldCharType="end"/>
          </w:r>
          <w:r>
            <w:fldChar w:fldCharType="end"/>
          </w:r>
        </w:p>
        <w:p w14:paraId="1E24B3AA">
          <w:pPr>
            <w:pStyle w:val="14"/>
            <w:tabs>
              <w:tab w:val="right" w:leader="dot" w:pos="8306"/>
              <w:tab w:val="clear" w:pos="8296"/>
            </w:tabs>
          </w:pPr>
        </w:p>
        <w:p w14:paraId="145581C6">
          <w:pPr>
            <w:pStyle w:val="14"/>
            <w:tabs>
              <w:tab w:val="right" w:leader="dot" w:pos="8306"/>
              <w:tab w:val="clear" w:pos="8296"/>
            </w:tabs>
          </w:pPr>
          <w:r>
            <w:fldChar w:fldCharType="begin"/>
          </w:r>
          <w:r>
            <w:instrText xml:space="preserve"> HYPERLINK \l _Toc31572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_Toc31572 \h </w:instrText>
          </w:r>
          <w:r>
            <w:fldChar w:fldCharType="separate"/>
          </w:r>
          <w:r>
            <w:t>- 9 -</w:t>
          </w:r>
          <w:r>
            <w:fldChar w:fldCharType="end"/>
          </w:r>
          <w:r>
            <w:fldChar w:fldCharType="end"/>
          </w:r>
        </w:p>
        <w:p w14:paraId="2AEFAF3A">
          <w:pPr>
            <w:pStyle w:val="14"/>
            <w:tabs>
              <w:tab w:val="right" w:leader="dot" w:pos="8306"/>
              <w:tab w:val="clear" w:pos="8296"/>
            </w:tabs>
          </w:pPr>
        </w:p>
        <w:p w14:paraId="3804B161">
          <w:pPr>
            <w:pStyle w:val="14"/>
            <w:tabs>
              <w:tab w:val="right" w:leader="dot" w:pos="8306"/>
              <w:tab w:val="clear" w:pos="8296"/>
            </w:tabs>
          </w:pPr>
          <w:r>
            <w:fldChar w:fldCharType="begin"/>
          </w:r>
          <w:r>
            <w:instrText xml:space="preserve"> HYPERLINK \l _Toc13133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_Toc13133 \h </w:instrText>
          </w:r>
          <w:r>
            <w:fldChar w:fldCharType="separate"/>
          </w:r>
          <w:r>
            <w:t>- 10 -</w:t>
          </w:r>
          <w:r>
            <w:fldChar w:fldCharType="end"/>
          </w:r>
          <w:r>
            <w:fldChar w:fldCharType="end"/>
          </w:r>
        </w:p>
        <w:p w14:paraId="0AD2F062">
          <w:pPr>
            <w:pStyle w:val="14"/>
            <w:tabs>
              <w:tab w:val="right" w:leader="dot" w:pos="8306"/>
              <w:tab w:val="clear" w:pos="8296"/>
            </w:tabs>
          </w:pPr>
          <w:r>
            <w:fldChar w:fldCharType="begin"/>
          </w:r>
          <w:r>
            <w:instrText xml:space="preserve"> HYPERLINK \l _Toc25745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_Toc25745 \h </w:instrText>
          </w:r>
          <w:r>
            <w:fldChar w:fldCharType="separate"/>
          </w:r>
          <w:r>
            <w:t>- 14 -</w:t>
          </w:r>
          <w:r>
            <w:fldChar w:fldCharType="end"/>
          </w:r>
          <w:r>
            <w:fldChar w:fldCharType="end"/>
          </w:r>
        </w:p>
        <w:p w14:paraId="005EDEE9">
          <w:pPr>
            <w:pStyle w:val="14"/>
            <w:tabs>
              <w:tab w:val="right" w:leader="dot" w:pos="8306"/>
              <w:tab w:val="clear" w:pos="8296"/>
            </w:tabs>
          </w:pPr>
          <w:r>
            <w:fldChar w:fldCharType="begin"/>
          </w:r>
          <w:r>
            <w:instrText xml:space="preserve"> HYPERLINK \l _Toc494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_Toc494 \h </w:instrText>
          </w:r>
          <w:r>
            <w:fldChar w:fldCharType="separate"/>
          </w:r>
          <w:r>
            <w:t>- 15 -</w:t>
          </w:r>
          <w:r>
            <w:fldChar w:fldCharType="end"/>
          </w:r>
          <w:r>
            <w:fldChar w:fldCharType="end"/>
          </w:r>
        </w:p>
        <w:p w14:paraId="656F60B2">
          <w:pPr>
            <w:pStyle w:val="14"/>
            <w:tabs>
              <w:tab w:val="right" w:leader="dot" w:pos="8306"/>
              <w:tab w:val="clear" w:pos="8296"/>
            </w:tabs>
          </w:pPr>
          <w:r>
            <w:fldChar w:fldCharType="begin"/>
          </w:r>
          <w:r>
            <w:instrText xml:space="preserve"> HYPERLINK \l _Toc20619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_Toc20619 \h </w:instrText>
          </w:r>
          <w:r>
            <w:fldChar w:fldCharType="separate"/>
          </w:r>
          <w:r>
            <w:t>- 17 -</w:t>
          </w:r>
          <w:r>
            <w:fldChar w:fldCharType="end"/>
          </w:r>
          <w:r>
            <w:fldChar w:fldCharType="end"/>
          </w:r>
        </w:p>
        <w:p w14:paraId="3A82C10D">
          <w:pPr>
            <w:pStyle w:val="14"/>
            <w:tabs>
              <w:tab w:val="right" w:leader="dot" w:pos="8306"/>
              <w:tab w:val="clear" w:pos="8296"/>
            </w:tabs>
          </w:pPr>
          <w:r>
            <w:fldChar w:fldCharType="begin"/>
          </w:r>
          <w:r>
            <w:instrText xml:space="preserve"> HYPERLINK \l _Toc516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_Toc516 \h </w:instrText>
          </w:r>
          <w:r>
            <w:fldChar w:fldCharType="separate"/>
          </w:r>
          <w:r>
            <w:t>- 17 -</w:t>
          </w:r>
          <w:r>
            <w:fldChar w:fldCharType="end"/>
          </w:r>
          <w:r>
            <w:fldChar w:fldCharType="end"/>
          </w:r>
        </w:p>
        <w:p w14:paraId="009B2EB6">
          <w:pPr>
            <w:pStyle w:val="14"/>
            <w:tabs>
              <w:tab w:val="right" w:leader="dot" w:pos="8306"/>
              <w:tab w:val="clear" w:pos="8296"/>
            </w:tabs>
          </w:pPr>
          <w:r>
            <w:fldChar w:fldCharType="begin"/>
          </w:r>
          <w:r>
            <w:instrText xml:space="preserve"> HYPERLINK \l _Toc8540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_Toc8540 \h </w:instrText>
          </w:r>
          <w:r>
            <w:fldChar w:fldCharType="separate"/>
          </w:r>
          <w:r>
            <w:t>- 17 -</w:t>
          </w:r>
          <w:r>
            <w:fldChar w:fldCharType="end"/>
          </w:r>
          <w:r>
            <w:fldChar w:fldCharType="end"/>
          </w:r>
        </w:p>
        <w:p w14:paraId="22BB7F09">
          <w:pPr>
            <w:pStyle w:val="12"/>
            <w:tabs>
              <w:tab w:val="right" w:leader="dot" w:pos="8306"/>
              <w:tab w:val="clear" w:pos="8296"/>
            </w:tabs>
          </w:pPr>
          <w:r>
            <w:fldChar w:fldCharType="begin"/>
          </w:r>
          <w:r>
            <w:instrText xml:space="preserve"> HYPERLINK \l _Toc17660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_Toc17660 \h </w:instrText>
          </w:r>
          <w:r>
            <w:fldChar w:fldCharType="separate"/>
          </w:r>
          <w:r>
            <w:t>- 19 -</w:t>
          </w:r>
          <w:r>
            <w:fldChar w:fldCharType="end"/>
          </w:r>
          <w:r>
            <w:fldChar w:fldCharType="end"/>
          </w:r>
        </w:p>
        <w:p w14:paraId="0603B8D4">
          <w:r>
            <w:fldChar w:fldCharType="end"/>
          </w:r>
        </w:p>
      </w:sdtContent>
    </w:sdt>
    <w:p w14:paraId="6EFB5250"/>
    <w:p w14:paraId="46860F51">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6BEA758E">
      <w:pPr>
        <w:pStyle w:val="2"/>
        <w:jc w:val="center"/>
        <w:rPr>
          <w:rStyle w:val="28"/>
          <w:rFonts w:hint="eastAsia" w:ascii="Times New Roman" w:hAnsi="Times New Roman" w:eastAsia="方正小标宋简体" w:cs="方正小标宋简体"/>
          <w:b/>
          <w:bCs w:val="0"/>
          <w:color w:val="auto"/>
          <w:highlight w:val="none"/>
        </w:rPr>
      </w:pPr>
      <w:bookmarkStart w:id="8" w:name="_Toc22875"/>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bookmarkEnd w:id="8"/>
    </w:p>
    <w:p w14:paraId="7664B4C6">
      <w:pPr>
        <w:widowControl/>
        <w:jc w:val="left"/>
        <w:rPr>
          <w:rFonts w:ascii="Times New Roman" w:hAnsi="Times New Roman" w:eastAsia="黑体"/>
          <w:color w:val="auto"/>
          <w:sz w:val="32"/>
          <w:szCs w:val="32"/>
          <w:highlight w:val="none"/>
        </w:rPr>
      </w:pPr>
    </w:p>
    <w:p w14:paraId="3E493769">
      <w:pPr>
        <w:pStyle w:val="3"/>
        <w:numPr>
          <w:ilvl w:val="0"/>
          <w:numId w:val="1"/>
        </w:numPr>
        <w:rPr>
          <w:rFonts w:hint="eastAsia" w:ascii="Times New Roman" w:hAnsi="Times New Roman" w:eastAsia="黑体"/>
          <w:b w:val="0"/>
          <w:color w:val="auto"/>
          <w:highlight w:val="none"/>
          <w:lang w:eastAsia="zh-CN"/>
        </w:rPr>
      </w:pPr>
      <w:bookmarkStart w:id="9" w:name="_Toc19220"/>
      <w:r>
        <w:rPr>
          <w:rFonts w:hint="eastAsia" w:ascii="Times New Roman" w:hAnsi="Times New Roman" w:eastAsia="黑体"/>
          <w:b w:val="0"/>
          <w:color w:val="auto"/>
          <w:highlight w:val="none"/>
          <w:lang w:eastAsia="zh-CN"/>
        </w:rPr>
        <w:t>部门职责</w:t>
      </w:r>
      <w:bookmarkEnd w:id="9"/>
    </w:p>
    <w:p w14:paraId="72F6516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1.贯彻执行国家、省、州住房和城乡建设的法律法规和方针、政策。研究拟定住房保障、城乡规划、工程建设、城乡建设、建筑业、房屋装饰装修业、住宅与房地产业、勘察设计咨询业、负责本系统、本部门依法行政工作，落实行政执法责任制。</w:t>
      </w:r>
    </w:p>
    <w:p w14:paraId="4FC1EAD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2.承担推进住房制度改革、保障城镇低收入家庭住房的责任。拟订全县住房及住房保障相关政策并指导实施，指导住房建设和住房制度改革。拟订廉租住房规划及政策，会同有关部门做好国家、省、州有关廉租住房资金安排并组织实施。编制住房保障发展规划和年度计划并监督实施。</w:t>
      </w:r>
    </w:p>
    <w:p w14:paraId="341F40A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3.承担建立全县工程建设标准体系的责任。组织实施工程建设实施阶段的国家标准、四川省统一定额和行业标准定额，组织制定工程建设的地方标准，组织制定和发布全县统一定额，拟定建设项目可行性研究评价方法、经济参数、建设标准和工程造价的管理制度，指导监督各类工程建设标准定额的实施和工程造价计价，负责收集、上报地方工程造价信息。</w:t>
      </w:r>
    </w:p>
    <w:p w14:paraId="7D6ECFA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 xml:space="preserve"> 4.承担规范房地产市场秩序、监督管理房地产市场的责任。会同有关部门组织拟订房地产市场监督管理政策并监督执行，提出房地产业的行业发展规划和产业政策，制定房地产开发、房屋权属管理、房屋租赁、房屋面积管理、危房鉴定、白蚁防治、房屋征收拆迁的规章制度并监督执行。</w:t>
      </w:r>
    </w:p>
    <w:p w14:paraId="6205134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 xml:space="preserve"> 5.承担监督管理建筑市场、规范建筑市场各方主体行为的责任。指导全县建筑活动，拟订工程建设、建筑业及装饰装修业发展战略、中长期规划、改革方案、产业政策、规章制度并监督执行。配合相关部门开展房屋建筑项目招投标活动的监督。拟订建设工程施工、监理以及规范建筑市场各方主体行为的规章制度并监督执行。负责建筑工程质量安全的监督管理工作，拟订建筑工程质量、建筑安全生产和竣工验收备案的政策、规章制度并监督执行，组织或参与工程重大质量、安全事故的调查处理。</w:t>
      </w:r>
    </w:p>
    <w:p w14:paraId="130DB64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6.承担监督管理勘察设计咨询市场秩序和勘察设计咨询质量的责任。拟订工程勘察设计咨询业的战略、中长期规划、改革方案、产业和技术政策、规章制度并指导实施。指导建设工程抗震设防工作，组织编制并实施房屋建筑和市政设施抗震技术地方规范和标准图集，组织开展城镇建筑物抗震性能普查、鉴定加固和改造工作，指导村镇和农村建设抗震工作，指导和组织灾后恢复重建工作。</w:t>
      </w:r>
    </w:p>
    <w:p w14:paraId="630C20F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7.承担指导城镇建设管理的责任。拟订城镇建设的政策、规划并指导实施，指导城镇供水、节水、排水、燃气、污水和垃圾处理等市政公用设施的建设管理，指导城镇市容环境综合治理管理工作，指导城镇防汛防洪排涝工作，指导和组织各类城镇建设试点工作，指导城镇建设档案管理工作。会同有关部门做好城市维护资金安排并监督地方组织实施。</w:t>
      </w:r>
    </w:p>
    <w:p w14:paraId="2A61E36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8.承担规范和指导村镇建设的责任。拟订村庄和小城镇建设政策并指导实施，指导村镇规划编制、农村住房建设管理和危房改造，指导小城镇和村庄人居生态环境的改善工作，指导和组织各类村镇建设试点工作，指导受灾村镇及国家大型重点建设项目地区村镇迁建、重建的规划建设和管理工作。</w:t>
      </w:r>
    </w:p>
    <w:p w14:paraId="785D291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9.承担推进建筑节能、城镇减排的责任。会同有关部门拟订建筑节能政策、规划并监督实施，推广使用散装水泥，进行新型墙体材料改革和技术推广，组织实施重大建筑节能项目，推进城镇减排。组织实施重大科技项目成果转化工作，承担推进墙体材料革新的责任。</w:t>
      </w:r>
    </w:p>
    <w:p w14:paraId="48C9059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10.制订建设行业人才培养和教育发展规划并组织实施，指导建设行业科技人才队伍建设和执业资格管理工作。指导监督全县建设行业民间组织管理工作。负责指导住房和城乡建设系统的信访工作，督查督办重大信访案件。开展住房和城乡建设方面的交流与合作。管理局机关及直属事业单位的人事、机构编制、劳动工资工作；指导行业廉政建设、社会保险、劳动标准和专业技术职称工作。</w:t>
      </w:r>
    </w:p>
    <w:p w14:paraId="23002B1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11.承担县政府公布的有关政审批事项</w:t>
      </w:r>
    </w:p>
    <w:p w14:paraId="023E120E">
      <w:pPr>
        <w:pStyle w:val="27"/>
        <w:numPr>
          <w:ilvl w:val="0"/>
          <w:numId w:val="0"/>
        </w:numPr>
        <w:ind w:leftChars="0" w:firstLine="640" w:firstLineChars="200"/>
        <w:jc w:val="left"/>
        <w:outlineLvl w:val="2"/>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t>12.贯彻执行上级有关房产管理的方针、政策和法律法规。</w:t>
      </w:r>
    </w:p>
    <w:p w14:paraId="5CCACA04">
      <w:pPr>
        <w:pStyle w:val="27"/>
        <w:numPr>
          <w:ilvl w:val="0"/>
          <w:numId w:val="0"/>
        </w:numPr>
        <w:ind w:leftChars="0" w:firstLine="640" w:firstLineChars="200"/>
        <w:jc w:val="left"/>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t>13.办理商品房预售证及商品房预售合同备案登记。（商品房预售证办理相关资料的受理、审核、登簿、颁证，及商品房预售合同备案登记业务）</w:t>
      </w:r>
    </w:p>
    <w:p w14:paraId="6D6C9A7C">
      <w:pPr>
        <w:pStyle w:val="27"/>
        <w:numPr>
          <w:ilvl w:val="0"/>
          <w:numId w:val="0"/>
        </w:numPr>
        <w:ind w:leftChars="0" w:firstLine="640" w:firstLineChars="200"/>
        <w:jc w:val="left"/>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t>14.房产交易类登记业务的办理。（包括二手房买卖、继承、赠与、商品房买卖等登记业务的办理）</w:t>
      </w:r>
    </w:p>
    <w:p w14:paraId="57526EB4">
      <w:pPr>
        <w:pStyle w:val="27"/>
        <w:numPr>
          <w:ilvl w:val="0"/>
          <w:numId w:val="0"/>
        </w:numPr>
        <w:ind w:leftChars="0" w:firstLine="640" w:firstLineChars="200"/>
        <w:jc w:val="left"/>
        <w:outlineLvl w:val="2"/>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t>15.物业监管。（负责物业的行业管理，指导、协调、监督业主委员会和物业管理企业）</w:t>
      </w:r>
    </w:p>
    <w:p w14:paraId="193B9479">
      <w:pPr>
        <w:pStyle w:val="27"/>
        <w:numPr>
          <w:ilvl w:val="0"/>
          <w:numId w:val="0"/>
        </w:numPr>
        <w:ind w:leftChars="0" w:firstLine="640" w:firstLineChars="200"/>
        <w:jc w:val="left"/>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t>16.房地产市场的监管。（协同有关部门加强房地产市场和价格的管理，负责全县房地产管理执法检查，查处违法违章行为，维护房地产市场秩序。）</w:t>
      </w:r>
    </w:p>
    <w:p w14:paraId="3AF31EB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17.受县建设行政主管部门授权委托，根据</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begin"/>
      </w:r>
      <w:r>
        <w:rPr>
          <w:rFonts w:hint="eastAsia" w:ascii="仿宋_GB2312" w:hAnsi="仿宋_GB2312" w:eastAsia="仿宋_GB2312" w:cs="仿宋_GB2312"/>
          <w:i w:val="0"/>
          <w:caps w:val="0"/>
          <w:color w:val="333333"/>
          <w:spacing w:val="0"/>
          <w:kern w:val="0"/>
          <w:sz w:val="32"/>
          <w:szCs w:val="32"/>
          <w:shd w:val="clear" w:color="080000" w:fill="FFFFFF"/>
          <w:lang w:val="en-US" w:eastAsia="zh-CN"/>
        </w:rPr>
        <w:instrText xml:space="preserve"> HYPERLINK "https://www.baidu.com/s?wd=%E3%80%8A%E5%BB%BA%E7%AD%91%E6%B3%95%E3%80%8B&amp;tn=SE_PcZhidaonwhc_ngpagmjz&amp;rsv_dl=gh_pc_zhidao" \t "https://zhidao.baidu.com/question/_blank" </w:instrTex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separate"/>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《中华人民共和国建筑法》</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end"/>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begin"/>
      </w:r>
      <w:r>
        <w:rPr>
          <w:rFonts w:hint="eastAsia" w:ascii="仿宋_GB2312" w:hAnsi="仿宋_GB2312" w:eastAsia="仿宋_GB2312" w:cs="仿宋_GB2312"/>
          <w:i w:val="0"/>
          <w:caps w:val="0"/>
          <w:color w:val="333333"/>
          <w:spacing w:val="0"/>
          <w:kern w:val="0"/>
          <w:sz w:val="32"/>
          <w:szCs w:val="32"/>
          <w:shd w:val="clear" w:color="080000" w:fill="FFFFFF"/>
          <w:lang w:val="en-US" w:eastAsia="zh-CN"/>
        </w:rPr>
        <w:instrText xml:space="preserve"> HYPERLINK "https://www.baidu.com/s?wd=%E3%80%8A%E5%AE%89%E5%85%A8%E7%94%9F%E4%BA%A7%E6%B3%95%E3%80%8B&amp;tn=SE_PcZhidaonwhc_ngpagmjz&amp;rsv_dl=gh_pc_zhidao" \t "https://zhidao.baidu.com/question/_blank" </w:instrTex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separate"/>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《中华人民共和国安全生产法》</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end"/>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begin"/>
      </w:r>
      <w:r>
        <w:rPr>
          <w:rFonts w:hint="eastAsia" w:ascii="仿宋_GB2312" w:hAnsi="仿宋_GB2312" w:eastAsia="仿宋_GB2312" w:cs="仿宋_GB2312"/>
          <w:i w:val="0"/>
          <w:caps w:val="0"/>
          <w:color w:val="333333"/>
          <w:spacing w:val="0"/>
          <w:kern w:val="0"/>
          <w:sz w:val="32"/>
          <w:szCs w:val="32"/>
          <w:shd w:val="clear" w:color="080000" w:fill="FFFFFF"/>
          <w:lang w:val="en-US" w:eastAsia="zh-CN"/>
        </w:rPr>
        <w:instrText xml:space="preserve"> HYPERLINK "https://www.baidu.com/s?wd=%E3%80%8A%E5%BB%BA%E7%AD%91%E5%B7%A5%E7%A8%8B%E8%B4%A8%E9%87%8F%E7%AE%A1%E7%90%86%E6%9D%A1%E4%BE%8B%E3%80%8B&amp;tn=SE_PcZhidaonwhc_ngpagmjz&amp;rsv_dl=gh_pc_zhidao" \t "https://zhidao.baidu.com/question/_blank" </w:instrTex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separate"/>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《建设工程质量管理条例》</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end"/>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begin"/>
      </w:r>
      <w:r>
        <w:rPr>
          <w:rFonts w:hint="eastAsia" w:ascii="仿宋_GB2312" w:hAnsi="仿宋_GB2312" w:eastAsia="仿宋_GB2312" w:cs="仿宋_GB2312"/>
          <w:i w:val="0"/>
          <w:caps w:val="0"/>
          <w:color w:val="333333"/>
          <w:spacing w:val="0"/>
          <w:kern w:val="0"/>
          <w:sz w:val="32"/>
          <w:szCs w:val="32"/>
          <w:shd w:val="clear" w:color="080000" w:fill="FFFFFF"/>
          <w:lang w:val="en-US" w:eastAsia="zh-CN"/>
        </w:rPr>
        <w:instrText xml:space="preserve"> HYPERLINK "https://www.baidu.com/s?wd=%E3%80%8A%E5%BB%BA%E8%AE%BE%E5%B7%A5%E7%A8%8B%E5%AE%89%E5%85%A8%E7%94%9F%E4%BA%A7%E7%AE%A1%E7%90%86%E6%9D%A1%E4%BE%8B%E3%80%8B&amp;tn=SE_PcZhidaonwhc_ngpagmjz&amp;rsv_dl=gh_pc_zhidao" \t "https://zhidao.baidu.com/question/_blank" </w:instrTex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separate"/>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《建设工程安全生产管理条例》</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end"/>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等相关法律法规，依法对我县行政区域内受监工程的质量和</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begin"/>
      </w:r>
      <w:r>
        <w:rPr>
          <w:rFonts w:hint="eastAsia" w:ascii="仿宋_GB2312" w:hAnsi="仿宋_GB2312" w:eastAsia="仿宋_GB2312" w:cs="仿宋_GB2312"/>
          <w:i w:val="0"/>
          <w:caps w:val="0"/>
          <w:color w:val="333333"/>
          <w:spacing w:val="0"/>
          <w:kern w:val="0"/>
          <w:sz w:val="32"/>
          <w:szCs w:val="32"/>
          <w:shd w:val="clear" w:color="080000" w:fill="FFFFFF"/>
          <w:lang w:val="en-US" w:eastAsia="zh-CN"/>
        </w:rPr>
        <w:instrText xml:space="preserve"> HYPERLINK "https://www.baidu.com/s?wd=%E6%96%BD%E5%B7%A5%E5%AE%89%E5%85%A8&amp;tn=SE_PcZhidaonwhc_ngpagmjz&amp;rsv_dl=gh_pc_zhidao" \t "https://zhidao.baidu.com/question/_blank" </w:instrTex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separate"/>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施工安全</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end"/>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进行监督。</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br w:type="textWrapping"/>
      </w:r>
      <w:r>
        <w:rPr>
          <w:rFonts w:hint="eastAsia" w:ascii="仿宋" w:hAnsi="仿宋" w:eastAsia="仿宋" w:cs="仿宋"/>
          <w:i w:val="0"/>
          <w:caps w:val="0"/>
          <w:color w:val="333333"/>
          <w:spacing w:val="0"/>
          <w:kern w:val="0"/>
          <w:sz w:val="32"/>
          <w:szCs w:val="32"/>
          <w:shd w:val="clear" w:color="080000" w:fill="FFFFFF"/>
          <w:lang w:val="en-US" w:eastAsia="zh-CN"/>
        </w:rPr>
        <w:t>　</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　18.贯彻实施国家及省、州有关工程质量（安全）的法律法规、工程技术标准，管理和指导本地区的工程质量监督和工程检测业务、安全生产监督工作，开展相应的技术培训。监督工作的主要内容：地基基础、主体结构、环境质量和有影响使用功能的部位、现场</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begin"/>
      </w:r>
      <w:r>
        <w:rPr>
          <w:rFonts w:hint="eastAsia" w:ascii="仿宋_GB2312" w:hAnsi="仿宋_GB2312" w:eastAsia="仿宋_GB2312" w:cs="仿宋_GB2312"/>
          <w:i w:val="0"/>
          <w:caps w:val="0"/>
          <w:color w:val="333333"/>
          <w:spacing w:val="0"/>
          <w:kern w:val="0"/>
          <w:sz w:val="32"/>
          <w:szCs w:val="32"/>
          <w:shd w:val="clear" w:color="080000" w:fill="FFFFFF"/>
          <w:lang w:val="en-US" w:eastAsia="zh-CN"/>
        </w:rPr>
        <w:instrText xml:space="preserve"> HYPERLINK "https://www.baidu.com/s?wd=%E6%96%BD%E5%B7%A5%E5%AE%89%E5%85%A8&amp;tn=SE_PcZhidaonwhc_ngpagmjz&amp;rsv_dl=gh_pc_zhidao" \t "https://zhidao.baidu.com/question/_blank" </w:instrTex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separate"/>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施工安全</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end"/>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和与此相关的</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begin"/>
      </w:r>
      <w:r>
        <w:rPr>
          <w:rFonts w:hint="eastAsia" w:ascii="仿宋_GB2312" w:hAnsi="仿宋_GB2312" w:eastAsia="仿宋_GB2312" w:cs="仿宋_GB2312"/>
          <w:i w:val="0"/>
          <w:caps w:val="0"/>
          <w:color w:val="333333"/>
          <w:spacing w:val="0"/>
          <w:kern w:val="0"/>
          <w:sz w:val="32"/>
          <w:szCs w:val="32"/>
          <w:shd w:val="clear" w:color="080000" w:fill="FFFFFF"/>
          <w:lang w:val="en-US" w:eastAsia="zh-CN"/>
        </w:rPr>
        <w:instrText xml:space="preserve"> HYPERLINK "https://www.baidu.com/s?wd=%E5%B7%A5%E7%A8%8B%E5%BB%BA%E8%AE%BE&amp;tn=SE_PcZhidaonwhc_ngpagmjz&amp;rsv_dl=gh_pc_zhidao" \t "https://zhidao.baidu.com/question/_blank" </w:instrTex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separate"/>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工程建设</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fldChar w:fldCharType="end"/>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各方责任主体的质量安全行为。</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br w:type="textWrapping"/>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　　19.组织开展本地区建设工程质量检查、安全生产检查，掌握本地区工程质量状况，及时总结、交流和推广工程质量、安全管理经验。</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br w:type="textWrapping"/>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　　20.按照国家及省、州制订的有关工程质量的法律法规和工程技术标准，对受监工程建设各方责任主体及有关机构履行质量责任情况和工程实体质量情况进行监督检查。</w:t>
      </w:r>
    </w:p>
    <w:p w14:paraId="13FB9F2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仿宋_GB2312" w:eastAsia="仿宋_GB2312" w:cs="仿宋_GB2312"/>
          <w:i w:val="0"/>
          <w:caps w:val="0"/>
          <w:color w:val="333333"/>
          <w:spacing w:val="0"/>
          <w:kern w:val="0"/>
          <w:sz w:val="32"/>
          <w:szCs w:val="32"/>
          <w:shd w:val="clear" w:color="080000" w:fill="FFFFFF"/>
          <w:lang w:val="en-US"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21.向备案管理机构提交工程质量监督报告。</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br w:type="textWrapping"/>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　　22.对工程参建各方责任主体和有关机构质量信誉进行管理。</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br w:type="textWrapping"/>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　　23.按照我县建设行政主管部门的授权委托对责任主体和有关机构违法、违规行为进行调查取证和核实，提出处罚建议或按委托权限对违法、违规行为实施行政处罚。</w:t>
      </w:r>
      <w:r>
        <w:rPr>
          <w:rFonts w:hint="eastAsia" w:ascii="仿宋_GB2312" w:hAnsi="仿宋_GB2312" w:eastAsia="仿宋_GB2312" w:cs="仿宋_GB2312"/>
          <w:i w:val="0"/>
          <w:caps w:val="0"/>
          <w:color w:val="333333"/>
          <w:spacing w:val="0"/>
          <w:kern w:val="0"/>
          <w:sz w:val="32"/>
          <w:szCs w:val="32"/>
          <w:shd w:val="clear" w:color="080000" w:fill="FFFFFF"/>
          <w:lang w:val="en-US" w:eastAsia="zh-CN"/>
        </w:rPr>
        <w:br w:type="textWrapping"/>
      </w:r>
      <w:r>
        <w:rPr>
          <w:rFonts w:hint="eastAsia" w:ascii="仿宋_GB2312" w:hAnsi="仿宋_GB2312" w:eastAsia="仿宋_GB2312" w:cs="仿宋_GB2312"/>
          <w:i w:val="0"/>
          <w:caps w:val="0"/>
          <w:color w:val="333333"/>
          <w:spacing w:val="0"/>
          <w:kern w:val="0"/>
          <w:sz w:val="32"/>
          <w:szCs w:val="32"/>
          <w:shd w:val="clear" w:color="080000" w:fill="FFFFFF"/>
          <w:lang w:val="en-US" w:eastAsia="zh-CN"/>
        </w:rPr>
        <w:t>　　24.按照我县建设行政主管部门的授权委托，组织开展本地区工程质量问题的技术鉴定。</w:t>
      </w:r>
    </w:p>
    <w:p w14:paraId="1EE9C1B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lang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rPr>
        <w:t>25.参与本地区重大质量事故的调查处理，参与我县优质工程的核验评审。</w:t>
      </w:r>
    </w:p>
    <w:p w14:paraId="6A7CFA80">
      <w:pPr>
        <w:numPr>
          <w:ilvl w:val="0"/>
          <w:numId w:val="0"/>
        </w:numPr>
        <w:rPr>
          <w:rFonts w:hint="eastAsia"/>
          <w:lang w:eastAsia="zh-CN"/>
        </w:rPr>
      </w:pPr>
    </w:p>
    <w:p w14:paraId="71CB8CB8">
      <w:pPr>
        <w:pStyle w:val="3"/>
        <w:rPr>
          <w:rStyle w:val="29"/>
          <w:rFonts w:ascii="Times New Roman" w:hAnsi="Times New Roman"/>
          <w:b w:val="0"/>
          <w:bCs w:val="0"/>
          <w:color w:val="auto"/>
          <w:highlight w:val="none"/>
        </w:rPr>
      </w:pPr>
      <w:bookmarkStart w:id="10" w:name="_Toc15396601"/>
      <w:bookmarkStart w:id="11" w:name="_Toc15377200"/>
      <w:bookmarkStart w:id="12" w:name="_Toc24475"/>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0"/>
      <w:bookmarkEnd w:id="11"/>
      <w:bookmarkEnd w:id="12"/>
    </w:p>
    <w:p w14:paraId="136AFE8D">
      <w:pPr>
        <w:ind w:firstLine="800" w:firstLineChars="25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松潘县住房和城乡建设局</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个，其中其他事业单位</w:t>
      </w: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个。</w:t>
      </w:r>
      <w:r>
        <w:rPr>
          <w:rFonts w:hint="eastAsia" w:ascii="仿宋" w:hAnsi="仿宋" w:eastAsia="仿宋"/>
          <w:color w:val="auto"/>
          <w:sz w:val="32"/>
          <w:szCs w:val="32"/>
          <w:highlight w:val="none"/>
          <w:lang w:eastAsia="zh-CN"/>
        </w:rPr>
        <w:t>松潘县住房和城乡建设局为行政单位。</w:t>
      </w:r>
    </w:p>
    <w:p w14:paraId="63C4336D">
      <w:pPr>
        <w:pStyle w:val="5"/>
        <w:adjustRightInd w:val="0"/>
        <w:snapToGrid w:val="0"/>
        <w:spacing w:before="93" w:line="600" w:lineRule="exact"/>
        <w:ind w:firstLine="672" w:firstLineChars="210"/>
        <w:rPr>
          <w:rFonts w:ascii="仿宋" w:hAnsi="仿宋" w:eastAsia="仿宋"/>
          <w:color w:val="auto"/>
          <w:sz w:val="32"/>
          <w:szCs w:val="32"/>
          <w:highlight w:val="none"/>
        </w:rPr>
      </w:pPr>
      <w:r>
        <w:rPr>
          <w:rFonts w:hint="eastAsia" w:ascii="仿宋" w:hAnsi="仿宋" w:eastAsia="仿宋"/>
          <w:color w:val="auto"/>
          <w:sz w:val="32"/>
          <w:szCs w:val="32"/>
          <w:highlight w:val="none"/>
        </w:rPr>
        <w:t>纳入</w:t>
      </w:r>
      <w:r>
        <w:rPr>
          <w:rFonts w:hint="eastAsia" w:ascii="仿宋" w:hAnsi="仿宋" w:eastAsia="仿宋"/>
          <w:color w:val="auto"/>
          <w:sz w:val="32"/>
          <w:szCs w:val="32"/>
          <w:highlight w:val="none"/>
          <w:lang w:eastAsia="zh-CN"/>
        </w:rPr>
        <w:t>松潘县住房和城乡建设局2025</w:t>
      </w:r>
      <w:r>
        <w:rPr>
          <w:rFonts w:hint="eastAsia" w:ascii="仿宋" w:hAnsi="仿宋" w:eastAsia="仿宋"/>
          <w:color w:val="auto"/>
          <w:sz w:val="32"/>
          <w:szCs w:val="32"/>
          <w:highlight w:val="none"/>
        </w:rPr>
        <w:t>年度部门决算编制范围的二级预算单位包括：</w:t>
      </w:r>
    </w:p>
    <w:p w14:paraId="78544A34">
      <w:pPr>
        <w:pStyle w:val="5"/>
        <w:numPr>
          <w:ilvl w:val="0"/>
          <w:numId w:val="2"/>
        </w:numPr>
        <w:adjustRightInd w:val="0"/>
        <w:snapToGrid w:val="0"/>
        <w:spacing w:before="93" w:line="600" w:lineRule="exact"/>
        <w:outlineLvl w:val="2"/>
        <w:rPr>
          <w:rFonts w:ascii="仿宋" w:hAnsi="仿宋" w:eastAsia="仿宋"/>
          <w:color w:val="auto"/>
          <w:sz w:val="32"/>
          <w:szCs w:val="32"/>
          <w:highlight w:val="none"/>
        </w:rPr>
      </w:pPr>
      <w:bookmarkStart w:id="13" w:name="_Toc15378449"/>
      <w:bookmarkStart w:id="14" w:name="_Toc15377202"/>
      <w:bookmarkStart w:id="15" w:name="_Toc15306276"/>
      <w:bookmarkStart w:id="16" w:name="_Toc15377433"/>
      <w:r>
        <w:rPr>
          <w:rFonts w:hint="eastAsia" w:ascii="仿宋" w:hAnsi="仿宋" w:eastAsia="仿宋"/>
          <w:color w:val="auto"/>
          <w:sz w:val="32"/>
          <w:szCs w:val="32"/>
          <w:highlight w:val="none"/>
          <w:lang w:eastAsia="zh-CN"/>
        </w:rPr>
        <w:t>松潘县质量安全监督站</w:t>
      </w:r>
      <w:bookmarkEnd w:id="13"/>
      <w:bookmarkEnd w:id="14"/>
      <w:bookmarkEnd w:id="15"/>
      <w:bookmarkEnd w:id="16"/>
    </w:p>
    <w:p w14:paraId="2BFAD47C">
      <w:pPr>
        <w:pStyle w:val="5"/>
        <w:numPr>
          <w:ilvl w:val="0"/>
          <w:numId w:val="2"/>
        </w:numPr>
        <w:adjustRightInd w:val="0"/>
        <w:snapToGrid w:val="0"/>
        <w:spacing w:before="93" w:line="600" w:lineRule="exact"/>
        <w:ind w:left="1152" w:leftChars="0" w:hanging="480" w:firstLineChars="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松潘县房地产管理所</w:t>
      </w:r>
    </w:p>
    <w:p w14:paraId="20983E81">
      <w:pPr>
        <w:pStyle w:val="5"/>
        <w:numPr>
          <w:ilvl w:val="0"/>
          <w:numId w:val="2"/>
        </w:numPr>
        <w:adjustRightInd w:val="0"/>
        <w:snapToGrid w:val="0"/>
        <w:spacing w:before="93" w:line="600" w:lineRule="exact"/>
        <w:ind w:left="1152" w:leftChars="0" w:hanging="480" w:firstLineChars="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松潘县住房和城乡建设局本级</w:t>
      </w:r>
    </w:p>
    <w:p w14:paraId="5AD7867E">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50E7C53E">
      <w:pPr>
        <w:pStyle w:val="2"/>
        <w:jc w:val="center"/>
        <w:rPr>
          <w:rFonts w:hint="eastAsia" w:ascii="Times New Roman" w:hAnsi="Times New Roman" w:eastAsia="方正小标宋简体" w:cs="方正小标宋简体"/>
          <w:b w:val="0"/>
          <w:color w:val="auto"/>
          <w:highlight w:val="none"/>
        </w:rPr>
      </w:pPr>
      <w:bookmarkStart w:id="17" w:name="_Toc12833"/>
      <w:bookmarkStart w:id="18" w:name="_Toc15396602"/>
      <w:bookmarkStart w:id="1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7"/>
      <w:bookmarkEnd w:id="18"/>
      <w:bookmarkEnd w:id="19"/>
    </w:p>
    <w:p w14:paraId="12CAA488">
      <w:pPr>
        <w:rPr>
          <w:rFonts w:ascii="Times New Roman" w:hAnsi="Times New Roman"/>
          <w:color w:val="auto"/>
          <w:highlight w:val="none"/>
        </w:rPr>
      </w:pPr>
    </w:p>
    <w:p w14:paraId="50F06A3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77205"/>
      <w:bookmarkStart w:id="21" w:name="_Toc15396603"/>
      <w:bookmarkStart w:id="22" w:name="_Toc2526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0"/>
      <w:bookmarkEnd w:id="21"/>
      <w:bookmarkEnd w:id="22"/>
    </w:p>
    <w:p w14:paraId="4F3A4C5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bookmarkStart w:id="23" w:name="_Toc3934"/>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26228.57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增加</w:t>
      </w:r>
      <w:r>
        <w:rPr>
          <w:rFonts w:hint="eastAsia" w:eastAsia="仿宋_GB2312" w:cs="仿宋_GB2312"/>
          <w:color w:val="auto"/>
          <w:sz w:val="32"/>
          <w:szCs w:val="32"/>
          <w:highlight w:val="none"/>
          <w:lang w:val="en-US" w:eastAsia="zh-CN"/>
        </w:rPr>
        <w:t>21748.74</w:t>
      </w:r>
      <w:r>
        <w:rPr>
          <w:rFonts w:hint="eastAsia" w:ascii="Times New Roman" w:hAnsi="Times New Roman" w:eastAsia="仿宋_GB2312" w:cs="仿宋_GB2312"/>
          <w:color w:val="auto"/>
          <w:sz w:val="32"/>
          <w:szCs w:val="32"/>
          <w:highlight w:val="none"/>
        </w:rPr>
        <w:t>万元。主要变动原因是</w:t>
      </w:r>
      <w:r>
        <w:rPr>
          <w:rFonts w:hint="eastAsia" w:eastAsia="仿宋_GB2312" w:cs="仿宋_GB2312"/>
          <w:color w:val="auto"/>
          <w:sz w:val="32"/>
          <w:szCs w:val="32"/>
          <w:highlight w:val="none"/>
          <w:lang w:eastAsia="zh-CN"/>
        </w:rPr>
        <w:t>人员变动、项目资金</w:t>
      </w:r>
      <w:bookmarkEnd w:id="23"/>
      <w:r>
        <w:rPr>
          <w:rFonts w:hint="eastAsia" w:eastAsia="仿宋_GB2312" w:cs="仿宋_GB2312"/>
          <w:color w:val="auto"/>
          <w:sz w:val="32"/>
          <w:szCs w:val="32"/>
          <w:highlight w:val="none"/>
          <w:lang w:eastAsia="zh-CN"/>
        </w:rPr>
        <w:t>增加。</w:t>
      </w:r>
      <w:r>
        <w:rPr>
          <w:rFonts w:hint="eastAsia" w:eastAsia="仿宋_GB2312" w:cs="仿宋_GB2312"/>
          <w:color w:val="auto"/>
          <w:sz w:val="32"/>
          <w:szCs w:val="32"/>
          <w:highlight w:val="none"/>
          <w:lang w:val="en-US" w:eastAsia="zh-CN"/>
        </w:rPr>
        <w:t>2025年新增二级单位公用事业服务中心。</w:t>
      </w:r>
    </w:p>
    <w:p w14:paraId="480358A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5931328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826000" cy="2743200"/>
            <wp:effectExtent l="4445" t="4445" r="8255" b="14605"/>
            <wp:docPr id="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F60546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4" w:name="_Toc15377206"/>
      <w:bookmarkStart w:id="25" w:name="_Toc15396604"/>
      <w:bookmarkStart w:id="26" w:name="_Toc27195"/>
      <w:r>
        <w:rPr>
          <w:rFonts w:hint="eastAsia" w:ascii="Times New Roman" w:hAnsi="Times New Roman" w:eastAsia="黑体"/>
          <w:color w:val="auto"/>
          <w:sz w:val="32"/>
          <w:szCs w:val="32"/>
          <w:highlight w:val="none"/>
          <w:lang w:eastAsia="zh-CN"/>
        </w:rPr>
        <w:t>二、收入决算情况说明</w:t>
      </w:r>
      <w:bookmarkEnd w:id="24"/>
      <w:bookmarkEnd w:id="25"/>
      <w:bookmarkEnd w:id="26"/>
    </w:p>
    <w:p w14:paraId="612224D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bookmarkStart w:id="27" w:name="_Toc8970"/>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rPr>
        <w:t>26228.57万元，其中：一般公共预算财政拨款收入17628.04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67.21</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7473.54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28.49</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highlight w:val="none"/>
          <w:lang w:eastAsia="zh-CN"/>
        </w:rPr>
        <w:t>；年初结转和结余1126.99万元，占</w:t>
      </w:r>
      <w:r>
        <w:rPr>
          <w:rFonts w:hint="eastAsia" w:ascii="仿宋_GB2312" w:hAnsi="仿宋_GB2312" w:eastAsia="仿宋_GB2312" w:cs="仿宋_GB2312"/>
          <w:color w:val="auto"/>
          <w:sz w:val="32"/>
          <w:szCs w:val="32"/>
          <w:highlight w:val="none"/>
          <w:lang w:val="en-US" w:eastAsia="zh-CN"/>
        </w:rPr>
        <w:t>4.3%。</w:t>
      </w:r>
      <w:r>
        <w:rPr>
          <w:rFonts w:hint="eastAsia" w:ascii="Times New Roman" w:hAnsi="Times New Roman" w:eastAsia="仿宋_GB2312" w:cs="仿宋_GB2312"/>
          <w:b/>
          <w:bCs/>
          <w:color w:val="auto"/>
          <w:sz w:val="32"/>
          <w:szCs w:val="32"/>
          <w:highlight w:val="none"/>
          <w:lang w:eastAsia="zh-CN"/>
        </w:rPr>
        <w:t>（注：仅罗列本部门涉及的收入）</w:t>
      </w:r>
      <w:bookmarkEnd w:id="27"/>
    </w:p>
    <w:p w14:paraId="5B5DD5F2">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4C82E9B6">
      <w:pPr>
        <w:ind w:firstLine="800" w:firstLineChars="250"/>
        <w:rPr>
          <w:rFonts w:hint="eastAsia" w:ascii="Times New Roman" w:hAnsi="Times New Roman" w:eastAsia="仿宋_GB2312" w:cs="仿宋_GB2312"/>
          <w:color w:val="auto"/>
          <w:sz w:val="32"/>
          <w:szCs w:val="32"/>
          <w:highlight w:val="none"/>
          <w:lang w:eastAsia="zh-CN"/>
        </w:rPr>
      </w:pPr>
    </w:p>
    <w:p w14:paraId="33E8A2C5">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826000" cy="2743200"/>
            <wp:effectExtent l="4445" t="4445" r="8255" b="14605"/>
            <wp:docPr id="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BA5533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8" w:name="_Toc15377207"/>
      <w:bookmarkStart w:id="29" w:name="_Toc6100"/>
      <w:bookmarkStart w:id="30"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8"/>
      <w:bookmarkEnd w:id="29"/>
      <w:bookmarkEnd w:id="30"/>
    </w:p>
    <w:p w14:paraId="5C17B67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bookmarkStart w:id="31" w:name="_Toc10623"/>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rPr>
        <w:t>26228.57</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1029.14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3.92</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25199.43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96.08</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bookmarkStart w:id="83" w:name="_GoBack"/>
      <w:r>
        <w:rPr>
          <w:rFonts w:hint="eastAsia" w:ascii="仿宋_GB2312" w:hAnsi="仿宋_GB2312" w:eastAsia="仿宋_GB2312" w:cs="仿宋_GB2312"/>
          <w:color w:val="auto"/>
          <w:sz w:val="32"/>
          <w:szCs w:val="32"/>
          <w:highlight w:val="none"/>
          <w:lang w:eastAsia="zh-CN"/>
        </w:rPr>
        <w:t>0%</w:t>
      </w:r>
      <w:bookmarkEnd w:id="83"/>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bookmarkEnd w:id="31"/>
    </w:p>
    <w:p w14:paraId="20D062A4">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67A50642">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651375" cy="2058035"/>
            <wp:effectExtent l="4445" t="4445" r="7620" b="10160"/>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0B10CC8">
      <w:pPr>
        <w:ind w:firstLine="800" w:firstLineChars="250"/>
        <w:rPr>
          <w:rFonts w:hint="eastAsia" w:ascii="Times New Roman" w:hAnsi="Times New Roman" w:eastAsia="仿宋_GB2312" w:cs="仿宋_GB2312"/>
          <w:color w:val="auto"/>
          <w:sz w:val="32"/>
          <w:szCs w:val="32"/>
          <w:highlight w:val="none"/>
          <w:lang w:eastAsia="zh-CN"/>
        </w:rPr>
      </w:pPr>
    </w:p>
    <w:p w14:paraId="15326D13">
      <w:pPr>
        <w:spacing w:line="600" w:lineRule="exact"/>
        <w:ind w:firstLine="640" w:firstLineChars="200"/>
        <w:outlineLvl w:val="1"/>
        <w:rPr>
          <w:rStyle w:val="29"/>
          <w:rFonts w:ascii="Times New Roman" w:hAnsi="Times New Roman" w:eastAsia="黑体"/>
          <w:b w:val="0"/>
          <w:color w:val="auto"/>
          <w:highlight w:val="none"/>
        </w:rPr>
      </w:pPr>
      <w:bookmarkStart w:id="32" w:name="_Toc31572"/>
      <w:bookmarkStart w:id="33" w:name="_Toc15396606"/>
      <w:bookmarkStart w:id="34"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32"/>
      <w:bookmarkEnd w:id="33"/>
      <w:bookmarkEnd w:id="34"/>
    </w:p>
    <w:p w14:paraId="69EEA98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35" w:name="_Toc11398"/>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rPr>
        <w:t>26228.57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6172.02</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58</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人员变动、项目资金减少。</w:t>
      </w:r>
      <w:bookmarkEnd w:id="35"/>
    </w:p>
    <w:p w14:paraId="03455C33">
      <w:pPr>
        <w:spacing w:line="600" w:lineRule="exact"/>
        <w:ind w:firstLine="420" w:firstLineChars="20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1" locked="0" layoutInCell="1" allowOverlap="1">
            <wp:simplePos x="0" y="0"/>
            <wp:positionH relativeFrom="column">
              <wp:posOffset>747395</wp:posOffset>
            </wp:positionH>
            <wp:positionV relativeFrom="paragraph">
              <wp:posOffset>55880</wp:posOffset>
            </wp:positionV>
            <wp:extent cx="3828415" cy="2118360"/>
            <wp:effectExtent l="4445" t="4445" r="53340" b="67945"/>
            <wp:wrapTight wrapText="bothSides">
              <wp:wrapPolygon>
                <wp:start x="-25" y="-45"/>
                <wp:lineTo x="-25" y="21516"/>
                <wp:lineTo x="21471" y="21516"/>
                <wp:lineTo x="21471" y="-45"/>
                <wp:lineTo x="-25" y="-45"/>
              </wp:wrapPolygon>
            </wp:wrapTight>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2D639D9">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15811E9A">
      <w:pPr>
        <w:spacing w:line="600" w:lineRule="exact"/>
        <w:ind w:firstLine="640" w:firstLineChars="200"/>
        <w:outlineLvl w:val="1"/>
        <w:rPr>
          <w:rStyle w:val="29"/>
          <w:rFonts w:ascii="Times New Roman" w:hAnsi="Times New Roman" w:eastAsia="黑体"/>
          <w:b w:val="0"/>
          <w:color w:val="auto"/>
          <w:highlight w:val="none"/>
        </w:rPr>
      </w:pPr>
      <w:bookmarkStart w:id="36" w:name="_Toc15396607"/>
      <w:bookmarkStart w:id="37" w:name="_Toc13133"/>
      <w:bookmarkStart w:id="38"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6"/>
      <w:bookmarkEnd w:id="37"/>
      <w:bookmarkEnd w:id="38"/>
    </w:p>
    <w:p w14:paraId="1C69A7E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9"/>
    </w:p>
    <w:p w14:paraId="3EAC723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18755.02</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67.21</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%。与2024年度相比，一般公共预算财政拨款支出增加13282.79万元。主要变动原因是</w:t>
      </w:r>
      <w:r>
        <w:rPr>
          <w:rFonts w:hint="eastAsia" w:eastAsia="仿宋_GB2312" w:cs="仿宋_GB2312"/>
          <w:color w:val="auto"/>
          <w:sz w:val="32"/>
          <w:szCs w:val="32"/>
          <w:highlight w:val="none"/>
          <w:lang w:eastAsia="zh-CN"/>
        </w:rPr>
        <w:t>人员变动、项目资金增加。</w:t>
      </w:r>
      <w:r>
        <w:rPr>
          <w:rFonts w:hint="eastAsia" w:eastAsia="仿宋_GB2312" w:cs="仿宋_GB2312"/>
          <w:color w:val="auto"/>
          <w:sz w:val="32"/>
          <w:szCs w:val="32"/>
          <w:highlight w:val="none"/>
          <w:lang w:val="en-US" w:eastAsia="zh-CN"/>
        </w:rPr>
        <w:t>2025年新增二级单位公用事业服务中心。</w:t>
      </w:r>
    </w:p>
    <w:p w14:paraId="4FB35E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D0305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26000" cy="2743200"/>
            <wp:effectExtent l="4445" t="4445" r="8255" b="14605"/>
            <wp:docPr id="1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35A6D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8F44E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0"/>
    </w:p>
    <w:p w14:paraId="0905251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rPr>
        <w:t>18755.02</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：教育支出</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948.46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5.06</w:t>
      </w:r>
      <w:r>
        <w:rPr>
          <w:rFonts w:hint="eastAsia" w:ascii="Times New Roman" w:hAnsi="Times New Roman" w:eastAsia="仿宋_GB2312" w:cs="仿宋_GB2312"/>
          <w:color w:val="auto"/>
          <w:kern w:val="2"/>
          <w:sz w:val="32"/>
          <w:szCs w:val="32"/>
          <w:highlight w:val="none"/>
          <w:lang w:val="en-US" w:eastAsia="zh-CN" w:bidi="ar-SA"/>
        </w:rPr>
        <w:t>%；节能环保支出1189.71万元，占</w:t>
      </w:r>
      <w:r>
        <w:rPr>
          <w:rFonts w:hint="eastAsia" w:eastAsia="仿宋_GB2312" w:cs="仿宋_GB2312"/>
          <w:color w:val="auto"/>
          <w:kern w:val="2"/>
          <w:sz w:val="32"/>
          <w:szCs w:val="32"/>
          <w:highlight w:val="none"/>
          <w:lang w:val="en-US" w:eastAsia="zh-CN" w:bidi="ar-SA"/>
        </w:rPr>
        <w:t>6.34</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148.59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0.79</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140.51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0.75</w:t>
      </w:r>
      <w:r>
        <w:rPr>
          <w:rFonts w:hint="eastAsia" w:ascii="Times New Roman" w:hAnsi="Times New Roman" w:eastAsia="仿宋_GB2312" w:cs="仿宋_GB2312"/>
          <w:color w:val="auto"/>
          <w:kern w:val="2"/>
          <w:sz w:val="32"/>
          <w:szCs w:val="32"/>
          <w:highlight w:val="none"/>
          <w:lang w:val="en-US" w:eastAsia="zh-CN" w:bidi="ar-SA"/>
        </w:rPr>
        <w:t>%；卫生健康支出47.06万元，占</w:t>
      </w:r>
      <w:r>
        <w:rPr>
          <w:rFonts w:hint="eastAsia" w:eastAsia="仿宋_GB2312" w:cs="仿宋_GB2312"/>
          <w:color w:val="auto"/>
          <w:kern w:val="2"/>
          <w:sz w:val="32"/>
          <w:szCs w:val="32"/>
          <w:highlight w:val="none"/>
          <w:lang w:val="en-US" w:eastAsia="zh-CN" w:bidi="ar-SA"/>
        </w:rPr>
        <w:t>0.25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68.71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0.37</w:t>
      </w:r>
      <w:r>
        <w:rPr>
          <w:rFonts w:hint="eastAsia" w:ascii="Times New Roman" w:hAnsi="Times New Roman" w:eastAsia="仿宋_GB2312" w:cs="仿宋_GB2312"/>
          <w:color w:val="auto"/>
          <w:kern w:val="2"/>
          <w:sz w:val="32"/>
          <w:szCs w:val="32"/>
          <w:highlight w:val="none"/>
          <w:lang w:val="en-US" w:eastAsia="zh-CN" w:bidi="ar-SA"/>
        </w:rPr>
        <w:t>%；城乡社区支出15442.97万元，占</w:t>
      </w:r>
      <w:r>
        <w:rPr>
          <w:rFonts w:hint="eastAsia" w:eastAsia="仿宋_GB2312" w:cs="仿宋_GB2312"/>
          <w:color w:val="auto"/>
          <w:kern w:val="2"/>
          <w:sz w:val="32"/>
          <w:szCs w:val="32"/>
          <w:highlight w:val="none"/>
          <w:lang w:val="en-US" w:eastAsia="zh-CN" w:bidi="ar-SA"/>
        </w:rPr>
        <w:t>82.34</w:t>
      </w:r>
      <w:r>
        <w:rPr>
          <w:rFonts w:hint="eastAsia" w:ascii="Times New Roman" w:hAnsi="Times New Roman" w:eastAsia="仿宋_GB2312" w:cs="仿宋_GB2312"/>
          <w:color w:val="auto"/>
          <w:kern w:val="2"/>
          <w:sz w:val="32"/>
          <w:szCs w:val="32"/>
          <w:highlight w:val="none"/>
          <w:lang w:val="en-US" w:eastAsia="zh-CN" w:bidi="ar-SA"/>
        </w:rPr>
        <w:t>%；农林水支出759.01万元，占</w:t>
      </w:r>
      <w:r>
        <w:rPr>
          <w:rFonts w:hint="eastAsia" w:eastAsia="仿宋_GB2312" w:cs="仿宋_GB2312"/>
          <w:color w:val="auto"/>
          <w:kern w:val="2"/>
          <w:sz w:val="32"/>
          <w:szCs w:val="32"/>
          <w:highlight w:val="none"/>
          <w:lang w:val="en-US" w:eastAsia="zh-CN" w:bidi="ar-SA"/>
        </w:rPr>
        <w:t>4.05</w:t>
      </w:r>
      <w:r>
        <w:rPr>
          <w:rFonts w:hint="eastAsia" w:ascii="Times New Roman" w:hAnsi="Times New Roman" w:eastAsia="仿宋_GB2312" w:cs="仿宋_GB2312"/>
          <w:color w:val="auto"/>
          <w:kern w:val="2"/>
          <w:sz w:val="32"/>
          <w:szCs w:val="32"/>
          <w:highlight w:val="none"/>
          <w:lang w:val="en-US" w:eastAsia="zh-CN" w:bidi="ar-SA"/>
        </w:rPr>
        <w:t>%；资源勘探工业信息等支出</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605E27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6950D0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1312" behindDoc="1" locked="0" layoutInCell="1" allowOverlap="1">
            <wp:simplePos x="0" y="0"/>
            <wp:positionH relativeFrom="column">
              <wp:posOffset>608965</wp:posOffset>
            </wp:positionH>
            <wp:positionV relativeFrom="paragraph">
              <wp:posOffset>149225</wp:posOffset>
            </wp:positionV>
            <wp:extent cx="4779010" cy="2628900"/>
            <wp:effectExtent l="4445" t="4445" r="17145" b="18415"/>
            <wp:wrapTight wrapText="bothSides">
              <wp:wrapPolygon>
                <wp:start x="-20" y="-37"/>
                <wp:lineTo x="-20" y="21501"/>
                <wp:lineTo x="21540" y="21501"/>
                <wp:lineTo x="21540" y="-37"/>
                <wp:lineTo x="-20" y="-37"/>
              </wp:wrapPolygon>
            </wp:wrapTight>
            <wp:docPr id="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63FE2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D5C7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780EF4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1"/>
    </w:p>
    <w:p w14:paraId="4831C3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2" w:name="_Toc15378460"/>
      <w:bookmarkStart w:id="43" w:name="_Toc15377213"/>
      <w:bookmarkStart w:id="44" w:name="_Toc15377444"/>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rPr>
        <w:t>4345.25</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2"/>
      <w:bookmarkEnd w:id="43"/>
      <w:bookmarkEnd w:id="44"/>
    </w:p>
    <w:p w14:paraId="38A980A4">
      <w:pPr>
        <w:numPr>
          <w:ilvl w:val="0"/>
          <w:numId w:val="0"/>
        </w:num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1.节能环保211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788D9E3">
      <w:pPr>
        <w:numPr>
          <w:ilvl w:val="0"/>
          <w:numId w:val="0"/>
        </w:num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2.节能环保211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932.72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4C70122">
      <w:pPr>
        <w:numPr>
          <w:ilvl w:val="0"/>
          <w:numId w:val="0"/>
        </w:num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3.节能环保211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98.98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BD0F0D3">
      <w:pPr>
        <w:numPr>
          <w:ilvl w:val="0"/>
          <w:numId w:val="0"/>
        </w:num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教育</w:t>
      </w:r>
      <w:r>
        <w:rPr>
          <w:rFonts w:hint="eastAsia" w:eastAsia="仿宋_GB2312" w:cs="仿宋_GB2312"/>
          <w:color w:val="auto"/>
          <w:kern w:val="2"/>
          <w:sz w:val="32"/>
          <w:szCs w:val="32"/>
          <w:highlight w:val="none"/>
          <w:lang w:val="en-US" w:eastAsia="zh-CN" w:bidi="ar-SA"/>
        </w:rPr>
        <w:t>205</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w:t>
      </w:r>
      <w:r>
        <w:rPr>
          <w:rFonts w:hint="eastAsia" w:eastAsia="仿宋_GB2312" w:cs="仿宋_GB2312"/>
          <w:color w:val="auto"/>
          <w:kern w:val="2"/>
          <w:sz w:val="32"/>
          <w:szCs w:val="32"/>
          <w:highlight w:val="none"/>
          <w:lang w:val="en-US" w:eastAsia="zh-CN" w:bidi="ar-SA"/>
        </w:rPr>
        <w:t>948.46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BA6F4E1">
      <w:pPr>
        <w:numPr>
          <w:ilvl w:val="0"/>
          <w:numId w:val="0"/>
        </w:num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5.农林水213</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742.55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28912949">
      <w:pPr>
        <w:numPr>
          <w:ilvl w:val="0"/>
          <w:numId w:val="0"/>
        </w:num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6.农林水213</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16.46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4B560484">
      <w:pPr>
        <w:numPr>
          <w:ilvl w:val="0"/>
          <w:numId w:val="0"/>
        </w:numPr>
        <w:spacing w:line="600" w:lineRule="exact"/>
        <w:ind w:firstLine="320" w:firstLineChars="10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7.行政事业单位医疗210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（类）</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11</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（款）</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99</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（项）</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支出决算为</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6.28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万元，完成预算</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100</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w:t>
      </w:r>
    </w:p>
    <w:p w14:paraId="70438953">
      <w:pPr>
        <w:numPr>
          <w:ilvl w:val="0"/>
          <w:numId w:val="0"/>
        </w:num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8.资源勘探工业信息等支出215</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135A62DA">
      <w:pPr>
        <w:numPr>
          <w:ilvl w:val="0"/>
          <w:numId w:val="0"/>
        </w:num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文化旅游体育与传媒</w:t>
      </w:r>
      <w:r>
        <w:rPr>
          <w:rFonts w:hint="eastAsia" w:eastAsia="仿宋_GB2312" w:cs="仿宋_GB2312"/>
          <w:color w:val="auto"/>
          <w:kern w:val="2"/>
          <w:sz w:val="32"/>
          <w:szCs w:val="32"/>
          <w:highlight w:val="none"/>
          <w:lang w:val="en-US" w:eastAsia="zh-CN" w:bidi="ar-SA"/>
        </w:rPr>
        <w:t>207</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148.59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C9A4B2B">
      <w:p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E3A7D30">
      <w:p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56.51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FE025E1">
      <w:pPr>
        <w:numPr>
          <w:ilvl w:val="0"/>
          <w:numId w:val="0"/>
        </w:num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7.17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D5B4257">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A238511">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14.城乡社区支出212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153.03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D18F630">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15.城乡社区支出212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31.5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6ABA42F">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16.行政事业单位医疗210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32.37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79FC32F">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17.城乡社区支出212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8.81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179205E">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18.城乡社区支出212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33.6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561C49D">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19.城乡社区公共设施212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10091.45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CC8D1F4">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20.城乡社区公共设施212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2035.64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0CE97FF">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21.城乡社区环境卫生212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612.47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BC1B6B8">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22.住房保障221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4327260">
      <w:p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23.住房保障221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67.21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9F6D1B8">
      <w:p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城乡社区管理事务</w:t>
      </w:r>
      <w:r>
        <w:rPr>
          <w:rFonts w:hint="eastAsia" w:eastAsia="仿宋_GB2312" w:cs="仿宋_GB2312"/>
          <w:color w:val="auto"/>
          <w:kern w:val="2"/>
          <w:sz w:val="32"/>
          <w:szCs w:val="32"/>
          <w:highlight w:val="none"/>
          <w:lang w:val="en-US" w:eastAsia="zh-CN" w:bidi="ar-SA"/>
        </w:rPr>
        <w:t>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31.5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306FEBB">
      <w:pPr>
        <w:spacing w:line="600" w:lineRule="exact"/>
        <w:ind w:firstLine="320" w:firstLineChars="1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w:t>
      </w:r>
      <w:r>
        <w:rPr>
          <w:rFonts w:hint="eastAsia" w:eastAsia="仿宋_GB2312" w:cs="仿宋_GB2312"/>
          <w:color w:val="auto"/>
          <w:kern w:val="2"/>
          <w:sz w:val="32"/>
          <w:szCs w:val="32"/>
          <w:highlight w:val="none"/>
          <w:lang w:val="en-US" w:eastAsia="zh-CN" w:bidi="ar-SA"/>
        </w:rPr>
        <w:t>.城乡社区环境卫生212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支出决算为1683.27万元，完成预算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DF8DF4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7A4B74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D4B5ECA">
      <w:pPr>
        <w:tabs>
          <w:tab w:val="right" w:pos="8306"/>
        </w:tabs>
        <w:spacing w:line="600" w:lineRule="exact"/>
        <w:ind w:firstLine="640"/>
        <w:outlineLvl w:val="1"/>
        <w:rPr>
          <w:rStyle w:val="29"/>
          <w:rFonts w:ascii="Times New Roman" w:hAnsi="Times New Roman"/>
          <w:color w:val="auto"/>
          <w:highlight w:val="none"/>
        </w:rPr>
      </w:pPr>
      <w:bookmarkStart w:id="45" w:name="_Toc15396608"/>
      <w:bookmarkStart w:id="46" w:name="_Toc15377214"/>
      <w:bookmarkStart w:id="47" w:name="_Toc25745"/>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5"/>
      <w:bookmarkEnd w:id="46"/>
      <w:bookmarkEnd w:id="47"/>
      <w:r>
        <w:rPr>
          <w:rStyle w:val="29"/>
          <w:rFonts w:ascii="Times New Roman" w:hAnsi="Times New Roman" w:eastAsia="黑体"/>
          <w:b w:val="0"/>
          <w:color w:val="auto"/>
          <w:highlight w:val="none"/>
        </w:rPr>
        <w:tab/>
      </w:r>
    </w:p>
    <w:p w14:paraId="77831E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rPr>
        <w:t>1029.14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3E47DB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968.23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60.9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F3F918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5452DF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34DC061">
      <w:pPr>
        <w:spacing w:line="600" w:lineRule="exact"/>
        <w:ind w:firstLine="640"/>
        <w:outlineLvl w:val="1"/>
        <w:rPr>
          <w:rStyle w:val="29"/>
          <w:rFonts w:ascii="Times New Roman" w:hAnsi="Times New Roman" w:eastAsia="黑体"/>
          <w:b w:val="0"/>
          <w:color w:val="auto"/>
          <w:highlight w:val="none"/>
        </w:rPr>
      </w:pPr>
      <w:bookmarkStart w:id="48" w:name="_Toc15396609"/>
      <w:bookmarkStart w:id="49" w:name="_Toc494"/>
      <w:bookmarkStart w:id="50"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8"/>
      <w:bookmarkEnd w:id="49"/>
      <w:bookmarkEnd w:id="50"/>
    </w:p>
    <w:p w14:paraId="5CFB3A9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51"/>
    </w:p>
    <w:p w14:paraId="734809B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rPr>
        <w:t>13.44</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减少30.73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减少69.57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变动原因2025年无产生车辆购置费。</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w:t>
      </w:r>
    </w:p>
    <w:p w14:paraId="7C01314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52"/>
    </w:p>
    <w:p w14:paraId="0C36BF1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13.44</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05E425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776529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1" locked="0" layoutInCell="1" allowOverlap="1">
            <wp:simplePos x="0" y="0"/>
            <wp:positionH relativeFrom="column">
              <wp:posOffset>410845</wp:posOffset>
            </wp:positionH>
            <wp:positionV relativeFrom="paragraph">
              <wp:posOffset>-2449195</wp:posOffset>
            </wp:positionV>
            <wp:extent cx="4826000" cy="2743200"/>
            <wp:effectExtent l="4445" t="4445" r="15875" b="10795"/>
            <wp:wrapTight wrapText="bothSides">
              <wp:wrapPolygon>
                <wp:start x="-20" y="-35"/>
                <wp:lineTo x="-20" y="21565"/>
                <wp:lineTo x="21535" y="21565"/>
                <wp:lineTo x="21535" y="-35"/>
                <wp:lineTo x="-20" y="-35"/>
              </wp:wrapPolygon>
            </wp:wrapTight>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4316C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1.因公出国（境）经费支出**万元，完成预算**%。</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p>
    <w:p w14:paraId="0599B0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开支内容包括：（团组名称、出访地点、取得成效等）</w:t>
      </w:r>
    </w:p>
    <w:p w14:paraId="6F88B4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sz w:val="32"/>
          <w:szCs w:val="32"/>
        </w:rPr>
        <w:t>13.44</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减少30.73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减少69.57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变动原因2025年产生车辆购置费</w:t>
      </w: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工程建设情况检查，工程质量检查相关业务出差的燃油费及公路费公务用车维护费</w:t>
      </w:r>
      <w:r>
        <w:rPr>
          <w:rFonts w:hint="eastAsia" w:ascii="Times New Roman" w:hAnsi="Times New Roman" w:eastAsia="仿宋_GB2312" w:cs="仿宋_GB2312"/>
          <w:color w:val="auto"/>
          <w:kern w:val="2"/>
          <w:sz w:val="32"/>
          <w:szCs w:val="32"/>
          <w:highlight w:val="none"/>
          <w:lang w:val="en-US" w:eastAsia="zh-CN" w:bidi="ar-SA"/>
        </w:rPr>
        <w:t>。截至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5.77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auto"/>
          <w:sz w:val="32"/>
          <w:szCs w:val="32"/>
          <w:highlight w:val="none"/>
          <w:lang w:eastAsia="zh-CN"/>
        </w:rPr>
        <w:t>出差及在建工地检查，下乡</w:t>
      </w:r>
      <w:r>
        <w:rPr>
          <w:rFonts w:hint="eastAsia" w:ascii="仿宋_GB2312" w:eastAsia="仿宋_GB2312"/>
          <w:color w:val="auto"/>
          <w:sz w:val="32"/>
          <w:szCs w:val="32"/>
          <w:highlight w:val="none"/>
        </w:rPr>
        <w:t>等所需的公务用车燃料费、维修费、过路过桥费、保险费等支出。</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735EC1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%。主要原因是。其中：</w:t>
      </w:r>
    </w:p>
    <w:p w14:paraId="68AA58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人次（不包括陪同人员），共计支出**万元，具体内容包括：……（接待具体项目、金额）。</w:t>
      </w:r>
    </w:p>
    <w:p w14:paraId="7B9FAF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人次（不包括陪同人员），共计支出**万</w:t>
      </w:r>
      <w:r>
        <w:rPr>
          <w:rFonts w:hint="eastAsia" w:ascii="Times New Roman" w:hAnsi="Times New Roman" w:eastAsia="仿宋_GB2312" w:cs="仿宋_GB2312"/>
          <w:color w:val="auto"/>
          <w:kern w:val="2"/>
          <w:sz w:val="32"/>
          <w:szCs w:val="32"/>
          <w:highlight w:val="none"/>
          <w:lang w:val="en-US" w:eastAsia="zh-CN" w:bidi="ar-SA"/>
        </w:rPr>
        <w:t>元。</w:t>
      </w:r>
    </w:p>
    <w:p w14:paraId="1D3BC7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3" w:name="_Toc15377218"/>
      <w:bookmarkStart w:id="54" w:name="_Toc15396610"/>
    </w:p>
    <w:p w14:paraId="2C165DD5">
      <w:pPr>
        <w:spacing w:line="600" w:lineRule="exact"/>
        <w:ind w:firstLine="640"/>
        <w:outlineLvl w:val="1"/>
        <w:rPr>
          <w:rStyle w:val="29"/>
          <w:rFonts w:ascii="Times New Roman" w:hAnsi="Times New Roman" w:eastAsia="黑体"/>
          <w:color w:val="auto"/>
          <w:highlight w:val="none"/>
        </w:rPr>
      </w:pPr>
      <w:bookmarkStart w:id="55" w:name="_Toc20619"/>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53"/>
      <w:bookmarkEnd w:id="54"/>
      <w:bookmarkEnd w:id="55"/>
    </w:p>
    <w:p w14:paraId="20F243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7473.54</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3</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增加7338.96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增加5453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基金类项目支出减少</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63DA8820">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56" w:name="_Toc15396611"/>
      <w:bookmarkStart w:id="57" w:name="_Toc15377219"/>
      <w:bookmarkStart w:id="58" w:name="_Toc516"/>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6"/>
      <w:bookmarkEnd w:id="57"/>
      <w:bookmarkEnd w:id="58"/>
    </w:p>
    <w:p w14:paraId="6758DF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22270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CBF0027">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59" w:name="_Toc8540"/>
      <w:bookmarkStart w:id="60" w:name="_Toc15396612"/>
      <w:bookmarkStart w:id="61"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59"/>
      <w:bookmarkEnd w:id="60"/>
      <w:bookmarkEnd w:id="61"/>
    </w:p>
    <w:p w14:paraId="22B5BBB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2" w:name="_Toc15377222"/>
      <w:r>
        <w:rPr>
          <w:rFonts w:hint="eastAsia" w:ascii="Times New Roman" w:hAnsi="Times New Roman" w:eastAsia="楷体_GB2312" w:cs="楷体_GB2312"/>
          <w:b/>
          <w:color w:val="auto"/>
          <w:sz w:val="32"/>
          <w:szCs w:val="32"/>
          <w:highlight w:val="none"/>
        </w:rPr>
        <w:t>（一）机关运行经费支出情况</w:t>
      </w:r>
      <w:bookmarkEnd w:id="62"/>
    </w:p>
    <w:p w14:paraId="1D7372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松潘县住房和城乡建设局</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lang w:val="en-US" w:eastAsia="zh-CN"/>
        </w:rPr>
        <w:t>19.14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年度主要原因是</w:t>
      </w:r>
      <w:r>
        <w:rPr>
          <w:rFonts w:hint="eastAsia" w:eastAsia="仿宋_GB2312" w:cs="仿宋_GB2312"/>
          <w:color w:val="auto"/>
          <w:kern w:val="2"/>
          <w:sz w:val="32"/>
          <w:szCs w:val="32"/>
          <w:highlight w:val="none"/>
          <w:lang w:val="en-US" w:eastAsia="zh-CN" w:bidi="ar-SA"/>
        </w:rPr>
        <w:t>人员减少，厉行节约。</w:t>
      </w:r>
    </w:p>
    <w:p w14:paraId="26600B3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23"/>
      <w:r>
        <w:rPr>
          <w:rFonts w:hint="eastAsia" w:ascii="Times New Roman" w:hAnsi="Times New Roman" w:eastAsia="楷体_GB2312" w:cs="楷体_GB2312"/>
          <w:b/>
          <w:color w:val="auto"/>
          <w:sz w:val="32"/>
          <w:szCs w:val="32"/>
          <w:highlight w:val="none"/>
        </w:rPr>
        <w:t>（二）政府采购支出情况</w:t>
      </w:r>
      <w:bookmarkEnd w:id="63"/>
    </w:p>
    <w:p w14:paraId="65D987E6">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松潘县住房和城乡建设局</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41</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lang w:val="en-US" w:eastAsia="zh-CN"/>
        </w:rPr>
        <w:t>436.23</w:t>
      </w:r>
      <w:r>
        <w:rPr>
          <w:rFonts w:hint="eastAsia" w:ascii="仿宋_GB2312" w:hAnsi="仿宋_GB2312" w:eastAsia="仿宋_GB2312" w:cs="仿宋_GB2312"/>
          <w:color w:val="auto"/>
          <w:kern w:val="2"/>
          <w:sz w:val="32"/>
          <w:szCs w:val="32"/>
          <w:highlight w:val="none"/>
          <w:lang w:val="en-US" w:eastAsia="zh-CN" w:bidi="ar-SA"/>
        </w:rPr>
        <w:t>万元。要用于工程建设工程项目的二类费用。授予中小企业合同金额</w:t>
      </w:r>
      <w:r>
        <w:rPr>
          <w:rFonts w:hint="eastAsia" w:ascii="仿宋_GB2312" w:hAnsi="仿宋_GB2312" w:eastAsia="仿宋_GB2312" w:cs="仿宋_GB2312"/>
          <w:sz w:val="32"/>
          <w:szCs w:val="32"/>
          <w:lang w:val="en-US" w:eastAsia="zh-CN"/>
        </w:rPr>
        <w:t>436.23</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lang w:val="en-US" w:eastAsia="zh-CN"/>
        </w:rPr>
        <w:t>436.23</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p>
    <w:p w14:paraId="029E62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5D586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5377224"/>
      <w:r>
        <w:rPr>
          <w:rFonts w:hint="eastAsia" w:ascii="Times New Roman" w:hAnsi="Times New Roman" w:eastAsia="楷体_GB2312" w:cs="楷体_GB2312"/>
          <w:b/>
          <w:color w:val="auto"/>
          <w:sz w:val="32"/>
          <w:szCs w:val="32"/>
          <w:highlight w:val="none"/>
        </w:rPr>
        <w:t>（三）国有资产占有使用情况</w:t>
      </w:r>
      <w:bookmarkEnd w:id="64"/>
    </w:p>
    <w:p w14:paraId="667107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松潘县住房和城乡建设局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8</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8</w:t>
      </w:r>
      <w:r>
        <w:rPr>
          <w:rFonts w:hint="eastAsia" w:ascii="仿宋_GB2312" w:hAnsi="仿宋_GB2312" w:eastAsia="仿宋_GB2312" w:cs="仿宋_GB2312"/>
          <w:color w:val="auto"/>
          <w:kern w:val="2"/>
          <w:sz w:val="32"/>
          <w:szCs w:val="32"/>
          <w:highlight w:val="none"/>
          <w:lang w:val="en-US" w:eastAsia="zh-CN" w:bidi="ar-SA"/>
        </w:rPr>
        <w:t>辆，其他用车主要是用于</w:t>
      </w:r>
      <w:r>
        <w:rPr>
          <w:rFonts w:hint="eastAsia" w:ascii="仿宋_GB2312" w:eastAsia="仿宋_GB2312"/>
          <w:color w:val="auto"/>
          <w:sz w:val="32"/>
          <w:szCs w:val="32"/>
          <w:highlight w:val="none"/>
          <w:lang w:eastAsia="zh-CN"/>
        </w:rPr>
        <w:t>出差及在建工地检查，下乡</w:t>
      </w:r>
      <w:r>
        <w:rPr>
          <w:rFonts w:hint="eastAsia" w:ascii="仿宋_GB2312" w:eastAsia="仿宋_GB2312"/>
          <w:color w:val="auto"/>
          <w:sz w:val="32"/>
          <w:szCs w:val="32"/>
          <w:highlight w:val="none"/>
        </w:rPr>
        <w:t>等所需的公务用车燃料费、维修费、过路过桥费、保险费等支出</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57DAA7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FCD2A8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26478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松潘县川主寺镇推进乡村建设重点基础设施项目、松潘县川主寺镇进安镇自来水厂管网更新改造项目</w:t>
      </w:r>
      <w:r>
        <w:rPr>
          <w:rFonts w:hint="eastAsia" w:ascii="Times New Roman" w:hAnsi="Times New Roman" w:eastAsia="仿宋_GB2312" w:cs="仿宋_GB2312"/>
          <w:color w:val="auto"/>
          <w:kern w:val="2"/>
          <w:sz w:val="32"/>
          <w:szCs w:val="32"/>
          <w:highlight w:val="none"/>
          <w:lang w:val="en-US" w:eastAsia="zh-CN" w:bidi="ar-SA"/>
        </w:rPr>
        <w:t>（项目名称）等</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预算执行过程中，选取个项目开展绩效监控。</w:t>
      </w:r>
    </w:p>
    <w:p w14:paraId="3CCADA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B20E8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46C8608">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5" w:name="_Toc15396613"/>
      <w:bookmarkStart w:id="66" w:name="_Toc17660"/>
      <w:bookmarkStart w:id="67"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5"/>
      <w:bookmarkEnd w:id="66"/>
      <w:bookmarkEnd w:id="67"/>
    </w:p>
    <w:p w14:paraId="3F031F61">
      <w:pPr>
        <w:spacing w:line="600" w:lineRule="exact"/>
        <w:jc w:val="left"/>
        <w:rPr>
          <w:rFonts w:ascii="Times New Roman" w:hAnsi="Times New Roman"/>
          <w:b/>
          <w:color w:val="auto"/>
          <w:sz w:val="44"/>
          <w:szCs w:val="44"/>
          <w:highlight w:val="none"/>
        </w:rPr>
      </w:pPr>
    </w:p>
    <w:p w14:paraId="24E68B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96145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75AB46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1E962E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5CEACE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5F008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2B01E8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724D0F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6940F34C">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9.教育</w:t>
      </w:r>
      <w:r>
        <w:rPr>
          <w:rFonts w:hint="eastAsia" w:eastAsia="仿宋_GB2312" w:cs="仿宋_GB2312"/>
          <w:color w:val="auto"/>
          <w:kern w:val="2"/>
          <w:sz w:val="32"/>
          <w:szCs w:val="32"/>
          <w:highlight w:val="none"/>
          <w:lang w:val="en-US" w:eastAsia="zh-CN" w:bidi="ar-SA"/>
        </w:rPr>
        <w:t>205</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反映各部门举办的小学教育支出。政府各部门对社会组织等举办的小学的资助，如捐赠、补贴等，也在科目中反映。</w:t>
      </w:r>
    </w:p>
    <w:p w14:paraId="3CFA4F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10.文化旅游体育与传媒</w:t>
      </w:r>
      <w:r>
        <w:rPr>
          <w:rFonts w:hint="eastAsia" w:eastAsia="仿宋_GB2312" w:cs="仿宋_GB2312"/>
          <w:color w:val="auto"/>
          <w:kern w:val="2"/>
          <w:sz w:val="32"/>
          <w:szCs w:val="32"/>
          <w:highlight w:val="none"/>
          <w:lang w:val="en-US" w:eastAsia="zh-CN" w:bidi="ar-SA"/>
        </w:rPr>
        <w:t>207</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反映除上述项目以外其他用于文化旅游体育与传媒方面的支出。</w:t>
      </w:r>
    </w:p>
    <w:p w14:paraId="65D9C9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反映机关事业单位实施养老保险制度由单位缴纳的基本养老保险费支出。</w:t>
      </w:r>
    </w:p>
    <w:p w14:paraId="0E5287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反映机关事业单位实施养老保险制度由单位实际缴纳的职业年金支出（含职业年金补记支出）。</w:t>
      </w:r>
    </w:p>
    <w:p w14:paraId="7B522E54">
      <w:pPr>
        <w:numPr>
          <w:ilvl w:val="0"/>
          <w:numId w:val="0"/>
        </w:numPr>
        <w:spacing w:line="600" w:lineRule="exact"/>
        <w:ind w:firstLine="640" w:firstLineChars="200"/>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反映财政部门安排的行政单位（包括实行公务员管理的事业单位，下同）基本医疗保险缴费经费，未参加医疗保险的行政单位的公费医疗经费，按国家规定享受离休人员、红军老战士待遇人员的医疗经费。</w:t>
      </w:r>
    </w:p>
    <w:p w14:paraId="274EE938">
      <w:pPr>
        <w:numPr>
          <w:ilvl w:val="0"/>
          <w:numId w:val="0"/>
        </w:numPr>
        <w:spacing w:line="600" w:lineRule="exact"/>
        <w:ind w:firstLine="640" w:firstLineChars="200"/>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14.210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反映财政部门安排的公务员医疗补助经费。</w:t>
      </w:r>
    </w:p>
    <w:p w14:paraId="0FF3C9A0">
      <w:pPr>
        <w:numPr>
          <w:ilvl w:val="0"/>
          <w:numId w:val="0"/>
        </w:numPr>
        <w:spacing w:line="600" w:lineRule="exact"/>
        <w:ind w:left="840"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15.节能环保</w:t>
      </w:r>
      <w:r>
        <w:rPr>
          <w:rFonts w:hint="eastAsia" w:eastAsia="仿宋_GB2312" w:cs="仿宋_GB2312"/>
          <w:color w:val="auto"/>
          <w:kern w:val="2"/>
          <w:sz w:val="32"/>
          <w:szCs w:val="32"/>
          <w:highlight w:val="none"/>
          <w:lang w:val="en-US" w:eastAsia="zh-CN" w:bidi="ar-SA"/>
        </w:rPr>
        <w:t>211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反映政府在排水、污水处理、水污染防治、湖库生态环境保护、水源地保护、国土江河综合整治、河流治理与保护、地下水修复与保护等方面的支出。</w:t>
      </w:r>
    </w:p>
    <w:p w14:paraId="152AE105">
      <w:pPr>
        <w:numPr>
          <w:ilvl w:val="0"/>
          <w:numId w:val="0"/>
        </w:numPr>
        <w:spacing w:line="600" w:lineRule="exact"/>
        <w:ind w:leftChars="200"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16.211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反映用于生态功能区、生态示范区、生态省（市、县）管理及能力建设、日常管护、宣教、试点示范等支出，生态修复支出，资源开发生态监管支出，生态护林员的劳务报酬等支出。</w:t>
      </w:r>
    </w:p>
    <w:p w14:paraId="7D804284">
      <w:pPr>
        <w:numPr>
          <w:ilvl w:val="0"/>
          <w:numId w:val="0"/>
        </w:numPr>
        <w:spacing w:line="600" w:lineRule="exact"/>
        <w:ind w:leftChars="200" w:firstLine="320" w:firstLineChars="1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17.211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反映用于农村环境保护方面的支出。有关事项包括：农村环境综合整治，如生活垃圾、污水处理，农村饮用水源地监测与保护等；小城镇环境保护，如小城镇环境保护能力建设及环境基础设施建设，环境优美乡镇及生态村创建等；农用化学品（化肥、农药、农膜等）污染防治、畜禽养殖污染防治、土壤污染防治；农产品产地环境监测与监管，有机食品基地建设与管理，秸秆等农业废弃物综合利用；农村环境保护能力建设、宣教、试点示范等。</w:t>
      </w:r>
    </w:p>
    <w:p w14:paraId="44B0253C">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w:t>
      </w:r>
      <w:r>
        <w:rPr>
          <w:rFonts w:hint="eastAsia" w:eastAsia="仿宋_GB2312" w:cs="仿宋_GB2312"/>
          <w:color w:val="auto"/>
          <w:kern w:val="2"/>
          <w:sz w:val="32"/>
          <w:szCs w:val="32"/>
          <w:highlight w:val="none"/>
          <w:lang w:val="en-US" w:eastAsia="zh-CN" w:bidi="ar-SA"/>
        </w:rPr>
        <w:t>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反映行政单位（包括实行公务员管理的事业单位）的基本支出。</w:t>
      </w:r>
    </w:p>
    <w:p w14:paraId="0F6496EC">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反映行政单位（包括实行公务员管理的事业单位）未单独设置项级科目的其他项目支出。</w:t>
      </w:r>
    </w:p>
    <w:p w14:paraId="6F78D71E">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反映调控建设市场运行、拟定建设市场法规、实施建筑工程质量、安全、工程勘察设计监管等方面的支出。</w:t>
      </w:r>
    </w:p>
    <w:p w14:paraId="5A064C18">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反映调控房地产市场运行、研究拟定城镇住房制度改革法规、对住房公积金和其他房改资金进行政策指导并监督使用等方面的支出。</w:t>
      </w:r>
    </w:p>
    <w:p w14:paraId="7CD1D81E">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反映除上述项目以外其他用于城乡社区管理事务方面的支出。</w:t>
      </w:r>
    </w:p>
    <w:p w14:paraId="6DD2444F">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23.212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反映用于小城镇路、气、水、电等基础建设方面的支出。</w:t>
      </w:r>
    </w:p>
    <w:p w14:paraId="37EF32A6">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24.212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反映除上述项目以外其他用于城乡社区公共设施方面的支出。</w:t>
      </w:r>
    </w:p>
    <w:p w14:paraId="21894746">
      <w:pPr>
        <w:numPr>
          <w:ilvl w:val="0"/>
          <w:numId w:val="0"/>
        </w:num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25.212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反映城乡社区道路清扫、垃圾清运与处理、公厕建设与维护、园林绿化等方面的支出。</w:t>
      </w:r>
    </w:p>
    <w:p w14:paraId="66DA2851">
      <w:pPr>
        <w:numPr>
          <w:ilvl w:val="0"/>
          <w:numId w:val="0"/>
        </w:num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26.农林水</w:t>
      </w:r>
      <w:r>
        <w:rPr>
          <w:rFonts w:hint="eastAsia" w:eastAsia="仿宋_GB2312" w:cs="仿宋_GB2312"/>
          <w:color w:val="auto"/>
          <w:kern w:val="2"/>
          <w:sz w:val="32"/>
          <w:szCs w:val="32"/>
          <w:highlight w:val="none"/>
          <w:lang w:val="en-US" w:eastAsia="zh-CN" w:bidi="ar-SA"/>
        </w:rPr>
        <w:t>213</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反映用于农村欠发达地区发展种植业、养殖业、畜牧业、农副产品加工、林果地建设等生产发展项目以及相关技术推广等方面的项目支出。</w:t>
      </w:r>
    </w:p>
    <w:p w14:paraId="34034A52">
      <w:pPr>
        <w:numPr>
          <w:ilvl w:val="0"/>
          <w:numId w:val="0"/>
        </w:num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27.213</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反映除上述项目以外其他用于巩固拓展脱贫攻坚成果同乡村振兴有效衔接方面的支出。</w:t>
      </w:r>
    </w:p>
    <w:p w14:paraId="6D729F6D">
      <w:pPr>
        <w:numPr>
          <w:ilvl w:val="0"/>
          <w:numId w:val="0"/>
        </w:numPr>
        <w:spacing w:line="600" w:lineRule="exact"/>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28.213</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07</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反映农村综合改革方面的支出。</w:t>
      </w:r>
    </w:p>
    <w:p w14:paraId="6DD0652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28.资源勘探工业信息等</w:t>
      </w:r>
      <w:r>
        <w:rPr>
          <w:rFonts w:hint="eastAsia" w:eastAsia="仿宋_GB2312" w:cs="仿宋_GB2312"/>
          <w:color w:val="auto"/>
          <w:kern w:val="2"/>
          <w:sz w:val="32"/>
          <w:szCs w:val="32"/>
          <w:highlight w:val="none"/>
          <w:lang w:val="en-US" w:eastAsia="zh-CN" w:bidi="ar-SA"/>
        </w:rPr>
        <w:t>215</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反映除上述项目以外其他用于建筑业方面的支出。</w:t>
      </w:r>
    </w:p>
    <w:p w14:paraId="5C903378">
      <w:pPr>
        <w:spacing w:line="600" w:lineRule="exact"/>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29.住房保障</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反映用于农村危房改造方面的支出。</w:t>
      </w:r>
    </w:p>
    <w:p w14:paraId="4B29BDAB">
      <w:pPr>
        <w:spacing w:line="600" w:lineRule="exact"/>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30.221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反映行政事业单位按人力资源和社会保障部、财政部规定的基本工资和津贴补贴以及规定比例为职工缴纳的住房公积金。</w:t>
      </w:r>
    </w:p>
    <w:p w14:paraId="202A4E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《2025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7C4D29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10FB52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153D51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260AEC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8DC01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A27625B">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2779EA08">
      <w:pPr>
        <w:pStyle w:val="5"/>
        <w:rPr>
          <w:rFonts w:hint="eastAsia" w:ascii="Times New Roman" w:hAnsi="Times New Roman" w:cs="宋体"/>
          <w:color w:val="FF0000"/>
          <w:kern w:val="0"/>
          <w:sz w:val="32"/>
          <w:szCs w:val="32"/>
          <w:highlight w:val="yellow"/>
          <w:shd w:val="clear" w:color="auto" w:fill="FFFFFF"/>
          <w:lang w:val="zh-CN"/>
        </w:rPr>
      </w:pPr>
      <w:bookmarkStart w:id="68" w:name="_Toc15377226"/>
      <w:r>
        <w:rPr>
          <w:rFonts w:hint="eastAsia" w:ascii="Times New Roman" w:hAnsi="Times New Roman" w:eastAsia="仿宋_GB2312" w:cs="仿宋_GB2312"/>
          <w:color w:val="auto"/>
          <w:kern w:val="2"/>
          <w:sz w:val="32"/>
          <w:szCs w:val="32"/>
          <w:highlight w:val="none"/>
          <w:lang w:val="en-US" w:eastAsia="zh-CN" w:bidi="ar-SA"/>
        </w:rPr>
        <w:br w:type="page"/>
      </w:r>
    </w:p>
    <w:p w14:paraId="3FDE838F">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60998717">
      <w:pPr>
        <w:widowControl/>
        <w:jc w:val="center"/>
        <w:rPr>
          <w:rFonts w:hint="eastAsia" w:ascii="Times New Roman" w:hAnsi="Times New Roman" w:eastAsia="仿宋"/>
          <w:b w:val="0"/>
          <w:color w:val="auto"/>
          <w:highlight w:val="none"/>
        </w:rPr>
      </w:pPr>
      <w:bookmarkStart w:id="69" w:name="_Toc15396618"/>
      <w:r>
        <w:rPr>
          <w:rFonts w:hint="eastAsia" w:ascii="Times New Roman" w:hAnsi="Times New Roman" w:eastAsia="黑体"/>
          <w:color w:val="auto"/>
          <w:sz w:val="44"/>
          <w:szCs w:val="44"/>
          <w:highlight w:val="none"/>
        </w:rPr>
        <w:t>第</w:t>
      </w:r>
      <w:r>
        <w:rPr>
          <w:rStyle w:val="28"/>
          <w:rFonts w:hint="eastAsia" w:eastAsia="黑体"/>
          <w:b w:val="0"/>
          <w:color w:val="auto"/>
          <w:highlight w:val="none"/>
          <w:lang w:eastAsia="zh-CN"/>
        </w:rPr>
        <w:t>四</w:t>
      </w:r>
      <w:r>
        <w:rPr>
          <w:rStyle w:val="28"/>
          <w:rFonts w:hint="eastAsia" w:ascii="Times New Roman" w:hAnsi="Times New Roman" w:eastAsia="黑体"/>
          <w:b w:val="0"/>
          <w:color w:val="auto"/>
          <w:highlight w:val="none"/>
        </w:rPr>
        <w:t>部分 附表</w:t>
      </w:r>
      <w:bookmarkEnd w:id="68"/>
      <w:bookmarkEnd w:id="69"/>
      <w:bookmarkStart w:id="70" w:name="_Toc15396619"/>
    </w:p>
    <w:p w14:paraId="2E973F4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B8E4E8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70"/>
    </w:p>
    <w:p w14:paraId="14022B8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0"/>
      <w:r>
        <w:rPr>
          <w:rFonts w:hint="eastAsia" w:ascii="Times New Roman" w:hAnsi="Times New Roman" w:eastAsia="仿宋_GB2312" w:cs="仿宋_GB2312"/>
          <w:color w:val="auto"/>
          <w:sz w:val="32"/>
          <w:szCs w:val="32"/>
          <w:highlight w:val="none"/>
        </w:rPr>
        <w:t>二、收入决算表</w:t>
      </w:r>
      <w:bookmarkEnd w:id="71"/>
    </w:p>
    <w:p w14:paraId="179854B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1"/>
      <w:r>
        <w:rPr>
          <w:rFonts w:hint="eastAsia" w:ascii="Times New Roman" w:hAnsi="Times New Roman" w:eastAsia="仿宋_GB2312" w:cs="仿宋_GB2312"/>
          <w:color w:val="auto"/>
          <w:sz w:val="32"/>
          <w:szCs w:val="32"/>
          <w:highlight w:val="none"/>
        </w:rPr>
        <w:t>三、支出决算表</w:t>
      </w:r>
      <w:bookmarkEnd w:id="72"/>
    </w:p>
    <w:p w14:paraId="3879D96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2"/>
      <w:r>
        <w:rPr>
          <w:rFonts w:hint="eastAsia" w:ascii="Times New Roman" w:hAnsi="Times New Roman" w:eastAsia="仿宋_GB2312" w:cs="仿宋_GB2312"/>
          <w:color w:val="auto"/>
          <w:sz w:val="32"/>
          <w:szCs w:val="32"/>
          <w:highlight w:val="none"/>
        </w:rPr>
        <w:t>四、财政拨款收入支出决算总表</w:t>
      </w:r>
      <w:bookmarkEnd w:id="73"/>
    </w:p>
    <w:p w14:paraId="5A701BF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3"/>
      <w:r>
        <w:rPr>
          <w:rFonts w:hint="eastAsia" w:ascii="Times New Roman" w:hAnsi="Times New Roman" w:eastAsia="仿宋_GB2312" w:cs="仿宋_GB2312"/>
          <w:color w:val="auto"/>
          <w:sz w:val="32"/>
          <w:szCs w:val="32"/>
          <w:highlight w:val="none"/>
        </w:rPr>
        <w:t>五、财政拨款支出决算明细表</w:t>
      </w:r>
      <w:bookmarkEnd w:id="74"/>
      <w:bookmarkStart w:id="75" w:name="_Toc15396624"/>
    </w:p>
    <w:p w14:paraId="43E902E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5"/>
    </w:p>
    <w:p w14:paraId="0506456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5"/>
      <w:r>
        <w:rPr>
          <w:rFonts w:hint="eastAsia" w:ascii="Times New Roman" w:hAnsi="Times New Roman" w:eastAsia="仿宋_GB2312" w:cs="仿宋_GB2312"/>
          <w:color w:val="auto"/>
          <w:sz w:val="32"/>
          <w:szCs w:val="32"/>
          <w:highlight w:val="none"/>
        </w:rPr>
        <w:t>七、一般公共预算财政拨款支出决算明细表</w:t>
      </w:r>
      <w:bookmarkEnd w:id="76"/>
    </w:p>
    <w:p w14:paraId="55B1D53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6"/>
      <w:r>
        <w:rPr>
          <w:rFonts w:hint="eastAsia" w:ascii="Times New Roman" w:hAnsi="Times New Roman" w:eastAsia="仿宋_GB2312" w:cs="仿宋_GB2312"/>
          <w:color w:val="auto"/>
          <w:sz w:val="32"/>
          <w:szCs w:val="32"/>
          <w:highlight w:val="none"/>
        </w:rPr>
        <w:t>八、一般公共预算财政拨款基本支出决算表</w:t>
      </w:r>
      <w:bookmarkEnd w:id="77"/>
    </w:p>
    <w:p w14:paraId="2F0ADFC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7"/>
      <w:r>
        <w:rPr>
          <w:rFonts w:hint="eastAsia" w:ascii="Times New Roman" w:hAnsi="Times New Roman" w:eastAsia="仿宋_GB2312" w:cs="仿宋_GB2312"/>
          <w:color w:val="auto"/>
          <w:sz w:val="32"/>
          <w:szCs w:val="32"/>
          <w:highlight w:val="none"/>
        </w:rPr>
        <w:t>九、一般公共预算财政拨款项目支出决算表</w:t>
      </w:r>
      <w:bookmarkEnd w:id="78"/>
    </w:p>
    <w:p w14:paraId="71F9254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28"/>
      <w:r>
        <w:rPr>
          <w:rFonts w:hint="eastAsia" w:ascii="Times New Roman" w:hAnsi="Times New Roman" w:eastAsia="仿宋_GB2312" w:cs="仿宋_GB2312"/>
          <w:color w:val="auto"/>
          <w:sz w:val="32"/>
          <w:szCs w:val="32"/>
          <w:highlight w:val="none"/>
        </w:rPr>
        <w:t>十、</w:t>
      </w:r>
      <w:bookmarkEnd w:id="79"/>
      <w:r>
        <w:rPr>
          <w:rFonts w:hint="eastAsia" w:ascii="Times New Roman" w:hAnsi="Times New Roman" w:eastAsia="仿宋_GB2312" w:cs="仿宋_GB2312"/>
          <w:color w:val="auto"/>
          <w:sz w:val="32"/>
          <w:szCs w:val="32"/>
          <w:highlight w:val="none"/>
        </w:rPr>
        <w:t>政府性基金预算财政拨款收入支出决算表</w:t>
      </w:r>
    </w:p>
    <w:p w14:paraId="6DF6EF4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9"/>
      <w:r>
        <w:rPr>
          <w:rFonts w:hint="eastAsia" w:ascii="Times New Roman" w:hAnsi="Times New Roman" w:eastAsia="仿宋_GB2312" w:cs="仿宋_GB2312"/>
          <w:color w:val="auto"/>
          <w:sz w:val="32"/>
          <w:szCs w:val="32"/>
          <w:highlight w:val="none"/>
        </w:rPr>
        <w:t>十一、</w:t>
      </w:r>
      <w:bookmarkEnd w:id="80"/>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149ADD4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30"/>
      <w:r>
        <w:rPr>
          <w:rFonts w:hint="eastAsia" w:ascii="Times New Roman" w:hAnsi="Times New Roman" w:eastAsia="仿宋_GB2312" w:cs="仿宋_GB2312"/>
          <w:color w:val="auto"/>
          <w:sz w:val="32"/>
          <w:szCs w:val="32"/>
          <w:highlight w:val="none"/>
        </w:rPr>
        <w:t>十二、</w:t>
      </w:r>
      <w:bookmarkEnd w:id="81"/>
      <w:r>
        <w:rPr>
          <w:rFonts w:hint="eastAsia" w:ascii="Times New Roman" w:hAnsi="Times New Roman" w:eastAsia="仿宋_GB2312" w:cs="仿宋_GB2312"/>
          <w:color w:val="auto"/>
          <w:sz w:val="32"/>
          <w:szCs w:val="32"/>
          <w:highlight w:val="none"/>
          <w:lang w:eastAsia="zh-CN"/>
        </w:rPr>
        <w:t>国有资本经营预算财政拨款支出决算表</w:t>
      </w:r>
    </w:p>
    <w:p w14:paraId="398F537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2" w:name="_Toc15396631"/>
      <w:r>
        <w:rPr>
          <w:rFonts w:hint="eastAsia" w:ascii="Times New Roman" w:hAnsi="Times New Roman" w:eastAsia="仿宋_GB2312" w:cs="仿宋_GB2312"/>
          <w:color w:val="auto"/>
          <w:sz w:val="32"/>
          <w:szCs w:val="32"/>
          <w:highlight w:val="none"/>
        </w:rPr>
        <w:t>十三、</w:t>
      </w:r>
      <w:bookmarkEnd w:id="82"/>
      <w:r>
        <w:rPr>
          <w:rFonts w:hint="eastAsia" w:ascii="Times New Roman" w:hAnsi="Times New Roman" w:eastAsia="仿宋_GB2312" w:cs="仿宋_GB2312"/>
          <w:color w:val="auto"/>
          <w:sz w:val="32"/>
          <w:szCs w:val="32"/>
          <w:highlight w:val="none"/>
          <w:lang w:eastAsia="zh-CN"/>
        </w:rPr>
        <w:t>财政拨款“三公”经费支出决算表</w:t>
      </w:r>
    </w:p>
    <w:p w14:paraId="4B05E24A">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316E67F-BB1F-43A1-AB75-C20E0DC6A91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443C093-4F99-4922-BCE4-E7B665F065D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ECEB088A-AFD6-4D76-B899-545EBAA3AC70}"/>
  </w:font>
  <w:font w:name="仿宋">
    <w:panose1 w:val="02010609060101010101"/>
    <w:charset w:val="86"/>
    <w:family w:val="modern"/>
    <w:pitch w:val="default"/>
    <w:sig w:usb0="800002BF" w:usb1="38CF7CFA" w:usb2="00000016" w:usb3="00000000" w:csb0="00040001" w:csb1="00000000"/>
    <w:embedRegular r:id="rId4" w:fontKey="{40DAB309-3A0D-4720-BACE-8AC9051A0D31}"/>
  </w:font>
  <w:font w:name="??">
    <w:altName w:val="FFont-Family"/>
    <w:panose1 w:val="00000000000000000000"/>
    <w:charset w:val="00"/>
    <w:family w:val="roman"/>
    <w:pitch w:val="default"/>
    <w:sig w:usb0="00000000" w:usb1="00000000" w:usb2="00000000" w:usb3="00000000" w:csb0="00000000" w:csb1="00000000"/>
  </w:font>
  <w:font w:name="C059">
    <w:altName w:val="FFont-Family"/>
    <w:panose1 w:val="00000500000000000000"/>
    <w:charset w:val="00"/>
    <w:family w:val="auto"/>
    <w:pitch w:val="default"/>
    <w:sig w:usb0="00000000" w:usb1="00000000" w:usb2="00000000" w:usb3="00000000" w:csb0="6000009F" w:csb1="00000000"/>
  </w:font>
  <w:font w:name="方正小标宋简体">
    <w:panose1 w:val="02010600010101010101"/>
    <w:charset w:val="86"/>
    <w:family w:val="script"/>
    <w:pitch w:val="default"/>
    <w:sig w:usb0="00000001" w:usb1="080E0000" w:usb2="00000000" w:usb3="00000000" w:csb0="00040000" w:csb1="00000000"/>
    <w:embedRegular r:id="rId5" w:fontKey="{DF7CAD90-29E9-4933-88F5-595B6CD6721D}"/>
  </w:font>
  <w:font w:name="楷体_GB2312">
    <w:panose1 w:val="02010609030101010101"/>
    <w:charset w:val="86"/>
    <w:family w:val="auto"/>
    <w:pitch w:val="default"/>
    <w:sig w:usb0="00000001" w:usb1="080E0000" w:usb2="00000000" w:usb3="00000000" w:csb0="00040000" w:csb1="00000000"/>
    <w:embedRegular r:id="rId6" w:fontKey="{1A46CC48-042B-44D1-8D6D-1047133FC0A2}"/>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58562">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CDF9C0">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CDF9C0">
                    <w:pPr>
                      <w:pStyle w:val="10"/>
                    </w:pPr>
                    <w:r>
                      <w:fldChar w:fldCharType="begin"/>
                    </w:r>
                    <w:r>
                      <w:instrText xml:space="preserve"> PAGE  \* MERGEFORMAT </w:instrText>
                    </w:r>
                    <w:r>
                      <w:fldChar w:fldCharType="separate"/>
                    </w:r>
                    <w:r>
                      <w:t>- 1 -</w:t>
                    </w:r>
                    <w:r>
                      <w:fldChar w:fldCharType="end"/>
                    </w:r>
                  </w:p>
                </w:txbxContent>
              </v:textbox>
            </v:shape>
          </w:pict>
        </mc:Fallback>
      </mc:AlternateContent>
    </w:r>
  </w:p>
  <w:p w14:paraId="20575E0B">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ECD5C">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6A604">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A46A604">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0967F">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FF5CCC">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BFF5CCC">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4FA039AC">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D414E">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D3E54">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8D3E54">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1E6D8">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1">
    <w:nsid w:val="7A7955B4"/>
    <w:multiLevelType w:val="singleLevel"/>
    <w:tmpl w:val="7A7955B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10030A"/>
    <w:rsid w:val="04916F1E"/>
    <w:rsid w:val="053C512E"/>
    <w:rsid w:val="061E35DE"/>
    <w:rsid w:val="066E0107"/>
    <w:rsid w:val="07996F6E"/>
    <w:rsid w:val="07DFD8BA"/>
    <w:rsid w:val="09867E8F"/>
    <w:rsid w:val="0A2032A3"/>
    <w:rsid w:val="0B372620"/>
    <w:rsid w:val="0CA8290A"/>
    <w:rsid w:val="0D35B1ED"/>
    <w:rsid w:val="0E254B6B"/>
    <w:rsid w:val="0EEED42D"/>
    <w:rsid w:val="0F98263C"/>
    <w:rsid w:val="0FB0474F"/>
    <w:rsid w:val="0FB73D2F"/>
    <w:rsid w:val="101860EC"/>
    <w:rsid w:val="101F47CC"/>
    <w:rsid w:val="10C055FF"/>
    <w:rsid w:val="11317B11"/>
    <w:rsid w:val="11494E5B"/>
    <w:rsid w:val="11694EBD"/>
    <w:rsid w:val="11772AA4"/>
    <w:rsid w:val="118107EC"/>
    <w:rsid w:val="12CD386A"/>
    <w:rsid w:val="12E24EE2"/>
    <w:rsid w:val="1340403C"/>
    <w:rsid w:val="13D50BC4"/>
    <w:rsid w:val="143F2545"/>
    <w:rsid w:val="14B17F78"/>
    <w:rsid w:val="161D68B6"/>
    <w:rsid w:val="165E0673"/>
    <w:rsid w:val="16B831D5"/>
    <w:rsid w:val="16BB723D"/>
    <w:rsid w:val="16E71383"/>
    <w:rsid w:val="17E50567"/>
    <w:rsid w:val="186504BB"/>
    <w:rsid w:val="19A445FC"/>
    <w:rsid w:val="1AC467AA"/>
    <w:rsid w:val="1BE8440E"/>
    <w:rsid w:val="1C5B2505"/>
    <w:rsid w:val="1D155CEE"/>
    <w:rsid w:val="1D1638FE"/>
    <w:rsid w:val="1E312DEB"/>
    <w:rsid w:val="1E71779F"/>
    <w:rsid w:val="1E740ACF"/>
    <w:rsid w:val="1E9D7292"/>
    <w:rsid w:val="1EE75CB3"/>
    <w:rsid w:val="1FF35744"/>
    <w:rsid w:val="1FF6BC77"/>
    <w:rsid w:val="2186353C"/>
    <w:rsid w:val="22590C76"/>
    <w:rsid w:val="234F3431"/>
    <w:rsid w:val="23860B96"/>
    <w:rsid w:val="23971977"/>
    <w:rsid w:val="240371BF"/>
    <w:rsid w:val="244F3473"/>
    <w:rsid w:val="24A02B8C"/>
    <w:rsid w:val="24C97D99"/>
    <w:rsid w:val="25A718F0"/>
    <w:rsid w:val="25BB59F6"/>
    <w:rsid w:val="260F557C"/>
    <w:rsid w:val="26865DB2"/>
    <w:rsid w:val="26970054"/>
    <w:rsid w:val="276E6F72"/>
    <w:rsid w:val="281408E2"/>
    <w:rsid w:val="29FD04D3"/>
    <w:rsid w:val="2A174363"/>
    <w:rsid w:val="2AA35184"/>
    <w:rsid w:val="2AE337D3"/>
    <w:rsid w:val="2B200583"/>
    <w:rsid w:val="2BFF7BC6"/>
    <w:rsid w:val="2C8A61B5"/>
    <w:rsid w:val="2DF04E50"/>
    <w:rsid w:val="2E150147"/>
    <w:rsid w:val="2E586DFA"/>
    <w:rsid w:val="2F040D46"/>
    <w:rsid w:val="2F193C67"/>
    <w:rsid w:val="2F5471D3"/>
    <w:rsid w:val="2F6B035B"/>
    <w:rsid w:val="2F835584"/>
    <w:rsid w:val="2F963509"/>
    <w:rsid w:val="2FAE5751"/>
    <w:rsid w:val="2FB1A395"/>
    <w:rsid w:val="2FD23AB2"/>
    <w:rsid w:val="2FD9A7D8"/>
    <w:rsid w:val="2FDBF714"/>
    <w:rsid w:val="303E14AB"/>
    <w:rsid w:val="30AB6865"/>
    <w:rsid w:val="30F54260"/>
    <w:rsid w:val="30F71D86"/>
    <w:rsid w:val="319F7F4E"/>
    <w:rsid w:val="32BD1EF1"/>
    <w:rsid w:val="3304709D"/>
    <w:rsid w:val="33A773CB"/>
    <w:rsid w:val="343C3F54"/>
    <w:rsid w:val="349D6851"/>
    <w:rsid w:val="34C77443"/>
    <w:rsid w:val="35AD5109"/>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DF8713D"/>
    <w:rsid w:val="3E043D34"/>
    <w:rsid w:val="3E740A63"/>
    <w:rsid w:val="3E78745D"/>
    <w:rsid w:val="3E7DD184"/>
    <w:rsid w:val="3EE17838"/>
    <w:rsid w:val="3EFAACED"/>
    <w:rsid w:val="3F4F6E00"/>
    <w:rsid w:val="3F55381A"/>
    <w:rsid w:val="3F7F7599"/>
    <w:rsid w:val="3FF4CAE0"/>
    <w:rsid w:val="3FF7B227"/>
    <w:rsid w:val="42980EEF"/>
    <w:rsid w:val="44E268DA"/>
    <w:rsid w:val="450D13D7"/>
    <w:rsid w:val="45244CBC"/>
    <w:rsid w:val="453749EF"/>
    <w:rsid w:val="45506656"/>
    <w:rsid w:val="46130FB8"/>
    <w:rsid w:val="46EC454B"/>
    <w:rsid w:val="4764659D"/>
    <w:rsid w:val="486A6C7A"/>
    <w:rsid w:val="4A627F82"/>
    <w:rsid w:val="4B0E749A"/>
    <w:rsid w:val="4B2477C4"/>
    <w:rsid w:val="4B4F25DA"/>
    <w:rsid w:val="4BE068DB"/>
    <w:rsid w:val="4BEF1D1E"/>
    <w:rsid w:val="4C982217"/>
    <w:rsid w:val="4C9D15DC"/>
    <w:rsid w:val="4D577224"/>
    <w:rsid w:val="4DBF1CEB"/>
    <w:rsid w:val="4DE4323A"/>
    <w:rsid w:val="4DF0007C"/>
    <w:rsid w:val="4EAB630A"/>
    <w:rsid w:val="4EC76DE4"/>
    <w:rsid w:val="4ECE2238"/>
    <w:rsid w:val="4EDD8AA1"/>
    <w:rsid w:val="4EDFF9E6"/>
    <w:rsid w:val="4F833267"/>
    <w:rsid w:val="4FE9BD67"/>
    <w:rsid w:val="4FFB052F"/>
    <w:rsid w:val="52D675F5"/>
    <w:rsid w:val="534704F3"/>
    <w:rsid w:val="5362532D"/>
    <w:rsid w:val="536A41E2"/>
    <w:rsid w:val="537E6D0A"/>
    <w:rsid w:val="53F74C96"/>
    <w:rsid w:val="55170BA8"/>
    <w:rsid w:val="553218C9"/>
    <w:rsid w:val="55607637"/>
    <w:rsid w:val="567E1AA5"/>
    <w:rsid w:val="56E47B74"/>
    <w:rsid w:val="57175D52"/>
    <w:rsid w:val="571B7CCD"/>
    <w:rsid w:val="57BD3DD4"/>
    <w:rsid w:val="58331046"/>
    <w:rsid w:val="58675193"/>
    <w:rsid w:val="59973856"/>
    <w:rsid w:val="5AF92295"/>
    <w:rsid w:val="5B250254"/>
    <w:rsid w:val="5B76F415"/>
    <w:rsid w:val="5BAA5AC3"/>
    <w:rsid w:val="5BDD79E6"/>
    <w:rsid w:val="5BF561CA"/>
    <w:rsid w:val="5BFF5DFC"/>
    <w:rsid w:val="5CD71FC4"/>
    <w:rsid w:val="5D1F11B5"/>
    <w:rsid w:val="5D695134"/>
    <w:rsid w:val="5DAE1B18"/>
    <w:rsid w:val="5DB55A28"/>
    <w:rsid w:val="5DE7D9E5"/>
    <w:rsid w:val="5E8A398A"/>
    <w:rsid w:val="5ECEC941"/>
    <w:rsid w:val="5EFED8B3"/>
    <w:rsid w:val="5F201515"/>
    <w:rsid w:val="5F6DCCDB"/>
    <w:rsid w:val="5FBF9FF3"/>
    <w:rsid w:val="5FCD4E2C"/>
    <w:rsid w:val="5FE392DF"/>
    <w:rsid w:val="5FEF394A"/>
    <w:rsid w:val="5FF67715"/>
    <w:rsid w:val="60742F3A"/>
    <w:rsid w:val="61A9544F"/>
    <w:rsid w:val="62BF3928"/>
    <w:rsid w:val="63860BC4"/>
    <w:rsid w:val="638C3D00"/>
    <w:rsid w:val="63AC3014"/>
    <w:rsid w:val="63B3701E"/>
    <w:rsid w:val="63FE7F83"/>
    <w:rsid w:val="64032214"/>
    <w:rsid w:val="6442396F"/>
    <w:rsid w:val="647F5392"/>
    <w:rsid w:val="65E66580"/>
    <w:rsid w:val="664B1D71"/>
    <w:rsid w:val="664B4E8E"/>
    <w:rsid w:val="67277B67"/>
    <w:rsid w:val="677D22DE"/>
    <w:rsid w:val="67AA3209"/>
    <w:rsid w:val="67EC7D88"/>
    <w:rsid w:val="688558EE"/>
    <w:rsid w:val="698D0931"/>
    <w:rsid w:val="6A7FE5F3"/>
    <w:rsid w:val="6B053271"/>
    <w:rsid w:val="6B9808B5"/>
    <w:rsid w:val="6BDD78B3"/>
    <w:rsid w:val="6C382C77"/>
    <w:rsid w:val="6C4A05C8"/>
    <w:rsid w:val="6C8742B8"/>
    <w:rsid w:val="6D1DCD95"/>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6FFF58B8"/>
    <w:rsid w:val="70027824"/>
    <w:rsid w:val="70484440"/>
    <w:rsid w:val="70D016D0"/>
    <w:rsid w:val="712A28F1"/>
    <w:rsid w:val="715C0E4B"/>
    <w:rsid w:val="71992E7C"/>
    <w:rsid w:val="72233669"/>
    <w:rsid w:val="72734D90"/>
    <w:rsid w:val="72895475"/>
    <w:rsid w:val="73160E6D"/>
    <w:rsid w:val="7332FE48"/>
    <w:rsid w:val="739672F2"/>
    <w:rsid w:val="73AB61DA"/>
    <w:rsid w:val="73AD73D5"/>
    <w:rsid w:val="73B6EB34"/>
    <w:rsid w:val="73FA497D"/>
    <w:rsid w:val="744731E5"/>
    <w:rsid w:val="74BBD01D"/>
    <w:rsid w:val="74ED5379"/>
    <w:rsid w:val="75DEEEC2"/>
    <w:rsid w:val="75E32345"/>
    <w:rsid w:val="75E55C1E"/>
    <w:rsid w:val="75ED2A80"/>
    <w:rsid w:val="762A1882"/>
    <w:rsid w:val="76E3355F"/>
    <w:rsid w:val="76FF5125"/>
    <w:rsid w:val="776F6FFA"/>
    <w:rsid w:val="778769C8"/>
    <w:rsid w:val="77A75DCA"/>
    <w:rsid w:val="77BEA719"/>
    <w:rsid w:val="77DC22F5"/>
    <w:rsid w:val="783E271A"/>
    <w:rsid w:val="78616DE9"/>
    <w:rsid w:val="78E875D7"/>
    <w:rsid w:val="79086DAD"/>
    <w:rsid w:val="79D7FD79"/>
    <w:rsid w:val="79EE5BA4"/>
    <w:rsid w:val="7A894339"/>
    <w:rsid w:val="7AD284E8"/>
    <w:rsid w:val="7AFF7572"/>
    <w:rsid w:val="7B19B6B2"/>
    <w:rsid w:val="7B6C7DFB"/>
    <w:rsid w:val="7BBFBED0"/>
    <w:rsid w:val="7BC3E394"/>
    <w:rsid w:val="7C1F3737"/>
    <w:rsid w:val="7C7F88FD"/>
    <w:rsid w:val="7CBFC87B"/>
    <w:rsid w:val="7CFE0F48"/>
    <w:rsid w:val="7D272ABC"/>
    <w:rsid w:val="7D366D5F"/>
    <w:rsid w:val="7D3E3E65"/>
    <w:rsid w:val="7D7EC23E"/>
    <w:rsid w:val="7E6D4A02"/>
    <w:rsid w:val="7E8ADEBF"/>
    <w:rsid w:val="7EB73ECF"/>
    <w:rsid w:val="7EEF11D3"/>
    <w:rsid w:val="7EFE4840"/>
    <w:rsid w:val="7F0971A6"/>
    <w:rsid w:val="7F1D62E7"/>
    <w:rsid w:val="7F3F679B"/>
    <w:rsid w:val="7F4FC4EF"/>
    <w:rsid w:val="7F5E4D54"/>
    <w:rsid w:val="7F6E0135"/>
    <w:rsid w:val="7F6E4CA1"/>
    <w:rsid w:val="7F79F205"/>
    <w:rsid w:val="7F7D3EB5"/>
    <w:rsid w:val="7FA30C79"/>
    <w:rsid w:val="7FA79C44"/>
    <w:rsid w:val="7FAF8ABF"/>
    <w:rsid w:val="7FB7269E"/>
    <w:rsid w:val="7FC96657"/>
    <w:rsid w:val="7FDA9588"/>
    <w:rsid w:val="7FDF220F"/>
    <w:rsid w:val="7FEDC5F7"/>
    <w:rsid w:val="7FEDD9DE"/>
    <w:rsid w:val="7FF5890D"/>
    <w:rsid w:val="7FF93490"/>
    <w:rsid w:val="7FFDEB74"/>
    <w:rsid w:val="8FFBE6EF"/>
    <w:rsid w:val="99FF2014"/>
    <w:rsid w:val="A6DD0D7F"/>
    <w:rsid w:val="A80F377C"/>
    <w:rsid w:val="ACAF23A9"/>
    <w:rsid w:val="ACF343B4"/>
    <w:rsid w:val="ACFF4FBB"/>
    <w:rsid w:val="ADC6F725"/>
    <w:rsid w:val="B7CF06AB"/>
    <w:rsid w:val="B7CFA926"/>
    <w:rsid w:val="B7F8786B"/>
    <w:rsid w:val="B9FE7F11"/>
    <w:rsid w:val="BABB6AA1"/>
    <w:rsid w:val="BB2F4199"/>
    <w:rsid w:val="BCFFB442"/>
    <w:rsid w:val="BD079C78"/>
    <w:rsid w:val="BD733540"/>
    <w:rsid w:val="BF3735D5"/>
    <w:rsid w:val="BF7F09AC"/>
    <w:rsid w:val="BFD475C3"/>
    <w:rsid w:val="BFDE5EA6"/>
    <w:rsid w:val="BFEF2640"/>
    <w:rsid w:val="BFF43BD4"/>
    <w:rsid w:val="CAEF5F58"/>
    <w:rsid w:val="CF2F0F94"/>
    <w:rsid w:val="CF6FC6F3"/>
    <w:rsid w:val="CFD3D3D7"/>
    <w:rsid w:val="CFDF1009"/>
    <w:rsid w:val="D6DB25A5"/>
    <w:rsid w:val="D7D7B16A"/>
    <w:rsid w:val="D8D6DB89"/>
    <w:rsid w:val="D9EB5621"/>
    <w:rsid w:val="DB6F4CAB"/>
    <w:rsid w:val="DB777682"/>
    <w:rsid w:val="DD1FB521"/>
    <w:rsid w:val="DE7B047E"/>
    <w:rsid w:val="DEFBFEAE"/>
    <w:rsid w:val="DF1F3B80"/>
    <w:rsid w:val="DF6F9789"/>
    <w:rsid w:val="DFCE9604"/>
    <w:rsid w:val="DFE9BE81"/>
    <w:rsid w:val="DFF3868D"/>
    <w:rsid w:val="DFFFA9E8"/>
    <w:rsid w:val="E2BAF438"/>
    <w:rsid w:val="E53FC9F7"/>
    <w:rsid w:val="E5F4E9DC"/>
    <w:rsid w:val="E70FE695"/>
    <w:rsid w:val="EB2E368B"/>
    <w:rsid w:val="ECFED1BC"/>
    <w:rsid w:val="ED1D69BB"/>
    <w:rsid w:val="ED7FD312"/>
    <w:rsid w:val="EDFFB722"/>
    <w:rsid w:val="EF2E1AC6"/>
    <w:rsid w:val="EF53993F"/>
    <w:rsid w:val="EF6EAF7A"/>
    <w:rsid w:val="EF6FD633"/>
    <w:rsid w:val="EFBFB2F4"/>
    <w:rsid w:val="EFBFFA21"/>
    <w:rsid w:val="F2BEBCB8"/>
    <w:rsid w:val="F36FB518"/>
    <w:rsid w:val="F3DE1A04"/>
    <w:rsid w:val="F3F722E5"/>
    <w:rsid w:val="F3FFB825"/>
    <w:rsid w:val="F4FBCD07"/>
    <w:rsid w:val="F7EF6918"/>
    <w:rsid w:val="FA5F1E70"/>
    <w:rsid w:val="FA5FDB97"/>
    <w:rsid w:val="FB7F486A"/>
    <w:rsid w:val="FBFF5B2E"/>
    <w:rsid w:val="FD7FFE2B"/>
    <w:rsid w:val="FDEE196B"/>
    <w:rsid w:val="FDFE6575"/>
    <w:rsid w:val="FEDFDDC2"/>
    <w:rsid w:val="FEED32F6"/>
    <w:rsid w:val="FEF781DD"/>
    <w:rsid w:val="FEFB2F6A"/>
    <w:rsid w:val="FF3F7E3F"/>
    <w:rsid w:val="FF7E56BB"/>
    <w:rsid w:val="FFB1B593"/>
    <w:rsid w:val="FFB7FBEF"/>
    <w:rsid w:val="FFBA12D7"/>
    <w:rsid w:val="FFCBD314"/>
    <w:rsid w:val="FFDFF91C"/>
    <w:rsid w:val="FFDFFAEE"/>
    <w:rsid w:val="FFE38BDF"/>
    <w:rsid w:val="FFEF6777"/>
    <w:rsid w:val="FFF2141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9992;&#25143;&#30446;&#24405;\Desktop\&#26032;&#24314;%20XLSX%20&#24037;&#20316;&#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D:\&#29992;&#25143;&#30446;&#24405;\Desktop\&#26032;&#24314;%20XLSX%20&#24037;&#20316;&#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9992;&#25143;&#30446;&#24405;\Desktop\&#26032;&#24314;%20XLSX%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收入、支出变动</a:t>
            </a:r>
          </a:p>
        </c:rich>
      </c:tx>
      <c:layout/>
      <c:overlay val="0"/>
      <c:spPr>
        <a:noFill/>
        <a:ln>
          <a:noFill/>
        </a:ln>
        <a:effectLst/>
      </c:spPr>
    </c:title>
    <c:autoTitleDeleted val="0"/>
    <c:plotArea>
      <c:layout/>
      <c:barChart>
        <c:barDir val="col"/>
        <c:grouping val="clustered"/>
        <c:varyColors val="0"/>
        <c:ser>
          <c:idx val="0"/>
          <c:order val="0"/>
          <c:tx>
            <c:strRef>
              <c:f>[工作簿1]Sheet1!$A$2</c:f>
              <c:strCache>
                <c:ptCount val="1"/>
                <c:pt idx="0">
                  <c:v>收入</c:v>
                </c:pt>
              </c:strCache>
            </c:strRef>
          </c:tx>
          <c:spPr>
            <a:solidFill>
              <a:schemeClr val="accent1"/>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[工作簿1]Sheet1!$B$2:$C$2</c:f>
              <c:numCache>
                <c:formatCode>General</c:formatCode>
                <c:ptCount val="2"/>
                <c:pt idx="0">
                  <c:v>4479.83</c:v>
                </c:pt>
                <c:pt idx="1">
                  <c:v>26228.57</c:v>
                </c:pt>
              </c:numCache>
            </c:numRef>
          </c:val>
        </c:ser>
        <c:ser>
          <c:idx val="1"/>
          <c:order val="1"/>
          <c:tx>
            <c:strRef>
              <c:f>[工作簿1]Sheet1!$A$3</c:f>
              <c:strCache>
                <c:ptCount val="1"/>
                <c:pt idx="0">
                  <c:v>支出</c:v>
                </c:pt>
              </c:strCache>
            </c:strRef>
          </c:tx>
          <c:spPr>
            <a:solidFill>
              <a:schemeClr val="accent2"/>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[工作簿1]Sheet1!$B$3:$C$3</c:f>
              <c:numCache>
                <c:formatCode>General</c:formatCode>
                <c:ptCount val="2"/>
                <c:pt idx="0">
                  <c:v>4479.83</c:v>
                </c:pt>
                <c:pt idx="1">
                  <c:v>26228.57</c:v>
                </c:pt>
              </c:numCache>
            </c:numRef>
          </c:val>
        </c:ser>
        <c:dLbls>
          <c:showLegendKey val="0"/>
          <c:showVal val="0"/>
          <c:showCatName val="0"/>
          <c:showSerName val="0"/>
          <c:showPercent val="0"/>
          <c:showBubbleSize val="0"/>
        </c:dLbls>
        <c:gapWidth val="246"/>
        <c:overlap val="-28"/>
        <c:axId val="687371805"/>
        <c:axId val="488207951"/>
      </c:barChart>
      <c:catAx>
        <c:axId val="68737180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207951"/>
        <c:crosses val="autoZero"/>
        <c:auto val="1"/>
        <c:lblAlgn val="ctr"/>
        <c:lblOffset val="100"/>
        <c:noMultiLvlLbl val="0"/>
      </c:catAx>
      <c:valAx>
        <c:axId val="48820795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3718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a77f8ed-af5a-4fa4-87d0-a1803a9fff7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[工作簿1]Sheet1!$A$24:$A$26</c:f>
              <c:strCache>
                <c:ptCount val="3"/>
                <c:pt idx="0">
                  <c:v>一般公共预算财政拨款收入</c:v>
                </c:pt>
                <c:pt idx="1">
                  <c:v>政府性基金预算财政拨款收入</c:v>
                </c:pt>
                <c:pt idx="2">
                  <c:v>年初结转结余</c:v>
                </c:pt>
              </c:strCache>
            </c:strRef>
          </c:cat>
          <c:val>
            <c:numRef>
              <c:f>[工作簿1]Sheet1!$B$24:$B$26</c:f>
              <c:numCache>
                <c:formatCode>General</c:formatCode>
                <c:ptCount val="3"/>
                <c:pt idx="0">
                  <c:v>17628.04</c:v>
                </c:pt>
                <c:pt idx="1">
                  <c:v>7473.54</c:v>
                </c:pt>
                <c:pt idx="2">
                  <c:v>1126.99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0495172-b9fa-46d4-8af8-edf2794eda6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5</a:t>
            </a:r>
            <a:r>
              <a:t>年（万元）</a:t>
            </a:r>
          </a:p>
        </c:rich>
      </c:tx>
      <c:layout/>
      <c:overlay val="0"/>
      <c:spPr>
        <a:noFill/>
        <a:ln>
          <a:noFill/>
        </a:ln>
        <a:effectLst/>
      </c:spPr>
    </c:title>
    <c:autoTitleDeleted val="0"/>
    <c:plotArea>
      <c:layout/>
      <c:pieChart>
        <c:varyColors val="1"/>
        <c:ser>
          <c:idx val="0"/>
          <c:order val="0"/>
          <c:tx>
            <c:strRef>
              <c:f>'[新建 XLSX 工作表.xlsx]Sheet1'!$B$36</c:f>
              <c:strCache>
                <c:ptCount val="1"/>
                <c:pt idx="0">
                  <c:v>2024年（万元）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1029.14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25199.43</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工作表.xlsx]Sheet1'!$A$37:$A$38</c:f>
              <c:strCache>
                <c:ptCount val="2"/>
                <c:pt idx="0">
                  <c:v>基本支出</c:v>
                </c:pt>
                <c:pt idx="1">
                  <c:v>项目支出</c:v>
                </c:pt>
              </c:strCache>
            </c:strRef>
          </c:cat>
          <c:val>
            <c:numRef>
              <c:f>'[新建 XLSX 工作表.xlsx]Sheet1'!$B$37:$B$38</c:f>
              <c:numCache>
                <c:formatCode>General</c:formatCode>
                <c:ptCount val="2"/>
                <c:pt idx="0">
                  <c:v>623.08</c:v>
                </c:pt>
                <c:pt idx="1">
                  <c:v>3856.75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6e20928-dfc9-4cfb-a133-3c34b1c4811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收入、支出变动</a:t>
            </a:r>
          </a:p>
        </c:rich>
      </c:tx>
      <c:layout/>
      <c:overlay val="0"/>
      <c:spPr>
        <a:noFill/>
        <a:ln>
          <a:noFill/>
        </a:ln>
        <a:effectLst/>
      </c:spPr>
    </c:title>
    <c:autoTitleDeleted val="0"/>
    <c:plotArea>
      <c:layout/>
      <c:barChart>
        <c:barDir val="col"/>
        <c:grouping val="clustered"/>
        <c:varyColors val="0"/>
        <c:ser>
          <c:idx val="0"/>
          <c:order val="0"/>
          <c:tx>
            <c:strRef>
              <c:f>[工作簿1]Sheet1!$A$2</c:f>
              <c:strCache>
                <c:ptCount val="1"/>
                <c:pt idx="0">
                  <c:v>收入</c:v>
                </c:pt>
              </c:strCache>
            </c:strRef>
          </c:tx>
          <c:spPr>
            <a:solidFill>
              <a:schemeClr val="accent1"/>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[工作簿1]Sheet1!$B$2:$C$2</c:f>
              <c:numCache>
                <c:formatCode>General</c:formatCode>
                <c:ptCount val="2"/>
                <c:pt idx="0">
                  <c:v>4479.83</c:v>
                </c:pt>
                <c:pt idx="1">
                  <c:v>26228.57</c:v>
                </c:pt>
              </c:numCache>
            </c:numRef>
          </c:val>
        </c:ser>
        <c:ser>
          <c:idx val="1"/>
          <c:order val="1"/>
          <c:tx>
            <c:strRef>
              <c:f>[工作簿1]Sheet1!$A$3</c:f>
              <c:strCache>
                <c:ptCount val="1"/>
                <c:pt idx="0">
                  <c:v>支出</c:v>
                </c:pt>
              </c:strCache>
            </c:strRef>
          </c:tx>
          <c:spPr>
            <a:solidFill>
              <a:schemeClr val="accent2"/>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[工作簿1]Sheet1!$B$3:$C$3</c:f>
              <c:numCache>
                <c:formatCode>General</c:formatCode>
                <c:ptCount val="2"/>
                <c:pt idx="0">
                  <c:v>4479.83</c:v>
                </c:pt>
                <c:pt idx="1">
                  <c:v>26228.57</c:v>
                </c:pt>
              </c:numCache>
            </c:numRef>
          </c:val>
        </c:ser>
        <c:dLbls>
          <c:showLegendKey val="0"/>
          <c:showVal val="0"/>
          <c:showCatName val="0"/>
          <c:showSerName val="0"/>
          <c:showPercent val="0"/>
          <c:showBubbleSize val="0"/>
        </c:dLbls>
        <c:gapWidth val="246"/>
        <c:overlap val="-28"/>
        <c:axId val="687371805"/>
        <c:axId val="488207951"/>
      </c:barChart>
      <c:catAx>
        <c:axId val="68737180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207951"/>
        <c:crosses val="autoZero"/>
        <c:auto val="1"/>
        <c:lblAlgn val="ctr"/>
        <c:lblOffset val="100"/>
        <c:noMultiLvlLbl val="0"/>
      </c:catAx>
      <c:valAx>
        <c:axId val="48820795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3718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a77f8ed-af5a-4fa4-87d0-a1803a9fff7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[工作簿1]Sheet1!$A$29</c:f>
              <c:strCache>
                <c:ptCount val="1"/>
                <c:pt idx="0">
                  <c:v>一般公共预算财政拨款收入</c:v>
                </c:pt>
              </c:strCache>
            </c:strRef>
          </c:tx>
          <c:spPr>
            <a:solidFill>
              <a:schemeClr val="accent1"/>
            </a:solidFill>
            <a:ln>
              <a:noFill/>
            </a:ln>
            <a:effectLst/>
          </c:spPr>
          <c:invertIfNegative val="0"/>
          <c:dLbls>
            <c:delete val="1"/>
          </c:dLbls>
          <c:cat>
            <c:numRef>
              <c:f>[工作簿1]Sheet1!$B$28:$C$28</c:f>
              <c:numCache>
                <c:formatCode>General</c:formatCode>
                <c:ptCount val="2"/>
                <c:pt idx="0">
                  <c:v>2025</c:v>
                </c:pt>
                <c:pt idx="1">
                  <c:v>2024</c:v>
                </c:pt>
              </c:numCache>
            </c:numRef>
          </c:cat>
          <c:val>
            <c:numRef>
              <c:f>[工作簿1]Sheet1!$B$29:$C$29</c:f>
              <c:numCache>
                <c:formatCode>General</c:formatCode>
                <c:ptCount val="2"/>
                <c:pt idx="0">
                  <c:v>17628.04</c:v>
                </c:pt>
                <c:pt idx="1">
                  <c:v>4479.83</c:v>
                </c:pt>
              </c:numCache>
            </c:numRef>
          </c:val>
        </c:ser>
        <c:dLbls>
          <c:showLegendKey val="0"/>
          <c:showVal val="0"/>
          <c:showCatName val="0"/>
          <c:showSerName val="0"/>
          <c:showPercent val="0"/>
          <c:showBubbleSize val="0"/>
        </c:dLbls>
        <c:gapWidth val="246"/>
        <c:overlap val="-28"/>
        <c:axId val="801530957"/>
        <c:axId val="108339134"/>
      </c:barChart>
      <c:catAx>
        <c:axId val="80153095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8339134"/>
        <c:crosses val="autoZero"/>
        <c:auto val="1"/>
        <c:lblAlgn val="ctr"/>
        <c:lblOffset val="100"/>
        <c:noMultiLvlLbl val="0"/>
      </c:catAx>
      <c:valAx>
        <c:axId val="10833913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15309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af3a52c-9511-4ab2-ab1a-d1e1d722daf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5</a:t>
            </a:r>
            <a:r>
              <a:t>年一般公共预算财政拨款支出（万元）</a:t>
            </a:r>
          </a:p>
        </c:rich>
      </c:tx>
      <c:layout/>
      <c:overlay val="0"/>
      <c:spPr>
        <a:noFill/>
        <a:ln>
          <a:noFill/>
        </a:ln>
        <a:effectLst/>
      </c:spPr>
    </c:title>
    <c:autoTitleDeleted val="0"/>
    <c:plotArea>
      <c:layout/>
      <c:pieChart>
        <c:varyColors val="1"/>
        <c:ser>
          <c:idx val="0"/>
          <c:order val="0"/>
          <c:tx>
            <c:strRef>
              <c:f>'[新建 XLSX 工作表.xlsx]Sheet1'!$B$88</c:f>
              <c:strCache>
                <c:ptCount val="1"/>
                <c:pt idx="0">
                  <c:v>2024年一般公共预算财政拨款支出（万元）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Lbls>
            <c:delete val="1"/>
          </c:dLbls>
          <c:cat>
            <c:strRef>
              <c:f>'[新建 XLSX 工作表.xlsx]Sheet1'!$A$89:$A$97</c:f>
              <c:strCache>
                <c:ptCount val="9"/>
                <c:pt idx="0">
                  <c:v>教育支出</c:v>
                </c:pt>
                <c:pt idx="1">
                  <c:v>文化旅游体育与传媒支出</c:v>
                </c:pt>
                <c:pt idx="2">
                  <c:v>社会保障和就业支出</c:v>
                </c:pt>
                <c:pt idx="3">
                  <c:v>卫生健康支出</c:v>
                </c:pt>
                <c:pt idx="4">
                  <c:v>节能环保支出</c:v>
                </c:pt>
                <c:pt idx="5">
                  <c:v>城乡社区支出</c:v>
                </c:pt>
                <c:pt idx="6">
                  <c:v>农林水支出</c:v>
                </c:pt>
                <c:pt idx="7">
                  <c:v>资源勘探工业信息等支出</c:v>
                </c:pt>
                <c:pt idx="8">
                  <c:v>住房保障支出</c:v>
                </c:pt>
              </c:strCache>
            </c:strRef>
          </c:cat>
          <c:val>
            <c:numRef>
              <c:f>'[新建 XLSX 工作表.xlsx]Sheet1'!$B$89:$B$97</c:f>
              <c:numCache>
                <c:formatCode>General</c:formatCode>
                <c:ptCount val="9"/>
                <c:pt idx="0">
                  <c:v>889.75</c:v>
                </c:pt>
                <c:pt idx="1">
                  <c:v>103.58</c:v>
                </c:pt>
                <c:pt idx="2">
                  <c:v>93.64</c:v>
                </c:pt>
                <c:pt idx="3">
                  <c:v>34.9</c:v>
                </c:pt>
                <c:pt idx="4">
                  <c:v>613.66</c:v>
                </c:pt>
                <c:pt idx="5" c:formatCode="#,##0.00">
                  <c:v>1636.75</c:v>
                </c:pt>
                <c:pt idx="6">
                  <c:v>821.07</c:v>
                </c:pt>
                <c:pt idx="7">
                  <c:v>47.93</c:v>
                </c:pt>
                <c:pt idx="8">
                  <c:v>103.97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0526315789473684"/>
          <c:y val="0.11527777777777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054d80c-343f-4510-9f52-e2499c4739f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'[新建 XLSX 工作表.xlsx]Sheet1'!$A$83</c:f>
              <c:strCache>
                <c:ptCount val="1"/>
                <c:pt idx="0">
                  <c:v>公务用车购置及运行维护费支出</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工作表.xlsx]Sheet1'!$B$82</c:f>
              <c:strCache>
                <c:ptCount val="1"/>
                <c:pt idx="0">
                  <c:v>20204年（万元）</c:v>
                </c:pt>
              </c:strCache>
            </c:strRef>
          </c:cat>
          <c:val>
            <c:numRef>
              <c:f>'[新建 XLSX 工作表.xlsx]Sheet1'!$B$83</c:f>
              <c:numCache>
                <c:formatCode>General</c:formatCode>
                <c:ptCount val="1"/>
                <c:pt idx="0">
                  <c:v>44.17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468c6b6c-571a-4a5c-a5ec-6380e84c15e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677eb757-e511-47fe-8245-c1dda547de59</errorID>
      <errorWord>革</errorWord>
      <group>L1_Word</group>
      <groupName>字词问题</groupName>
      <ability>L2_Typo</ability>
      <abilityName>字词错误</abilityName>
      <candidateList>
        <item>革和</item>
      </candidateList>
      <explain/>
      <paraID>785D2918</paraID>
      <start>60</start>
      <end>62</end>
      <status>modified</status>
      <modifiedWord>革和</modifiedWord>
      <trackRevisions>false</trackRevisions>
    </reviewItem>
    <reviewItem>
      <errorID>fb22cb82-fbd3-47a3-8846-966f7cc9904a</errorID>
      <errorWord>重点科技项目</errorWord>
      <group>L1_Political</group>
      <groupName>政治性问题</groupName>
      <ability>L2_Keyword</ability>
      <abilityName>固定表述</abilityName>
      <candidateList>
        <item>重大科技项目</item>
      </candidateList>
      <explain>词汇“重大科技项目”在特定场景下为固定表述形式，请确认此处的“重点科技项目”是否存在不当。</explain>
      <paraID>785D2918</paraID>
      <start>91</start>
      <end>97</end>
      <status>modified</status>
      <modifiedWord>重大科技项目</modifiedWord>
      <trackRevisions>false</trackRevisions>
    </reviewItem>
    <reviewItem>
      <errorID>984d9197-8110-4c46-ac28-44b6914ddc8f</errorID>
      <errorWord>薄</errorWord>
      <group>L1_Word</group>
      <groupName>字词问题</groupName>
      <ability>L2_Typo</ability>
      <abilityName>字词错误</abilityName>
      <candidateList>
        <item>簿</item>
      </candidateList>
      <explain>存在字形相近字词的误用。</explain>
      <paraID>5CCACA04</paraID>
      <start>45</start>
      <end>46</end>
      <status>modified</status>
      <modifiedWord>簿</modifiedWord>
      <trackRevisions>false</trackRevisions>
    </reviewItem>
    <reviewItem>
      <errorID>a2d130a3-8f67-4a08-adff-d8296c604e93</errorID>
      <errorWord>建筑法</errorWord>
      <group>L1_Knowledge</group>
      <groupName>知识性问题</groupName>
      <ability>L2_Knowledge</ability>
      <abilityName>其他知识</abilityName>
      <candidateList>
        <item>中华人民共和国建筑法</item>
      </candidateList>
      <explain>当前法律法规名称使用简称，请注意是否应当使用全称。</explain>
      <paraID>3AF31EBC</paraID>
      <start>203</start>
      <end>213</end>
      <status>modified</status>
      <modifiedWord>中华人民共和国建筑法</modifiedWord>
      <trackRevisions>false</trackRevisions>
    </reviewItem>
    <reviewItem>
      <errorID>5a285a52-4ee0-4a8b-b5e1-bc2dcb37834a</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3AF31EBC</paraID>
      <start>416</start>
      <end>428</end>
      <status>modified</status>
      <modifiedWord>中华人民共和国安全生产法</modifiedWord>
      <trackRevisions>false</trackRevisions>
    </reviewItem>
    <reviewItem>
      <errorID>2a58775b-4a22-41cd-87ca-2f0dca58a958</errorID>
      <errorWord>建筑工程质量管理条例</errorWord>
      <group>L1_Knowledge</group>
      <groupName>知识性问题</groupName>
      <ability>L2_Knowledge</ability>
      <abilityName>其他知识</abilityName>
      <candidateList>
        <item>建设工程质量管理条例</item>
      </candidateList>
      <explain>当前法律法规未收录或尚未生效，注意核查是否正确。</explain>
      <paraID>3AF31EBC</paraID>
      <start>676</start>
      <end>686</end>
      <status>modified</status>
      <modifiedWord>建设工程质量管理条例</modifiedWord>
      <trackRevisions>false</trackRevisions>
    </reviewItem>
    <reviewItem>
      <errorID>49560643-70e2-4f4a-9095-17ffcde1b2d5</errorID>
      <errorWord>法律、法规</errorWord>
      <group>L1_Word</group>
      <groupName>字词问题</groupName>
      <ability>L2_Typo</ability>
      <abilityName>字词错误</abilityName>
      <candidateList>
        <item>法律法规</item>
      </candidateList>
      <explain/>
      <paraID>3AF31EBC</paraID>
      <start>969</start>
      <end>973</end>
      <status>modified</status>
      <modifiedWord>法律法规</modifiedWord>
      <trackRevisions>false</trackRevisions>
    </reviewItem>
    <reviewItem>
      <errorID>a2fc9874-f059-4d77-b65b-a9df461509e5</errorID>
      <errorWord>法律、法规</errorWord>
      <group>L1_Word</group>
      <groupName>字词问题</groupName>
      <ability>L2_Typo</ability>
      <abilityName>字词错误</abilityName>
      <candidateList>
        <item>法律法规</item>
      </candidateList>
      <explain/>
      <paraID>3AF31EBC</paraID>
      <start>1202</start>
      <end>1206</end>
      <status>modified</status>
      <modifiedWord>法律法规</modifiedWord>
      <trackRevisions>false</trackRevisions>
    </reviewItem>
    <reviewItem>
      <errorID>2d03c0cc-ce9a-4275-9e1f-3a2fa33cadf2</errorID>
      <errorWord>法律、法规</errorWord>
      <group>L1_Word</group>
      <groupName>字词问题</groupName>
      <ability>L2_Typo</ability>
      <abilityName>字词错误</abilityName>
      <candidateList>
        <item>法律法规</item>
      </candidateList>
      <explain/>
      <paraID>3AF31EBC</paraID>
      <start>1757</start>
      <end>1761</end>
      <status>modified</status>
      <modifiedWord>法律法规</modifiedWord>
      <trackRevisions>false</trackRevisions>
    </reviewItem>
    <reviewItem>
      <errorID>33b7426e-a1c7-478d-b4bf-ae4d36ad44b3</errorID>
      <errorWord>0%%</errorWord>
      <group>L1_Word</group>
      <groupName>字词问题</groupName>
      <ability>L2_Typo</ability>
      <abilityName>字词错误</abilityName>
      <candidateList>
        <item>0%</item>
      </candidateList>
      <explain/>
      <paraID>5C17B671</paraID>
      <start>110</start>
      <end>112</end>
      <status>modified</status>
      <modifiedWord>0%</modifiedWord>
      <trackRevisions>false</trackRevisions>
    </reviewItem>
    <reviewItem>
      <errorID>8ae9a759-7285-4721-ae1a-22f58fbe0402</errorID>
      <errorWord>.</errorWord>
      <group>L1_Format</group>
      <groupName>格式问题</groupName>
      <ability>L2_HalfPunc_CN</ability>
      <abilityName>全半角问题</abilityName>
      <candidateList>
        <item>。</item>
      </candidateList>
      <explain>文本全半角错误。</explain>
      <paraID>69EEA98B</paraID>
      <start>90</start>
      <end>91</end>
      <status>modified</status>
      <modifiedWord>。</modifiedWord>
      <trackRevisions>false</trackRevisions>
    </reviewItem>
    <reviewItem>
      <errorID>4a0e06ca-0221-43eb-9de0-807047b6cdea</errorID>
      <errorWord>原因是原因是</errorWord>
      <group>L1_Word</group>
      <groupName>字词问题</groupName>
      <ability>L2_Typo</ability>
      <abilityName>字词错误</abilityName>
      <candidateList>
        <item>原因是</item>
      </candidateList>
      <explain/>
      <paraID>3EAC723C</paraID>
      <start>83</start>
      <end>86</end>
      <status>modified</status>
      <modifiedWord>原因是</modifiedWord>
      <trackRevisions>false</trackRevisions>
    </reviewItem>
    <reviewItem>
      <errorID>a4cb0281-776f-4865-a17f-d5af1389a677</errorID>
      <errorWord>支出支出</errorWord>
      <group>L1_Word</group>
      <groupName>字词问题</groupName>
      <ability>L2_Typo</ability>
      <abilityName>字词错误</abilityName>
      <candidateList>
        <item>支出</item>
      </candidateList>
      <explain/>
      <paraID> 905251F</paraID>
      <start>40</start>
      <end>42</end>
      <status>modified</status>
      <modifiedWord>支出</modifiedWord>
      <trackRevisions>false</trackRevisions>
    </reviewItem>
    <reviewItem>
      <errorID>0adb23ac-74f8-4d66-adb5-d6537fb9004d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38A980A4</paraID>
      <start>0</start>
      <end>2</end>
      <status>modified</status>
      <modifiedWord>1.</modifiedWord>
      <trackRevisions>false</trackRevisions>
    </reviewItem>
    <reviewItem>
      <errorID>4f9625a5-01b6-498e-ae65-dee054ef3824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1788D9E3</paraID>
      <start>0</start>
      <end>2</end>
      <status>modified</status>
      <modifiedWord>2.</modifiedWord>
      <trackRevisions>false</trackRevisions>
    </reviewItem>
    <reviewItem>
      <errorID>551d831c-a81b-4f0c-8a66-09d89220be94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14C70122</paraID>
      <start>0</start>
      <end>2</end>
      <status>modified</status>
      <modifiedWord>3.</modifiedWord>
      <trackRevisions>false</trackRevisions>
    </reviewItem>
    <reviewItem>
      <errorID>8239ac1f-f83e-4161-b865-1772ee2c0ab4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2BD0F0D3</paraID>
      <start>0</start>
      <end>2</end>
      <status>modified</status>
      <modifiedWord>4.</modifiedWord>
      <trackRevisions>false</trackRevisions>
    </reviewItem>
    <reviewItem>
      <errorID>adaa91a5-f8f0-4329-a7da-a1258db6bd77</errorID>
      <errorWord>:</errorWord>
      <group>L1_Format</group>
      <groupName>格式问题</groupName>
      <ability>L2_HalfPunc_CN</ability>
      <abilityName>全半角问题</abilityName>
      <candidateList>
        <item>：</item>
      </candidateList>
      <explain>文本全半角错误。</explain>
      <paraID>2BD0F0D3</paraID>
      <start>20</start>
      <end>21</end>
      <status>modified</status>
      <modifiedWord>：</modifiedWord>
      <trackRevisions>false</trackRevisions>
    </reviewItem>
    <reviewItem>
      <errorID>a8dc78d9-d69e-4940-bd71-35a306861b1a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1BA6F4E1</paraID>
      <start>0</start>
      <end>2</end>
      <status>modified</status>
      <modifiedWord>5.</modifiedWord>
      <trackRevisions>false</trackRevisions>
    </reviewItem>
    <reviewItem>
      <errorID>52eda333-c01e-4702-a4a5-279a34c4a25c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28912949</paraID>
      <start>0</start>
      <end>2</end>
      <status>modified</status>
      <modifiedWord>6.</modifiedWord>
      <trackRevisions>false</trackRevisions>
    </reviewItem>
    <reviewItem>
      <errorID>d847aa8d-3620-421c-afc2-7a2d9b4c070e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4B560484</paraID>
      <start>0</start>
      <end>2</end>
      <status>modified</status>
      <modifiedWord>7.</modifiedWord>
      <trackRevisions>false</trackRevisions>
    </reviewItem>
    <reviewItem>
      <errorID>9b306ca8-9a8a-40d5-a7eb-e5f3361154ef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70438953</paraID>
      <start>0</start>
      <end>2</end>
      <status>modified</status>
      <modifiedWord>8.</modifiedWord>
      <trackRevisions>false</trackRevisions>
    </reviewItem>
    <reviewItem>
      <errorID>7825ac7a-d684-4b40-a60b-1c94749154f4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5FE025E1</paraID>
      <start>0</start>
      <end>3</end>
      <status>modified</status>
      <modifiedWord>12.</modifiedWord>
      <trackRevisions>false</trackRevisions>
    </reviewItem>
    <reviewItem>
      <errorID>2adbeec5-6fb5-4d97-b3ea-b420be14c910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D5B4257</paraID>
      <start>0</start>
      <end>3</end>
      <status>modified</status>
      <modifiedWord>13.</modifiedWord>
      <trackRevisions>false</trackRevisions>
    </reviewItem>
    <reviewItem>
      <errorID>4fcbe418-8b90-44de-b61e-105d1516e754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2A238511</paraID>
      <start>0</start>
      <end>3</end>
      <status>modified</status>
      <modifiedWord>14.</modifiedWord>
      <trackRevisions>false</trackRevisions>
    </reviewItem>
    <reviewItem>
      <errorID>f15d53b8-87cf-497c-b545-13f3a7a86159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2D18F630</paraID>
      <start>0</start>
      <end>3</end>
      <status>modified</status>
      <modifiedWord>15.</modifiedWord>
      <trackRevisions>false</trackRevisions>
    </reviewItem>
    <reviewItem>
      <errorID>f328e267-cfc0-4ffd-9f6d-ca79fd8724b2</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56ABA42F</paraID>
      <start>0</start>
      <end>3</end>
      <status>modified</status>
      <modifiedWord>16.</modifiedWord>
      <trackRevisions>false</trackRevisions>
    </reviewItem>
    <reviewItem>
      <errorID>a67d6e93-38a5-4c2e-9cf7-56475c1bcc87</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279FC32F</paraID>
      <start>0</start>
      <end>3</end>
      <status>modified</status>
      <modifiedWord>17.</modifiedWord>
      <trackRevisions>false</trackRevisions>
    </reviewItem>
    <reviewItem>
      <errorID>45627e6e-32a2-4e11-91a4-7db00069e2b9</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6179205E</paraID>
      <start>0</start>
      <end>3</end>
      <status>modified</status>
      <modifiedWord>18.</modifiedWord>
      <trackRevisions>false</trackRevisions>
    </reviewItem>
    <reviewItem>
      <errorID>cfaf968d-0920-4675-8508-d2068cdfc141</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7561C49D</paraID>
      <start>0</start>
      <end>3</end>
      <status>modified</status>
      <modifiedWord>19.</modifiedWord>
      <trackRevisions>false</trackRevisions>
    </reviewItem>
    <reviewItem>
      <errorID>a97d4490-75f6-46ad-8bce-fe7207db6786</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5CC8D1F4</paraID>
      <start>0</start>
      <end>3</end>
      <status>modified</status>
      <modifiedWord>20.</modifiedWord>
      <trackRevisions>false</trackRevisions>
    </reviewItem>
    <reviewItem>
      <errorID>e2a2e8fc-55e6-4e43-9785-d853161d4670</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20CE97FF</paraID>
      <start>0</start>
      <end>3</end>
      <status>modified</status>
      <modifiedWord>21.</modifiedWord>
      <trackRevisions>false</trackRevisions>
    </reviewItem>
    <reviewItem>
      <errorID>868a9722-3899-4f20-abdf-b1fd1d188404</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6BC1B6B8</paraID>
      <start>0</start>
      <end>3</end>
      <status>modified</status>
      <modifiedWord>22.</modifiedWord>
      <trackRevisions>false</trackRevisions>
    </reviewItem>
    <reviewItem>
      <errorID>36e9520d-d614-4862-ad94-3a7b6c2155e2</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44327260</paraID>
      <start>0</start>
      <end>3</end>
      <status>modified</status>
      <modifiedWord>23.</modifiedWord>
      <trackRevisions>false</trackRevisions>
    </reviewItem>
    <reviewItem>
      <errorID>7342db3b-fe84-4d3d-adef-c10094e10c31</errorID>
      <errorWord>..</errorWord>
      <group>L1_Punc</group>
      <groupName>标点问题</groupName>
      <ability>L2_Punc_CN</ability>
      <abilityName>标点符号问题</abilityName>
      <candidateList>
        <item>.</item>
      </candidateList>
      <explain/>
      <paraID>19F6D1B8</paraID>
      <start>2</start>
      <end>3</end>
      <status>modified</status>
      <modifiedWord>.</modifiedWord>
      <trackRevisions>false</trackRevisions>
    </reviewItem>
    <reviewItem>
      <errorID>bb7a52f7-6b6d-4517-8249-8932ea0ee5d2</errorID>
      <errorWord>:</errorWord>
      <group>L1_Format</group>
      <groupName>格式问题</groupName>
      <ability>L2_HalfPunc_CN</ability>
      <abilityName>全半角问题</abilityName>
      <candidateList>
        <item>：</item>
      </candidateList>
      <explain>文本全半角错误。</explain>
      <paraID>4306FEBB</paraID>
      <start>27</start>
      <end>28</end>
      <status>modified</status>
      <modifiedWord>：</modifiedWord>
      <trackRevisions>false</trackRevisions>
    </reviewItem>
    <reviewItem>
      <errorID>1e553781-e4cc-4fb5-a3b2-41b57905ab43</errorID>
      <errorWord>&lt;</errorWord>
      <group>L1_Format</group>
      <groupName>格式问题</groupName>
      <ability>L2_HalfPunc_CN</ability>
      <abilityName>全半角问题</abilityName>
      <candidateList>
        <item>〈</item>
      </candidateList>
      <explain>文本全半角错误。</explain>
      <paraID>5DF8DF48</paraID>
      <start>50</start>
      <end>51</end>
      <status>modified</status>
      <modifiedWord>〈</modifiedWord>
      <trackRevisions>false</trackRevisions>
    </reviewItem>
    <reviewItem>
      <errorID>bd47dd10-371f-4955-b8a5-96cab4a64c55</errorID>
      <errorWord>&gt;</errorWord>
      <group>L1_Format</group>
      <groupName>格式问题</groupName>
      <ability>L2_HalfPunc_CN</ability>
      <abilityName>全半角问题</abilityName>
      <candidateList>
        <item>〉</item>
      </candidateList>
      <explain>文本全半角错误。</explain>
      <paraID>5DF8DF48</paraID>
      <start>53</start>
      <end>54</end>
      <status>modified</status>
      <modifiedWord>〉</modifiedWord>
      <trackRevisions>false</trackRevisions>
    </reviewItem>
    <reviewItem>
      <errorID>a71c50f5-96f1-4bf1-b1b1-a29047b1e818</errorID>
      <errorWord>&lt;</errorWord>
      <group>L1_Format</group>
      <groupName>格式问题</groupName>
      <ability>L2_HalfPunc_CN</ability>
      <abilityName>全半角问题</abilityName>
      <candidateList>
        <item>〈</item>
      </candidateList>
      <explain>文本全半角错误。</explain>
      <paraID>5DF8DF48</paraID>
      <start>60</start>
      <end>61</end>
      <status>modified</status>
      <modifiedWord>〈</modifiedWord>
      <trackRevisions>false</trackRevisions>
    </reviewItem>
    <reviewItem>
      <errorID>f84c8738-b587-4db9-bb4f-5518b97c58bf</errorID>
      <errorWord>&gt;</errorWord>
      <group>L1_Format</group>
      <groupName>格式问题</groupName>
      <ability>L2_HalfPunc_CN</ability>
      <abilityName>全半角问题</abilityName>
      <candidateList>
        <item>〉</item>
      </candidateList>
      <explain>文本全半角错误。</explain>
      <paraID>5DF8DF48</paraID>
      <start>63</start>
      <end>64</end>
      <status>modified</status>
      <modifiedWord>〉</modifiedWord>
      <trackRevisions>false</trackRevisions>
    </reviewItem>
    <reviewItem>
      <errorID>ec3f72d7-d290-4a4d-8ac4-cdaeda2cee6d</errorID>
      <errorWord>(</errorWord>
      <group>L1_Format</group>
      <groupName>格式问题</groupName>
      <ability>L2_HalfPunc_CN</ability>
      <abilityName>全半角问题</abilityName>
      <candidateList>
        <item>（</item>
      </candidateList>
      <explain>文本全半角错误。</explain>
      <paraID>68AA5826</paraID>
      <start>18</start>
      <end>19</end>
      <status>modified</status>
      <modifiedWord>（</modifiedWord>
      <trackRevisions>false</trackRevisions>
    </reviewItem>
    <reviewItem>
      <errorID>1b6bfa21-892d-4308-9cc9-3bf7900f0674</errorID>
      <errorWord>)</errorWord>
      <group>L1_Format</group>
      <groupName>格式问题</groupName>
      <ability>L2_HalfPunc_CN</ability>
      <abilityName>全半角问题</abilityName>
      <candidateList>
        <item>）</item>
      </candidateList>
      <explain>文本全半角错误。</explain>
      <paraID>68AA5826</paraID>
      <start>45</start>
      <end>46</end>
      <status>modified</status>
      <modifiedWord>）</modifiedWord>
      <trackRevisions>false</trackRevisions>
    </reviewItem>
    <reviewItem>
      <errorID>4fbd2df7-4fb5-41f1-ae22-26490ccb2e8d</errorID>
      <errorWord>增加增加</errorWord>
      <group>L1_Word</group>
      <groupName>字词问题</groupName>
      <ability>L2_Typo</ability>
      <abilityName>字词错误</abilityName>
      <candidateList>
        <item>增加</item>
      </candidateList>
      <explain/>
      <paraID>20F2433C</paraID>
      <start>63</start>
      <end>65</end>
      <status>modified</status>
      <modifiedWord>增加</modifiedWord>
      <trackRevisions>false</trackRevisions>
    </reviewItem>
    <reviewItem>
      <errorID>c0d8688d-cf5c-4b18-873d-a755dc17cb4f</errorID>
      <errorWord>。。</errorWord>
      <group>L1_Punc</group>
      <groupName>标点问题</groupName>
      <ability>L2_Punc_CN</ability>
      <abilityName>标点符号问题</abilityName>
      <candidateList>
        <item>。</item>
      </candidateList>
      <explain/>
      <paraID>65D987E6</paraID>
      <start>91</start>
      <end>92</end>
      <status>modified</status>
      <modifiedWord>。</modifiedWord>
      <trackRevisions>false</trackRevisions>
    </reviewItem>
    <reviewItem>
      <errorID>74695c2e-7aaa-449f-86e9-0b8536fb413b</errorID>
      <errorWord>自来水官</errorWord>
      <group>L1_Knowledge</group>
      <groupName>知识性问题</groupName>
      <ability>L2_Term</ability>
      <abilityName>专业术语</abilityName>
      <candidateList>
        <item>自来水厂</item>
      </candidateList>
      <explain/>
      <paraID>526478FE</paraID>
      <start>60</start>
      <end>64</end>
      <status>modified</status>
      <modifiedWord>自来水厂</modifiedWord>
      <trackRevisions>false</trackRevisions>
    </reviewItem>
    <reviewItem>
      <errorID>30cd63c3-ac18-4d52-ab4d-a8fbe2fa7d7a</errorID>
      <errorWord>跟新改造</errorWord>
      <group>L1_Word</group>
      <groupName>字词问题</groupName>
      <ability>L2_Typo</ability>
      <abilityName>字词错误</abilityName>
      <candidateList>
        <item>更新改造</item>
      </candidateList>
      <explain/>
      <paraID>526478FE</paraID>
      <start>66</start>
      <end>70</end>
      <status>modified</status>
      <modifiedWord>更新改造</modifiedWord>
      <trackRevisions>false</trackRevisions>
    </reviewItem>
    <reviewItem>
      <errorID>8d42aadf-e371-4985-aaac-710ece09ace5</errorID>
      <errorWord>，</errorWord>
      <group>L1_Word</group>
      <groupName>字词问题</groupName>
      <ability>L2_Typo</ability>
      <abilityName>字词错误</abilityName>
      <candidateList>
        <item>，在</item>
      </candidateList>
      <explain/>
      <paraID>526478FE</paraID>
      <start>109</start>
      <end>111</end>
      <status>modified</status>
      <modifiedWord>，在</modifiedWord>
      <trackRevisions>false</trackRevisions>
    </reviewItem>
    <reviewItem>
      <errorID>b4945fb1-12dc-4751-af10-69db6f1c658a</errorID>
      <errorWord>道理</errorWord>
      <group>L1_Word</group>
      <groupName>字词问题</groupName>
      <ability>L2_Typo</ability>
      <abilityName>字词错误</abilityName>
      <candidateList>
        <item>道路</item>
      </candidateList>
      <explain/>
      <paraID>21894746</paraID>
      <start>27</start>
      <end>29</end>
      <status>modified</status>
      <modifiedWord>道路</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b483f7-5532-4343-bede-a09c324ef70e}">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9148</Words>
  <Characters>10112</Characters>
  <Lines>61</Lines>
  <Paragraphs>17</Paragraphs>
  <TotalTime>2</TotalTime>
  <ScaleCrop>false</ScaleCrop>
  <LinksUpToDate>false</LinksUpToDate>
  <CharactersWithSpaces>10229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2020-08-10T01:49:00Z</dcterms:created>
  <dc:creator>曹颖</dc:creator>
  <cp:lastModifiedBy>奕夕^_^</cp:lastModifiedBy>
  <cp:lastPrinted>2025-08-07T09:34:00Z</cp:lastPrinted>
  <dcterms:modified xsi:type="dcterms:W3CDTF">2026-10-15T01:24:22Z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eyJoZGlkIjoiNTU1MWNhN2ZmY2ZhZmY3ODhlYTg0MWU5OGMyY2QwZmUiLCJ1c2VySWQiOiI0MzQ2NTM0NzEifQ==</vt:lpwstr>
  </property>
</Properties>
</file>