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47B18">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96597"/>
      <w:bookmarkStart w:id="2" w:name="_Toc15396475"/>
      <w:bookmarkStart w:id="3" w:name="_Toc15377193"/>
      <w:bookmarkStart w:id="4" w:name="_Toc15378441"/>
      <w:bookmarkStart w:id="5" w:name="_Toc15306267"/>
    </w:p>
    <w:p w14:paraId="04D5ECCC">
      <w:pPr>
        <w:pStyle w:val="5"/>
        <w:rPr>
          <w:rFonts w:hint="eastAsia" w:ascii="Times New Roman" w:hAnsi="Times New Roman" w:eastAsia="方正小标宋简体" w:cs="Times New Roman"/>
          <w:color w:val="auto"/>
          <w:kern w:val="2"/>
          <w:sz w:val="72"/>
          <w:szCs w:val="72"/>
          <w:highlight w:val="none"/>
          <w:lang w:val="en-US" w:eastAsia="zh-CN" w:bidi="ar-SA"/>
        </w:rPr>
      </w:pPr>
    </w:p>
    <w:p w14:paraId="58DDF058">
      <w:pPr>
        <w:pStyle w:val="5"/>
        <w:rPr>
          <w:rFonts w:hint="eastAsia" w:ascii="Times New Roman" w:hAnsi="Times New Roman" w:eastAsia="方正小标宋简体" w:cs="Times New Roman"/>
          <w:color w:val="auto"/>
          <w:kern w:val="2"/>
          <w:sz w:val="72"/>
          <w:szCs w:val="72"/>
          <w:highlight w:val="none"/>
          <w:lang w:val="en-US" w:eastAsia="zh-CN" w:bidi="ar-SA"/>
        </w:rPr>
      </w:pPr>
    </w:p>
    <w:p w14:paraId="7D88634C">
      <w:pPr>
        <w:pStyle w:val="5"/>
        <w:suppressAutoHyphens/>
        <w:bidi w:val="0"/>
        <w:spacing w:before="0" w:beforeLines="-2147483648" w:after="140" w:line="276" w:lineRule="auto"/>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2025年度松潘县房地产管理所决算</w:t>
      </w:r>
    </w:p>
    <w:p w14:paraId="7E9FACE8">
      <w:pPr>
        <w:pStyle w:val="5"/>
        <w:suppressAutoHyphens/>
        <w:bidi w:val="0"/>
        <w:spacing w:before="0" w:beforeLines="-2147483648" w:after="140" w:line="276" w:lineRule="auto"/>
        <w:jc w:val="center"/>
        <w:rPr>
          <w:rFonts w:hint="eastAsia" w:ascii="方正小标宋简体" w:hAnsi="宋体" w:eastAsia="方正小标宋简体" w:cs="Times New Roman"/>
          <w:color w:val="auto"/>
          <w:kern w:val="2"/>
          <w:sz w:val="44"/>
          <w:szCs w:val="44"/>
          <w:highlight w:val="none"/>
          <w:lang w:val="en-US" w:eastAsia="zh-CN" w:bidi="ar-SA"/>
        </w:rPr>
      </w:pPr>
    </w:p>
    <w:p w14:paraId="27E0AA9F">
      <w:pPr>
        <w:spacing w:line="600" w:lineRule="exact"/>
        <w:jc w:val="center"/>
        <w:outlineLvl w:val="0"/>
        <w:rPr>
          <w:rFonts w:ascii="Times New Roman" w:hAnsi="Times New Roman" w:eastAsia="方正小标宋简体"/>
          <w:color w:val="auto"/>
          <w:sz w:val="72"/>
          <w:szCs w:val="72"/>
          <w:highlight w:val="none"/>
        </w:rPr>
      </w:pPr>
    </w:p>
    <w:p w14:paraId="1BDFB871">
      <w:pPr>
        <w:pStyle w:val="19"/>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p w14:paraId="59C791C0">
      <w:pPr>
        <w:rPr>
          <w:rFonts w:ascii="Times New Roman" w:hAnsi="Times New Roman"/>
        </w:rPr>
      </w:pPr>
    </w:p>
    <w:bookmarkEnd w:id="0"/>
    <w:bookmarkEnd w:id="1"/>
    <w:bookmarkEnd w:id="2"/>
    <w:bookmarkEnd w:id="3"/>
    <w:bookmarkEnd w:id="4"/>
    <w:bookmarkEnd w:id="5"/>
    <w:p w14:paraId="1ABB91A9">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FA08433">
      <w:pPr>
        <w:widowControl/>
        <w:jc w:val="center"/>
        <w:rPr>
          <w:rFonts w:ascii="Times New Roman" w:hAnsi="Times New Roman" w:eastAsia="黑体" w:cstheme="minorBidi"/>
          <w:color w:val="auto"/>
          <w:sz w:val="28"/>
          <w:szCs w:val="28"/>
          <w:highlight w:val="none"/>
        </w:rPr>
      </w:pPr>
    </w:p>
    <w:p w14:paraId="57AA67B5">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25</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004809B8">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82367"/>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6C53E8FC">
          <w:pPr>
            <w:spacing w:before="0" w:beforeLines="0" w:after="0" w:afterLines="0" w:line="240" w:lineRule="auto"/>
            <w:ind w:left="0" w:leftChars="0" w:right="0" w:rightChars="0" w:firstLine="0" w:firstLineChars="0"/>
            <w:jc w:val="center"/>
          </w:pPr>
          <w:bookmarkStart w:id="6" w:name="_Toc15377196"/>
          <w:bookmarkStart w:id="7" w:name="_Toc15396599"/>
        </w:p>
        <w:p w14:paraId="26457DAC">
          <w:pPr>
            <w:pStyle w:val="12"/>
            <w:tabs>
              <w:tab w:val="right" w:leader="dot" w:pos="8306"/>
              <w:tab w:val="clear" w:pos="8296"/>
            </w:tabs>
          </w:pPr>
          <w:r>
            <w:fldChar w:fldCharType="begin"/>
          </w:r>
          <w:r>
            <w:instrText xml:space="preserve">TOC \o "1-2" \h \u </w:instrText>
          </w:r>
          <w:r>
            <w:fldChar w:fldCharType="separate"/>
          </w:r>
          <w:r>
            <w:fldChar w:fldCharType="begin"/>
          </w:r>
          <w:r>
            <w:instrText xml:space="preserve"> HYPERLINK \l _Toc30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_Toc30 \h </w:instrText>
          </w:r>
          <w:r>
            <w:fldChar w:fldCharType="separate"/>
          </w:r>
          <w:r>
            <w:t>- 2 -</w:t>
          </w:r>
          <w:r>
            <w:fldChar w:fldCharType="end"/>
          </w:r>
          <w:r>
            <w:fldChar w:fldCharType="end"/>
          </w:r>
        </w:p>
        <w:p w14:paraId="5C5156A6">
          <w:pPr>
            <w:pStyle w:val="14"/>
            <w:tabs>
              <w:tab w:val="right" w:leader="dot" w:pos="8306"/>
              <w:tab w:val="clear" w:pos="8296"/>
            </w:tabs>
          </w:pPr>
          <w:r>
            <w:fldChar w:fldCharType="begin"/>
          </w:r>
          <w:r>
            <w:instrText xml:space="preserve"> HYPERLINK \l _Toc12138 </w:instrText>
          </w:r>
          <w: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tab/>
          </w:r>
          <w:r>
            <w:fldChar w:fldCharType="begin"/>
          </w:r>
          <w:r>
            <w:instrText xml:space="preserve"> PAGEREF _Toc12138 \h </w:instrText>
          </w:r>
          <w:r>
            <w:fldChar w:fldCharType="separate"/>
          </w:r>
          <w:r>
            <w:t>- 2 -</w:t>
          </w:r>
          <w:r>
            <w:fldChar w:fldCharType="end"/>
          </w:r>
          <w:r>
            <w:fldChar w:fldCharType="end"/>
          </w:r>
        </w:p>
        <w:p w14:paraId="2135565F">
          <w:pPr>
            <w:pStyle w:val="14"/>
            <w:tabs>
              <w:tab w:val="right" w:leader="dot" w:pos="8306"/>
              <w:tab w:val="clear" w:pos="8296"/>
            </w:tabs>
          </w:pPr>
          <w:r>
            <w:fldChar w:fldCharType="begin"/>
          </w:r>
          <w:r>
            <w:instrText xml:space="preserve"> HYPERLINK \l _Toc8412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_Toc8412 \h </w:instrText>
          </w:r>
          <w:r>
            <w:fldChar w:fldCharType="separate"/>
          </w:r>
          <w:r>
            <w:t>- 2 -</w:t>
          </w:r>
          <w:r>
            <w:fldChar w:fldCharType="end"/>
          </w:r>
          <w:r>
            <w:fldChar w:fldCharType="end"/>
          </w:r>
        </w:p>
        <w:p w14:paraId="630E0BE1">
          <w:pPr>
            <w:pStyle w:val="12"/>
            <w:tabs>
              <w:tab w:val="right" w:leader="dot" w:pos="8306"/>
              <w:tab w:val="clear" w:pos="8296"/>
            </w:tabs>
          </w:pPr>
          <w:r>
            <w:fldChar w:fldCharType="begin"/>
          </w:r>
          <w:r>
            <w:instrText xml:space="preserve"> HYPERLINK \l _Toc15163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highlight w:val="none"/>
              <w:lang w:val="en-US" w:eastAsia="zh-CN"/>
            </w:rPr>
            <w:t>2024年度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_Toc15163 \h </w:instrText>
          </w:r>
          <w:r>
            <w:fldChar w:fldCharType="separate"/>
          </w:r>
          <w:r>
            <w:t>- 3 -</w:t>
          </w:r>
          <w:r>
            <w:fldChar w:fldCharType="end"/>
          </w:r>
          <w:r>
            <w:fldChar w:fldCharType="end"/>
          </w:r>
        </w:p>
        <w:p w14:paraId="18DFEC9C">
          <w:pPr>
            <w:pStyle w:val="14"/>
            <w:tabs>
              <w:tab w:val="right" w:leader="dot" w:pos="8306"/>
              <w:tab w:val="clear" w:pos="8296"/>
            </w:tabs>
          </w:pPr>
          <w:r>
            <w:fldChar w:fldCharType="begin"/>
          </w:r>
          <w:r>
            <w:instrText xml:space="preserve"> HYPERLINK \l _Toc6637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_Toc6637 \h </w:instrText>
          </w:r>
          <w:r>
            <w:fldChar w:fldCharType="separate"/>
          </w:r>
          <w:r>
            <w:t>- 3 -</w:t>
          </w:r>
          <w:r>
            <w:fldChar w:fldCharType="end"/>
          </w:r>
          <w:r>
            <w:fldChar w:fldCharType="end"/>
          </w:r>
        </w:p>
        <w:p w14:paraId="60E19AB8">
          <w:pPr>
            <w:pStyle w:val="14"/>
            <w:tabs>
              <w:tab w:val="right" w:leader="dot" w:pos="8306"/>
              <w:tab w:val="clear" w:pos="8296"/>
            </w:tabs>
          </w:pPr>
          <w:r>
            <w:fldChar w:fldCharType="begin"/>
          </w:r>
          <w:r>
            <w:instrText xml:space="preserve"> HYPERLINK \l _Toc18073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_Toc18073 \h </w:instrText>
          </w:r>
          <w:r>
            <w:fldChar w:fldCharType="separate"/>
          </w:r>
          <w:r>
            <w:t>- 3 -</w:t>
          </w:r>
          <w:r>
            <w:fldChar w:fldCharType="end"/>
          </w:r>
          <w:r>
            <w:fldChar w:fldCharType="end"/>
          </w:r>
        </w:p>
        <w:p w14:paraId="13C990EB">
          <w:pPr>
            <w:pStyle w:val="14"/>
            <w:tabs>
              <w:tab w:val="right" w:leader="dot" w:pos="8306"/>
              <w:tab w:val="clear" w:pos="8296"/>
            </w:tabs>
          </w:pPr>
          <w:r>
            <w:fldChar w:fldCharType="begin"/>
          </w:r>
          <w:r>
            <w:instrText xml:space="preserve"> HYPERLINK \l _Toc2707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_Toc2707 \h </w:instrText>
          </w:r>
          <w:r>
            <w:fldChar w:fldCharType="separate"/>
          </w:r>
          <w:r>
            <w:t>- 4 -</w:t>
          </w:r>
          <w:r>
            <w:fldChar w:fldCharType="end"/>
          </w:r>
          <w:r>
            <w:fldChar w:fldCharType="end"/>
          </w:r>
        </w:p>
        <w:p w14:paraId="03835397">
          <w:pPr>
            <w:pStyle w:val="14"/>
            <w:tabs>
              <w:tab w:val="right" w:leader="dot" w:pos="8306"/>
              <w:tab w:val="clear" w:pos="8296"/>
            </w:tabs>
          </w:pPr>
          <w:r>
            <w:fldChar w:fldCharType="begin"/>
          </w:r>
          <w:r>
            <w:instrText xml:space="preserve"> HYPERLINK \l _Toc4578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_Toc4578 \h </w:instrText>
          </w:r>
          <w:r>
            <w:fldChar w:fldCharType="separate"/>
          </w:r>
          <w:r>
            <w:t>- 4 -</w:t>
          </w:r>
          <w:r>
            <w:fldChar w:fldCharType="end"/>
          </w:r>
          <w:r>
            <w:fldChar w:fldCharType="end"/>
          </w:r>
        </w:p>
        <w:p w14:paraId="06741FC1">
          <w:pPr>
            <w:pStyle w:val="14"/>
            <w:tabs>
              <w:tab w:val="right" w:leader="dot" w:pos="8306"/>
              <w:tab w:val="clear" w:pos="8296"/>
            </w:tabs>
          </w:pPr>
          <w:r>
            <w:fldChar w:fldCharType="begin"/>
          </w:r>
          <w:r>
            <w:instrText xml:space="preserve"> HYPERLINK \l _Toc23925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_Toc23925 \h </w:instrText>
          </w:r>
          <w:r>
            <w:fldChar w:fldCharType="separate"/>
          </w:r>
          <w:r>
            <w:t>- 5 -</w:t>
          </w:r>
          <w:r>
            <w:fldChar w:fldCharType="end"/>
          </w:r>
          <w:r>
            <w:fldChar w:fldCharType="end"/>
          </w:r>
        </w:p>
        <w:p w14:paraId="0633901B">
          <w:pPr>
            <w:pStyle w:val="14"/>
            <w:tabs>
              <w:tab w:val="right" w:leader="dot" w:pos="8306"/>
              <w:tab w:val="clear" w:pos="8296"/>
            </w:tabs>
          </w:pPr>
          <w:r>
            <w:fldChar w:fldCharType="begin"/>
          </w:r>
          <w:r>
            <w:instrText xml:space="preserve"> HYPERLINK \l _Toc12261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_Toc12261 \h </w:instrText>
          </w:r>
          <w:r>
            <w:fldChar w:fldCharType="separate"/>
          </w:r>
          <w:r>
            <w:t>- 7 -</w:t>
          </w:r>
          <w:r>
            <w:fldChar w:fldCharType="end"/>
          </w:r>
          <w:r>
            <w:fldChar w:fldCharType="end"/>
          </w:r>
        </w:p>
        <w:p w14:paraId="75668942">
          <w:pPr>
            <w:pStyle w:val="14"/>
            <w:tabs>
              <w:tab w:val="right" w:leader="dot" w:pos="8306"/>
              <w:tab w:val="clear" w:pos="8296"/>
            </w:tabs>
          </w:pPr>
          <w:r>
            <w:fldChar w:fldCharType="begin"/>
          </w:r>
          <w:r>
            <w:instrText xml:space="preserve"> HYPERLINK \l _Toc14606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_Toc14606 \h </w:instrText>
          </w:r>
          <w:r>
            <w:fldChar w:fldCharType="separate"/>
          </w:r>
          <w:r>
            <w:t>- 8 -</w:t>
          </w:r>
          <w:r>
            <w:fldChar w:fldCharType="end"/>
          </w:r>
          <w:r>
            <w:fldChar w:fldCharType="end"/>
          </w:r>
        </w:p>
        <w:p w14:paraId="7DF7560F">
          <w:pPr>
            <w:pStyle w:val="14"/>
            <w:tabs>
              <w:tab w:val="right" w:leader="dot" w:pos="8306"/>
              <w:tab w:val="clear" w:pos="8296"/>
            </w:tabs>
          </w:pPr>
          <w:r>
            <w:fldChar w:fldCharType="begin"/>
          </w:r>
          <w:r>
            <w:instrText xml:space="preserve"> HYPERLINK \l _Toc31828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_Toc31828 \h </w:instrText>
          </w:r>
          <w:r>
            <w:fldChar w:fldCharType="separate"/>
          </w:r>
          <w:r>
            <w:t>- 9 -</w:t>
          </w:r>
          <w:r>
            <w:fldChar w:fldCharType="end"/>
          </w:r>
          <w:r>
            <w:fldChar w:fldCharType="end"/>
          </w:r>
        </w:p>
        <w:p w14:paraId="2A546EBF">
          <w:pPr>
            <w:pStyle w:val="14"/>
            <w:tabs>
              <w:tab w:val="right" w:leader="dot" w:pos="8306"/>
              <w:tab w:val="clear" w:pos="8296"/>
            </w:tabs>
          </w:pPr>
          <w:r>
            <w:fldChar w:fldCharType="begin"/>
          </w:r>
          <w:r>
            <w:instrText xml:space="preserve"> HYPERLINK \l _Toc13744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_Toc13744 \h </w:instrText>
          </w:r>
          <w:r>
            <w:fldChar w:fldCharType="separate"/>
          </w:r>
          <w:r>
            <w:t>- 10 -</w:t>
          </w:r>
          <w:r>
            <w:fldChar w:fldCharType="end"/>
          </w:r>
          <w:r>
            <w:fldChar w:fldCharType="end"/>
          </w:r>
        </w:p>
        <w:p w14:paraId="04C1CE4C">
          <w:pPr>
            <w:pStyle w:val="14"/>
            <w:tabs>
              <w:tab w:val="right" w:leader="dot" w:pos="8306"/>
              <w:tab w:val="clear" w:pos="8296"/>
            </w:tabs>
          </w:pPr>
          <w:r>
            <w:fldChar w:fldCharType="begin"/>
          </w:r>
          <w:r>
            <w:instrText xml:space="preserve"> HYPERLINK \l _Toc25031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_Toc25031 \h </w:instrText>
          </w:r>
          <w:r>
            <w:fldChar w:fldCharType="separate"/>
          </w:r>
          <w:r>
            <w:t>- 10 -</w:t>
          </w:r>
          <w:r>
            <w:fldChar w:fldCharType="end"/>
          </w:r>
          <w:r>
            <w:fldChar w:fldCharType="end"/>
          </w:r>
        </w:p>
        <w:p w14:paraId="5B0181C0">
          <w:pPr>
            <w:pStyle w:val="12"/>
            <w:tabs>
              <w:tab w:val="right" w:leader="dot" w:pos="8306"/>
              <w:tab w:val="clear" w:pos="8296"/>
            </w:tabs>
          </w:pPr>
          <w:r>
            <w:fldChar w:fldCharType="begin"/>
          </w:r>
          <w:r>
            <w:instrText xml:space="preserve"> HYPERLINK \l _Toc28660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_Toc28660 \h </w:instrText>
          </w:r>
          <w:r>
            <w:fldChar w:fldCharType="separate"/>
          </w:r>
          <w:r>
            <w:t>- 11 -</w:t>
          </w:r>
          <w:r>
            <w:fldChar w:fldCharType="end"/>
          </w:r>
          <w:r>
            <w:fldChar w:fldCharType="end"/>
          </w:r>
        </w:p>
        <w:p w14:paraId="6BF7BFC4">
          <w:r>
            <w:fldChar w:fldCharType="end"/>
          </w:r>
        </w:p>
      </w:sdtContent>
    </w:sdt>
    <w:p w14:paraId="42F33208"/>
    <w:p w14:paraId="7BD0DD09">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3CC1F1A6">
      <w:pPr>
        <w:pStyle w:val="2"/>
        <w:jc w:val="center"/>
        <w:rPr>
          <w:rStyle w:val="28"/>
          <w:rFonts w:hint="eastAsia" w:ascii="Times New Roman" w:hAnsi="Times New Roman" w:eastAsia="方正小标宋简体" w:cs="方正小标宋简体"/>
          <w:b/>
          <w:bCs w:val="0"/>
          <w:color w:val="auto"/>
          <w:highlight w:val="none"/>
        </w:rPr>
      </w:pPr>
      <w:bookmarkStart w:id="8" w:name="_Toc30"/>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bookmarkEnd w:id="8"/>
    </w:p>
    <w:p w14:paraId="10AFD2FD">
      <w:pPr>
        <w:widowControl/>
        <w:jc w:val="left"/>
        <w:rPr>
          <w:rFonts w:ascii="Times New Roman" w:hAnsi="Times New Roman" w:eastAsia="黑体"/>
          <w:color w:val="auto"/>
          <w:sz w:val="32"/>
          <w:szCs w:val="32"/>
          <w:highlight w:val="none"/>
        </w:rPr>
      </w:pPr>
    </w:p>
    <w:p w14:paraId="27C776EA">
      <w:pPr>
        <w:pStyle w:val="3"/>
        <w:numPr>
          <w:ilvl w:val="0"/>
          <w:numId w:val="1"/>
        </w:numPr>
        <w:rPr>
          <w:rFonts w:hint="eastAsia" w:ascii="Times New Roman" w:hAnsi="Times New Roman" w:eastAsia="黑体"/>
          <w:b w:val="0"/>
          <w:color w:val="auto"/>
          <w:highlight w:val="none"/>
          <w:lang w:eastAsia="zh-CN"/>
        </w:rPr>
      </w:pPr>
      <w:bookmarkStart w:id="9" w:name="_Toc12138"/>
      <w:r>
        <w:rPr>
          <w:rFonts w:hint="eastAsia" w:ascii="Times New Roman" w:hAnsi="Times New Roman" w:eastAsia="黑体"/>
          <w:b w:val="0"/>
          <w:color w:val="auto"/>
          <w:highlight w:val="none"/>
          <w:lang w:eastAsia="zh-CN"/>
        </w:rPr>
        <w:t>部门职责</w:t>
      </w:r>
      <w:bookmarkEnd w:id="9"/>
    </w:p>
    <w:p w14:paraId="522DCBFC">
      <w:pPr>
        <w:pStyle w:val="27"/>
        <w:numPr>
          <w:ilvl w:val="0"/>
          <w:numId w:val="2"/>
        </w:numPr>
        <w:ind w:firstLineChars="0"/>
        <w:jc w:val="left"/>
        <w:outlineLvl w:val="2"/>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t>贯彻执行上级有关房产管理的方针、政策和法律法规。</w:t>
      </w:r>
    </w:p>
    <w:p w14:paraId="7962A688">
      <w:pPr>
        <w:pStyle w:val="27"/>
        <w:numPr>
          <w:ilvl w:val="0"/>
          <w:numId w:val="2"/>
        </w:numPr>
        <w:ind w:firstLineChars="0"/>
        <w:jc w:val="left"/>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t>办理商品房预售证及商品房预售合同备案登记。（商品房预售证办理相关资料的受理、审核、登</w:t>
      </w:r>
      <w:bookmarkStart w:id="79" w:name="_GoBack"/>
      <w:r>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t>簿</w:t>
      </w:r>
      <w:bookmarkEnd w:id="79"/>
      <w:r>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t>、颁证，及商品房预售合同备案登记业务）</w:t>
      </w:r>
    </w:p>
    <w:p w14:paraId="5E666C28">
      <w:pPr>
        <w:pStyle w:val="27"/>
        <w:numPr>
          <w:ilvl w:val="0"/>
          <w:numId w:val="2"/>
        </w:numPr>
        <w:ind w:firstLineChars="0"/>
        <w:jc w:val="left"/>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t>房产交易类登记业务的办理。（包括二手房买卖、继承、赠与、商品房买卖等登记业务的办理）</w:t>
      </w:r>
    </w:p>
    <w:p w14:paraId="2467306E">
      <w:pPr>
        <w:pStyle w:val="27"/>
        <w:numPr>
          <w:ilvl w:val="0"/>
          <w:numId w:val="2"/>
        </w:numPr>
        <w:ind w:firstLineChars="0"/>
        <w:jc w:val="left"/>
        <w:outlineLvl w:val="2"/>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t>物业监管。（负责物业的行业管理，指导、协调、监督业主委员会和物业管理企业）</w:t>
      </w:r>
    </w:p>
    <w:p w14:paraId="0B084E49">
      <w:pPr>
        <w:pStyle w:val="27"/>
        <w:numPr>
          <w:ilvl w:val="0"/>
          <w:numId w:val="2"/>
        </w:numPr>
        <w:ind w:firstLineChars="0"/>
        <w:jc w:val="left"/>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t>房地产市场的监管。（协同有关部门加强房地产市场和价格的管理，负责全县房地产管理执法检查，查处违法违章行为，维护房地产市场秩序。）</w:t>
      </w:r>
    </w:p>
    <w:p w14:paraId="5864C051">
      <w:pPr>
        <w:pStyle w:val="27"/>
        <w:numPr>
          <w:ilvl w:val="0"/>
          <w:numId w:val="2"/>
        </w:numPr>
        <w:ind w:firstLineChars="0"/>
        <w:jc w:val="left"/>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t>对接州级部门，填写周报、月报相关表格。</w:t>
      </w:r>
    </w:p>
    <w:p w14:paraId="2EFFF84A">
      <w:pPr>
        <w:pStyle w:val="27"/>
        <w:numPr>
          <w:ilvl w:val="0"/>
          <w:numId w:val="2"/>
        </w:numPr>
        <w:ind w:firstLineChars="0"/>
        <w:jc w:val="left"/>
        <w:rPr>
          <w:rFonts w:hint="eastAsia"/>
          <w:lang w:eastAsia="zh-CN"/>
        </w:rPr>
      </w:pPr>
      <w:r>
        <w:rPr>
          <w:rFonts w:hint="eastAsia" w:ascii="仿宋_GB2312" w:hAnsi="仿宋_GB2312" w:eastAsia="仿宋_GB2312" w:cs="仿宋_GB2312"/>
          <w:i w:val="0"/>
          <w:caps w:val="0"/>
          <w:color w:val="333333"/>
          <w:spacing w:val="0"/>
          <w:kern w:val="0"/>
          <w:sz w:val="32"/>
          <w:szCs w:val="32"/>
          <w:shd w:val="clear" w:color="080000" w:fill="FFFFFF"/>
          <w:lang w:val="en-US" w:eastAsia="zh-CN" w:bidi="ar-SA"/>
        </w:rPr>
        <w:t>承办上级部门交办的其他事项。</w:t>
      </w:r>
    </w:p>
    <w:p w14:paraId="7F3E0728">
      <w:pPr>
        <w:pStyle w:val="3"/>
        <w:rPr>
          <w:rStyle w:val="29"/>
          <w:rFonts w:ascii="Times New Roman" w:hAnsi="Times New Roman"/>
          <w:b w:val="0"/>
          <w:bCs w:val="0"/>
          <w:color w:val="auto"/>
          <w:highlight w:val="none"/>
        </w:rPr>
      </w:pPr>
      <w:bookmarkStart w:id="10" w:name="_Toc8412"/>
      <w:bookmarkStart w:id="11" w:name="_Toc15377200"/>
      <w:bookmarkStart w:id="12"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0"/>
      <w:bookmarkEnd w:id="11"/>
      <w:bookmarkEnd w:id="12"/>
    </w:p>
    <w:p w14:paraId="3F3DF388">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阿坝州松潘县房管所</w:t>
      </w:r>
      <w:r>
        <w:rPr>
          <w:rFonts w:hint="eastAsia" w:ascii="仿宋_GB2312" w:hAnsi="仿宋_GB2312" w:eastAsia="仿宋_GB2312" w:cs="仿宋_GB2312"/>
          <w:color w:val="auto"/>
          <w:sz w:val="32"/>
          <w:szCs w:val="32"/>
          <w:highlight w:val="none"/>
          <w:lang w:eastAsia="zh-CN"/>
        </w:rPr>
        <w:t>属于松潘县住房和城乡建设局下属二级单位</w:t>
      </w:r>
      <w:r>
        <w:rPr>
          <w:rFonts w:hint="eastAsia" w:ascii="Times New Roman" w:hAnsi="Times New Roman" w:eastAsia="仿宋_GB2312" w:cs="仿宋_GB2312"/>
          <w:color w:val="auto"/>
          <w:sz w:val="32"/>
          <w:szCs w:val="32"/>
          <w:highlight w:val="none"/>
        </w:rPr>
        <w:t>，</w:t>
      </w:r>
      <w:r>
        <w:rPr>
          <w:rFonts w:hint="eastAsia" w:eastAsia="仿宋_GB2312" w:cs="仿宋_GB2312"/>
          <w:color w:val="auto"/>
          <w:sz w:val="32"/>
          <w:szCs w:val="32"/>
          <w:highlight w:val="none"/>
          <w:lang w:eastAsia="zh-CN"/>
        </w:rPr>
        <w:t>属于</w:t>
      </w:r>
      <w:r>
        <w:rPr>
          <w:rFonts w:hint="eastAsia" w:ascii="Times New Roman" w:hAnsi="Times New Roman" w:eastAsia="仿宋_GB2312" w:cs="仿宋_GB2312"/>
          <w:color w:val="auto"/>
          <w:sz w:val="32"/>
          <w:szCs w:val="32"/>
          <w:highlight w:val="none"/>
        </w:rPr>
        <w:t>其他事业单位。</w:t>
      </w:r>
    </w:p>
    <w:p w14:paraId="320D47F6">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1601712E">
      <w:pPr>
        <w:pStyle w:val="2"/>
        <w:jc w:val="center"/>
        <w:rPr>
          <w:rFonts w:hint="eastAsia" w:ascii="Times New Roman" w:hAnsi="Times New Roman" w:eastAsia="方正小标宋简体" w:cs="方正小标宋简体"/>
          <w:b w:val="0"/>
          <w:color w:val="auto"/>
          <w:highlight w:val="none"/>
        </w:rPr>
      </w:pPr>
      <w:bookmarkStart w:id="13" w:name="_Toc15377204"/>
      <w:bookmarkStart w:id="14" w:name="_Toc15163"/>
      <w:bookmarkStart w:id="15"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3"/>
      <w:bookmarkEnd w:id="14"/>
      <w:bookmarkEnd w:id="15"/>
    </w:p>
    <w:p w14:paraId="382D0161">
      <w:pPr>
        <w:rPr>
          <w:rFonts w:ascii="Times New Roman" w:hAnsi="Times New Roman"/>
          <w:color w:val="auto"/>
          <w:highlight w:val="none"/>
        </w:rPr>
      </w:pPr>
    </w:p>
    <w:p w14:paraId="45C9E38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77205"/>
      <w:bookmarkStart w:id="17" w:name="_Toc6637"/>
      <w:bookmarkStart w:id="18"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6"/>
      <w:bookmarkEnd w:id="17"/>
      <w:bookmarkEnd w:id="18"/>
    </w:p>
    <w:p w14:paraId="2542A54A">
      <w:pPr>
        <w:spacing w:line="600" w:lineRule="exact"/>
        <w:ind w:firstLine="640" w:firstLineChars="200"/>
        <w:rPr>
          <w:rFonts w:hint="eastAsia" w:ascii="仿宋" w:hAnsi="仿宋" w:eastAsia="仿宋"/>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86.22</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6.19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7</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olor w:val="auto"/>
          <w:sz w:val="32"/>
          <w:szCs w:val="32"/>
          <w:highlight w:val="none"/>
          <w:lang w:val="en-US" w:eastAsia="zh-CN"/>
        </w:rPr>
        <w:t>工资保险的增加</w:t>
      </w:r>
      <w:r>
        <w:rPr>
          <w:rFonts w:hint="eastAsia" w:ascii="仿宋" w:hAnsi="仿宋" w:eastAsia="仿宋"/>
          <w:color w:val="auto"/>
          <w:sz w:val="32"/>
          <w:szCs w:val="32"/>
          <w:highlight w:val="none"/>
          <w:lang w:eastAsia="zh-CN"/>
        </w:rPr>
        <w:t>。</w:t>
      </w:r>
    </w:p>
    <w:p w14:paraId="4720CC4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464FE2B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黑体"/>
          <w:color w:val="auto"/>
          <w:sz w:val="32"/>
          <w:szCs w:val="32"/>
          <w:highlight w:val="none"/>
          <w:lang w:eastAsia="zh-CN"/>
        </w:rPr>
      </w:pPr>
      <w:bookmarkStart w:id="19" w:name="_Toc15396604"/>
      <w:bookmarkStart w:id="20" w:name="_Toc15377206"/>
      <w:r>
        <w:drawing>
          <wp:anchor distT="0" distB="0" distL="114300" distR="114300" simplePos="0" relativeHeight="251664384" behindDoc="1" locked="0" layoutInCell="1" allowOverlap="1">
            <wp:simplePos x="0" y="0"/>
            <wp:positionH relativeFrom="column">
              <wp:posOffset>324485</wp:posOffset>
            </wp:positionH>
            <wp:positionV relativeFrom="paragraph">
              <wp:posOffset>99695</wp:posOffset>
            </wp:positionV>
            <wp:extent cx="4269105" cy="2570480"/>
            <wp:effectExtent l="4445" t="5080" r="12700" b="15240"/>
            <wp:wrapTight wrapText="bothSides">
              <wp:wrapPolygon>
                <wp:start x="-22" y="-43"/>
                <wp:lineTo x="-22" y="21408"/>
                <wp:lineTo x="21568" y="21408"/>
                <wp:lineTo x="21568" y="-43"/>
                <wp:lineTo x="-22" y="-43"/>
              </wp:wrapPolygon>
            </wp:wrapTight>
            <wp:docPr id="1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6550C54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4C9F4CB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0546053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5DC2434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0CF725B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2C3D015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283D8E8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1" w:name="_Toc18073"/>
      <w:r>
        <w:rPr>
          <w:rFonts w:hint="eastAsia" w:ascii="Times New Roman" w:hAnsi="Times New Roman" w:eastAsia="黑体"/>
          <w:color w:val="auto"/>
          <w:sz w:val="32"/>
          <w:szCs w:val="32"/>
          <w:highlight w:val="none"/>
          <w:lang w:eastAsia="zh-CN"/>
        </w:rPr>
        <w:t>二、收入决算情况说明</w:t>
      </w:r>
      <w:bookmarkEnd w:id="19"/>
      <w:bookmarkEnd w:id="20"/>
      <w:bookmarkEnd w:id="21"/>
    </w:p>
    <w:p w14:paraId="1BFCB0D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bookmarkStart w:id="22" w:name="_Toc12220"/>
      <w:bookmarkStart w:id="23" w:name="_Toc19303"/>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eastAsia="仿宋_GB2312" w:cs="仿宋_GB2312"/>
          <w:color w:val="auto"/>
          <w:sz w:val="32"/>
          <w:szCs w:val="32"/>
          <w:highlight w:val="none"/>
          <w:lang w:val="en-US" w:eastAsia="zh-CN"/>
        </w:rPr>
        <w:t>86.22</w:t>
      </w:r>
      <w:r>
        <w:rPr>
          <w:rFonts w:hint="eastAsia" w:ascii="仿宋_GB2312" w:hAnsi="仿宋_GB2312" w:eastAsia="仿宋_GB2312" w:cs="仿宋_GB2312"/>
          <w:sz w:val="32"/>
          <w:szCs w:val="32"/>
        </w:rPr>
        <w:t>万元，其中：一般公共预算财政拨款收入</w:t>
      </w:r>
      <w:r>
        <w:rPr>
          <w:rFonts w:hint="eastAsia" w:eastAsia="仿宋_GB2312" w:cs="仿宋_GB2312"/>
          <w:color w:val="auto"/>
          <w:sz w:val="32"/>
          <w:szCs w:val="32"/>
          <w:highlight w:val="none"/>
          <w:lang w:val="en-US" w:eastAsia="zh-CN"/>
        </w:rPr>
        <w:t>86.22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万元，占0%；国有资本经营预算财政拨款收入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bookmarkEnd w:id="22"/>
      <w:bookmarkEnd w:id="23"/>
    </w:p>
    <w:p w14:paraId="59DC4733">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46849DDA">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133215" cy="2362200"/>
            <wp:effectExtent l="4445" t="4445" r="7620" b="1079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82EF6E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4" w:name="_Toc15377207"/>
      <w:bookmarkStart w:id="25" w:name="_Toc15396605"/>
      <w:bookmarkStart w:id="26" w:name="_Toc27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4"/>
      <w:bookmarkEnd w:id="25"/>
      <w:bookmarkEnd w:id="26"/>
    </w:p>
    <w:p w14:paraId="06E3749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bookmarkStart w:id="27" w:name="_Toc19517"/>
      <w:bookmarkStart w:id="28" w:name="_Toc10622"/>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eastAsia="仿宋_GB2312" w:cs="仿宋_GB2312"/>
          <w:color w:val="auto"/>
          <w:sz w:val="32"/>
          <w:szCs w:val="32"/>
          <w:highlight w:val="none"/>
          <w:lang w:val="en-US" w:eastAsia="zh-CN"/>
        </w:rPr>
        <w:t>86.22</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80.03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万元，占0%。</w:t>
      </w:r>
      <w:r>
        <w:rPr>
          <w:rFonts w:hint="eastAsia" w:ascii="Times New Roman" w:hAnsi="Times New Roman" w:eastAsia="仿宋_GB2312" w:cs="仿宋_GB2312"/>
          <w:b/>
          <w:bCs/>
          <w:color w:val="auto"/>
          <w:sz w:val="32"/>
          <w:szCs w:val="32"/>
          <w:highlight w:val="none"/>
          <w:lang w:eastAsia="zh-CN"/>
        </w:rPr>
        <w:t>（注：仅罗列本部门涉及的支出）</w:t>
      </w:r>
      <w:bookmarkEnd w:id="27"/>
      <w:bookmarkEnd w:id="28"/>
    </w:p>
    <w:p w14:paraId="33D0FC84">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05471D4F">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399280" cy="2164080"/>
            <wp:effectExtent l="4445" t="4445" r="15875" b="1079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2B97692">
      <w:pPr>
        <w:spacing w:line="600" w:lineRule="exact"/>
        <w:ind w:firstLine="640" w:firstLineChars="200"/>
        <w:outlineLvl w:val="1"/>
        <w:rPr>
          <w:rStyle w:val="29"/>
          <w:rFonts w:ascii="Times New Roman" w:hAnsi="Times New Roman" w:eastAsia="黑体"/>
          <w:b w:val="0"/>
          <w:color w:val="auto"/>
          <w:highlight w:val="none"/>
        </w:rPr>
      </w:pPr>
      <w:bookmarkStart w:id="29" w:name="_Toc15396606"/>
      <w:bookmarkStart w:id="30" w:name="_Toc15377208"/>
      <w:bookmarkStart w:id="31" w:name="_Toc457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9"/>
      <w:bookmarkEnd w:id="30"/>
      <w:bookmarkEnd w:id="31"/>
    </w:p>
    <w:p w14:paraId="4D6A1D88">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eastAsia="仿宋_GB2312" w:cs="仿宋_GB2312"/>
          <w:color w:val="auto"/>
          <w:sz w:val="32"/>
          <w:szCs w:val="32"/>
          <w:highlight w:val="none"/>
          <w:lang w:val="en-US" w:eastAsia="zh-CN"/>
        </w:rPr>
        <w:t>86.22</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eastAsia="仿宋_GB2312" w:cs="仿宋_GB2312"/>
          <w:color w:val="auto"/>
          <w:kern w:val="2"/>
          <w:sz w:val="32"/>
          <w:szCs w:val="32"/>
          <w:highlight w:val="none"/>
          <w:lang w:val="en-US" w:eastAsia="zh-CN" w:bidi="ar-SA"/>
        </w:rPr>
        <w:t>6.19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sz w:val="32"/>
          <w:szCs w:val="32"/>
          <w:highlight w:val="none"/>
        </w:rPr>
        <w:t>，增长</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olor w:val="auto"/>
          <w:sz w:val="32"/>
          <w:szCs w:val="32"/>
          <w:highlight w:val="none"/>
          <w:lang w:val="en-US" w:eastAsia="zh-CN"/>
        </w:rPr>
        <w:t>工资保险的增加</w:t>
      </w:r>
      <w:r>
        <w:rPr>
          <w:rFonts w:hint="eastAsia" w:ascii="仿宋" w:hAnsi="仿宋" w:eastAsia="仿宋"/>
          <w:color w:val="auto"/>
          <w:sz w:val="32"/>
          <w:szCs w:val="32"/>
          <w:highlight w:val="none"/>
          <w:lang w:eastAsia="zh-CN"/>
        </w:rPr>
        <w:t>。</w:t>
      </w:r>
    </w:p>
    <w:p w14:paraId="3499388C">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6418828F">
      <w:pPr>
        <w:spacing w:line="600" w:lineRule="exact"/>
      </w:pPr>
      <w:r>
        <w:drawing>
          <wp:anchor distT="0" distB="0" distL="114300" distR="114300" simplePos="0" relativeHeight="251665408" behindDoc="1" locked="0" layoutInCell="1" allowOverlap="1">
            <wp:simplePos x="0" y="0"/>
            <wp:positionH relativeFrom="column">
              <wp:posOffset>1247775</wp:posOffset>
            </wp:positionH>
            <wp:positionV relativeFrom="paragraph">
              <wp:posOffset>83820</wp:posOffset>
            </wp:positionV>
            <wp:extent cx="2499360" cy="1361440"/>
            <wp:effectExtent l="4445" t="4445" r="67945" b="43815"/>
            <wp:wrapTight wrapText="bothSides">
              <wp:wrapPolygon>
                <wp:start x="-38" y="-71"/>
                <wp:lineTo x="-38" y="21388"/>
                <wp:lineTo x="21529" y="21388"/>
                <wp:lineTo x="21529" y="-71"/>
                <wp:lineTo x="-38" y="-71"/>
              </wp:wrapPolygon>
            </wp:wrapTight>
            <wp:docPr id="1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426F419E">
      <w:pPr>
        <w:spacing w:line="600" w:lineRule="exact"/>
        <w:ind w:firstLine="640"/>
      </w:pPr>
    </w:p>
    <w:p w14:paraId="4F359EB9">
      <w:pPr>
        <w:spacing w:line="600" w:lineRule="exact"/>
        <w:ind w:firstLine="640"/>
        <w:rPr>
          <w:rFonts w:hint="eastAsia"/>
          <w:lang w:val="en-US" w:eastAsia="zh-CN"/>
        </w:rPr>
      </w:pPr>
    </w:p>
    <w:p w14:paraId="0B5FD20B">
      <w:pPr>
        <w:spacing w:line="600" w:lineRule="exact"/>
        <w:ind w:firstLine="640" w:firstLineChars="200"/>
        <w:outlineLvl w:val="1"/>
        <w:rPr>
          <w:rFonts w:hint="eastAsia" w:ascii="Times New Roman" w:hAnsi="Times New Roman" w:eastAsia="黑体"/>
          <w:color w:val="auto"/>
          <w:sz w:val="32"/>
          <w:szCs w:val="32"/>
          <w:highlight w:val="none"/>
        </w:rPr>
      </w:pPr>
      <w:bookmarkStart w:id="32" w:name="_Toc15396607"/>
      <w:bookmarkStart w:id="33" w:name="_Toc15377209"/>
      <w:bookmarkStart w:id="34" w:name="_Toc23925"/>
    </w:p>
    <w:p w14:paraId="643E3BDA">
      <w:pPr>
        <w:spacing w:line="600" w:lineRule="exact"/>
        <w:ind w:firstLine="640" w:firstLineChars="200"/>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2"/>
      <w:bookmarkEnd w:id="33"/>
      <w:bookmarkEnd w:id="34"/>
    </w:p>
    <w:p w14:paraId="190FF3D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5"/>
    </w:p>
    <w:p w14:paraId="38F6504B">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86.22</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w:t>
      </w:r>
      <w:r>
        <w:rPr>
          <w:rFonts w:hint="eastAsia" w:eastAsia="仿宋_GB2312" w:cs="仿宋_GB2312"/>
          <w:color w:val="auto"/>
          <w:sz w:val="32"/>
          <w:szCs w:val="32"/>
          <w:highlight w:val="none"/>
          <w:lang w:val="en-US" w:eastAsia="zh-CN"/>
        </w:rPr>
        <w:t>6.19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7</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olor w:val="auto"/>
          <w:sz w:val="32"/>
          <w:szCs w:val="32"/>
          <w:highlight w:val="none"/>
          <w:lang w:val="en-US" w:eastAsia="zh-CN"/>
        </w:rPr>
        <w:t>工资保险的增加</w:t>
      </w:r>
      <w:r>
        <w:rPr>
          <w:rFonts w:hint="eastAsia" w:ascii="仿宋" w:hAnsi="仿宋" w:eastAsia="仿宋"/>
          <w:color w:val="auto"/>
          <w:sz w:val="32"/>
          <w:szCs w:val="32"/>
          <w:highlight w:val="none"/>
          <w:lang w:eastAsia="zh-CN"/>
        </w:rPr>
        <w:t>。</w:t>
      </w:r>
    </w:p>
    <w:p w14:paraId="63D48E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6432" behindDoc="1" locked="0" layoutInCell="1" allowOverlap="1">
            <wp:simplePos x="0" y="0"/>
            <wp:positionH relativeFrom="column">
              <wp:posOffset>1054100</wp:posOffset>
            </wp:positionH>
            <wp:positionV relativeFrom="paragraph">
              <wp:posOffset>744220</wp:posOffset>
            </wp:positionV>
            <wp:extent cx="2499360" cy="1361440"/>
            <wp:effectExtent l="4445" t="4445" r="10795" b="5715"/>
            <wp:wrapTight wrapText="bothSides">
              <wp:wrapPolygon>
                <wp:start x="-38" y="-71"/>
                <wp:lineTo x="-38" y="21388"/>
                <wp:lineTo x="21529" y="21388"/>
                <wp:lineTo x="21529" y="-71"/>
                <wp:lineTo x="-38" y="-71"/>
              </wp:wrapPolygon>
            </wp:wrapTight>
            <wp:docPr id="1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194E06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5F40F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47F742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1"/>
    </w:p>
    <w:p w14:paraId="3F298CC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1F68156A">
      <w:pPr>
        <w:spacing w:line="600" w:lineRule="exact"/>
        <w:outlineLvl w:val="2"/>
        <w:rPr>
          <w:rFonts w:hint="eastAsia" w:ascii="Times New Roman" w:hAnsi="Times New Roman" w:eastAsia="楷体_GB2312" w:cs="楷体_GB2312"/>
          <w:b/>
          <w:color w:val="auto"/>
          <w:sz w:val="32"/>
          <w:szCs w:val="32"/>
          <w:highlight w:val="none"/>
        </w:rPr>
      </w:pPr>
      <w:r>
        <w:rPr>
          <w:rFonts w:hint="eastAsia" w:eastAsia="楷体_GB2312" w:cs="楷体_GB2312"/>
          <w:b/>
          <w:color w:val="auto"/>
          <w:sz w:val="32"/>
          <w:szCs w:val="32"/>
          <w:highlight w:val="none"/>
          <w:lang w:eastAsia="zh-CN"/>
        </w:rPr>
        <w:t>（</w:t>
      </w:r>
      <w:r>
        <w:rPr>
          <w:rFonts w:hint="eastAsia" w:ascii="Times New Roman" w:hAnsi="Times New Roman" w:eastAsia="楷体_GB2312" w:cs="楷体_GB2312"/>
          <w:b/>
          <w:color w:val="auto"/>
          <w:sz w:val="32"/>
          <w:szCs w:val="32"/>
          <w:highlight w:val="none"/>
        </w:rPr>
        <w:t>二）一般公共预算财政拨款支出决算结构情况</w:t>
      </w:r>
      <w:bookmarkEnd w:id="36"/>
    </w:p>
    <w:p w14:paraId="29BAF6A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lang w:val="en-US" w:eastAsia="zh-CN"/>
        </w:rPr>
        <w:t>86.22</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11.7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4.39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6.24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城乡社区支出63.9万元，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74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1BCE56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311785</wp:posOffset>
            </wp:positionH>
            <wp:positionV relativeFrom="paragraph">
              <wp:posOffset>370205</wp:posOffset>
            </wp:positionV>
            <wp:extent cx="4826000" cy="2743200"/>
            <wp:effectExtent l="4445" t="4445" r="8255" b="14605"/>
            <wp:wrapSquare wrapText="bothSides"/>
            <wp:docPr id="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1D24484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7"/>
    </w:p>
    <w:p w14:paraId="05CB7B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8" w:name="_Toc15377213"/>
      <w:bookmarkStart w:id="39" w:name="_Toc15377444"/>
      <w:bookmarkStart w:id="40" w:name="_Toc15378460"/>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86.22</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8"/>
      <w:bookmarkEnd w:id="39"/>
      <w:bookmarkEnd w:id="40"/>
    </w:p>
    <w:p w14:paraId="19F6D1B8">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306FEBB">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.住房保障支出221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支出决算为6.24万元，完成预算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73F81D2">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.城乡社区支出212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支出决算为6.24万元，完成预算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877B5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0.72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5D0F553">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支出决算为7.8万元，完成预算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10DD6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支出决算为3.66万元，完成预算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37B3C7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3F3DAA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F6D1606">
      <w:pPr>
        <w:tabs>
          <w:tab w:val="right" w:pos="8306"/>
        </w:tabs>
        <w:spacing w:line="600" w:lineRule="exact"/>
        <w:ind w:firstLine="640"/>
        <w:outlineLvl w:val="1"/>
        <w:rPr>
          <w:rStyle w:val="29"/>
          <w:rFonts w:ascii="Times New Roman" w:hAnsi="Times New Roman"/>
          <w:color w:val="auto"/>
          <w:highlight w:val="none"/>
        </w:rPr>
      </w:pPr>
      <w:bookmarkStart w:id="41" w:name="_Toc15377214"/>
      <w:bookmarkStart w:id="42" w:name="_Toc12261"/>
      <w:bookmarkStart w:id="43"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1"/>
      <w:bookmarkEnd w:id="42"/>
      <w:bookmarkEnd w:id="43"/>
      <w:r>
        <w:rPr>
          <w:rStyle w:val="29"/>
          <w:rFonts w:ascii="Times New Roman" w:hAnsi="Times New Roman" w:eastAsia="黑体"/>
          <w:b w:val="0"/>
          <w:color w:val="auto"/>
          <w:highlight w:val="none"/>
        </w:rPr>
        <w:tab/>
      </w:r>
    </w:p>
    <w:p w14:paraId="4C588B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lang w:val="en-US" w:eastAsia="zh-CN"/>
        </w:rPr>
        <w:t>86.22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6DAE1E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82.21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4.01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99440E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5863FE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A8BF9C">
      <w:pPr>
        <w:spacing w:line="600" w:lineRule="exact"/>
        <w:ind w:firstLine="640"/>
        <w:outlineLvl w:val="1"/>
        <w:rPr>
          <w:rStyle w:val="29"/>
          <w:rFonts w:ascii="Times New Roman" w:hAnsi="Times New Roman" w:eastAsia="黑体"/>
          <w:b w:val="0"/>
          <w:color w:val="auto"/>
          <w:highlight w:val="none"/>
        </w:rPr>
      </w:pPr>
      <w:bookmarkStart w:id="44" w:name="_Toc14606"/>
      <w:bookmarkStart w:id="45" w:name="_Toc15377215"/>
      <w:bookmarkStart w:id="46"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4"/>
      <w:bookmarkEnd w:id="45"/>
      <w:bookmarkEnd w:id="46"/>
    </w:p>
    <w:p w14:paraId="792717E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7"/>
    </w:p>
    <w:p w14:paraId="221A50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eastAsia="仿宋_GB2312" w:cs="仿宋_GB2312"/>
          <w:color w:val="auto"/>
          <w:kern w:val="2"/>
          <w:sz w:val="32"/>
          <w:szCs w:val="32"/>
          <w:highlight w:val="none"/>
          <w:lang w:val="en-US" w:eastAsia="zh-CN" w:bidi="ar-SA"/>
        </w:rPr>
        <w:t>无“三公”经费。</w:t>
      </w:r>
    </w:p>
    <w:p w14:paraId="41FDAD6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w:t>
      </w:r>
    </w:p>
    <w:p w14:paraId="196D2C4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8"/>
    </w:p>
    <w:p w14:paraId="492C186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5E4AE8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08C082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无此类费用。</w:t>
      </w:r>
    </w:p>
    <w:p w14:paraId="3756FF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（团组名称、出访地点、取得成效等）</w:t>
      </w:r>
    </w:p>
    <w:p w14:paraId="077C06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无此类费用。</w:t>
      </w:r>
    </w:p>
    <w:p w14:paraId="3A992E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3D1D98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万元。主要用于……（具体工作）所需的公务用车燃料费、维修费、过路过桥费、保险费等支出。</w:t>
      </w:r>
    </w:p>
    <w:p w14:paraId="115E9F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公务接待费支出决算比2023年度增加/减少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%。主要原因是……。其中：</w:t>
      </w:r>
    </w:p>
    <w:p w14:paraId="7DF51D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人次（不包括陪同人员），共计支出**万元，具体内容包括：……（接待具体项目、金额）。</w:t>
      </w:r>
    </w:p>
    <w:p w14:paraId="01887DC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万元，主要用于……（具体项目）。外事接待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人次（不包括陪同人员），共计支出**万</w:t>
      </w:r>
      <w:r>
        <w:rPr>
          <w:rFonts w:hint="eastAsia" w:ascii="Times New Roman" w:hAnsi="Times New Roman" w:eastAsia="仿宋_GB2312" w:cs="仿宋_GB2312"/>
          <w:color w:val="auto"/>
          <w:kern w:val="2"/>
          <w:sz w:val="32"/>
          <w:szCs w:val="32"/>
          <w:highlight w:val="none"/>
          <w:lang w:val="en-US" w:eastAsia="zh-CN" w:bidi="ar-SA"/>
        </w:rPr>
        <w:t>元。</w:t>
      </w:r>
    </w:p>
    <w:p w14:paraId="10309A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9" w:name="_Toc15377218"/>
      <w:bookmarkStart w:id="50" w:name="_Toc15396610"/>
    </w:p>
    <w:p w14:paraId="11194294">
      <w:pPr>
        <w:spacing w:line="600" w:lineRule="exact"/>
        <w:ind w:firstLine="640"/>
        <w:outlineLvl w:val="1"/>
        <w:rPr>
          <w:rStyle w:val="29"/>
          <w:rFonts w:ascii="Times New Roman" w:hAnsi="Times New Roman" w:eastAsia="黑体"/>
          <w:color w:val="auto"/>
          <w:highlight w:val="none"/>
        </w:rPr>
      </w:pPr>
      <w:bookmarkStart w:id="51" w:name="_Toc31828"/>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9"/>
      <w:bookmarkEnd w:id="50"/>
      <w:bookmarkEnd w:id="51"/>
    </w:p>
    <w:p w14:paraId="3BF0008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8ABDB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B8750F6">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52" w:name="_Toc15396611"/>
      <w:bookmarkStart w:id="53" w:name="_Toc15377219"/>
      <w:bookmarkStart w:id="54" w:name="_Toc13744"/>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52"/>
      <w:bookmarkEnd w:id="53"/>
      <w:bookmarkEnd w:id="54"/>
    </w:p>
    <w:p w14:paraId="3C7CA99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3C55F6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D75CB11">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55" w:name="_Toc15377221"/>
      <w:bookmarkStart w:id="56" w:name="_Toc25031"/>
      <w:bookmarkStart w:id="57"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55"/>
      <w:bookmarkEnd w:id="56"/>
      <w:bookmarkEnd w:id="57"/>
    </w:p>
    <w:p w14:paraId="66198D1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15377222"/>
      <w:r>
        <w:rPr>
          <w:rFonts w:hint="eastAsia" w:ascii="Times New Roman" w:hAnsi="Times New Roman" w:eastAsia="楷体_GB2312" w:cs="楷体_GB2312"/>
          <w:b/>
          <w:color w:val="auto"/>
          <w:sz w:val="32"/>
          <w:szCs w:val="32"/>
          <w:highlight w:val="none"/>
        </w:rPr>
        <w:t>（一）机关运行经费支出情况</w:t>
      </w:r>
      <w:bookmarkEnd w:id="58"/>
    </w:p>
    <w:p w14:paraId="524F0A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阿坝州松潘县房管所</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%（或与2023年度决算数持平）。主要原因是</w:t>
      </w:r>
      <w:r>
        <w:rPr>
          <w:rFonts w:hint="eastAsia" w:eastAsia="仿宋_GB2312" w:cs="仿宋_GB2312"/>
          <w:color w:val="auto"/>
          <w:kern w:val="2"/>
          <w:sz w:val="32"/>
          <w:szCs w:val="32"/>
          <w:highlight w:val="none"/>
          <w:lang w:val="en-US" w:eastAsia="zh-CN" w:bidi="ar-SA"/>
        </w:rPr>
        <w:t>此单位为事业单位。</w:t>
      </w:r>
    </w:p>
    <w:p w14:paraId="710736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7EFE85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9" w:name="_Toc15377223"/>
      <w:r>
        <w:rPr>
          <w:rFonts w:hint="eastAsia" w:ascii="Times New Roman" w:hAnsi="Times New Roman" w:eastAsia="楷体_GB2312" w:cs="楷体_GB2312"/>
          <w:b/>
          <w:color w:val="auto"/>
          <w:sz w:val="32"/>
          <w:szCs w:val="32"/>
          <w:highlight w:val="none"/>
        </w:rPr>
        <w:t>（二）政府采购支出情况</w:t>
      </w:r>
      <w:bookmarkEnd w:id="59"/>
    </w:p>
    <w:p w14:paraId="74209B0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阿坝州松潘县房管所</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0AF278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690634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0" w:name="_Toc15377224"/>
      <w:r>
        <w:rPr>
          <w:rFonts w:hint="eastAsia" w:ascii="Times New Roman" w:hAnsi="Times New Roman" w:eastAsia="楷体_GB2312" w:cs="楷体_GB2312"/>
          <w:b/>
          <w:color w:val="auto"/>
          <w:sz w:val="32"/>
          <w:szCs w:val="32"/>
          <w:highlight w:val="none"/>
        </w:rPr>
        <w:t>（三）国有资产占有使用情况</w:t>
      </w:r>
      <w:bookmarkEnd w:id="60"/>
    </w:p>
    <w:p w14:paraId="5F4C97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阿坝州松潘县房管所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辆，其他用车主要是用于……。单价100万元（含）以上设备（不含车辆）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67EA1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632225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5FE54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年度预算编制阶段，组织对（项目名称）等个项目开展了预算事前绩效评估，对个项目编制了绩效目标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预算执行过程中，选取个项目开展绩效监控。</w:t>
      </w:r>
    </w:p>
    <w:p w14:paraId="527AFC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年度一般公共预算、政府性基金预算、国有资本经营预算、社会保险基金预算以及资本资产、债券资金等全面开展绩效自评，形成部门整体（含部门预算项目）绩效自评报告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专项预算项目绩效自评报告，其中，部门整体（含部门预算项目）绩效自评得分为***分，绩效自评综述……；***专项预算项目绩效自评得分为***分，绩效自评综述……。</w:t>
      </w:r>
    </w:p>
    <w:p w14:paraId="2E6728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D159C2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1" w:name="_Toc28660"/>
      <w:bookmarkStart w:id="62" w:name="_Toc15396613"/>
      <w:bookmarkStart w:id="63"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1"/>
      <w:bookmarkEnd w:id="62"/>
      <w:bookmarkEnd w:id="63"/>
    </w:p>
    <w:p w14:paraId="2D897D30">
      <w:pPr>
        <w:spacing w:line="600" w:lineRule="exact"/>
        <w:jc w:val="left"/>
        <w:rPr>
          <w:rFonts w:ascii="Times New Roman" w:hAnsi="Times New Roman"/>
          <w:b/>
          <w:color w:val="auto"/>
          <w:sz w:val="44"/>
          <w:szCs w:val="44"/>
          <w:highlight w:val="none"/>
        </w:rPr>
      </w:pPr>
    </w:p>
    <w:p w14:paraId="46794C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32A32B8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机关事业单位实施养老保险制度由单位缴纳的基本养老保险支出。</w:t>
      </w:r>
    </w:p>
    <w:p w14:paraId="03126740">
      <w:pPr>
        <w:spacing w:line="600" w:lineRule="exact"/>
        <w:ind w:firstLine="640"/>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机关事业单位实施养老保险制度由单位缴纳的职业年金支出（含职业年金补记部分）</w:t>
      </w:r>
    </w:p>
    <w:p w14:paraId="1F10CDA0">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4.住房保障支出221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w:t>
      </w:r>
      <w:r>
        <w:rPr>
          <w:rFonts w:hint="eastAsia" w:eastAsia="仿宋_GB2312" w:cs="仿宋_GB2312"/>
          <w:color w:val="auto"/>
          <w:kern w:val="2"/>
          <w:sz w:val="32"/>
          <w:szCs w:val="32"/>
          <w:highlight w:val="none"/>
          <w:lang w:val="en-US" w:eastAsia="zh-CN" w:bidi="ar-SA"/>
        </w:rPr>
        <w:t>指行政事业单位按人力资源和社会保障部、财政部规定的基本工资和津贴补贴以及规定比例为职工缴纳的住房公积金。</w:t>
      </w:r>
    </w:p>
    <w:p w14:paraId="59D684C0">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.城乡社区支出212</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指行政事业单位（包括实行公务员管理的事业单位）提供后勤服务的各类后勤服务中心、医务室等附属事业单位的支出。其他事业单位的支出，凡单独设置了项级科目的，在单独设置的项级科目中反映。未设置项级科目的，在“其他”项级科目中反映。</w:t>
      </w:r>
    </w:p>
    <w:p w14:paraId="0047D9FB">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：指其他用于行政事业单位医疗方面的支出。</w:t>
      </w:r>
    </w:p>
    <w:p w14:paraId="30BDB13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：指财政部门安排的事业单位基本医疗保险缴费经费，未参加医疗保险的事业单位的公费医疗经费，按国家规定享受离休人员待遇的医疗经费。</w:t>
      </w:r>
    </w:p>
    <w:p w14:paraId="48C0D4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4</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6DBEEC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52E8CE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4B2B9B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7A8694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39447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2F8C60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7CBD8D0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4"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5" w:name="_Toc15396618"/>
    </w:p>
    <w:p w14:paraId="5238D96A">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8"/>
          <w:rFonts w:hint="eastAsia" w:ascii="Times New Roman" w:hAnsi="Times New Roman" w:eastAsia="黑体"/>
          <w:b w:val="0"/>
          <w:color w:val="auto"/>
          <w:highlight w:val="none"/>
        </w:rPr>
        <w:t>部分 附表</w:t>
      </w:r>
      <w:bookmarkEnd w:id="64"/>
      <w:bookmarkEnd w:id="65"/>
      <w:bookmarkStart w:id="66" w:name="_Toc15396619"/>
    </w:p>
    <w:p w14:paraId="4FDC16A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339536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6"/>
    </w:p>
    <w:p w14:paraId="588309A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0"/>
      <w:r>
        <w:rPr>
          <w:rFonts w:hint="eastAsia" w:ascii="Times New Roman" w:hAnsi="Times New Roman" w:eastAsia="仿宋_GB2312" w:cs="仿宋_GB2312"/>
          <w:color w:val="auto"/>
          <w:sz w:val="32"/>
          <w:szCs w:val="32"/>
          <w:highlight w:val="none"/>
        </w:rPr>
        <w:t>二、收入决算表</w:t>
      </w:r>
      <w:bookmarkEnd w:id="67"/>
    </w:p>
    <w:p w14:paraId="32C9C0E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1"/>
      <w:r>
        <w:rPr>
          <w:rFonts w:hint="eastAsia" w:ascii="Times New Roman" w:hAnsi="Times New Roman" w:eastAsia="仿宋_GB2312" w:cs="仿宋_GB2312"/>
          <w:color w:val="auto"/>
          <w:sz w:val="32"/>
          <w:szCs w:val="32"/>
          <w:highlight w:val="none"/>
        </w:rPr>
        <w:t>三、支出决算表</w:t>
      </w:r>
      <w:bookmarkEnd w:id="68"/>
    </w:p>
    <w:p w14:paraId="771D98F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2"/>
      <w:r>
        <w:rPr>
          <w:rFonts w:hint="eastAsia" w:ascii="Times New Roman" w:hAnsi="Times New Roman" w:eastAsia="仿宋_GB2312" w:cs="仿宋_GB2312"/>
          <w:color w:val="auto"/>
          <w:sz w:val="32"/>
          <w:szCs w:val="32"/>
          <w:highlight w:val="none"/>
        </w:rPr>
        <w:t>四、财政拨款收入支出决算总表</w:t>
      </w:r>
      <w:bookmarkEnd w:id="69"/>
    </w:p>
    <w:p w14:paraId="75F0A37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3"/>
      <w:r>
        <w:rPr>
          <w:rFonts w:hint="eastAsia" w:ascii="Times New Roman" w:hAnsi="Times New Roman" w:eastAsia="仿宋_GB2312" w:cs="仿宋_GB2312"/>
          <w:color w:val="auto"/>
          <w:sz w:val="32"/>
          <w:szCs w:val="32"/>
          <w:highlight w:val="none"/>
        </w:rPr>
        <w:t>五、财政拨款支出决算明细表</w:t>
      </w:r>
      <w:bookmarkEnd w:id="70"/>
      <w:bookmarkStart w:id="71" w:name="_Toc15396624"/>
    </w:p>
    <w:p w14:paraId="59F4EE3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1"/>
    </w:p>
    <w:p w14:paraId="1F69799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5"/>
      <w:r>
        <w:rPr>
          <w:rFonts w:hint="eastAsia" w:ascii="Times New Roman" w:hAnsi="Times New Roman" w:eastAsia="仿宋_GB2312" w:cs="仿宋_GB2312"/>
          <w:color w:val="auto"/>
          <w:sz w:val="32"/>
          <w:szCs w:val="32"/>
          <w:highlight w:val="none"/>
        </w:rPr>
        <w:t>七、一般公共预算财政拨款支出决算明细表</w:t>
      </w:r>
      <w:bookmarkEnd w:id="72"/>
    </w:p>
    <w:p w14:paraId="275C7BA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6"/>
      <w:r>
        <w:rPr>
          <w:rFonts w:hint="eastAsia" w:ascii="Times New Roman" w:hAnsi="Times New Roman" w:eastAsia="仿宋_GB2312" w:cs="仿宋_GB2312"/>
          <w:color w:val="auto"/>
          <w:sz w:val="32"/>
          <w:szCs w:val="32"/>
          <w:highlight w:val="none"/>
        </w:rPr>
        <w:t>八、一般公共预算财政拨款基本支出决算表</w:t>
      </w:r>
      <w:bookmarkEnd w:id="73"/>
    </w:p>
    <w:p w14:paraId="0CBA9CB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7"/>
      <w:r>
        <w:rPr>
          <w:rFonts w:hint="eastAsia" w:ascii="Times New Roman" w:hAnsi="Times New Roman" w:eastAsia="仿宋_GB2312" w:cs="仿宋_GB2312"/>
          <w:color w:val="auto"/>
          <w:sz w:val="32"/>
          <w:szCs w:val="32"/>
          <w:highlight w:val="none"/>
        </w:rPr>
        <w:t>九、一般公共预算财政拨款项目支出决算表</w:t>
      </w:r>
      <w:bookmarkEnd w:id="74"/>
    </w:p>
    <w:p w14:paraId="671C454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8"/>
      <w:r>
        <w:rPr>
          <w:rFonts w:hint="eastAsia" w:ascii="Times New Roman" w:hAnsi="Times New Roman" w:eastAsia="仿宋_GB2312" w:cs="仿宋_GB2312"/>
          <w:color w:val="auto"/>
          <w:sz w:val="32"/>
          <w:szCs w:val="32"/>
          <w:highlight w:val="none"/>
        </w:rPr>
        <w:t>十、</w:t>
      </w:r>
      <w:bookmarkEnd w:id="75"/>
      <w:r>
        <w:rPr>
          <w:rFonts w:hint="eastAsia" w:ascii="Times New Roman" w:hAnsi="Times New Roman" w:eastAsia="仿宋_GB2312" w:cs="仿宋_GB2312"/>
          <w:color w:val="auto"/>
          <w:sz w:val="32"/>
          <w:szCs w:val="32"/>
          <w:highlight w:val="none"/>
        </w:rPr>
        <w:t>政府性基金预算财政拨款收入支出决算表</w:t>
      </w:r>
    </w:p>
    <w:p w14:paraId="449A925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9"/>
      <w:r>
        <w:rPr>
          <w:rFonts w:hint="eastAsia" w:ascii="Times New Roman" w:hAnsi="Times New Roman" w:eastAsia="仿宋_GB2312" w:cs="仿宋_GB2312"/>
          <w:color w:val="auto"/>
          <w:sz w:val="32"/>
          <w:szCs w:val="32"/>
          <w:highlight w:val="none"/>
        </w:rPr>
        <w:t>十一、</w:t>
      </w:r>
      <w:bookmarkEnd w:id="7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DD4B40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30"/>
      <w:r>
        <w:rPr>
          <w:rFonts w:hint="eastAsia" w:ascii="Times New Roman" w:hAnsi="Times New Roman" w:eastAsia="仿宋_GB2312" w:cs="仿宋_GB2312"/>
          <w:color w:val="auto"/>
          <w:sz w:val="32"/>
          <w:szCs w:val="32"/>
          <w:highlight w:val="none"/>
        </w:rPr>
        <w:t>十二、</w:t>
      </w:r>
      <w:bookmarkEnd w:id="77"/>
      <w:r>
        <w:rPr>
          <w:rFonts w:hint="eastAsia" w:ascii="Times New Roman" w:hAnsi="Times New Roman" w:eastAsia="仿宋_GB2312" w:cs="仿宋_GB2312"/>
          <w:color w:val="auto"/>
          <w:sz w:val="32"/>
          <w:szCs w:val="32"/>
          <w:highlight w:val="none"/>
          <w:lang w:eastAsia="zh-CN"/>
        </w:rPr>
        <w:t>国有资本经营预算财政拨款支出决算表</w:t>
      </w:r>
    </w:p>
    <w:p w14:paraId="6871BDF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8" w:name="_Toc15396631"/>
      <w:r>
        <w:rPr>
          <w:rFonts w:hint="eastAsia" w:ascii="Times New Roman" w:hAnsi="Times New Roman" w:eastAsia="仿宋_GB2312" w:cs="仿宋_GB2312"/>
          <w:color w:val="auto"/>
          <w:sz w:val="32"/>
          <w:szCs w:val="32"/>
          <w:highlight w:val="none"/>
        </w:rPr>
        <w:t>十三、</w:t>
      </w:r>
      <w:bookmarkEnd w:id="78"/>
      <w:r>
        <w:rPr>
          <w:rFonts w:hint="eastAsia" w:ascii="Times New Roman" w:hAnsi="Times New Roman" w:eastAsia="仿宋_GB2312" w:cs="仿宋_GB2312"/>
          <w:color w:val="auto"/>
          <w:sz w:val="32"/>
          <w:szCs w:val="32"/>
          <w:highlight w:val="none"/>
          <w:lang w:eastAsia="zh-CN"/>
        </w:rPr>
        <w:t>财政拨款“三公”经费支出决算表</w:t>
      </w:r>
    </w:p>
    <w:p w14:paraId="7C76A66C">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8D5EB6-3A83-41A8-8874-37E66D4AB37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D5E3D79-E727-4BF3-9667-F4DB1C975BA6}"/>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152B644D-24CA-4EFE-B188-BDB2DC184CD0}"/>
  </w:font>
  <w:font w:name="仿宋">
    <w:panose1 w:val="02010609060101010101"/>
    <w:charset w:val="86"/>
    <w:family w:val="modern"/>
    <w:pitch w:val="default"/>
    <w:sig w:usb0="800002BF" w:usb1="38CF7CFA" w:usb2="00000016" w:usb3="00000000" w:csb0="00040001" w:csb1="00000000"/>
    <w:embedRegular r:id="rId4" w:fontKey="{E37FE584-71F5-4915-8458-8B41139D1998}"/>
  </w:font>
  <w:font w:name="??">
    <w:altName w:val="FFont-Family"/>
    <w:panose1 w:val="00000000000000000000"/>
    <w:charset w:val="00"/>
    <w:family w:val="roman"/>
    <w:pitch w:val="default"/>
    <w:sig w:usb0="00000000" w:usb1="00000000" w:usb2="00000000" w:usb3="00000000" w:csb0="00000000" w:csb1="00000000"/>
  </w:font>
  <w:font w:name="C059">
    <w:altName w:val="FFont-Family"/>
    <w:panose1 w:val="00000500000000000000"/>
    <w:charset w:val="00"/>
    <w:family w:val="auto"/>
    <w:pitch w:val="default"/>
    <w:sig w:usb0="00000000" w:usb1="00000000" w:usb2="00000000" w:usb3="00000000" w:csb0="6000009F" w:csb1="00000000"/>
  </w:font>
  <w:font w:name="方正小标宋简体">
    <w:panose1 w:val="02010600010101010101"/>
    <w:charset w:val="86"/>
    <w:family w:val="script"/>
    <w:pitch w:val="default"/>
    <w:sig w:usb0="00000001" w:usb1="080E0000" w:usb2="00000000" w:usb3="00000000" w:csb0="00040000" w:csb1="00000000"/>
    <w:embedRegular r:id="rId5" w:fontKey="{B3DD5BBD-E9BB-446E-A222-BCDF37EA7A2C}"/>
  </w:font>
  <w:font w:name="楷体_GB2312">
    <w:panose1 w:val="02010609030101010101"/>
    <w:charset w:val="86"/>
    <w:family w:val="auto"/>
    <w:pitch w:val="default"/>
    <w:sig w:usb0="00000001" w:usb1="080E0000" w:usb2="00000000" w:usb3="00000000" w:csb0="00040000" w:csb1="00000000"/>
    <w:embedRegular r:id="rId6" w:fontKey="{358806C7-DD39-44DF-861D-FBCBF1FF18CC}"/>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19AFB">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BFAF3">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CBFAF3">
                    <w:pPr>
                      <w:pStyle w:val="10"/>
                    </w:pPr>
                    <w:r>
                      <w:fldChar w:fldCharType="begin"/>
                    </w:r>
                    <w:r>
                      <w:instrText xml:space="preserve"> PAGE  \* MERGEFORMAT </w:instrText>
                    </w:r>
                    <w:r>
                      <w:fldChar w:fldCharType="separate"/>
                    </w:r>
                    <w:r>
                      <w:t>- 1 -</w:t>
                    </w:r>
                    <w:r>
                      <w:fldChar w:fldCharType="end"/>
                    </w:r>
                  </w:p>
                </w:txbxContent>
              </v:textbox>
            </v:shape>
          </w:pict>
        </mc:Fallback>
      </mc:AlternateContent>
    </w:r>
  </w:p>
  <w:p w14:paraId="22D6F0B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4AC08">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F75874">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9F75874">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9A051">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EDBA56">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3EDBA56">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76205EF6">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C18EA">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7FA95">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367FA95">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5C02B">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FC7732"/>
    <w:multiLevelType w:val="singleLevel"/>
    <w:tmpl w:val="3FFC7732"/>
    <w:lvl w:ilvl="0" w:tentative="0">
      <w:start w:val="1"/>
      <w:numFmt w:val="chineseCounting"/>
      <w:suff w:val="nothing"/>
      <w:lvlText w:val="%1、"/>
      <w:lvlJc w:val="left"/>
      <w:rPr>
        <w:rFonts w:hint="eastAsia"/>
      </w:rPr>
    </w:lvl>
  </w:abstractNum>
  <w:abstractNum w:abstractNumId="1">
    <w:nsid w:val="6EE2232B"/>
    <w:multiLevelType w:val="multilevel"/>
    <w:tmpl w:val="6EE2232B"/>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E4CA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47778C"/>
    <w:rsid w:val="015975B8"/>
    <w:rsid w:val="018F2EE2"/>
    <w:rsid w:val="021B4775"/>
    <w:rsid w:val="02377801"/>
    <w:rsid w:val="02846EFD"/>
    <w:rsid w:val="02C72207"/>
    <w:rsid w:val="02FEBE30"/>
    <w:rsid w:val="03E64CCE"/>
    <w:rsid w:val="041A1188"/>
    <w:rsid w:val="048028BE"/>
    <w:rsid w:val="04916F1E"/>
    <w:rsid w:val="04D31337"/>
    <w:rsid w:val="05F872A7"/>
    <w:rsid w:val="061E35DE"/>
    <w:rsid w:val="066E0107"/>
    <w:rsid w:val="06E93D93"/>
    <w:rsid w:val="07996F6E"/>
    <w:rsid w:val="07DFD8BA"/>
    <w:rsid w:val="094E3682"/>
    <w:rsid w:val="09867E8F"/>
    <w:rsid w:val="0A2032A3"/>
    <w:rsid w:val="0C430B50"/>
    <w:rsid w:val="0CA8290A"/>
    <w:rsid w:val="0CFB58CF"/>
    <w:rsid w:val="0D35B1ED"/>
    <w:rsid w:val="0E254B6B"/>
    <w:rsid w:val="0F98263C"/>
    <w:rsid w:val="101860EC"/>
    <w:rsid w:val="101F47CC"/>
    <w:rsid w:val="10765998"/>
    <w:rsid w:val="10C055FF"/>
    <w:rsid w:val="11694EBD"/>
    <w:rsid w:val="117479FE"/>
    <w:rsid w:val="11772AA4"/>
    <w:rsid w:val="118107EC"/>
    <w:rsid w:val="11C049F1"/>
    <w:rsid w:val="12374CB3"/>
    <w:rsid w:val="12E24EE2"/>
    <w:rsid w:val="136046DE"/>
    <w:rsid w:val="1393060F"/>
    <w:rsid w:val="13D50BC4"/>
    <w:rsid w:val="149E726C"/>
    <w:rsid w:val="14B17F78"/>
    <w:rsid w:val="14E60C13"/>
    <w:rsid w:val="15E45152"/>
    <w:rsid w:val="165E0673"/>
    <w:rsid w:val="16B831D5"/>
    <w:rsid w:val="16BB723D"/>
    <w:rsid w:val="17E50567"/>
    <w:rsid w:val="186504BB"/>
    <w:rsid w:val="19353F17"/>
    <w:rsid w:val="194D300E"/>
    <w:rsid w:val="199D1439"/>
    <w:rsid w:val="199E7D0E"/>
    <w:rsid w:val="19A445FC"/>
    <w:rsid w:val="1A654388"/>
    <w:rsid w:val="1BE8440E"/>
    <w:rsid w:val="1C8C6D0A"/>
    <w:rsid w:val="1D155CEE"/>
    <w:rsid w:val="1D1638FE"/>
    <w:rsid w:val="1D2624F4"/>
    <w:rsid w:val="1E312DEB"/>
    <w:rsid w:val="1E4075E6"/>
    <w:rsid w:val="1E740ACF"/>
    <w:rsid w:val="1ECC610C"/>
    <w:rsid w:val="1FF35744"/>
    <w:rsid w:val="1FF6BC77"/>
    <w:rsid w:val="2186353C"/>
    <w:rsid w:val="23860B96"/>
    <w:rsid w:val="240371BF"/>
    <w:rsid w:val="244F3473"/>
    <w:rsid w:val="24C97D99"/>
    <w:rsid w:val="25592D3B"/>
    <w:rsid w:val="25A718F0"/>
    <w:rsid w:val="25BB59F6"/>
    <w:rsid w:val="260F557C"/>
    <w:rsid w:val="26970054"/>
    <w:rsid w:val="26DE5BEE"/>
    <w:rsid w:val="27076EF2"/>
    <w:rsid w:val="27FA6A57"/>
    <w:rsid w:val="280E12BB"/>
    <w:rsid w:val="281408E2"/>
    <w:rsid w:val="28D57768"/>
    <w:rsid w:val="28D948BF"/>
    <w:rsid w:val="290556B4"/>
    <w:rsid w:val="296C5709"/>
    <w:rsid w:val="29F64FFC"/>
    <w:rsid w:val="29FD04D3"/>
    <w:rsid w:val="2A6603D4"/>
    <w:rsid w:val="2A8D3BB3"/>
    <w:rsid w:val="2B322497"/>
    <w:rsid w:val="2B4324C3"/>
    <w:rsid w:val="2B6D12EE"/>
    <w:rsid w:val="2BFF7BC6"/>
    <w:rsid w:val="2C8A61B5"/>
    <w:rsid w:val="2CF41CC7"/>
    <w:rsid w:val="2D4542D1"/>
    <w:rsid w:val="2DF04E50"/>
    <w:rsid w:val="2E204D3E"/>
    <w:rsid w:val="2E586DFA"/>
    <w:rsid w:val="2F040D46"/>
    <w:rsid w:val="2F6B035B"/>
    <w:rsid w:val="2FAE5751"/>
    <w:rsid w:val="2FB1A395"/>
    <w:rsid w:val="2FBE480E"/>
    <w:rsid w:val="2FD9A7D8"/>
    <w:rsid w:val="2FDBF714"/>
    <w:rsid w:val="30AB6865"/>
    <w:rsid w:val="319F7F4E"/>
    <w:rsid w:val="32BD1EF1"/>
    <w:rsid w:val="32DC7485"/>
    <w:rsid w:val="32F32A21"/>
    <w:rsid w:val="3304709D"/>
    <w:rsid w:val="33A773CB"/>
    <w:rsid w:val="33DB598F"/>
    <w:rsid w:val="345E3ECA"/>
    <w:rsid w:val="34637732"/>
    <w:rsid w:val="349D6851"/>
    <w:rsid w:val="353A0493"/>
    <w:rsid w:val="3599165E"/>
    <w:rsid w:val="35AD5109"/>
    <w:rsid w:val="35F03248"/>
    <w:rsid w:val="36AA5135"/>
    <w:rsid w:val="36BE0DA7"/>
    <w:rsid w:val="36EB413B"/>
    <w:rsid w:val="371B60A2"/>
    <w:rsid w:val="373C4996"/>
    <w:rsid w:val="376B6AA6"/>
    <w:rsid w:val="376D39B2"/>
    <w:rsid w:val="37E16F03"/>
    <w:rsid w:val="37F53A3B"/>
    <w:rsid w:val="37F7266B"/>
    <w:rsid w:val="389B6C89"/>
    <w:rsid w:val="38D469F0"/>
    <w:rsid w:val="39627CCD"/>
    <w:rsid w:val="397BAF1F"/>
    <w:rsid w:val="3A7E0E22"/>
    <w:rsid w:val="3AB79AF3"/>
    <w:rsid w:val="3AE834C0"/>
    <w:rsid w:val="3B143534"/>
    <w:rsid w:val="3B7EF35A"/>
    <w:rsid w:val="3B9FDB6C"/>
    <w:rsid w:val="3BF5BC2F"/>
    <w:rsid w:val="3C987B9C"/>
    <w:rsid w:val="3CB66F99"/>
    <w:rsid w:val="3CEBA265"/>
    <w:rsid w:val="3D7B789B"/>
    <w:rsid w:val="3D98207C"/>
    <w:rsid w:val="3DEE7CF3"/>
    <w:rsid w:val="3E6A003B"/>
    <w:rsid w:val="3E740A63"/>
    <w:rsid w:val="3E78745D"/>
    <w:rsid w:val="3EE17838"/>
    <w:rsid w:val="3F55381A"/>
    <w:rsid w:val="3F7F7599"/>
    <w:rsid w:val="3FF4CAE0"/>
    <w:rsid w:val="3FF60466"/>
    <w:rsid w:val="3FF7B227"/>
    <w:rsid w:val="431762B8"/>
    <w:rsid w:val="44E268DA"/>
    <w:rsid w:val="44ED72D0"/>
    <w:rsid w:val="450D13D7"/>
    <w:rsid w:val="45506656"/>
    <w:rsid w:val="45521829"/>
    <w:rsid w:val="456B28EB"/>
    <w:rsid w:val="45B60A1A"/>
    <w:rsid w:val="45CA7611"/>
    <w:rsid w:val="468C0D6B"/>
    <w:rsid w:val="46B1432D"/>
    <w:rsid w:val="46D954C8"/>
    <w:rsid w:val="486A6C7A"/>
    <w:rsid w:val="48A203D1"/>
    <w:rsid w:val="49A95790"/>
    <w:rsid w:val="4A627F82"/>
    <w:rsid w:val="4AB36114"/>
    <w:rsid w:val="4B0E749A"/>
    <w:rsid w:val="4B2477C4"/>
    <w:rsid w:val="4B4F25DA"/>
    <w:rsid w:val="4BE068DB"/>
    <w:rsid w:val="4BE56F53"/>
    <w:rsid w:val="4D3D691B"/>
    <w:rsid w:val="4D577224"/>
    <w:rsid w:val="4DA90454"/>
    <w:rsid w:val="4DBF1CEB"/>
    <w:rsid w:val="4DF0007C"/>
    <w:rsid w:val="4E3C4E24"/>
    <w:rsid w:val="4E4D5283"/>
    <w:rsid w:val="4EA8070C"/>
    <w:rsid w:val="4EAB630A"/>
    <w:rsid w:val="4ECE2238"/>
    <w:rsid w:val="4F833267"/>
    <w:rsid w:val="4F980780"/>
    <w:rsid w:val="4FB76E58"/>
    <w:rsid w:val="4FE9BD67"/>
    <w:rsid w:val="4FFB052F"/>
    <w:rsid w:val="519A258E"/>
    <w:rsid w:val="522E2CD6"/>
    <w:rsid w:val="52650DED"/>
    <w:rsid w:val="52756B57"/>
    <w:rsid w:val="528079D5"/>
    <w:rsid w:val="52CF4BC2"/>
    <w:rsid w:val="53340DEA"/>
    <w:rsid w:val="537E6D0A"/>
    <w:rsid w:val="53DB68F3"/>
    <w:rsid w:val="53F74C96"/>
    <w:rsid w:val="54D318DA"/>
    <w:rsid w:val="55170BA8"/>
    <w:rsid w:val="553218C9"/>
    <w:rsid w:val="567E1AA5"/>
    <w:rsid w:val="56E47B74"/>
    <w:rsid w:val="57175D52"/>
    <w:rsid w:val="576D24F2"/>
    <w:rsid w:val="57BD3DD4"/>
    <w:rsid w:val="57D78EFF"/>
    <w:rsid w:val="586631C9"/>
    <w:rsid w:val="58E6255C"/>
    <w:rsid w:val="59142EC7"/>
    <w:rsid w:val="5A1B4488"/>
    <w:rsid w:val="5AD76600"/>
    <w:rsid w:val="5AF362E9"/>
    <w:rsid w:val="5AF92295"/>
    <w:rsid w:val="5B250254"/>
    <w:rsid w:val="5BDD79E6"/>
    <w:rsid w:val="5BF561CA"/>
    <w:rsid w:val="5BFF5DFC"/>
    <w:rsid w:val="5C677510"/>
    <w:rsid w:val="5CD71FC4"/>
    <w:rsid w:val="5D0D455B"/>
    <w:rsid w:val="5D1F11B5"/>
    <w:rsid w:val="5D695134"/>
    <w:rsid w:val="5DAE1B18"/>
    <w:rsid w:val="5DD3D430"/>
    <w:rsid w:val="5DE7D9E5"/>
    <w:rsid w:val="5E8545C5"/>
    <w:rsid w:val="5ECEC941"/>
    <w:rsid w:val="5F7268F8"/>
    <w:rsid w:val="5FBF9FF3"/>
    <w:rsid w:val="5FCD4E2C"/>
    <w:rsid w:val="5FEF394A"/>
    <w:rsid w:val="5FF67715"/>
    <w:rsid w:val="6008100A"/>
    <w:rsid w:val="60DB671F"/>
    <w:rsid w:val="61A42FB4"/>
    <w:rsid w:val="61C96577"/>
    <w:rsid w:val="62BF3928"/>
    <w:rsid w:val="635732BD"/>
    <w:rsid w:val="63B3701E"/>
    <w:rsid w:val="647F5392"/>
    <w:rsid w:val="65C634F9"/>
    <w:rsid w:val="65E66580"/>
    <w:rsid w:val="660758C0"/>
    <w:rsid w:val="664B1D71"/>
    <w:rsid w:val="664B4E8E"/>
    <w:rsid w:val="66672A1D"/>
    <w:rsid w:val="667C1E0A"/>
    <w:rsid w:val="67064879"/>
    <w:rsid w:val="67277B67"/>
    <w:rsid w:val="672E57FA"/>
    <w:rsid w:val="67642FCA"/>
    <w:rsid w:val="67AA3209"/>
    <w:rsid w:val="6954706E"/>
    <w:rsid w:val="698D0931"/>
    <w:rsid w:val="69E05D7F"/>
    <w:rsid w:val="6A7FE5F3"/>
    <w:rsid w:val="6B053271"/>
    <w:rsid w:val="6BDD78B3"/>
    <w:rsid w:val="6C4A05C8"/>
    <w:rsid w:val="6C8742B8"/>
    <w:rsid w:val="6DAF51BB"/>
    <w:rsid w:val="6DBF5E93"/>
    <w:rsid w:val="6DFF077E"/>
    <w:rsid w:val="6E5A6ED5"/>
    <w:rsid w:val="6E714EF0"/>
    <w:rsid w:val="6E7E3605"/>
    <w:rsid w:val="6E7FDCC7"/>
    <w:rsid w:val="6ED6A62E"/>
    <w:rsid w:val="6EE00B15"/>
    <w:rsid w:val="6F6FB3EB"/>
    <w:rsid w:val="6F8731EA"/>
    <w:rsid w:val="6FCE6052"/>
    <w:rsid w:val="6FD57C00"/>
    <w:rsid w:val="6FEE1FCA"/>
    <w:rsid w:val="6FEFFFD8"/>
    <w:rsid w:val="6FF5CC65"/>
    <w:rsid w:val="6FFB47EC"/>
    <w:rsid w:val="6FFF034A"/>
    <w:rsid w:val="702A6D7B"/>
    <w:rsid w:val="70484440"/>
    <w:rsid w:val="70657DB3"/>
    <w:rsid w:val="712A28F1"/>
    <w:rsid w:val="715C0E4B"/>
    <w:rsid w:val="71992E7C"/>
    <w:rsid w:val="72233669"/>
    <w:rsid w:val="72734D90"/>
    <w:rsid w:val="73160E6D"/>
    <w:rsid w:val="731A6C33"/>
    <w:rsid w:val="7332FE48"/>
    <w:rsid w:val="73AB61DA"/>
    <w:rsid w:val="73AD73D5"/>
    <w:rsid w:val="73B6EB34"/>
    <w:rsid w:val="73E21E46"/>
    <w:rsid w:val="73FA497D"/>
    <w:rsid w:val="744731E5"/>
    <w:rsid w:val="74962C31"/>
    <w:rsid w:val="74BBD01D"/>
    <w:rsid w:val="74ED5379"/>
    <w:rsid w:val="75A82C1C"/>
    <w:rsid w:val="75DEEEC2"/>
    <w:rsid w:val="75E32345"/>
    <w:rsid w:val="75EF1A89"/>
    <w:rsid w:val="76E3355F"/>
    <w:rsid w:val="76EB7264"/>
    <w:rsid w:val="76FF5125"/>
    <w:rsid w:val="776F6FFA"/>
    <w:rsid w:val="778769C8"/>
    <w:rsid w:val="77A75DCA"/>
    <w:rsid w:val="77AB254F"/>
    <w:rsid w:val="77DC22F5"/>
    <w:rsid w:val="781B133D"/>
    <w:rsid w:val="783E271A"/>
    <w:rsid w:val="78616DE9"/>
    <w:rsid w:val="78D41F79"/>
    <w:rsid w:val="78E875D7"/>
    <w:rsid w:val="79086DAD"/>
    <w:rsid w:val="791CEDDC"/>
    <w:rsid w:val="799F4335"/>
    <w:rsid w:val="79AC25AE"/>
    <w:rsid w:val="79D7FD79"/>
    <w:rsid w:val="79EE5BA4"/>
    <w:rsid w:val="7A04063C"/>
    <w:rsid w:val="7A894339"/>
    <w:rsid w:val="7AD284E8"/>
    <w:rsid w:val="7AEC7106"/>
    <w:rsid w:val="7AFF7572"/>
    <w:rsid w:val="7B6C46EB"/>
    <w:rsid w:val="7B6C7DFB"/>
    <w:rsid w:val="7BBFBED0"/>
    <w:rsid w:val="7BC3E394"/>
    <w:rsid w:val="7C1F3737"/>
    <w:rsid w:val="7C266648"/>
    <w:rsid w:val="7CBC51FE"/>
    <w:rsid w:val="7CBFC87B"/>
    <w:rsid w:val="7CC04CEF"/>
    <w:rsid w:val="7CFE0F48"/>
    <w:rsid w:val="7D1E1A15"/>
    <w:rsid w:val="7D272ABC"/>
    <w:rsid w:val="7D7EC23E"/>
    <w:rsid w:val="7DDD367E"/>
    <w:rsid w:val="7DFC1D56"/>
    <w:rsid w:val="7E7033BE"/>
    <w:rsid w:val="7E8ADEBF"/>
    <w:rsid w:val="7E924469"/>
    <w:rsid w:val="7EEBACCC"/>
    <w:rsid w:val="7EEF11D3"/>
    <w:rsid w:val="7EFE4840"/>
    <w:rsid w:val="7F0971A6"/>
    <w:rsid w:val="7F1D62E7"/>
    <w:rsid w:val="7F2E6E03"/>
    <w:rsid w:val="7F3F679B"/>
    <w:rsid w:val="7F4FC4EF"/>
    <w:rsid w:val="7F5E4D54"/>
    <w:rsid w:val="7F6E0135"/>
    <w:rsid w:val="7F79F205"/>
    <w:rsid w:val="7F954211"/>
    <w:rsid w:val="7FA30C79"/>
    <w:rsid w:val="7FA79C44"/>
    <w:rsid w:val="7FAF8ABF"/>
    <w:rsid w:val="7FB7269E"/>
    <w:rsid w:val="7FC96657"/>
    <w:rsid w:val="7FD331ED"/>
    <w:rsid w:val="7FDA9588"/>
    <w:rsid w:val="7FDF220F"/>
    <w:rsid w:val="7FEDC5F7"/>
    <w:rsid w:val="7FEDD9DE"/>
    <w:rsid w:val="7FF5890D"/>
    <w:rsid w:val="7FF93490"/>
    <w:rsid w:val="99FF2014"/>
    <w:rsid w:val="A6DD0D7F"/>
    <w:rsid w:val="ACFF4FBB"/>
    <w:rsid w:val="ADC6F725"/>
    <w:rsid w:val="AFEF4559"/>
    <w:rsid w:val="B7CF06AB"/>
    <w:rsid w:val="B7CFA926"/>
    <w:rsid w:val="B7F8786B"/>
    <w:rsid w:val="BABB6AA1"/>
    <w:rsid w:val="BB2F4199"/>
    <w:rsid w:val="BCFFB442"/>
    <w:rsid w:val="BD079C78"/>
    <w:rsid w:val="BD733540"/>
    <w:rsid w:val="BEFF9CBB"/>
    <w:rsid w:val="BF3735D5"/>
    <w:rsid w:val="BF7F09AC"/>
    <w:rsid w:val="BFBE7C32"/>
    <w:rsid w:val="BFD475C3"/>
    <w:rsid w:val="BFDE5EA6"/>
    <w:rsid w:val="CF6FC6F3"/>
    <w:rsid w:val="CFD3D3D7"/>
    <w:rsid w:val="CFDF1009"/>
    <w:rsid w:val="D6EFB02C"/>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EFDE653B"/>
    <w:rsid w:val="F2BEBCB8"/>
    <w:rsid w:val="F36FB518"/>
    <w:rsid w:val="F3DE1A04"/>
    <w:rsid w:val="F3F722E5"/>
    <w:rsid w:val="F4FBCD07"/>
    <w:rsid w:val="F7F728F0"/>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29992;&#25143;&#30446;&#24405;\Desktop\&#26032;&#24314;%20XLS%20&#24037;&#20316;&#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9992;&#25143;&#30446;&#24405;\Desktop\&#26032;&#24314;%20XLS%20&#24037;&#20316;&#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29992;&#25143;&#30446;&#24405;\Desktop\&#26032;&#24314;%20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收入、支出变动</a:t>
            </a:r>
          </a:p>
        </c:rich>
      </c:tx>
      <c:layout>
        <c:manualLayout>
          <c:xMode val="edge"/>
          <c:yMode val="edge"/>
          <c:x val="0.348430760077346"/>
          <c:y val="0.0355731225296443"/>
        </c:manualLayout>
      </c:layout>
      <c:overlay val="0"/>
      <c:spPr>
        <a:noFill/>
        <a:ln>
          <a:noFill/>
        </a:ln>
        <a:effectLst/>
      </c:spPr>
    </c:title>
    <c:autoTitleDeleted val="0"/>
    <c:plotArea>
      <c:layout>
        <c:manualLayout>
          <c:layoutTarget val="inner"/>
          <c:xMode val="edge"/>
          <c:yMode val="edge"/>
          <c:x val="0.15984782112278"/>
          <c:y val="0.197901905247628"/>
          <c:w val="0.776025039123631"/>
          <c:h val="0.540092165898618"/>
        </c:manualLayout>
      </c:layout>
      <c:barChart>
        <c:barDir val="col"/>
        <c:grouping val="clustered"/>
        <c:varyColors val="0"/>
        <c:ser>
          <c:idx val="0"/>
          <c:order val="0"/>
          <c:tx>
            <c:strRef>
              <c:f>[工作簿1]Sheet1!$A$2</c:f>
              <c:strCache>
                <c:ptCount val="1"/>
                <c:pt idx="0">
                  <c:v>收入</c:v>
                </c:pt>
              </c:strCache>
            </c:strRef>
          </c:tx>
          <c:spPr>
            <a:solidFill>
              <a:schemeClr val="accent1"/>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[工作簿1]Sheet1!$B$2:$C$2</c:f>
              <c:numCache>
                <c:formatCode>General</c:formatCode>
                <c:ptCount val="2"/>
                <c:pt idx="0">
                  <c:v>80.03</c:v>
                </c:pt>
                <c:pt idx="1">
                  <c:v>86.22</c:v>
                </c:pt>
              </c:numCache>
            </c:numRef>
          </c:val>
        </c:ser>
        <c:ser>
          <c:idx val="1"/>
          <c:order val="1"/>
          <c:tx>
            <c:strRef>
              <c:f>[工作簿1]Sheet1!$A$3</c:f>
              <c:strCache>
                <c:ptCount val="1"/>
                <c:pt idx="0">
                  <c:v>支出</c:v>
                </c:pt>
              </c:strCache>
            </c:strRef>
          </c:tx>
          <c:spPr>
            <a:solidFill>
              <a:schemeClr val="accent2"/>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[工作簿1]Sheet1!$B$3:$C$3</c:f>
              <c:numCache>
                <c:formatCode>General</c:formatCode>
                <c:ptCount val="2"/>
                <c:pt idx="0">
                  <c:v>80.03</c:v>
                </c:pt>
                <c:pt idx="1">
                  <c:v>86.22</c:v>
                </c:pt>
              </c:numCache>
            </c:numRef>
          </c:val>
        </c:ser>
        <c:dLbls>
          <c:showLegendKey val="0"/>
          <c:showVal val="0"/>
          <c:showCatName val="0"/>
          <c:showSerName val="0"/>
          <c:showPercent val="0"/>
          <c:showBubbleSize val="0"/>
        </c:dLbls>
        <c:gapWidth val="246"/>
        <c:overlap val="-28"/>
        <c:axId val="687371805"/>
        <c:axId val="488207951"/>
      </c:barChart>
      <c:catAx>
        <c:axId val="68737180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207951"/>
        <c:crosses val="autoZero"/>
        <c:auto val="1"/>
        <c:lblAlgn val="ctr"/>
        <c:lblOffset val="100"/>
        <c:noMultiLvlLbl val="0"/>
      </c:catAx>
      <c:valAx>
        <c:axId val="48820795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3718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688f719-5b19-482a-ae65-d7cc3713037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'[新建 XLS 工作表.xls]Sheet1'!$A$23</c:f>
              <c:strCache>
                <c:ptCount val="1"/>
                <c:pt idx="0">
                  <c:v>一般公共预算财政拨款收入</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工作表.xls]Sheet1'!$B$22</c:f>
              <c:strCache>
                <c:ptCount val="1"/>
                <c:pt idx="0">
                  <c:v>收入(万元）</c:v>
                </c:pt>
              </c:strCache>
            </c:strRef>
          </c:cat>
          <c:val>
            <c:numRef>
              <c:f>'[新建 XLS 工作表.xls]Sheet1'!$B$23</c:f>
              <c:numCache>
                <c:formatCode>General</c:formatCode>
                <c:ptCount val="1"/>
                <c:pt idx="0">
                  <c:v>80.03</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7a10d681-8f69-4808-8abb-445dbb62221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291644736842105"/>
          <c:y val="0.160416666666667"/>
          <c:w val="0.438815789473684"/>
          <c:h val="0.771990740740741"/>
        </c:manualLayout>
      </c:layout>
      <c:pieChart>
        <c:varyColors val="1"/>
        <c:ser>
          <c:idx val="0"/>
          <c:order val="0"/>
          <c:tx>
            <c:strRef>
              <c:f>'[新建 XLS 工作表.xls]Sheet1'!$B$32</c:f>
              <c:strCache>
                <c:ptCount val="1"/>
                <c:pt idx="0">
                  <c:v>2024年度</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2"/>
              <c:layout>
                <c:manualLayout>
                  <c:x val="-0.0821059420099938"/>
                  <c:y val="0.332309027776818"/>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994731905317291"/>
                  <c:y val="0.28786458333237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工作表.xls]Sheet1'!$A$33:$A$36</c:f>
              <c:strCache>
                <c:ptCount val="4"/>
                <c:pt idx="0">
                  <c:v>基本支出</c:v>
                </c:pt>
                <c:pt idx="1">
                  <c:v>项目支出</c:v>
                </c:pt>
                <c:pt idx="2">
                  <c:v>上缴上级支出</c:v>
                </c:pt>
                <c:pt idx="3">
                  <c:v>经营支出</c:v>
                </c:pt>
              </c:strCache>
            </c:strRef>
          </c:cat>
          <c:val>
            <c:numRef>
              <c:f>'[新建 XLS 工作表.xls]Sheet1'!$B$33:$B$36</c:f>
              <c:numCache>
                <c:formatCode>General</c:formatCode>
                <c:ptCount val="4"/>
                <c:pt idx="0">
                  <c:v>80.03</c:v>
                </c:pt>
                <c:pt idx="1">
                  <c:v>0</c:v>
                </c:pt>
                <c:pt idx="2">
                  <c:v>0</c:v>
                </c:pt>
                <c:pt idx="3">
                  <c:v>0</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14c7b347-c3c3-49a5-bc97-82702a3dd3f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632766400555363"/>
          <c:y val="0.340916633980026"/>
        </c:manualLayout>
      </c:layout>
      <c:overlay val="0"/>
      <c:spPr>
        <a:noFill/>
        <a:ln>
          <a:noFill/>
        </a:ln>
        <a:effectLst/>
      </c:spPr>
      <c:tx>
        <c:rich>
          <a:bodyPr/>
          <a:lstStyle/>
          <a:p>
            <a:pPr>
              <a:defRPr/>
            </a:pPr>
          </a:p>
        </c:rich>
      </c:tx>
    </c:title>
    <c:autoTitleDeleted val="0"/>
    <c:plotArea>
      <c:layout>
        <c:manualLayout>
          <c:layoutTarget val="inner"/>
          <c:xMode val="edge"/>
          <c:yMode val="edge"/>
          <c:x val="0.15984782112278"/>
          <c:y val="0.197901905247628"/>
          <c:w val="0.776025039123631"/>
          <c:h val="0.540092165898618"/>
        </c:manualLayout>
      </c:layout>
      <c:barChart>
        <c:barDir val="col"/>
        <c:grouping val="clustered"/>
        <c:varyColors val="0"/>
        <c:ser>
          <c:idx val="0"/>
          <c:order val="0"/>
          <c:tx>
            <c:strRef>
              <c:f>[工作簿1]Sheet1!$A$2</c:f>
              <c:strCache>
                <c:ptCount val="1"/>
                <c:pt idx="0">
                  <c:v>收入</c:v>
                </c:pt>
              </c:strCache>
            </c:strRef>
          </c:tx>
          <c:spPr>
            <a:solidFill>
              <a:schemeClr val="accent1"/>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[工作簿1]Sheet1!$B$2:$C$2</c:f>
              <c:numCache>
                <c:formatCode>General</c:formatCode>
                <c:ptCount val="2"/>
                <c:pt idx="0">
                  <c:v>80.03</c:v>
                </c:pt>
                <c:pt idx="1">
                  <c:v>86.22</c:v>
                </c:pt>
              </c:numCache>
            </c:numRef>
          </c:val>
        </c:ser>
        <c:ser>
          <c:idx val="1"/>
          <c:order val="1"/>
          <c:tx>
            <c:strRef>
              <c:f>[工作簿1]Sheet1!$A$3</c:f>
              <c:strCache>
                <c:ptCount val="1"/>
                <c:pt idx="0">
                  <c:v>支出</c:v>
                </c:pt>
              </c:strCache>
            </c:strRef>
          </c:tx>
          <c:spPr>
            <a:solidFill>
              <a:schemeClr val="accent2"/>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[工作簿1]Sheet1!$B$3:$C$3</c:f>
              <c:numCache>
                <c:formatCode>General</c:formatCode>
                <c:ptCount val="2"/>
                <c:pt idx="0">
                  <c:v>80.03</c:v>
                </c:pt>
                <c:pt idx="1">
                  <c:v>86.22</c:v>
                </c:pt>
              </c:numCache>
            </c:numRef>
          </c:val>
        </c:ser>
        <c:dLbls>
          <c:showLegendKey val="0"/>
          <c:showVal val="0"/>
          <c:showCatName val="0"/>
          <c:showSerName val="0"/>
          <c:showPercent val="0"/>
          <c:showBubbleSize val="0"/>
        </c:dLbls>
        <c:gapWidth val="246"/>
        <c:overlap val="-28"/>
        <c:axId val="687371805"/>
        <c:axId val="488207951"/>
      </c:barChart>
      <c:catAx>
        <c:axId val="687371805"/>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207951"/>
        <c:crosses val="autoZero"/>
        <c:auto val="1"/>
        <c:lblAlgn val="ctr"/>
        <c:lblOffset val="100"/>
        <c:noMultiLvlLbl val="0"/>
      </c:catAx>
      <c:valAx>
        <c:axId val="488207951"/>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3718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688f719-5b19-482a-ae65-d7cc3713037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632766400555363"/>
          <c:y val="0.340916633980026"/>
        </c:manualLayout>
      </c:layout>
      <c:overlay val="0"/>
      <c:spPr>
        <a:noFill/>
        <a:ln>
          <a:noFill/>
        </a:ln>
        <a:effectLst/>
      </c:spPr>
      <c:tx>
        <c:rich>
          <a:bodyPr/>
          <a:lstStyle/>
          <a:p>
            <a:pPr>
              <a:defRPr/>
            </a:pPr>
          </a:p>
        </c:rich>
      </c:tx>
    </c:title>
    <c:autoTitleDeleted val="0"/>
    <c:plotArea>
      <c:layout>
        <c:manualLayout>
          <c:layoutTarget val="inner"/>
          <c:xMode val="edge"/>
          <c:yMode val="edge"/>
          <c:x val="0.15984782112278"/>
          <c:y val="0.197901905247628"/>
          <c:w val="0.776025039123631"/>
          <c:h val="0.540092165898618"/>
        </c:manualLayout>
      </c:layout>
      <c:barChart>
        <c:barDir val="col"/>
        <c:grouping val="clustered"/>
        <c:varyColors val="0"/>
        <c:ser>
          <c:idx val="0"/>
          <c:order val="0"/>
          <c:tx>
            <c:strRef>
              <c:f>[工作簿1]Sheet1!$A$2</c:f>
              <c:strCache>
                <c:ptCount val="1"/>
                <c:pt idx="0">
                  <c:v>收入</c:v>
                </c:pt>
              </c:strCache>
            </c:strRef>
          </c:tx>
          <c:spPr>
            <a:solidFill>
              <a:schemeClr val="accent1"/>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[工作簿1]Sheet1!$B$2:$C$2</c:f>
              <c:numCache>
                <c:formatCode>General</c:formatCode>
                <c:ptCount val="2"/>
                <c:pt idx="0">
                  <c:v>80.03</c:v>
                </c:pt>
                <c:pt idx="1">
                  <c:v>86.22</c:v>
                </c:pt>
              </c:numCache>
            </c:numRef>
          </c:val>
        </c:ser>
        <c:ser>
          <c:idx val="1"/>
          <c:order val="1"/>
          <c:tx>
            <c:strRef>
              <c:f>[工作簿1]Sheet1!$A$3</c:f>
              <c:strCache>
                <c:ptCount val="1"/>
                <c:pt idx="0">
                  <c:v>支出</c:v>
                </c:pt>
              </c:strCache>
            </c:strRef>
          </c:tx>
          <c:spPr>
            <a:solidFill>
              <a:schemeClr val="accent2"/>
            </a:solidFill>
            <a:ln>
              <a:noFill/>
            </a:ln>
            <a:effectLst/>
          </c:spPr>
          <c:invertIfNegative val="0"/>
          <c:dLbls>
            <c:delete val="1"/>
          </c:dLbls>
          <c:cat>
            <c:numRef>
              <c:f>[工作簿1]Sheet1!$B$1:$C$1</c:f>
              <c:numCache>
                <c:formatCode>General</c:formatCode>
                <c:ptCount val="2"/>
                <c:pt idx="0">
                  <c:v>2024</c:v>
                </c:pt>
                <c:pt idx="1">
                  <c:v>2025</c:v>
                </c:pt>
              </c:numCache>
            </c:numRef>
          </c:cat>
          <c:val>
            <c:numRef>
              <c:f>[工作簿1]Sheet1!$B$3:$C$3</c:f>
              <c:numCache>
                <c:formatCode>General</c:formatCode>
                <c:ptCount val="2"/>
                <c:pt idx="0">
                  <c:v>80.03</c:v>
                </c:pt>
                <c:pt idx="1">
                  <c:v>86.22</c:v>
                </c:pt>
              </c:numCache>
            </c:numRef>
          </c:val>
        </c:ser>
        <c:dLbls>
          <c:showLegendKey val="0"/>
          <c:showVal val="0"/>
          <c:showCatName val="0"/>
          <c:showSerName val="0"/>
          <c:showPercent val="0"/>
          <c:showBubbleSize val="0"/>
        </c:dLbls>
        <c:gapWidth val="246"/>
        <c:overlap val="-28"/>
        <c:axId val="687371805"/>
        <c:axId val="488207951"/>
      </c:barChart>
      <c:catAx>
        <c:axId val="687371805"/>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207951"/>
        <c:crosses val="autoZero"/>
        <c:auto val="1"/>
        <c:lblAlgn val="ctr"/>
        <c:lblOffset val="100"/>
        <c:noMultiLvlLbl val="0"/>
      </c:catAx>
      <c:valAx>
        <c:axId val="488207951"/>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3718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688f719-5b19-482a-ae65-d7cc3713037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'[新建 XLS 工作表.xls]Sheet1'!$B$41</c:f>
              <c:strCache>
                <c:ptCount val="1"/>
                <c:pt idx="0">
                  <c:v>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a:t>
                    </a:r>
                    <a:r>
                      <a:rPr lang="en-US" altLang="zh-CN"/>
                      <a:t>4</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5</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7</a:t>
                    </a:r>
                    <a:r>
                      <a:rPr lang="en-US" altLang="zh-CN"/>
                      <a:t>4</a:t>
                    </a:r>
                    <a:r>
                      <a:t>%</a:t>
                    </a:r>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工作表.xls]Sheet1'!$A$42:$A$45</c:f>
              <c:strCache>
                <c:ptCount val="4"/>
                <c:pt idx="0">
                  <c:v>社会保障和就业支出</c:v>
                </c:pt>
                <c:pt idx="1">
                  <c:v>卫生健康支出</c:v>
                </c:pt>
                <c:pt idx="2">
                  <c:v>住房保障支出</c:v>
                </c:pt>
                <c:pt idx="3">
                  <c:v>城乡社区支出</c:v>
                </c:pt>
              </c:strCache>
            </c:strRef>
          </c:cat>
          <c:val>
            <c:numRef>
              <c:f>'[新建 XLS 工作表.xls]Sheet1'!$B$42:$B$45</c:f>
              <c:numCache>
                <c:formatCode>General</c:formatCode>
                <c:ptCount val="4"/>
                <c:pt idx="0">
                  <c:v>11.72</c:v>
                </c:pt>
                <c:pt idx="1">
                  <c:v>4.86</c:v>
                </c:pt>
                <c:pt idx="2">
                  <c:v>5.99</c:v>
                </c:pt>
                <c:pt idx="3">
                  <c:v>57.46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c61b446-0fff-4a32-96e3-f3cac63673d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69816cf1-e98b-4053-a583-baf30b3f9197</errorID>
      <errorWord>薄</errorWord>
      <group>L1_Word</group>
      <groupName>字词问题</groupName>
      <ability>L2_Typo</ability>
      <abilityName>字词错误</abilityName>
      <candidateList>
        <item>簿</item>
      </candidateList>
      <explain>存在字形相近字词的误用。</explain>
      <paraID>7962A688</paraID>
      <start>42</start>
      <end>43</end>
      <status>modified</status>
      <modifiedWord>簿</modifiedWord>
      <trackRevisions>false</trackRevisions>
    </reviewItem>
    <reviewItem>
      <errorID>e32db541-1f73-4840-b87c-d4f268f15f62</errorID>
      <errorWord>0%%</errorWord>
      <group>L1_Word</group>
      <groupName>字词问题</groupName>
      <ability>L2_Typo</ability>
      <abilityName>字词错误</abilityName>
      <candidateList>
        <item>0%</item>
      </candidateList>
      <explain/>
      <paraID>1BFCB0D6</paraID>
      <start>67</start>
      <end>69</end>
      <status>modified</status>
      <modifiedWord>0%</modifiedWord>
      <trackRevisions>false</trackRevisions>
    </reviewItem>
    <reviewItem>
      <errorID>7377e01c-ac2a-49e9-a529-be1b5bffa4cd</errorID>
      <errorWord>0%%</errorWord>
      <group>L1_Word</group>
      <groupName>字词问题</groupName>
      <ability>L2_Typo</ability>
      <abilityName>字词错误</abilityName>
      <candidateList>
        <item>0%</item>
      </candidateList>
      <explain/>
      <paraID> 6E37498</paraID>
      <start>93</start>
      <end>95</end>
      <status>modified</status>
      <modifiedWord>0%</modifiedWord>
      <trackRevisions>false</trackRevisions>
    </reviewItem>
    <reviewItem>
      <errorID>45c8c472-f1ce-47f9-aae2-52eacdb3655c</errorID>
      <errorWord>..</errorWord>
      <group>L1_Punc</group>
      <groupName>标点问题</groupName>
      <ability>L2_Punc_CN</ability>
      <abilityName>标点符号问题</abilityName>
      <candidateList>
        <item>.</item>
      </candidateList>
      <explain/>
      <paraID>19F6D1B8</paraID>
      <start>1</start>
      <end>2</end>
      <status>modified</status>
      <modifiedWord>.</modifiedWord>
      <trackRevisions>false</trackRevisions>
    </reviewItem>
    <reviewItem>
      <errorID>8efbdade-e6d5-4aef-bcef-bb38971bf048</errorID>
      <errorWord>:</errorWord>
      <group>L1_Format</group>
      <groupName>格式问题</groupName>
      <ability>L2_HalfPunc_CN</ability>
      <abilityName>全半角问题</abilityName>
      <candidateList>
        <item>：</item>
      </candidateList>
      <explain>文本全半角错误。</explain>
      <paraID>4306FEBB</paraID>
      <start>24</start>
      <end>25</end>
      <status>modified</status>
      <modifiedWord>：</modifiedWord>
      <trackRevisions>false</trackRevisions>
    </reviewItem>
    <reviewItem>
      <errorID>1f56839f-7af9-4788-b9b0-b5e7940df0e6</errorID>
      <errorWord>&lt;</errorWord>
      <group>L1_Format</group>
      <groupName>格式问题</groupName>
      <ability>L2_HalfPunc_CN</ability>
      <abilityName>全半角问题</abilityName>
      <candidateList>
        <item>〈</item>
      </candidateList>
      <explain>文本全半角错误。</explain>
      <paraID>737B3C70</paraID>
      <start>50</start>
      <end>51</end>
      <status>modified</status>
      <modifiedWord>〈</modifiedWord>
      <trackRevisions>false</trackRevisions>
    </reviewItem>
    <reviewItem>
      <errorID>095e5f98-76cc-459a-942c-3e7077310a5f</errorID>
      <errorWord>&gt;</errorWord>
      <group>L1_Format</group>
      <groupName>格式问题</groupName>
      <ability>L2_HalfPunc_CN</ability>
      <abilityName>全半角问题</abilityName>
      <candidateList>
        <item>〉</item>
      </candidateList>
      <explain>文本全半角错误。</explain>
      <paraID>737B3C70</paraID>
      <start>53</start>
      <end>54</end>
      <status>modified</status>
      <modifiedWord>〉</modifiedWord>
      <trackRevisions>false</trackRevisions>
    </reviewItem>
    <reviewItem>
      <errorID>e42b8d20-7387-4e1b-935d-2dbf484df41b</errorID>
      <errorWord>&lt;</errorWord>
      <group>L1_Format</group>
      <groupName>格式问题</groupName>
      <ability>L2_HalfPunc_CN</ability>
      <abilityName>全半角问题</abilityName>
      <candidateList>
        <item>〈</item>
      </candidateList>
      <explain>文本全半角错误。</explain>
      <paraID>737B3C70</paraID>
      <start>60</start>
      <end>61</end>
      <status>modified</status>
      <modifiedWord>〈</modifiedWord>
      <trackRevisions>false</trackRevisions>
    </reviewItem>
    <reviewItem>
      <errorID>5fb52789-663d-4ffe-9313-2d4ce024399d</errorID>
      <errorWord>&gt;</errorWord>
      <group>L1_Format</group>
      <groupName>格式问题</groupName>
      <ability>L2_HalfPunc_CN</ability>
      <abilityName>全半角问题</abilityName>
      <candidateList>
        <item>〉</item>
      </candidateList>
      <explain>文本全半角错误。</explain>
      <paraID>737B3C70</paraID>
      <start>63</start>
      <end>64</end>
      <status>modified</status>
      <modifiedWord>〉</modifiedWord>
      <trackRevisions>false</trackRevisions>
    </reviewItem>
    <reviewItem>
      <errorID>5c7fb912-8c95-4cbe-ab0c-4c61d8d783b1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221A5018</paraID>
      <start>77</start>
      <end>83</end>
      <status>modified</status>
      <modifiedWord>“三公”经费</modifiedWord>
      <trackRevisions>false</trackRevisions>
    </reviewItem>
    <reviewItem>
      <errorID>3f8a8171-25c2-462c-b4f6-c8ab82302d1a</errorID>
      <errorWord>(</errorWord>
      <group>L1_Format</group>
      <groupName>格式问题</groupName>
      <ability>L2_HalfPunc_CN</ability>
      <abilityName>全半角问题</abilityName>
      <candidateList>
        <item>（</item>
      </candidateList>
      <explain>文本全半角错误。</explain>
      <paraID>7DF51D7C</paraID>
      <start>18</start>
      <end>19</end>
      <status>modified</status>
      <modifiedWord>（</modifiedWord>
      <trackRevisions>false</trackRevisions>
    </reviewItem>
    <reviewItem>
      <errorID>99224b32-8190-48fc-a240-970e24ca7f7d</errorID>
      <errorWord>)</errorWord>
      <group>L1_Format</group>
      <groupName>格式问题</groupName>
      <ability>L2_HalfPunc_CN</ability>
      <abilityName>全半角问题</abilityName>
      <candidateList>
        <item>）</item>
      </candidateList>
      <explain>文本全半角错误。</explain>
      <paraID>7DF51D7C</paraID>
      <start>45</start>
      <end>46</end>
      <status>modified</status>
      <modifiedWord>）</modifiedWord>
      <trackRevisions>false</trackRevisions>
    </reviewItem>
    <reviewItem>
      <errorID>1bf5399b-ea6e-494c-a432-06e76280c416</errorID>
      <errorWord>，</errorWord>
      <group>L1_Word</group>
      <groupName>字词问题</groupName>
      <ability>L2_Typo</ability>
      <abilityName>字词错误</abilityName>
      <candidateList>
        <item>，在</item>
      </candidateList>
      <explain/>
      <paraID>75FE5454</paraID>
      <start>61</start>
      <end>63</end>
      <status>modified</status>
      <modifiedWord>，在</modifiedWord>
      <trackRevisions>false</trackRevisions>
    </reviewItem>
    <reviewItem>
      <errorID>5447444b-d640-4d8f-bb75-66a624e73bb0</errorID>
      <errorWord>、等</errorWord>
      <group>L1_Word</group>
      <groupName>字词问题</groupName>
      <ability>L2_Typo</ability>
      <abilityName>字词错误</abilityName>
      <candidateList>
        <item>、</item>
      </candidateList>
      <explain/>
      <paraID>527AFC35</paraID>
      <start>83</start>
      <end>84</end>
      <status>modified</status>
      <modifiedWord>、</modifiedWord>
      <trackRevisions>false</trackRevisions>
    </reviewItem>
    <reviewItem>
      <errorID>1a8391ca-c538-4e68-9527-624d4ad028b1</errorID>
      <errorWord>:</errorWord>
      <group>L1_Format</group>
      <groupName>格式问题</groupName>
      <ability>L2_HalfPunc_CN</ability>
      <abilityName>全半角问题</abilityName>
      <candidateList>
        <item>：</item>
      </candidateList>
      <explain>文本全半角错误。</explain>
      <paraID>1F10CDA0</paraID>
      <start>24</start>
      <end>25</end>
      <status>modified</status>
      <modifiedWord>：</modifiedWord>
      <trackRevisions>false</trackRevisions>
    </reviewItem>
    <reviewItem>
      <errorID>5d59b82f-5243-413e-8507-4654a45e8e30</errorID>
      <errorWord>比列</errorWord>
      <group>L1_Word</group>
      <groupName>字词问题</groupName>
      <ability>L2_Typo</ability>
      <abilityName>字词错误</abilityName>
      <candidateList>
        <item>比例</item>
      </candidateList>
      <explain/>
      <paraID>1F10CDA0</paraID>
      <start>64</start>
      <end>66</end>
      <status>modified</status>
      <modifiedWord>比例</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e4ebbe-4bf5-4e49-8566-4401d1f03a54}">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15</Pages>
  <Words>5022</Words>
  <Characters>5368</Characters>
  <Lines>61</Lines>
  <Paragraphs>17</Paragraphs>
  <TotalTime>13</TotalTime>
  <ScaleCrop>false</ScaleCrop>
  <LinksUpToDate>false</LinksUpToDate>
  <CharactersWithSpaces>5467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奕夕^_^</cp:lastModifiedBy>
  <cp:lastPrinted>2025-08-07T01:34:00Z</cp:lastPrinted>
  <dcterms:modified xsi:type="dcterms:W3CDTF">2026-10-15T01:26:40Z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eyJoZGlkIjoiNTU1MWNhN2ZmY2ZhZmY3ODhlYTg0MWU5OGMyY2QwZmUiLCJ1c2VySWQiOiI0MzQ2NTM0NzEifQ==</vt:lpwstr>
  </property>
</Properties>
</file>