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C1203">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06267"/>
      <w:bookmarkStart w:id="2" w:name="_Toc15396597"/>
      <w:bookmarkStart w:id="3" w:name="_Toc15396475"/>
      <w:bookmarkStart w:id="4" w:name="_Toc15377425"/>
      <w:bookmarkStart w:id="5" w:name="_Toc15377193"/>
    </w:p>
    <w:p w14:paraId="10DA0D07">
      <w:pPr>
        <w:pStyle w:val="5"/>
        <w:rPr>
          <w:rFonts w:hint="eastAsia" w:ascii="Times New Roman" w:hAnsi="Times New Roman" w:eastAsia="方正小标宋简体" w:cs="Times New Roman"/>
          <w:color w:val="auto"/>
          <w:kern w:val="2"/>
          <w:sz w:val="72"/>
          <w:szCs w:val="72"/>
          <w:highlight w:val="none"/>
          <w:lang w:val="en-US" w:eastAsia="zh-CN" w:bidi="ar-SA"/>
        </w:rPr>
      </w:pPr>
    </w:p>
    <w:p w14:paraId="3377333F">
      <w:pPr>
        <w:pStyle w:val="5"/>
        <w:rPr>
          <w:rFonts w:hint="eastAsia" w:ascii="Times New Roman" w:hAnsi="Times New Roman" w:eastAsia="方正小标宋简体" w:cs="Times New Roman"/>
          <w:color w:val="auto"/>
          <w:kern w:val="2"/>
          <w:sz w:val="72"/>
          <w:szCs w:val="72"/>
          <w:highlight w:val="none"/>
          <w:lang w:val="en-US" w:eastAsia="zh-CN" w:bidi="ar-SA"/>
        </w:rPr>
      </w:pPr>
    </w:p>
    <w:p w14:paraId="5D514203">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w:t>
      </w:r>
      <w:r>
        <w:rPr>
          <w:rFonts w:hint="eastAsia" w:ascii="方正小标宋简体" w:hAnsi="宋体" w:eastAsia="方正小标宋简体" w:cs="Times New Roman"/>
          <w:color w:val="auto"/>
          <w:kern w:val="2"/>
          <w:sz w:val="44"/>
          <w:szCs w:val="44"/>
          <w:highlight w:val="none"/>
          <w:lang w:val="en-US" w:eastAsia="zh-CN" w:bidi="ar-SA"/>
        </w:rPr>
        <w:t>松潘县质量安全监督站</w:t>
      </w:r>
    </w:p>
    <w:p w14:paraId="2BEFA622">
      <w:pPr>
        <w:pStyle w:val="5"/>
        <w:jc w:val="center"/>
        <w:rPr>
          <w:rFonts w:hint="eastAsia" w:ascii="Times New Roman" w:hAnsi="Times New Roman" w:eastAsia="方正小标宋简体"/>
          <w:lang w:val="en-US" w:eastAsia="zh-C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方正小标宋简体" w:hAnsi="宋体" w:eastAsia="方正小标宋简体" w:cs="Times New Roman"/>
          <w:color w:val="auto"/>
          <w:kern w:val="2"/>
          <w:sz w:val="44"/>
          <w:szCs w:val="44"/>
          <w:highlight w:val="none"/>
          <w:lang w:val="en-US" w:eastAsia="zh-CN" w:bidi="ar-SA"/>
        </w:rPr>
        <w:t>决算公开</w:t>
      </w:r>
    </w:p>
    <w:bookmarkEnd w:id="0"/>
    <w:bookmarkEnd w:id="1"/>
    <w:bookmarkEnd w:id="2"/>
    <w:bookmarkEnd w:id="3"/>
    <w:bookmarkEnd w:id="4"/>
    <w:bookmarkEnd w:id="5"/>
    <w:p w14:paraId="5168F53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F37F0CC">
      <w:pPr>
        <w:widowControl/>
        <w:jc w:val="center"/>
        <w:rPr>
          <w:rFonts w:ascii="Times New Roman" w:hAnsi="Times New Roman" w:eastAsia="黑体" w:cstheme="minorBidi"/>
          <w:color w:val="auto"/>
          <w:sz w:val="28"/>
          <w:szCs w:val="28"/>
          <w:highlight w:val="none"/>
        </w:rPr>
      </w:pPr>
    </w:p>
    <w:p w14:paraId="147067D3">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8591"/>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7473AB32">
          <w:pPr>
            <w:spacing w:before="0" w:beforeLines="0" w:after="0" w:afterLines="0" w:line="240" w:lineRule="auto"/>
            <w:ind w:left="0" w:leftChars="0" w:right="0" w:rightChars="0" w:firstLine="0" w:firstLineChars="0"/>
            <w:jc w:val="center"/>
          </w:pPr>
        </w:p>
        <w:p w14:paraId="1C895AB5">
          <w:pPr>
            <w:pStyle w:val="12"/>
            <w:tabs>
              <w:tab w:val="right" w:leader="dot" w:pos="8306"/>
              <w:tab w:val="clear" w:pos="8296"/>
            </w:tabs>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ascii="Times New Roman" w:hAnsi="Times New Roman"/>
              <w:color w:val="auto"/>
              <w:highlight w:val="none"/>
            </w:rPr>
            <w:fldChar w:fldCharType="begin"/>
          </w:r>
          <w:r>
            <w:rPr>
              <w:rFonts w:ascii="Times New Roman" w:hAnsi="Times New Roman"/>
              <w:highlight w:val="none"/>
            </w:rPr>
            <w:instrText xml:space="preserve"> HYPERLINK \l _Toc8431 </w:instrText>
          </w:r>
          <w:r>
            <w:rPr>
              <w:rFonts w:ascii="Times New Roman" w:hAnsi="Times New Roman"/>
              <w:highlight w:val="none"/>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_Toc8431 \h </w:instrText>
          </w:r>
          <w:r>
            <w:fldChar w:fldCharType="separate"/>
          </w:r>
          <w:r>
            <w:t>- 4 -</w:t>
          </w:r>
          <w:r>
            <w:fldChar w:fldCharType="end"/>
          </w:r>
          <w:r>
            <w:rPr>
              <w:rFonts w:ascii="Times New Roman" w:hAnsi="Times New Roman"/>
              <w:color w:val="auto"/>
              <w:highlight w:val="none"/>
            </w:rPr>
            <w:fldChar w:fldCharType="end"/>
          </w:r>
        </w:p>
        <w:p w14:paraId="67D005D9">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_Toc15635 </w:instrText>
          </w:r>
          <w:r>
            <w:rPr>
              <w:rFonts w:ascii="Times New Roman" w:hAnsi="Times New Roman"/>
              <w:highlight w:val="none"/>
            </w:rP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_Toc15635 \h </w:instrText>
          </w:r>
          <w:r>
            <w:fldChar w:fldCharType="separate"/>
          </w:r>
          <w:r>
            <w:t>- 4 -</w:t>
          </w:r>
          <w:r>
            <w:fldChar w:fldCharType="end"/>
          </w:r>
          <w:r>
            <w:rPr>
              <w:rFonts w:ascii="Times New Roman" w:hAnsi="Times New Roman"/>
              <w:color w:val="auto"/>
              <w:highlight w:val="none"/>
            </w:rPr>
            <w:fldChar w:fldCharType="end"/>
          </w:r>
        </w:p>
        <w:p w14:paraId="25262680">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_Toc23 </w:instrText>
          </w:r>
          <w:r>
            <w:rPr>
              <w:rFonts w:ascii="Times New Roman" w:hAnsi="Times New Roman"/>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_Toc23 \h </w:instrText>
          </w:r>
          <w:r>
            <w:fldChar w:fldCharType="separate"/>
          </w:r>
          <w:r>
            <w:t>- 5 -</w:t>
          </w:r>
          <w:r>
            <w:fldChar w:fldCharType="end"/>
          </w:r>
          <w:r>
            <w:rPr>
              <w:rFonts w:ascii="Times New Roman" w:hAnsi="Times New Roman"/>
              <w:color w:val="auto"/>
              <w:highlight w:val="none"/>
            </w:rPr>
            <w:fldChar w:fldCharType="end"/>
          </w:r>
        </w:p>
        <w:p w14:paraId="42ABA600">
          <w:pPr>
            <w:pStyle w:val="12"/>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_Toc15148 </w:instrText>
          </w:r>
          <w:r>
            <w:rPr>
              <w:rFonts w:ascii="Times New Roman" w:hAnsi="Times New Roman"/>
              <w:highlight w:val="none"/>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_Toc15148 \h </w:instrText>
          </w:r>
          <w:r>
            <w:fldChar w:fldCharType="separate"/>
          </w:r>
          <w:r>
            <w:t>- 6 -</w:t>
          </w:r>
          <w:r>
            <w:fldChar w:fldCharType="end"/>
          </w:r>
          <w:r>
            <w:rPr>
              <w:rFonts w:ascii="Times New Roman" w:hAnsi="Times New Roman"/>
              <w:color w:val="auto"/>
              <w:highlight w:val="none"/>
            </w:rPr>
            <w:fldChar w:fldCharType="end"/>
          </w:r>
        </w:p>
        <w:p w14:paraId="3D2CADDF">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_Toc24124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_Toc24124 \h </w:instrText>
          </w:r>
          <w:r>
            <w:fldChar w:fldCharType="separate"/>
          </w:r>
          <w:r>
            <w:t>- 6 -</w:t>
          </w:r>
          <w:r>
            <w:fldChar w:fldCharType="end"/>
          </w:r>
          <w:r>
            <w:rPr>
              <w:rFonts w:ascii="Times New Roman" w:hAnsi="Times New Roman"/>
              <w:color w:val="auto"/>
              <w:highlight w:val="none"/>
            </w:rPr>
            <w:fldChar w:fldCharType="end"/>
          </w:r>
        </w:p>
        <w:p w14:paraId="1CEE1615">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_Toc29113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_Toc29113 \h </w:instrText>
          </w:r>
          <w:r>
            <w:fldChar w:fldCharType="separate"/>
          </w:r>
          <w:r>
            <w:t>- 6 -</w:t>
          </w:r>
          <w:r>
            <w:fldChar w:fldCharType="end"/>
          </w:r>
          <w:r>
            <w:rPr>
              <w:rFonts w:ascii="Times New Roman" w:hAnsi="Times New Roman"/>
              <w:color w:val="auto"/>
              <w:highlight w:val="none"/>
            </w:rPr>
            <w:fldChar w:fldCharType="end"/>
          </w:r>
        </w:p>
        <w:p w14:paraId="5082B5BB">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_Toc6995 </w:instrText>
          </w:r>
          <w:r>
            <w:rPr>
              <w:rFonts w:ascii="Times New Roman" w:hAnsi="Times New Roman"/>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_Toc6995 \h </w:instrText>
          </w:r>
          <w:r>
            <w:fldChar w:fldCharType="separate"/>
          </w:r>
          <w:r>
            <w:t>- 7 -</w:t>
          </w:r>
          <w:r>
            <w:fldChar w:fldCharType="end"/>
          </w:r>
          <w:r>
            <w:rPr>
              <w:rFonts w:ascii="Times New Roman" w:hAnsi="Times New Roman"/>
              <w:color w:val="auto"/>
              <w:highlight w:val="none"/>
            </w:rPr>
            <w:fldChar w:fldCharType="end"/>
          </w:r>
        </w:p>
        <w:p w14:paraId="687688B1">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_Toc5683 </w:instrText>
          </w:r>
          <w:r>
            <w:rPr>
              <w:rFonts w:ascii="Times New Roman" w:hAnsi="Times New Roman"/>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_Toc5683 \h </w:instrText>
          </w:r>
          <w:r>
            <w:fldChar w:fldCharType="separate"/>
          </w:r>
          <w:r>
            <w:t>- 7 -</w:t>
          </w:r>
          <w:r>
            <w:fldChar w:fldCharType="end"/>
          </w:r>
          <w:r>
            <w:rPr>
              <w:rFonts w:ascii="Times New Roman" w:hAnsi="Times New Roman"/>
              <w:color w:val="auto"/>
              <w:highlight w:val="none"/>
            </w:rPr>
            <w:fldChar w:fldCharType="end"/>
          </w:r>
        </w:p>
        <w:p w14:paraId="0FE94B20">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_Toc28852 </w:instrText>
          </w:r>
          <w:r>
            <w:rPr>
              <w:rFonts w:ascii="Times New Roman" w:hAnsi="Times New Roman"/>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_Toc28852 \h </w:instrText>
          </w:r>
          <w:r>
            <w:fldChar w:fldCharType="separate"/>
          </w:r>
          <w:r>
            <w:t>- 8 -</w:t>
          </w:r>
          <w:r>
            <w:fldChar w:fldCharType="end"/>
          </w:r>
          <w:r>
            <w:rPr>
              <w:rFonts w:ascii="Times New Roman" w:hAnsi="Times New Roman"/>
              <w:color w:val="auto"/>
              <w:highlight w:val="none"/>
            </w:rPr>
            <w:fldChar w:fldCharType="end"/>
          </w:r>
        </w:p>
        <w:p w14:paraId="0B0C6240">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_Toc31430 </w:instrText>
          </w:r>
          <w:r>
            <w:rPr>
              <w:rFonts w:ascii="Times New Roman" w:hAnsi="Times New Roman"/>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_Toc31430 \h </w:instrText>
          </w:r>
          <w:r>
            <w:fldChar w:fldCharType="separate"/>
          </w:r>
          <w:r>
            <w:t>- 10 -</w:t>
          </w:r>
          <w:r>
            <w:fldChar w:fldCharType="end"/>
          </w:r>
          <w:r>
            <w:rPr>
              <w:rFonts w:ascii="Times New Roman" w:hAnsi="Times New Roman"/>
              <w:color w:val="auto"/>
              <w:highlight w:val="none"/>
            </w:rPr>
            <w:fldChar w:fldCharType="end"/>
          </w:r>
        </w:p>
        <w:p w14:paraId="6FDBB964">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_Toc24302 </w:instrText>
          </w:r>
          <w:r>
            <w:rPr>
              <w:rFonts w:ascii="Times New Roman" w:hAnsi="Times New Roman"/>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_Toc24302 \h </w:instrText>
          </w:r>
          <w:r>
            <w:fldChar w:fldCharType="separate"/>
          </w:r>
          <w:r>
            <w:t>- 11 -</w:t>
          </w:r>
          <w:r>
            <w:fldChar w:fldCharType="end"/>
          </w:r>
          <w:r>
            <w:rPr>
              <w:rFonts w:ascii="Times New Roman" w:hAnsi="Times New Roman"/>
              <w:color w:val="auto"/>
              <w:highlight w:val="none"/>
            </w:rPr>
            <w:fldChar w:fldCharType="end"/>
          </w:r>
        </w:p>
        <w:p w14:paraId="42547194">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_Toc2462 </w:instrText>
          </w:r>
          <w:r>
            <w:rPr>
              <w:rFonts w:ascii="Times New Roman" w:hAnsi="Times New Roman"/>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_Toc2462 \h </w:instrText>
          </w:r>
          <w:r>
            <w:fldChar w:fldCharType="separate"/>
          </w:r>
          <w:r>
            <w:t>- 13 -</w:t>
          </w:r>
          <w:r>
            <w:fldChar w:fldCharType="end"/>
          </w:r>
          <w:r>
            <w:rPr>
              <w:rFonts w:ascii="Times New Roman" w:hAnsi="Times New Roman"/>
              <w:color w:val="auto"/>
              <w:highlight w:val="none"/>
            </w:rPr>
            <w:fldChar w:fldCharType="end"/>
          </w:r>
        </w:p>
        <w:p w14:paraId="7B45A821">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_Toc6593 </w:instrText>
          </w:r>
          <w:r>
            <w:rPr>
              <w:rFonts w:ascii="Times New Roman" w:hAnsi="Times New Roman"/>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_Toc6593 \h </w:instrText>
          </w:r>
          <w:r>
            <w:fldChar w:fldCharType="separate"/>
          </w:r>
          <w:r>
            <w:t>- 13 -</w:t>
          </w:r>
          <w:r>
            <w:fldChar w:fldCharType="end"/>
          </w:r>
          <w:r>
            <w:rPr>
              <w:rFonts w:ascii="Times New Roman" w:hAnsi="Times New Roman"/>
              <w:color w:val="auto"/>
              <w:highlight w:val="none"/>
            </w:rPr>
            <w:fldChar w:fldCharType="end"/>
          </w:r>
        </w:p>
        <w:p w14:paraId="1C25AFD7">
          <w:pPr>
            <w:pStyle w:val="14"/>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_Toc14256 </w:instrText>
          </w:r>
          <w:r>
            <w:rPr>
              <w:rFonts w:ascii="Times New Roman" w:hAnsi="Times New Roman"/>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_Toc14256 \h </w:instrText>
          </w:r>
          <w:r>
            <w:fldChar w:fldCharType="separate"/>
          </w:r>
          <w:r>
            <w:t>- 13 -</w:t>
          </w:r>
          <w:r>
            <w:fldChar w:fldCharType="end"/>
          </w:r>
          <w:r>
            <w:rPr>
              <w:rFonts w:ascii="Times New Roman" w:hAnsi="Times New Roman"/>
              <w:color w:val="auto"/>
              <w:highlight w:val="none"/>
            </w:rPr>
            <w:fldChar w:fldCharType="end"/>
          </w:r>
        </w:p>
        <w:p w14:paraId="797EA199">
          <w:pPr>
            <w:pStyle w:val="12"/>
            <w:tabs>
              <w:tab w:val="right" w:leader="dot" w:pos="8306"/>
              <w:tab w:val="clear" w:pos="8296"/>
            </w:tabs>
          </w:pPr>
          <w:r>
            <w:rPr>
              <w:rFonts w:ascii="Times New Roman" w:hAnsi="Times New Roman"/>
              <w:color w:val="auto"/>
              <w:highlight w:val="none"/>
            </w:rPr>
            <w:fldChar w:fldCharType="begin"/>
          </w:r>
          <w:r>
            <w:rPr>
              <w:rFonts w:ascii="Times New Roman" w:hAnsi="Times New Roman"/>
              <w:highlight w:val="none"/>
            </w:rPr>
            <w:instrText xml:space="preserve"> HYPERLINK \l _Toc13838 </w:instrText>
          </w:r>
          <w:r>
            <w:rPr>
              <w:rFonts w:ascii="Times New Roman" w:hAnsi="Times New Roman"/>
              <w:highlight w:val="none"/>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_Toc13838 \h </w:instrText>
          </w:r>
          <w:r>
            <w:fldChar w:fldCharType="separate"/>
          </w:r>
          <w:r>
            <w:t>- 15 -</w:t>
          </w:r>
          <w:r>
            <w:fldChar w:fldCharType="end"/>
          </w:r>
          <w:r>
            <w:rPr>
              <w:rFonts w:ascii="Times New Roman" w:hAnsi="Times New Roman"/>
              <w:color w:val="auto"/>
              <w:highlight w:val="none"/>
            </w:rPr>
            <w:fldChar w:fldCharType="end"/>
          </w:r>
        </w:p>
        <w:p w14:paraId="2764B7BA">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2D0291E0">
      <w:pPr>
        <w:rPr>
          <w:rFonts w:ascii="Times New Roman" w:hAnsi="Times New Roman" w:eastAsia="宋体" w:cs="Times New Roman"/>
          <w:color w:val="auto"/>
          <w:kern w:val="2"/>
          <w:sz w:val="21"/>
          <w:szCs w:val="24"/>
          <w:highlight w:val="none"/>
          <w:lang w:val="en-US" w:eastAsia="zh-CN" w:bidi="ar-SA"/>
        </w:rPr>
      </w:pPr>
    </w:p>
    <w:p w14:paraId="2B5DD357">
      <w:pPr>
        <w:pStyle w:val="2"/>
        <w:jc w:val="center"/>
        <w:rPr>
          <w:rFonts w:hint="eastAsia" w:ascii="Times New Roman" w:hAnsi="Times New Roman" w:eastAsia="方正小标宋简体" w:cs="方正小标宋简体"/>
          <w:b w:val="0"/>
          <w:color w:val="auto"/>
          <w:highlight w:val="none"/>
        </w:rPr>
      </w:pPr>
      <w:bookmarkStart w:id="6" w:name="_Toc15377196"/>
      <w:bookmarkStart w:id="7" w:name="_Toc15396599"/>
      <w:bookmarkStart w:id="8" w:name="_Toc8431"/>
    </w:p>
    <w:p w14:paraId="3FF7573F">
      <w:pPr>
        <w:rPr>
          <w:rFonts w:hint="eastAsia" w:ascii="Times New Roman" w:hAnsi="Times New Roman" w:eastAsia="方正小标宋简体" w:cs="方正小标宋简体"/>
          <w:b w:val="0"/>
          <w:color w:val="auto"/>
          <w:highlight w:val="none"/>
        </w:rPr>
      </w:pPr>
    </w:p>
    <w:p w14:paraId="50428E34">
      <w:pPr>
        <w:rPr>
          <w:rFonts w:hint="eastAsia" w:ascii="Times New Roman" w:hAnsi="Times New Roman" w:eastAsia="方正小标宋简体" w:cs="方正小标宋简体"/>
          <w:b w:val="0"/>
          <w:color w:val="auto"/>
          <w:highlight w:val="none"/>
        </w:rPr>
      </w:pPr>
    </w:p>
    <w:p w14:paraId="5D42CFDF">
      <w:pPr>
        <w:pStyle w:val="2"/>
        <w:jc w:val="center"/>
        <w:rPr>
          <w:rFonts w:hint="eastAsia" w:ascii="Times New Roman" w:hAnsi="Times New Roman" w:eastAsia="方正小标宋简体" w:cs="方正小标宋简体"/>
          <w:b w:val="0"/>
          <w:color w:val="auto"/>
          <w:highlight w:val="none"/>
        </w:rPr>
      </w:pPr>
    </w:p>
    <w:p w14:paraId="26446085">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14:paraId="66E32AB7">
      <w:pPr>
        <w:widowControl/>
        <w:jc w:val="left"/>
        <w:rPr>
          <w:rFonts w:ascii="Times New Roman" w:hAnsi="Times New Roman" w:eastAsia="黑体"/>
          <w:color w:val="auto"/>
          <w:sz w:val="32"/>
          <w:szCs w:val="32"/>
          <w:highlight w:val="none"/>
        </w:rPr>
      </w:pPr>
    </w:p>
    <w:p w14:paraId="2FFBBEF8">
      <w:pPr>
        <w:pStyle w:val="3"/>
        <w:numPr>
          <w:ilvl w:val="0"/>
          <w:numId w:val="1"/>
        </w:numPr>
        <w:rPr>
          <w:rFonts w:hint="eastAsia" w:ascii="Times New Roman" w:hAnsi="Times New Roman" w:eastAsia="黑体"/>
          <w:b w:val="0"/>
          <w:color w:val="auto"/>
          <w:highlight w:val="none"/>
          <w:lang w:eastAsia="zh-CN"/>
        </w:rPr>
      </w:pPr>
      <w:bookmarkStart w:id="9" w:name="_Toc15635"/>
      <w:r>
        <w:rPr>
          <w:rFonts w:hint="eastAsia" w:ascii="Times New Roman" w:hAnsi="Times New Roman" w:eastAsia="黑体"/>
          <w:b w:val="0"/>
          <w:color w:val="auto"/>
          <w:highlight w:val="none"/>
          <w:lang w:eastAsia="zh-CN"/>
        </w:rPr>
        <w:t>部门职责</w:t>
      </w:r>
      <w:bookmarkEnd w:id="9"/>
    </w:p>
    <w:p w14:paraId="3F19A89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1.受县建设行政主管部门授权委托，根据</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"https://www.baidu.com/s?wd=%E3%80%8A%E5%BB%BA%E7%AD%91%E6%B3%95%E3%80%8B&amp;tn=SE_PcZhidaonwhc_ngpagmjz&amp;rsv_dl=gh_pc_zhidao"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《中华人民共和国建筑法》</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"https://www.baidu.com/s?wd=%E3%80%8A%E5%AE%89%E5%85%A8%E7%94%9F%E4%BA%A7%E6%B3%95%E3%80%8B&amp;tn=SE_PcZhidaonwhc_ngpagmjz&amp;rsv_dl=gh_pc_zhidao"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《中华人民共和国安全生产法》</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"https://www.baidu.com/s?wd=%E3%80%8A%E5%BB%BA%E7%AD%91%E5%B7%A5%E7%A8%8B%E8%B4%A8%E9%87%8F%E7%AE%A1%E7%90%86%E6%9D%A1%E4%BE%8B%E3%80%8B&amp;tn=SE_PcZhidaonwhc_ngpagmjz&amp;rsv_dl=gh_pc_zhidao"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《建设工程质量管理条例》</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"https://www.baidu.com/s?wd=%E3%80%8A%E5%BB%BA%E8%AE%BE%E5%B7%A5%E7%A8%8B%E5%AE%89%E5%85%A8%E7%94%9F%E4%BA%A7%E7%AE%A1%E7%90%86%E6%9D%A1%E4%BE%8B%E3%80%8B&amp;tn=SE_PcZhidaonwhc_ngpagmjz&amp;rsv_dl=gh_pc_zhidao"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《建设工程安全生产管理条例》</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等相关法律法规，依法对我县行政区域内受监工程的质量和</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"https://www.baidu.com/s?wd=%E6%96%BD%E5%B7%A5%E5%AE%89%E5%85%A8&amp;tn=SE_PcZhidaonwhc_ngpagmjz&amp;rsv_dl=gh_pc_zhidao"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施工安全</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进行监督。</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 w:hAnsi="仿宋" w:eastAsia="仿宋" w:cs="仿宋"/>
          <w:i w:val="0"/>
          <w:caps w:val="0"/>
          <w:color w:val="333333"/>
          <w:spacing w:val="0"/>
          <w:kern w:val="0"/>
          <w:sz w:val="32"/>
          <w:szCs w:val="32"/>
          <w:shd w:val="clear" w:color="080000" w:fill="FFFFFF"/>
          <w:lang w:val="en-US" w:eastAsia="zh-CN"/>
        </w:rPr>
        <w:t>　</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2.贯彻实施国家及省、州有关工程质量（安全）的法律法规、工程技术标准，管理和指导本地区的工程质量监督和工程检测业务、安全生产监督工作，开展相应的技术培训。监督工作的主要内容：地基基础、主体结构、环境质量和有影响使用功能的部位、现场</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"https://www.baidu.com/s?wd=%E6%96%BD%E5%B7%A5%E5%AE%89%E5%85%A8&amp;tn=SE_PcZhidaonwhc_ngpagmjz&amp;rsv_dl=gh_pc_zhidao"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施工安全</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和与此相关的</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"https://www.baidu.com/s?wd=%E5%B7%A5%E7%A8%8B%E5%BB%BA%E8%AE%BE&amp;tn=SE_PcZhidaonwhc_ngpagmjz&amp;rsv_dl=gh_pc_zhidao"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工程建设</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各方责任主体的质量安全行为。</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3.组织开展本地区建设工程质量检查、安全生产检查，掌握本地区工程质量状况，及时总结、交流和推广工程质量、安全管理经验。</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4.按照国家及省、州制订的有关工程质量的法律法规和工程技术标准，对受监工程建设各方责任主体及有关机构履行质量责任情况和工程实体质量情况进行监督检查。</w:t>
      </w:r>
    </w:p>
    <w:p w14:paraId="1AF786A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5.向备案管理机构提交工程质量监督报告。</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6.对工程参建各方责任主体和有关机构质量信誉进行管理。</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7.按照我县建设行政主管部门的授权委托对责任主体和有关机构违法、违规行为进行调查取证和核实，提出处罚建议或按委托权限对违法、违规行为实施行政处罚。</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8.按照我县建设行政主管部门的授权委托，组织开展本地区工程质量问题的技术鉴定。</w:t>
      </w:r>
    </w:p>
    <w:p w14:paraId="766CA0E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lang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9.参与本地区重大质量事故的调查处理，参与我县优质工程的核验评审。</w:t>
      </w:r>
    </w:p>
    <w:p w14:paraId="789C8CC3">
      <w:pPr>
        <w:numPr>
          <w:ilvl w:val="0"/>
          <w:numId w:val="0"/>
        </w:numPr>
        <w:rPr>
          <w:rFonts w:hint="eastAsia"/>
          <w:lang w:eastAsia="zh-CN"/>
        </w:rPr>
      </w:pPr>
    </w:p>
    <w:p w14:paraId="3B632DBF">
      <w:pPr>
        <w:pStyle w:val="3"/>
        <w:rPr>
          <w:rStyle w:val="29"/>
          <w:rFonts w:ascii="Times New Roman" w:hAnsi="Times New Roman"/>
          <w:b w:val="0"/>
          <w:bCs w:val="0"/>
          <w:color w:val="auto"/>
          <w:highlight w:val="none"/>
        </w:rPr>
      </w:pPr>
      <w:bookmarkStart w:id="10" w:name="_Toc15396601"/>
      <w:bookmarkStart w:id="11" w:name="_Toc15377200"/>
      <w:bookmarkStart w:id="12" w:name="_Toc23"/>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14:paraId="54D4F2D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松潘县质量安全监督站所设1个内设机构</w:t>
      </w:r>
    </w:p>
    <w:p w14:paraId="0193AC62">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9DAEFF8">
      <w:pPr>
        <w:pStyle w:val="2"/>
        <w:jc w:val="center"/>
        <w:rPr>
          <w:rFonts w:hint="eastAsia" w:ascii="Times New Roman" w:hAnsi="Times New Roman" w:eastAsia="方正小标宋简体" w:cs="方正小标宋简体"/>
          <w:b w:val="0"/>
          <w:color w:val="auto"/>
          <w:highlight w:val="none"/>
        </w:rPr>
      </w:pPr>
      <w:bookmarkStart w:id="13" w:name="_Toc15396602"/>
      <w:bookmarkStart w:id="14" w:name="_Toc15148"/>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01950203">
      <w:pPr>
        <w:rPr>
          <w:rFonts w:ascii="Times New Roman" w:hAnsi="Times New Roman"/>
          <w:color w:val="auto"/>
          <w:highlight w:val="none"/>
        </w:rPr>
      </w:pPr>
    </w:p>
    <w:p w14:paraId="1C3FA85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24124"/>
      <w:bookmarkStart w:id="17" w:name="_Toc15377205"/>
      <w:bookmarkStart w:id="1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bookmarkEnd w:id="18"/>
    </w:p>
    <w:p w14:paraId="6CAA8B3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19" w:name="_Toc5648"/>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393.95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40.76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2025年有新调入人员</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工资保险增加</w:t>
      </w:r>
      <w:r>
        <w:rPr>
          <w:rFonts w:hint="eastAsia" w:ascii="仿宋" w:hAnsi="仿宋" w:eastAsia="仿宋"/>
          <w:color w:val="auto"/>
          <w:sz w:val="32"/>
          <w:szCs w:val="32"/>
          <w:highlight w:val="none"/>
          <w:lang w:eastAsia="zh-CN"/>
        </w:rPr>
        <w:t>。</w:t>
      </w:r>
      <w:bookmarkEnd w:id="19"/>
    </w:p>
    <w:p w14:paraId="1B4D40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500DF6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3914140" cy="2222500"/>
            <wp:effectExtent l="4445" t="4445" r="5715" b="2095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1C64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6068B59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29113"/>
      <w:bookmarkStart w:id="22" w:name="_Toc15377206"/>
      <w:r>
        <w:rPr>
          <w:rFonts w:hint="eastAsia" w:ascii="Times New Roman" w:hAnsi="Times New Roman" w:eastAsia="黑体"/>
          <w:color w:val="auto"/>
          <w:sz w:val="32"/>
          <w:szCs w:val="32"/>
          <w:highlight w:val="none"/>
          <w:lang w:eastAsia="zh-CN"/>
        </w:rPr>
        <w:t>二、收入决算情况说明</w:t>
      </w:r>
      <w:bookmarkEnd w:id="20"/>
      <w:bookmarkEnd w:id="21"/>
      <w:bookmarkEnd w:id="22"/>
    </w:p>
    <w:p w14:paraId="6BE67F7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23" w:name="_Toc25280"/>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lang w:val="en-US" w:eastAsia="zh-CN"/>
        </w:rPr>
        <w:t>393.95</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393.95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bookmarkEnd w:id="23"/>
    </w:p>
    <w:p w14:paraId="2A6832D6">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w:t>
      </w:r>
      <w:r>
        <w:drawing>
          <wp:inline distT="0" distB="0" distL="114300" distR="114300">
            <wp:extent cx="3965575" cy="2027555"/>
            <wp:effectExtent l="4445" t="4445" r="7620" b="1016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hint="eastAsia" w:ascii="Times New Roman" w:hAnsi="Times New Roman" w:eastAsia="仿宋_GB2312" w:cs="仿宋_GB2312"/>
          <w:color w:val="auto"/>
          <w:sz w:val="32"/>
          <w:szCs w:val="32"/>
          <w:highlight w:val="none"/>
          <w:lang w:eastAsia="zh-CN"/>
        </w:rPr>
        <w:t>状图）</w:t>
      </w:r>
    </w:p>
    <w:p w14:paraId="227EE7D6">
      <w:pPr>
        <w:ind w:firstLine="800" w:firstLineChars="250"/>
        <w:rPr>
          <w:rFonts w:hint="eastAsia" w:ascii="Times New Roman" w:hAnsi="Times New Roman" w:eastAsia="仿宋_GB2312" w:cs="仿宋_GB2312"/>
          <w:color w:val="auto"/>
          <w:sz w:val="32"/>
          <w:szCs w:val="32"/>
          <w:highlight w:val="none"/>
          <w:lang w:eastAsia="zh-CN"/>
        </w:rPr>
      </w:pPr>
    </w:p>
    <w:p w14:paraId="31B3E99A">
      <w:pPr>
        <w:ind w:firstLine="800" w:firstLineChars="250"/>
        <w:rPr>
          <w:rFonts w:hint="eastAsia" w:ascii="Times New Roman" w:hAnsi="Times New Roman" w:eastAsia="仿宋_GB2312" w:cs="仿宋_GB2312"/>
          <w:color w:val="auto"/>
          <w:sz w:val="32"/>
          <w:szCs w:val="32"/>
          <w:highlight w:val="none"/>
          <w:lang w:eastAsia="zh-CN"/>
        </w:rPr>
      </w:pPr>
    </w:p>
    <w:p w14:paraId="7DA4500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77207"/>
      <w:bookmarkStart w:id="25" w:name="_Toc15396605"/>
      <w:bookmarkStart w:id="26" w:name="_Toc699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bookmarkEnd w:id="26"/>
    </w:p>
    <w:p w14:paraId="39DC868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bookmarkStart w:id="27" w:name="_Toc18318"/>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lang w:val="en-US" w:eastAsia="zh-CN"/>
        </w:rPr>
        <w:t>393.95</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393.95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bookmarkEnd w:id="27"/>
    </w:p>
    <w:p w14:paraId="03529BDA">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4F65E86A">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208780" cy="1997075"/>
            <wp:effectExtent l="4445" t="4445" r="8255" b="1016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F30ACB1">
      <w:pPr>
        <w:spacing w:line="600" w:lineRule="exact"/>
        <w:ind w:firstLine="640" w:firstLineChars="200"/>
        <w:outlineLvl w:val="1"/>
        <w:rPr>
          <w:rStyle w:val="29"/>
          <w:rFonts w:ascii="Times New Roman" w:hAnsi="Times New Roman" w:eastAsia="黑体"/>
          <w:b w:val="0"/>
          <w:color w:val="auto"/>
          <w:highlight w:val="none"/>
        </w:rPr>
      </w:pPr>
      <w:bookmarkStart w:id="28" w:name="_Toc15396606"/>
      <w:bookmarkStart w:id="29" w:name="_Toc15377208"/>
      <w:bookmarkStart w:id="30" w:name="_Toc5683"/>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8"/>
      <w:bookmarkEnd w:id="29"/>
      <w:bookmarkEnd w:id="30"/>
    </w:p>
    <w:p w14:paraId="6341D19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393.95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40.76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2025年有新调入人员</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工资保险增加</w:t>
      </w:r>
      <w:r>
        <w:rPr>
          <w:rFonts w:hint="eastAsia" w:ascii="仿宋" w:hAnsi="仿宋" w:eastAsia="仿宋"/>
          <w:color w:val="auto"/>
          <w:sz w:val="32"/>
          <w:szCs w:val="32"/>
          <w:highlight w:val="none"/>
          <w:lang w:eastAsia="zh-CN"/>
        </w:rPr>
        <w:t>。</w:t>
      </w:r>
    </w:p>
    <w:p w14:paraId="7B0408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ED7141">
      <w:pPr>
        <w:spacing w:line="600" w:lineRule="exact"/>
        <w:ind w:firstLine="420" w:firstLineChars="20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1" locked="0" layoutInCell="1" allowOverlap="1">
            <wp:simplePos x="0" y="0"/>
            <wp:positionH relativeFrom="column">
              <wp:posOffset>677545</wp:posOffset>
            </wp:positionH>
            <wp:positionV relativeFrom="paragraph">
              <wp:posOffset>641985</wp:posOffset>
            </wp:positionV>
            <wp:extent cx="3914140" cy="2222500"/>
            <wp:effectExtent l="4445" t="4445" r="5715" b="20955"/>
            <wp:wrapTight wrapText="bothSides">
              <wp:wrapPolygon>
                <wp:start x="-25" y="-43"/>
                <wp:lineTo x="-25" y="21433"/>
                <wp:lineTo x="21526" y="21433"/>
                <wp:lineTo x="21526" y="-43"/>
                <wp:lineTo x="-25" y="-43"/>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4FF3B5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DF9B00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7FE650F7">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9C593D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44B2AB0">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FF099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6B9ACD">
      <w:pPr>
        <w:spacing w:line="600" w:lineRule="exact"/>
        <w:ind w:firstLine="640" w:firstLineChars="200"/>
        <w:outlineLvl w:val="1"/>
        <w:rPr>
          <w:rStyle w:val="29"/>
          <w:rFonts w:ascii="Times New Roman" w:hAnsi="Times New Roman" w:eastAsia="黑体"/>
          <w:b w:val="0"/>
          <w:color w:val="auto"/>
          <w:highlight w:val="none"/>
        </w:rPr>
      </w:pPr>
      <w:bookmarkStart w:id="31" w:name="_Toc15377209"/>
      <w:bookmarkStart w:id="32" w:name="_Toc28852"/>
      <w:bookmarkStart w:id="3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1"/>
      <w:bookmarkEnd w:id="32"/>
      <w:bookmarkEnd w:id="33"/>
    </w:p>
    <w:p w14:paraId="38E462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14:paraId="6E6B932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5" w:name="_Toc3219"/>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393.95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eastAsia="仿宋_GB2312" w:cs="仿宋_GB2312"/>
          <w:color w:val="auto"/>
          <w:sz w:val="32"/>
          <w:szCs w:val="32"/>
          <w:highlight w:val="none"/>
          <w:lang w:val="en-US" w:eastAsia="zh-CN"/>
        </w:rPr>
        <w:t>40.76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2025年有新调入人员</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工资保险增加</w:t>
      </w:r>
      <w:r>
        <w:rPr>
          <w:rFonts w:hint="eastAsia" w:ascii="仿宋" w:hAnsi="仿宋" w:eastAsia="仿宋"/>
          <w:color w:val="auto"/>
          <w:sz w:val="32"/>
          <w:szCs w:val="32"/>
          <w:highlight w:val="none"/>
          <w:lang w:eastAsia="zh-CN"/>
        </w:rPr>
        <w:t>。</w:t>
      </w:r>
      <w:bookmarkEnd w:id="35"/>
    </w:p>
    <w:p w14:paraId="4E1690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059B8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1" locked="0" layoutInCell="1" allowOverlap="1">
            <wp:simplePos x="0" y="0"/>
            <wp:positionH relativeFrom="column">
              <wp:posOffset>668020</wp:posOffset>
            </wp:positionH>
            <wp:positionV relativeFrom="paragraph">
              <wp:posOffset>29210</wp:posOffset>
            </wp:positionV>
            <wp:extent cx="3914140" cy="2222500"/>
            <wp:effectExtent l="4445" t="4445" r="5715" b="20955"/>
            <wp:wrapTight wrapText="bothSides">
              <wp:wrapPolygon>
                <wp:start x="-25" y="-43"/>
                <wp:lineTo x="-25" y="21433"/>
                <wp:lineTo x="21526" y="21433"/>
                <wp:lineTo x="21526" y="-43"/>
                <wp:lineTo x="-25" y="-43"/>
              </wp:wrapPolygon>
            </wp:wrapTight>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3919FF20">
      <w:pPr>
        <w:spacing w:line="600" w:lineRule="exact"/>
        <w:outlineLvl w:val="2"/>
        <w:rPr>
          <w:rFonts w:hint="eastAsia" w:ascii="Times New Roman" w:hAnsi="Times New Roman" w:eastAsia="楷体_GB2312" w:cs="楷体_GB2312"/>
          <w:b/>
          <w:color w:val="auto"/>
          <w:sz w:val="32"/>
          <w:szCs w:val="32"/>
          <w:highlight w:val="none"/>
        </w:rPr>
      </w:pPr>
      <w:bookmarkStart w:id="36" w:name="_Toc15377211"/>
    </w:p>
    <w:p w14:paraId="3E7E157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1C5222A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0A1FD79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5D320F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550AEA9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47A4F36A">
      <w:pPr>
        <w:spacing w:line="600" w:lineRule="exact"/>
        <w:outlineLvl w:val="2"/>
        <w:rPr>
          <w:rFonts w:hint="eastAsia" w:ascii="Times New Roman" w:hAnsi="Times New Roman" w:eastAsia="楷体_GB2312" w:cs="楷体_GB2312"/>
          <w:b/>
          <w:color w:val="auto"/>
          <w:sz w:val="32"/>
          <w:szCs w:val="32"/>
          <w:highlight w:val="none"/>
        </w:rPr>
      </w:pPr>
      <w:r>
        <w:rPr>
          <w:rFonts w:hint="eastAsia" w:eastAsia="楷体_GB2312" w:cs="楷体_GB2312"/>
          <w:b/>
          <w:color w:val="auto"/>
          <w:sz w:val="32"/>
          <w:szCs w:val="32"/>
          <w:highlight w:val="none"/>
          <w:lang w:eastAsia="zh-CN"/>
        </w:rPr>
        <w:t>（</w:t>
      </w:r>
      <w:r>
        <w:rPr>
          <w:rFonts w:hint="eastAsia" w:ascii="Times New Roman" w:hAnsi="Times New Roman" w:eastAsia="楷体_GB2312" w:cs="楷体_GB2312"/>
          <w:b/>
          <w:color w:val="auto"/>
          <w:sz w:val="32"/>
          <w:szCs w:val="32"/>
          <w:highlight w:val="none"/>
        </w:rPr>
        <w:t>二）一般公共预算财政拨款支出决算结构情况</w:t>
      </w:r>
      <w:bookmarkEnd w:id="36"/>
    </w:p>
    <w:p w14:paraId="539310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393.95</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：城乡社区</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292.37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53.27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19.89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28.42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2C286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1" locked="0" layoutInCell="1" allowOverlap="1">
            <wp:simplePos x="0" y="0"/>
            <wp:positionH relativeFrom="column">
              <wp:posOffset>221615</wp:posOffset>
            </wp:positionH>
            <wp:positionV relativeFrom="paragraph">
              <wp:posOffset>255270</wp:posOffset>
            </wp:positionV>
            <wp:extent cx="4361815" cy="2263775"/>
            <wp:effectExtent l="4445" t="4445" r="7620" b="17780"/>
            <wp:wrapTight wrapText="bothSides">
              <wp:wrapPolygon>
                <wp:start x="-22" y="-42"/>
                <wp:lineTo x="-22" y="21406"/>
                <wp:lineTo x="21487" y="21406"/>
                <wp:lineTo x="21487" y="-42"/>
                <wp:lineTo x="-22" y="-42"/>
              </wp:wrapPolygon>
            </wp:wrapTight>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19042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F71B9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E3E1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AC38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9" w:name="_GoBack"/>
      <w:r>
        <w:rPr>
          <w:rFonts w:hint="eastAsia" w:ascii="Times New Roman" w:hAnsi="Times New Roman" w:eastAsia="仿宋_GB2312" w:cs="仿宋_GB2312"/>
          <w:color w:val="auto"/>
          <w:kern w:val="2"/>
          <w:sz w:val="32"/>
          <w:szCs w:val="32"/>
          <w:highlight w:val="none"/>
          <w:lang w:val="en-US" w:eastAsia="zh-CN" w:bidi="ar-SA"/>
        </w:rPr>
        <w:t>：</w:t>
      </w:r>
      <w:bookmarkEnd w:id="79"/>
      <w:r>
        <w:rPr>
          <w:rFonts w:hint="eastAsia" w:ascii="Times New Roman" w:hAnsi="Times New Roman" w:eastAsia="仿宋_GB2312" w:cs="仿宋_GB2312"/>
          <w:color w:val="auto"/>
          <w:kern w:val="2"/>
          <w:sz w:val="32"/>
          <w:szCs w:val="32"/>
          <w:highlight w:val="none"/>
          <w:lang w:val="en-US" w:eastAsia="zh-CN" w:bidi="ar-SA"/>
        </w:rPr>
        <w:t>一般公共预算财政拨款支出决算结构）（饼状图）</w:t>
      </w:r>
    </w:p>
    <w:p w14:paraId="5976C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B70A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18FCD3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7"/>
    </w:p>
    <w:p w14:paraId="3A99AD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8" w:name="_Toc15377444"/>
      <w:bookmarkStart w:id="39" w:name="_Toc15378460"/>
      <w:bookmarkStart w:id="40" w:name="_Toc15377213"/>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393.95万元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8"/>
      <w:bookmarkEnd w:id="39"/>
      <w:bookmarkEnd w:id="40"/>
    </w:p>
    <w:p w14:paraId="19F6D1B8">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17.76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306FEBB">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.住房保障支出221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28.42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73F81D2">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292.37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877B5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5D0F55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35.51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10DD6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D67651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4AB92C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1B62C5">
      <w:pPr>
        <w:tabs>
          <w:tab w:val="right" w:pos="8306"/>
        </w:tabs>
        <w:spacing w:line="600" w:lineRule="exact"/>
        <w:ind w:firstLine="640"/>
        <w:outlineLvl w:val="1"/>
        <w:rPr>
          <w:rStyle w:val="29"/>
          <w:rFonts w:ascii="Times New Roman" w:hAnsi="Times New Roman"/>
          <w:color w:val="auto"/>
          <w:highlight w:val="none"/>
        </w:rPr>
      </w:pPr>
      <w:bookmarkStart w:id="41" w:name="_Toc15396608"/>
      <w:bookmarkStart w:id="42" w:name="_Toc15377214"/>
      <w:bookmarkStart w:id="43" w:name="_Toc31430"/>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1"/>
      <w:bookmarkEnd w:id="42"/>
      <w:bookmarkEnd w:id="43"/>
      <w:r>
        <w:rPr>
          <w:rStyle w:val="29"/>
          <w:rFonts w:ascii="Times New Roman" w:hAnsi="Times New Roman" w:eastAsia="黑体"/>
          <w:b w:val="0"/>
          <w:color w:val="auto"/>
          <w:highlight w:val="none"/>
        </w:rPr>
        <w:tab/>
      </w:r>
    </w:p>
    <w:p w14:paraId="2C06DF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393.95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770D49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372.57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21.38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9C8F3B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2A44D4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D4CEA0D">
      <w:pPr>
        <w:spacing w:line="600" w:lineRule="exact"/>
        <w:ind w:firstLine="640"/>
        <w:outlineLvl w:val="1"/>
        <w:rPr>
          <w:rStyle w:val="29"/>
          <w:rFonts w:ascii="Times New Roman" w:hAnsi="Times New Roman" w:eastAsia="黑体"/>
          <w:b w:val="0"/>
          <w:color w:val="auto"/>
          <w:highlight w:val="none"/>
        </w:rPr>
      </w:pPr>
      <w:bookmarkStart w:id="44" w:name="_Toc24302"/>
      <w:bookmarkStart w:id="45" w:name="_Toc15377215"/>
      <w:bookmarkStart w:id="46"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4"/>
      <w:bookmarkEnd w:id="45"/>
      <w:bookmarkEnd w:id="46"/>
    </w:p>
    <w:p w14:paraId="7FE2DC8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7"/>
    </w:p>
    <w:p w14:paraId="53AE337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lang w:val="en-US" w:eastAsia="zh-CN"/>
        </w:rPr>
        <w:t>0.95</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1.92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4302F02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8"/>
    </w:p>
    <w:p w14:paraId="7A6313D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0.95</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312017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16922D1C">
      <w:pPr>
        <w:spacing w:line="600" w:lineRule="exact"/>
        <w:ind w:firstLine="640"/>
      </w:pPr>
      <w:r>
        <w:drawing>
          <wp:anchor distT="0" distB="0" distL="114300" distR="114300" simplePos="0" relativeHeight="251660288" behindDoc="0" locked="0" layoutInCell="1" allowOverlap="1">
            <wp:simplePos x="0" y="0"/>
            <wp:positionH relativeFrom="column">
              <wp:posOffset>418465</wp:posOffset>
            </wp:positionH>
            <wp:positionV relativeFrom="paragraph">
              <wp:posOffset>133985</wp:posOffset>
            </wp:positionV>
            <wp:extent cx="3850640" cy="2103120"/>
            <wp:effectExtent l="4445" t="5080" r="15875" b="10160"/>
            <wp:wrapSquare wrapText="bothSides"/>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881C19C">
      <w:pPr>
        <w:spacing w:line="600" w:lineRule="exact"/>
        <w:ind w:firstLine="640"/>
      </w:pPr>
    </w:p>
    <w:p w14:paraId="253BAFD5">
      <w:pPr>
        <w:spacing w:line="600" w:lineRule="exact"/>
        <w:ind w:firstLine="640"/>
      </w:pPr>
    </w:p>
    <w:p w14:paraId="76A71DBA">
      <w:pPr>
        <w:spacing w:line="600" w:lineRule="exact"/>
        <w:ind w:firstLine="640"/>
      </w:pPr>
    </w:p>
    <w:p w14:paraId="241A1FAF">
      <w:pPr>
        <w:spacing w:line="600" w:lineRule="exact"/>
        <w:ind w:firstLine="640"/>
      </w:pPr>
    </w:p>
    <w:p w14:paraId="16EE8208">
      <w:pPr>
        <w:spacing w:line="600" w:lineRule="exact"/>
        <w:ind w:firstLine="640"/>
        <w:rPr>
          <w:rFonts w:hint="eastAsia"/>
          <w:lang w:val="en-US" w:eastAsia="zh-CN"/>
        </w:rPr>
      </w:pPr>
    </w:p>
    <w:p w14:paraId="6C10F2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640EB6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6BCCD2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0.95万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1.92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p>
    <w:p w14:paraId="4850DE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70476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0.95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建筑工地质量安全检查，相关业务出差</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8C2AF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60139C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万元，具体内容包括：……（接待具体项目、金额）。</w:t>
      </w:r>
    </w:p>
    <w:p w14:paraId="00B70B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p>
    <w:p w14:paraId="3B5DEA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9" w:name="_Toc15377218"/>
      <w:bookmarkStart w:id="50" w:name="_Toc15396610"/>
    </w:p>
    <w:p w14:paraId="362C973D">
      <w:pPr>
        <w:spacing w:line="600" w:lineRule="exact"/>
        <w:ind w:firstLine="640"/>
        <w:outlineLvl w:val="1"/>
        <w:rPr>
          <w:rStyle w:val="29"/>
          <w:rFonts w:ascii="Times New Roman" w:hAnsi="Times New Roman" w:eastAsia="黑体"/>
          <w:color w:val="auto"/>
          <w:highlight w:val="none"/>
        </w:rPr>
      </w:pPr>
      <w:bookmarkStart w:id="51" w:name="_Toc246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9"/>
      <w:bookmarkEnd w:id="50"/>
      <w:bookmarkEnd w:id="51"/>
    </w:p>
    <w:p w14:paraId="434694F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无政府预算资金。</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E6494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55D2E9">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2" w:name="_Toc15377219"/>
      <w:bookmarkStart w:id="53" w:name="_Toc15396611"/>
      <w:bookmarkStart w:id="54" w:name="_Toc6593"/>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2"/>
      <w:bookmarkEnd w:id="53"/>
      <w:bookmarkEnd w:id="54"/>
    </w:p>
    <w:p w14:paraId="16ECC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4F73F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41444F8">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5" w:name="_Toc14256"/>
      <w:bookmarkStart w:id="56" w:name="_Toc15377221"/>
      <w:bookmarkStart w:id="57"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5"/>
      <w:bookmarkEnd w:id="56"/>
      <w:bookmarkEnd w:id="57"/>
    </w:p>
    <w:p w14:paraId="3925A3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2"/>
      <w:r>
        <w:rPr>
          <w:rFonts w:hint="eastAsia" w:ascii="Times New Roman" w:hAnsi="Times New Roman" w:eastAsia="楷体_GB2312" w:cs="楷体_GB2312"/>
          <w:b/>
          <w:color w:val="auto"/>
          <w:sz w:val="32"/>
          <w:szCs w:val="32"/>
          <w:highlight w:val="none"/>
        </w:rPr>
        <w:t>（一）机关运行经费支出情况</w:t>
      </w:r>
      <w:bookmarkEnd w:id="58"/>
    </w:p>
    <w:p w14:paraId="630798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松潘县建设工程质量监督站</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事业单位无此项经费。</w:t>
      </w:r>
    </w:p>
    <w:p w14:paraId="5397D6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79E682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3"/>
      <w:r>
        <w:rPr>
          <w:rFonts w:hint="eastAsia" w:ascii="Times New Roman" w:hAnsi="Times New Roman" w:eastAsia="楷体_GB2312" w:cs="楷体_GB2312"/>
          <w:b/>
          <w:color w:val="auto"/>
          <w:sz w:val="32"/>
          <w:szCs w:val="32"/>
          <w:highlight w:val="none"/>
        </w:rPr>
        <w:t>（二）政府采购支出情况</w:t>
      </w:r>
      <w:bookmarkEnd w:id="59"/>
    </w:p>
    <w:p w14:paraId="27089D2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松潘县建设工程质量监督站</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6930E9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C8383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24"/>
      <w:r>
        <w:rPr>
          <w:rFonts w:hint="eastAsia" w:ascii="Times New Roman" w:hAnsi="Times New Roman" w:eastAsia="楷体_GB2312" w:cs="楷体_GB2312"/>
          <w:b/>
          <w:color w:val="auto"/>
          <w:sz w:val="32"/>
          <w:szCs w:val="32"/>
          <w:highlight w:val="none"/>
        </w:rPr>
        <w:t>（三）国有资产占有使用情况</w:t>
      </w:r>
      <w:bookmarkEnd w:id="60"/>
    </w:p>
    <w:p w14:paraId="3A1C30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松潘县建设工程质量监督站</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辆，其他用车主要用于建设工地质量安全检查。单价100万元（含）以上设备（不含车辆）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9D185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52CD0D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AE6E7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78AAB3E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分，绩效自评综述……。绩效自评报告详见附件。</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3FB502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AEEB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626A0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1" w:name="_Toc15377225"/>
      <w:bookmarkStart w:id="62" w:name="_Toc15396613"/>
      <w:bookmarkStart w:id="63" w:name="_Toc13838"/>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1"/>
      <w:bookmarkEnd w:id="62"/>
      <w:bookmarkEnd w:id="63"/>
    </w:p>
    <w:p w14:paraId="2C6D540F">
      <w:pPr>
        <w:spacing w:line="600" w:lineRule="exact"/>
        <w:jc w:val="left"/>
        <w:rPr>
          <w:rFonts w:ascii="Times New Roman" w:hAnsi="Times New Roman"/>
          <w:b/>
          <w:color w:val="auto"/>
          <w:sz w:val="44"/>
          <w:szCs w:val="44"/>
          <w:highlight w:val="none"/>
        </w:rPr>
      </w:pPr>
    </w:p>
    <w:p w14:paraId="67A073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2A32B8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机关事业单位实施养老保险制度由单位缴纳的基本养老保险支出。</w:t>
      </w:r>
    </w:p>
    <w:p w14:paraId="03126740">
      <w:pPr>
        <w:spacing w:line="600" w:lineRule="exact"/>
        <w:ind w:firstLine="640"/>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机关事业单位实施养老保险制度由单位缴纳的职业年金支出（含职业年金补记部分）</w:t>
      </w:r>
    </w:p>
    <w:p w14:paraId="1F10CDA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4.住房保障支出221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w:t>
      </w:r>
      <w:r>
        <w:rPr>
          <w:rFonts w:hint="eastAsia" w:eastAsia="仿宋_GB2312" w:cs="仿宋_GB2312"/>
          <w:color w:val="auto"/>
          <w:kern w:val="2"/>
          <w:sz w:val="32"/>
          <w:szCs w:val="32"/>
          <w:highlight w:val="none"/>
          <w:lang w:val="en-US" w:eastAsia="zh-CN" w:bidi="ar-SA"/>
        </w:rPr>
        <w:t>指行政事业单位按人力资源和社会保障部、财政部规定的基本工资和津贴补贴以及规定比例为职工缴纳的住房公积金。</w:t>
      </w:r>
    </w:p>
    <w:p w14:paraId="59D684C0">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指行政事业单位（包括实行公务员管理的事业单位）提供后勤服务的各类后勤服务中心、医务室等附属事业单位的支出。其他事业单位的支出，凡单独设置了项级科目的，在单独设置的项级科目中反映。未设置项级科目的，在“其他”项级科目中反映。</w:t>
      </w:r>
    </w:p>
    <w:p w14:paraId="0047D9FB">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：指其他用于行政事业单位医疗方面的支出。</w:t>
      </w:r>
    </w:p>
    <w:p w14:paraId="30BDB13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：指财政部门安排的事业单位基本医疗保险缴费经费，未参加医疗保险的事业单位的公费医疗经费，按国家规定享受离休人员待遇的医疗经费。</w:t>
      </w:r>
    </w:p>
    <w:p w14:paraId="6F73DA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《2025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390423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2D6838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18FACD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2F13FB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84BA9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3239C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368D40F3">
      <w:pPr>
        <w:pStyle w:val="5"/>
        <w:rPr>
          <w:rFonts w:hint="eastAsia" w:ascii="Times New Roman" w:hAnsi="Times New Roman" w:cs="宋体"/>
          <w:color w:val="FF0000"/>
          <w:kern w:val="0"/>
          <w:sz w:val="32"/>
          <w:szCs w:val="32"/>
          <w:highlight w:val="yellow"/>
          <w:shd w:val="clear" w:color="auto" w:fill="FFFFFF"/>
          <w:lang w:val="zh-CN"/>
        </w:rPr>
      </w:pPr>
      <w:bookmarkStart w:id="64" w:name="_Toc15377226"/>
      <w:r>
        <w:rPr>
          <w:rFonts w:hint="eastAsia" w:ascii="Times New Roman" w:hAnsi="Times New Roman" w:eastAsia="仿宋_GB2312" w:cs="仿宋_GB2312"/>
          <w:color w:val="auto"/>
          <w:kern w:val="2"/>
          <w:sz w:val="32"/>
          <w:szCs w:val="32"/>
          <w:highlight w:val="none"/>
          <w:lang w:val="en-US" w:eastAsia="zh-CN" w:bidi="ar-SA"/>
        </w:rPr>
        <w:br w:type="page"/>
      </w:r>
    </w:p>
    <w:p w14:paraId="23425DE8">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6B0A3266">
      <w:pPr>
        <w:widowControl/>
        <w:jc w:val="center"/>
        <w:rPr>
          <w:rFonts w:hint="eastAsia" w:ascii="Times New Roman" w:hAnsi="Times New Roman" w:eastAsia="仿宋"/>
          <w:b w:val="0"/>
          <w:color w:val="auto"/>
          <w:highlight w:val="none"/>
        </w:rPr>
      </w:pPr>
      <w:bookmarkStart w:id="65" w:name="_Toc15396618"/>
      <w:r>
        <w:rPr>
          <w:rFonts w:hint="eastAsia" w:ascii="Times New Roman" w:hAnsi="Times New Roman" w:eastAsia="黑体"/>
          <w:color w:val="auto"/>
          <w:sz w:val="44"/>
          <w:szCs w:val="44"/>
          <w:highlight w:val="none"/>
        </w:rPr>
        <w:t>第</w:t>
      </w:r>
      <w:r>
        <w:rPr>
          <w:rStyle w:val="28"/>
          <w:rFonts w:hint="eastAsia" w:eastAsia="黑体"/>
          <w:b w:val="0"/>
          <w:color w:val="auto"/>
          <w:highlight w:val="none"/>
          <w:lang w:eastAsia="zh-CN"/>
        </w:rPr>
        <w:t>四</w:t>
      </w:r>
      <w:r>
        <w:rPr>
          <w:rStyle w:val="28"/>
          <w:rFonts w:hint="eastAsia" w:ascii="Times New Roman" w:hAnsi="Times New Roman" w:eastAsia="黑体"/>
          <w:b w:val="0"/>
          <w:color w:val="auto"/>
          <w:highlight w:val="none"/>
        </w:rPr>
        <w:t>部分 附表</w:t>
      </w:r>
      <w:bookmarkEnd w:id="64"/>
      <w:bookmarkEnd w:id="65"/>
      <w:bookmarkStart w:id="66" w:name="_Toc15396619"/>
    </w:p>
    <w:p w14:paraId="6A6D697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B08BD5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6"/>
    </w:p>
    <w:p w14:paraId="29C1C75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0"/>
      <w:r>
        <w:rPr>
          <w:rFonts w:hint="eastAsia" w:ascii="Times New Roman" w:hAnsi="Times New Roman" w:eastAsia="仿宋_GB2312" w:cs="仿宋_GB2312"/>
          <w:color w:val="auto"/>
          <w:sz w:val="32"/>
          <w:szCs w:val="32"/>
          <w:highlight w:val="none"/>
        </w:rPr>
        <w:t>二、收入决算表</w:t>
      </w:r>
      <w:bookmarkEnd w:id="67"/>
    </w:p>
    <w:p w14:paraId="49C189D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1"/>
      <w:r>
        <w:rPr>
          <w:rFonts w:hint="eastAsia" w:ascii="Times New Roman" w:hAnsi="Times New Roman" w:eastAsia="仿宋_GB2312" w:cs="仿宋_GB2312"/>
          <w:color w:val="auto"/>
          <w:sz w:val="32"/>
          <w:szCs w:val="32"/>
          <w:highlight w:val="none"/>
        </w:rPr>
        <w:t>三、支出决算表</w:t>
      </w:r>
      <w:bookmarkEnd w:id="68"/>
    </w:p>
    <w:p w14:paraId="2B03A38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2"/>
      <w:r>
        <w:rPr>
          <w:rFonts w:hint="eastAsia" w:ascii="Times New Roman" w:hAnsi="Times New Roman" w:eastAsia="仿宋_GB2312" w:cs="仿宋_GB2312"/>
          <w:color w:val="auto"/>
          <w:sz w:val="32"/>
          <w:szCs w:val="32"/>
          <w:highlight w:val="none"/>
        </w:rPr>
        <w:t>四、财政拨款收入支出决算总表</w:t>
      </w:r>
      <w:bookmarkEnd w:id="69"/>
    </w:p>
    <w:p w14:paraId="065DB56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3"/>
      <w:r>
        <w:rPr>
          <w:rFonts w:hint="eastAsia" w:ascii="Times New Roman" w:hAnsi="Times New Roman" w:eastAsia="仿宋_GB2312" w:cs="仿宋_GB2312"/>
          <w:color w:val="auto"/>
          <w:sz w:val="32"/>
          <w:szCs w:val="32"/>
          <w:highlight w:val="none"/>
        </w:rPr>
        <w:t>五、财政拨款支出决算明细表</w:t>
      </w:r>
      <w:bookmarkEnd w:id="70"/>
      <w:bookmarkStart w:id="71" w:name="_Toc15396624"/>
    </w:p>
    <w:p w14:paraId="5FD6E5C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1"/>
    </w:p>
    <w:p w14:paraId="47D1B5A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5"/>
      <w:r>
        <w:rPr>
          <w:rFonts w:hint="eastAsia" w:ascii="Times New Roman" w:hAnsi="Times New Roman" w:eastAsia="仿宋_GB2312" w:cs="仿宋_GB2312"/>
          <w:color w:val="auto"/>
          <w:sz w:val="32"/>
          <w:szCs w:val="32"/>
          <w:highlight w:val="none"/>
        </w:rPr>
        <w:t>七、一般公共预算财政拨款支出决算明细表</w:t>
      </w:r>
      <w:bookmarkEnd w:id="72"/>
    </w:p>
    <w:p w14:paraId="10EAD71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6"/>
      <w:r>
        <w:rPr>
          <w:rFonts w:hint="eastAsia" w:ascii="Times New Roman" w:hAnsi="Times New Roman" w:eastAsia="仿宋_GB2312" w:cs="仿宋_GB2312"/>
          <w:color w:val="auto"/>
          <w:sz w:val="32"/>
          <w:szCs w:val="32"/>
          <w:highlight w:val="none"/>
        </w:rPr>
        <w:t>八、一般公共预算财政拨款基本支出决算表</w:t>
      </w:r>
      <w:bookmarkEnd w:id="73"/>
    </w:p>
    <w:p w14:paraId="565818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7"/>
      <w:r>
        <w:rPr>
          <w:rFonts w:hint="eastAsia" w:ascii="Times New Roman" w:hAnsi="Times New Roman" w:eastAsia="仿宋_GB2312" w:cs="仿宋_GB2312"/>
          <w:color w:val="auto"/>
          <w:sz w:val="32"/>
          <w:szCs w:val="32"/>
          <w:highlight w:val="none"/>
        </w:rPr>
        <w:t>九、一般公共预算财政拨款项目支出决算表</w:t>
      </w:r>
      <w:bookmarkEnd w:id="74"/>
    </w:p>
    <w:p w14:paraId="14DACE3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8"/>
      <w:r>
        <w:rPr>
          <w:rFonts w:hint="eastAsia" w:ascii="Times New Roman" w:hAnsi="Times New Roman" w:eastAsia="仿宋_GB2312" w:cs="仿宋_GB2312"/>
          <w:color w:val="auto"/>
          <w:sz w:val="32"/>
          <w:szCs w:val="32"/>
          <w:highlight w:val="none"/>
        </w:rPr>
        <w:t>十、</w:t>
      </w:r>
      <w:bookmarkEnd w:id="75"/>
      <w:r>
        <w:rPr>
          <w:rFonts w:hint="eastAsia" w:ascii="Times New Roman" w:hAnsi="Times New Roman" w:eastAsia="仿宋_GB2312" w:cs="仿宋_GB2312"/>
          <w:color w:val="auto"/>
          <w:sz w:val="32"/>
          <w:szCs w:val="32"/>
          <w:highlight w:val="none"/>
        </w:rPr>
        <w:t>政府性基金预算财政拨款收入支出决算表</w:t>
      </w:r>
    </w:p>
    <w:p w14:paraId="2CA5CE9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9"/>
      <w:r>
        <w:rPr>
          <w:rFonts w:hint="eastAsia" w:ascii="Times New Roman" w:hAnsi="Times New Roman" w:eastAsia="仿宋_GB2312" w:cs="仿宋_GB2312"/>
          <w:color w:val="auto"/>
          <w:sz w:val="32"/>
          <w:szCs w:val="32"/>
          <w:highlight w:val="none"/>
        </w:rPr>
        <w:t>十一、</w:t>
      </w:r>
      <w:bookmarkEnd w:id="7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1363A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30"/>
      <w:r>
        <w:rPr>
          <w:rFonts w:hint="eastAsia" w:ascii="Times New Roman" w:hAnsi="Times New Roman" w:eastAsia="仿宋_GB2312" w:cs="仿宋_GB2312"/>
          <w:color w:val="auto"/>
          <w:sz w:val="32"/>
          <w:szCs w:val="32"/>
          <w:highlight w:val="none"/>
        </w:rPr>
        <w:t>十二、</w:t>
      </w:r>
      <w:bookmarkEnd w:id="77"/>
      <w:r>
        <w:rPr>
          <w:rFonts w:hint="eastAsia" w:ascii="Times New Roman" w:hAnsi="Times New Roman" w:eastAsia="仿宋_GB2312" w:cs="仿宋_GB2312"/>
          <w:color w:val="auto"/>
          <w:sz w:val="32"/>
          <w:szCs w:val="32"/>
          <w:highlight w:val="none"/>
          <w:lang w:eastAsia="zh-CN"/>
        </w:rPr>
        <w:t>国有资本经营预算财政拨款支出决算表</w:t>
      </w:r>
    </w:p>
    <w:p w14:paraId="5E8B78D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8" w:name="_Toc15396631"/>
      <w:r>
        <w:rPr>
          <w:rFonts w:hint="eastAsia" w:ascii="Times New Roman" w:hAnsi="Times New Roman" w:eastAsia="仿宋_GB2312" w:cs="仿宋_GB2312"/>
          <w:color w:val="auto"/>
          <w:sz w:val="32"/>
          <w:szCs w:val="32"/>
          <w:highlight w:val="none"/>
        </w:rPr>
        <w:t>十三、</w:t>
      </w:r>
      <w:bookmarkEnd w:id="78"/>
      <w:r>
        <w:rPr>
          <w:rFonts w:hint="eastAsia" w:ascii="Times New Roman" w:hAnsi="Times New Roman" w:eastAsia="仿宋_GB2312" w:cs="仿宋_GB2312"/>
          <w:color w:val="auto"/>
          <w:sz w:val="32"/>
          <w:szCs w:val="32"/>
          <w:highlight w:val="none"/>
          <w:lang w:eastAsia="zh-CN"/>
        </w:rPr>
        <w:t>财政拨款“三公”经费支出决算表</w:t>
      </w:r>
    </w:p>
    <w:p w14:paraId="708F181C">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946670-AEC3-4263-BA0B-7D5F864CE3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343CCB0-F334-4C3F-8808-D55807928BC1}"/>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B4B8ED07-66B7-4984-95C7-25DB8EAEACCB}"/>
  </w:font>
  <w:font w:name="仿宋">
    <w:panose1 w:val="02010609060101010101"/>
    <w:charset w:val="86"/>
    <w:family w:val="modern"/>
    <w:pitch w:val="default"/>
    <w:sig w:usb0="800002BF" w:usb1="38CF7CFA" w:usb2="00000016" w:usb3="00000000" w:csb0="00040001" w:csb1="00000000"/>
    <w:embedRegular r:id="rId4" w:fontKey="{C3251243-2F65-4A9F-B58C-9A2A7FBA7B96}"/>
  </w:font>
  <w:font w:name="??">
    <w:altName w:val="FFont-Family"/>
    <w:panose1 w:val="00000000000000000000"/>
    <w:charset w:val="00"/>
    <w:family w:val="roman"/>
    <w:pitch w:val="default"/>
    <w:sig w:usb0="00000000" w:usb1="00000000" w:usb2="00000000" w:usb3="00000000" w:csb0="00000000" w:csb1="00000000"/>
  </w:font>
  <w:font w:name="C059">
    <w:altName w:val="FFont-Family"/>
    <w:panose1 w:val="00000500000000000000"/>
    <w:charset w:val="00"/>
    <w:family w:val="auto"/>
    <w:pitch w:val="default"/>
    <w:sig w:usb0="00000000" w:usb1="00000000" w:usb2="00000000" w:usb3="00000000" w:csb0="6000009F" w:csb1="00000000"/>
  </w:font>
  <w:font w:name="方正小标宋简体">
    <w:panose1 w:val="02010600010101010101"/>
    <w:charset w:val="86"/>
    <w:family w:val="script"/>
    <w:pitch w:val="default"/>
    <w:sig w:usb0="00000001" w:usb1="080E0000" w:usb2="00000000" w:usb3="00000000" w:csb0="00040000" w:csb1="00000000"/>
    <w:embedRegular r:id="rId5" w:fontKey="{452B276F-0EB8-4EFE-8F48-6C63E1F04368}"/>
  </w:font>
  <w:font w:name="楷体_GB2312">
    <w:panose1 w:val="02010609030101010101"/>
    <w:charset w:val="86"/>
    <w:family w:val="auto"/>
    <w:pitch w:val="default"/>
    <w:sig w:usb0="00000001" w:usb1="080E0000" w:usb2="00000000" w:usb3="00000000" w:csb0="00040000" w:csb1="00000000"/>
    <w:embedRegular r:id="rId6" w:fontKey="{A11E19E3-2B65-4607-9C08-188F2B32E14F}"/>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BF3A8">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3332E">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363332E">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7A3CC23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E1D4F">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F3E03">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B2F3E03">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AD801">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5F737">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8D5F737">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532D3ED2">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4AF61">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A89E7">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51A89E7">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2B0D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D3DD9"/>
    <w:multiLevelType w:val="singleLevel"/>
    <w:tmpl w:val="89AD3DD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364B9"/>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BF15A4"/>
    <w:rsid w:val="02FEBE30"/>
    <w:rsid w:val="03411FB9"/>
    <w:rsid w:val="040354C1"/>
    <w:rsid w:val="04916F1E"/>
    <w:rsid w:val="05900FD6"/>
    <w:rsid w:val="05D84E57"/>
    <w:rsid w:val="061E35DE"/>
    <w:rsid w:val="066E0107"/>
    <w:rsid w:val="06905732"/>
    <w:rsid w:val="07996F6E"/>
    <w:rsid w:val="07DFD8BA"/>
    <w:rsid w:val="09867E8F"/>
    <w:rsid w:val="0A2032A3"/>
    <w:rsid w:val="0B574A70"/>
    <w:rsid w:val="0BCE7359"/>
    <w:rsid w:val="0C1E1668"/>
    <w:rsid w:val="0CA8290A"/>
    <w:rsid w:val="0CB25D2E"/>
    <w:rsid w:val="0D35B1ED"/>
    <w:rsid w:val="0E15651D"/>
    <w:rsid w:val="0E254B6B"/>
    <w:rsid w:val="0F0A3BA7"/>
    <w:rsid w:val="0F98263C"/>
    <w:rsid w:val="0FC621C4"/>
    <w:rsid w:val="101860EC"/>
    <w:rsid w:val="101F47CC"/>
    <w:rsid w:val="10C055FF"/>
    <w:rsid w:val="11694EBD"/>
    <w:rsid w:val="11772AA4"/>
    <w:rsid w:val="118107EC"/>
    <w:rsid w:val="11E730DB"/>
    <w:rsid w:val="12E24EE2"/>
    <w:rsid w:val="13B10A95"/>
    <w:rsid w:val="13D50BC4"/>
    <w:rsid w:val="14B17F78"/>
    <w:rsid w:val="156670AB"/>
    <w:rsid w:val="165E0673"/>
    <w:rsid w:val="16B831D5"/>
    <w:rsid w:val="16BB723D"/>
    <w:rsid w:val="17451C21"/>
    <w:rsid w:val="1786EE41"/>
    <w:rsid w:val="17E50567"/>
    <w:rsid w:val="186504BB"/>
    <w:rsid w:val="19A445FC"/>
    <w:rsid w:val="1BE8440E"/>
    <w:rsid w:val="1C632B49"/>
    <w:rsid w:val="1D155CEE"/>
    <w:rsid w:val="1D1638FE"/>
    <w:rsid w:val="1E312DEB"/>
    <w:rsid w:val="1E740ACF"/>
    <w:rsid w:val="1EC51899"/>
    <w:rsid w:val="1ECA6EAF"/>
    <w:rsid w:val="1F6115C2"/>
    <w:rsid w:val="1FB931AC"/>
    <w:rsid w:val="1FF35744"/>
    <w:rsid w:val="1FF6BC77"/>
    <w:rsid w:val="202A5E57"/>
    <w:rsid w:val="20D61B3B"/>
    <w:rsid w:val="20D64231"/>
    <w:rsid w:val="2186353C"/>
    <w:rsid w:val="23860B96"/>
    <w:rsid w:val="240371BF"/>
    <w:rsid w:val="244F3473"/>
    <w:rsid w:val="24C97D99"/>
    <w:rsid w:val="25A718F0"/>
    <w:rsid w:val="25BB59F6"/>
    <w:rsid w:val="260F557C"/>
    <w:rsid w:val="26970054"/>
    <w:rsid w:val="26A30712"/>
    <w:rsid w:val="281408E2"/>
    <w:rsid w:val="2826784C"/>
    <w:rsid w:val="29365450"/>
    <w:rsid w:val="29FD04D3"/>
    <w:rsid w:val="2BFF7BC6"/>
    <w:rsid w:val="2C027C88"/>
    <w:rsid w:val="2C8A61B5"/>
    <w:rsid w:val="2CC118F2"/>
    <w:rsid w:val="2D32459D"/>
    <w:rsid w:val="2DF04E50"/>
    <w:rsid w:val="2E586DFA"/>
    <w:rsid w:val="2F040D46"/>
    <w:rsid w:val="2F37678B"/>
    <w:rsid w:val="2F6B035B"/>
    <w:rsid w:val="2FAE5751"/>
    <w:rsid w:val="2FB1A395"/>
    <w:rsid w:val="2FD9A7D8"/>
    <w:rsid w:val="2FDBF714"/>
    <w:rsid w:val="30AB6865"/>
    <w:rsid w:val="319F7F4E"/>
    <w:rsid w:val="320D6B1C"/>
    <w:rsid w:val="32A221C5"/>
    <w:rsid w:val="32BD1EF1"/>
    <w:rsid w:val="3304709D"/>
    <w:rsid w:val="33294694"/>
    <w:rsid w:val="33A773CB"/>
    <w:rsid w:val="349D6851"/>
    <w:rsid w:val="350A48DC"/>
    <w:rsid w:val="35CE6E2D"/>
    <w:rsid w:val="36AA5135"/>
    <w:rsid w:val="36BE0DA7"/>
    <w:rsid w:val="376B6AA6"/>
    <w:rsid w:val="376D39B2"/>
    <w:rsid w:val="37E16F03"/>
    <w:rsid w:val="37F53A3B"/>
    <w:rsid w:val="389B6C89"/>
    <w:rsid w:val="38D469F0"/>
    <w:rsid w:val="39627CCD"/>
    <w:rsid w:val="397BAF1F"/>
    <w:rsid w:val="399D7242"/>
    <w:rsid w:val="3AB79AF3"/>
    <w:rsid w:val="3AE834C0"/>
    <w:rsid w:val="3B7EF35A"/>
    <w:rsid w:val="3B9FDB6C"/>
    <w:rsid w:val="3BEF1089"/>
    <w:rsid w:val="3BF5BC2F"/>
    <w:rsid w:val="3CEBA265"/>
    <w:rsid w:val="3D98207C"/>
    <w:rsid w:val="3DCE3E6E"/>
    <w:rsid w:val="3DEE7CF3"/>
    <w:rsid w:val="3E740A63"/>
    <w:rsid w:val="3E78745D"/>
    <w:rsid w:val="3EE17838"/>
    <w:rsid w:val="3EEF34A6"/>
    <w:rsid w:val="3F526774"/>
    <w:rsid w:val="3F55381A"/>
    <w:rsid w:val="3F7F7599"/>
    <w:rsid w:val="3FF4CAE0"/>
    <w:rsid w:val="3FF7B227"/>
    <w:rsid w:val="3FFB298A"/>
    <w:rsid w:val="40AB0497"/>
    <w:rsid w:val="42FF5E34"/>
    <w:rsid w:val="43EF4B3E"/>
    <w:rsid w:val="443F1622"/>
    <w:rsid w:val="448B4867"/>
    <w:rsid w:val="44E268DA"/>
    <w:rsid w:val="450D13D7"/>
    <w:rsid w:val="45506656"/>
    <w:rsid w:val="45D502AC"/>
    <w:rsid w:val="48221986"/>
    <w:rsid w:val="486A6C7A"/>
    <w:rsid w:val="49787384"/>
    <w:rsid w:val="4A627F82"/>
    <w:rsid w:val="4ABA7215"/>
    <w:rsid w:val="4B0E749A"/>
    <w:rsid w:val="4B2477C4"/>
    <w:rsid w:val="4B4F25DA"/>
    <w:rsid w:val="4BE068DB"/>
    <w:rsid w:val="4CCC3C6F"/>
    <w:rsid w:val="4CDD065E"/>
    <w:rsid w:val="4D577224"/>
    <w:rsid w:val="4DBF1CEB"/>
    <w:rsid w:val="4DF0007C"/>
    <w:rsid w:val="4EAB630A"/>
    <w:rsid w:val="4ECE2238"/>
    <w:rsid w:val="4F833267"/>
    <w:rsid w:val="4FE9BD67"/>
    <w:rsid w:val="4FFB052F"/>
    <w:rsid w:val="51CB2747"/>
    <w:rsid w:val="528E591A"/>
    <w:rsid w:val="53534580"/>
    <w:rsid w:val="53605111"/>
    <w:rsid w:val="537E6D0A"/>
    <w:rsid w:val="53A235C5"/>
    <w:rsid w:val="53F74C96"/>
    <w:rsid w:val="540E2DBF"/>
    <w:rsid w:val="55170BA8"/>
    <w:rsid w:val="553218C9"/>
    <w:rsid w:val="566C201F"/>
    <w:rsid w:val="567E1AA5"/>
    <w:rsid w:val="56E47B74"/>
    <w:rsid w:val="57175D52"/>
    <w:rsid w:val="57BD3DD4"/>
    <w:rsid w:val="58C425E6"/>
    <w:rsid w:val="5AF92295"/>
    <w:rsid w:val="5B250254"/>
    <w:rsid w:val="5B2D7FCE"/>
    <w:rsid w:val="5BDD79E6"/>
    <w:rsid w:val="5BF561CA"/>
    <w:rsid w:val="5BFF5DFC"/>
    <w:rsid w:val="5C6B34A4"/>
    <w:rsid w:val="5CD71FC4"/>
    <w:rsid w:val="5D1F11B5"/>
    <w:rsid w:val="5D695134"/>
    <w:rsid w:val="5D722610"/>
    <w:rsid w:val="5D821FB0"/>
    <w:rsid w:val="5DAE1B18"/>
    <w:rsid w:val="5DE7D9E5"/>
    <w:rsid w:val="5ECEC941"/>
    <w:rsid w:val="5F8E9E54"/>
    <w:rsid w:val="5FBF9FF3"/>
    <w:rsid w:val="5FCD4E2C"/>
    <w:rsid w:val="5FEA46E0"/>
    <w:rsid w:val="5FEF394A"/>
    <w:rsid w:val="5FF67715"/>
    <w:rsid w:val="5FFD8399"/>
    <w:rsid w:val="621A5222"/>
    <w:rsid w:val="62377985"/>
    <w:rsid w:val="62BF3928"/>
    <w:rsid w:val="62F12229"/>
    <w:rsid w:val="63B3701E"/>
    <w:rsid w:val="647F5392"/>
    <w:rsid w:val="65E66580"/>
    <w:rsid w:val="664B1D71"/>
    <w:rsid w:val="664B4E8E"/>
    <w:rsid w:val="67236729"/>
    <w:rsid w:val="67277B67"/>
    <w:rsid w:val="67AA3209"/>
    <w:rsid w:val="686B482C"/>
    <w:rsid w:val="698D0931"/>
    <w:rsid w:val="69B47B0D"/>
    <w:rsid w:val="6A4A6E13"/>
    <w:rsid w:val="6A7FE5F3"/>
    <w:rsid w:val="6B053271"/>
    <w:rsid w:val="6BDD78B3"/>
    <w:rsid w:val="6C3B62C3"/>
    <w:rsid w:val="6C4A05C8"/>
    <w:rsid w:val="6C846F75"/>
    <w:rsid w:val="6C8742B8"/>
    <w:rsid w:val="6DBF5E93"/>
    <w:rsid w:val="6DFF077E"/>
    <w:rsid w:val="6E3000AA"/>
    <w:rsid w:val="6E714EF0"/>
    <w:rsid w:val="6E7E3605"/>
    <w:rsid w:val="6E7FDCC7"/>
    <w:rsid w:val="6EB365E5"/>
    <w:rsid w:val="6ED6A62E"/>
    <w:rsid w:val="6EE00B15"/>
    <w:rsid w:val="6F6FB3EB"/>
    <w:rsid w:val="6F8731EA"/>
    <w:rsid w:val="6FCE6052"/>
    <w:rsid w:val="6FD57C00"/>
    <w:rsid w:val="6FEFFFD8"/>
    <w:rsid w:val="6FF5CC65"/>
    <w:rsid w:val="6FFA58AB"/>
    <w:rsid w:val="6FFB47EC"/>
    <w:rsid w:val="6FFF034A"/>
    <w:rsid w:val="70484440"/>
    <w:rsid w:val="708F6DAD"/>
    <w:rsid w:val="712A28F1"/>
    <w:rsid w:val="715C0E4B"/>
    <w:rsid w:val="71992E7C"/>
    <w:rsid w:val="72233669"/>
    <w:rsid w:val="72734D90"/>
    <w:rsid w:val="73160E6D"/>
    <w:rsid w:val="7332FE48"/>
    <w:rsid w:val="73972979"/>
    <w:rsid w:val="73AB61DA"/>
    <w:rsid w:val="73AD73D5"/>
    <w:rsid w:val="73B6EB34"/>
    <w:rsid w:val="73FA497D"/>
    <w:rsid w:val="744731E5"/>
    <w:rsid w:val="74BBD01D"/>
    <w:rsid w:val="74ED5379"/>
    <w:rsid w:val="7573DD65"/>
    <w:rsid w:val="75DEEEC2"/>
    <w:rsid w:val="75E32345"/>
    <w:rsid w:val="76E3355F"/>
    <w:rsid w:val="76FF5125"/>
    <w:rsid w:val="776F6FFA"/>
    <w:rsid w:val="778769C8"/>
    <w:rsid w:val="77A75DCA"/>
    <w:rsid w:val="77DC22F5"/>
    <w:rsid w:val="783E271A"/>
    <w:rsid w:val="78616DE9"/>
    <w:rsid w:val="78A3591C"/>
    <w:rsid w:val="78E875D7"/>
    <w:rsid w:val="79086DAD"/>
    <w:rsid w:val="79D7FD79"/>
    <w:rsid w:val="79EE5BA4"/>
    <w:rsid w:val="7A894339"/>
    <w:rsid w:val="7AD284E8"/>
    <w:rsid w:val="7AFF7572"/>
    <w:rsid w:val="7B6C7DFB"/>
    <w:rsid w:val="7B9D6653"/>
    <w:rsid w:val="7BBFBED0"/>
    <w:rsid w:val="7BC3E394"/>
    <w:rsid w:val="7C1F3737"/>
    <w:rsid w:val="7C865339"/>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301A"/>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ED7B5BC"/>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B9F0347"/>
    <w:rsid w:val="ECFED1BC"/>
    <w:rsid w:val="ED1D69BB"/>
    <w:rsid w:val="ED7FD312"/>
    <w:rsid w:val="EF2E1AC6"/>
    <w:rsid w:val="EF53993F"/>
    <w:rsid w:val="EF6FD633"/>
    <w:rsid w:val="EFBFB2F4"/>
    <w:rsid w:val="EFBFFA21"/>
    <w:rsid w:val="EFDECF5C"/>
    <w:rsid w:val="F2BEBCB8"/>
    <w:rsid w:val="F36FB518"/>
    <w:rsid w:val="F3DE1A04"/>
    <w:rsid w:val="F3F722E5"/>
    <w:rsid w:val="F4FBCD07"/>
    <w:rsid w:val="F7EFEE5B"/>
    <w:rsid w:val="FA5F1E70"/>
    <w:rsid w:val="FA5FDB97"/>
    <w:rsid w:val="FB6E2B1C"/>
    <w:rsid w:val="FB7F486A"/>
    <w:rsid w:val="FBFF5B2E"/>
    <w:rsid w:val="FD7FFE2B"/>
    <w:rsid w:val="FDEE196B"/>
    <w:rsid w:val="FDFE6575"/>
    <w:rsid w:val="FEDFDDC2"/>
    <w:rsid w:val="FEED32F6"/>
    <w:rsid w:val="FEF781DD"/>
    <w:rsid w:val="FF3F7E3F"/>
    <w:rsid w:val="FFBA12D7"/>
    <w:rsid w:val="FFCBD314"/>
    <w:rsid w:val="FFDFF91C"/>
    <w:rsid w:val="FFDFFAEE"/>
    <w:rsid w:val="FFEE4AA9"/>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29992;&#25143;&#30446;&#24405;\Desktop\&#26032;&#24314;%20XLSX%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9992;&#25143;&#30446;&#24405;\Desktop\&#26032;&#24314;%20XLSX%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9992;&#25143;&#30446;&#24405;\Desktop\&#26032;&#24314;%20XLSX%20&#24037;&#20316;&#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9992;&#25143;&#30446;&#24405;\Desktop\&#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收入、支出变动</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353.19</c:v>
                </c:pt>
                <c:pt idx="1">
                  <c:v>393.95</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353.19</c:v>
                </c:pt>
                <c:pt idx="1">
                  <c:v>393.95</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d34c8d-e1d3-46ff-9c2e-7d7ae4b984c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'[新建 XLSX 工作表.xlsx]Sheet1'!$A$25</c:f>
              <c:strCache>
                <c:ptCount val="1"/>
                <c:pt idx="0">
                  <c:v>一般公共预算财政拨款收入</c:v>
                </c:pt>
              </c:strCache>
            </c:strRef>
          </c:tx>
          <c:spPr/>
          <c:explosion val="0"/>
          <c:dPt>
            <c:idx val="0"/>
            <c:bubble3D val="0"/>
            <c:spPr>
              <a:solidFill>
                <a:schemeClr val="accent1"/>
              </a:solidFill>
              <a:ln>
                <a:solidFill>
                  <a:schemeClr val="bg1"/>
                </a:solidFill>
              </a:ln>
              <a:effectLst/>
            </c:spPr>
          </c:dPt>
          <c:dLbls>
            <c:delete val="1"/>
          </c:dLbls>
          <c:cat>
            <c:strRef>
              <c:f>'[新建 XLSX 工作表.xlsx]Sheet1'!$B$24</c:f>
              <c:strCache>
                <c:ptCount val="1"/>
                <c:pt idx="0">
                  <c:v>2024年（万元）</c:v>
                </c:pt>
              </c:strCache>
            </c:strRef>
          </c:cat>
          <c:val>
            <c:numRef>
              <c:f>'[新建 XLSX 工作表.xlsx]Sheet1'!$B$25</c:f>
              <c:numCache>
                <c:formatCode>General</c:formatCode>
                <c:ptCount val="1"/>
                <c:pt idx="0">
                  <c:v>353.19</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b12b5f0e-857b-48cf-82cb-b7657babca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'[新建 XLSX 工作表.xlsx]Sheet1'!$A$37</c:f>
              <c:strCache>
                <c:ptCount val="1"/>
                <c:pt idx="0">
                  <c:v>基本支出</c:v>
                </c:pt>
              </c:strCache>
            </c:strRef>
          </c:tx>
          <c:spPr/>
          <c:explosion val="0"/>
          <c:dPt>
            <c:idx val="0"/>
            <c:bubble3D val="0"/>
            <c:spPr>
              <a:solidFill>
                <a:schemeClr val="accent1"/>
              </a:solidFill>
              <a:ln>
                <a:solidFill>
                  <a:schemeClr val="bg1"/>
                </a:solidFill>
              </a:ln>
              <a:effectLst/>
            </c:spPr>
          </c:dPt>
          <c:dLbls>
            <c:delete val="1"/>
          </c:dLbls>
          <c:cat>
            <c:strRef>
              <c:f>'[新建 XLSX 工作表.xlsx]Sheet1'!$B$36</c:f>
              <c:strCache>
                <c:ptCount val="1"/>
                <c:pt idx="0">
                  <c:v>2024年（万元）</c:v>
                </c:pt>
              </c:strCache>
            </c:strRef>
          </c:cat>
          <c:val>
            <c:numRef>
              <c:f>'[新建 XLSX 工作表.xlsx]Sheet1'!$B$37</c:f>
              <c:numCache>
                <c:formatCode>General</c:formatCode>
                <c:ptCount val="1"/>
                <c:pt idx="0">
                  <c:v>353.19</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a913a6c-609b-45bc-91a8-2ce89ff68e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收入、支出变动</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353.19</c:v>
                </c:pt>
                <c:pt idx="1">
                  <c:v>393.95</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353.19</c:v>
                </c:pt>
                <c:pt idx="1">
                  <c:v>393.95</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d34c8d-e1d3-46ff-9c2e-7d7ae4b984c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收入、支出变动</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353.19</c:v>
                </c:pt>
                <c:pt idx="1">
                  <c:v>393.95</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353.19</c:v>
                </c:pt>
                <c:pt idx="1">
                  <c:v>393.95</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d34c8d-e1d3-46ff-9c2e-7d7ae4b984c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年一般公共预算财政拨款支出（万元）</a:t>
            </a:r>
          </a:p>
        </c:rich>
      </c:tx>
      <c:layout/>
      <c:overlay val="0"/>
      <c:spPr>
        <a:noFill/>
        <a:ln>
          <a:noFill/>
        </a:ln>
        <a:effectLst/>
      </c:spPr>
    </c:title>
    <c:autoTitleDeleted val="0"/>
    <c:plotArea>
      <c:layout/>
      <c:pieChart>
        <c:varyColors val="1"/>
        <c:ser>
          <c:idx val="0"/>
          <c:order val="0"/>
          <c:tx>
            <c:strRef>
              <c:f>'[新建 XLSX 工作表.xlsx]Sheet1'!$B$67</c:f>
              <c:strCache>
                <c:ptCount val="1"/>
                <c:pt idx="0">
                  <c:v>2024年一般公共预算财政拨款支出（万元）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53.27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19.89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a:t>
                    </a:r>
                    <a:r>
                      <a:rPr lang="en-US" altLang="zh-CN"/>
                      <a:t>92.37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28.42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工作表.xlsx]Sheet1'!$A$68:$A$71</c:f>
              <c:strCache>
                <c:ptCount val="4"/>
                <c:pt idx="0">
                  <c:v>社会保障和就业支出</c:v>
                </c:pt>
                <c:pt idx="1">
                  <c:v>卫生健康支出</c:v>
                </c:pt>
                <c:pt idx="2">
                  <c:v>城乡社区支出</c:v>
                </c:pt>
                <c:pt idx="3">
                  <c:v>住房保障支出</c:v>
                </c:pt>
              </c:strCache>
            </c:strRef>
          </c:cat>
          <c:val>
            <c:numRef>
              <c:f>'[新建 XLSX 工作表.xlsx]Sheet1'!$B$68:$B$71</c:f>
              <c:numCache>
                <c:formatCode>General</c:formatCode>
                <c:ptCount val="4"/>
                <c:pt idx="0">
                  <c:v>53.67</c:v>
                </c:pt>
                <c:pt idx="1">
                  <c:v>19.47</c:v>
                </c:pt>
                <c:pt idx="2">
                  <c:v>252.88</c:v>
                </c:pt>
                <c:pt idx="3">
                  <c:v>27.16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510b84-f22b-4621-a358-23abe861c05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'[新建 XLSX 工作表.xlsx]Sheet1'!$A$83</c:f>
              <c:strCache>
                <c:ptCount val="1"/>
                <c:pt idx="0">
                  <c:v>公务用车购置及运行维护费支出</c:v>
                </c:pt>
              </c:strCache>
            </c:strRef>
          </c:tx>
          <c:spPr/>
          <c:explosion val="0"/>
          <c:dPt>
            <c:idx val="0"/>
            <c:bubble3D val="0"/>
            <c:spPr>
              <a:solidFill>
                <a:schemeClr val="accent1"/>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0.95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工作表.xlsx]Sheet1'!$B$82</c:f>
              <c:strCache>
                <c:ptCount val="1"/>
                <c:pt idx="0">
                  <c:v>20204年（万元）</c:v>
                </c:pt>
              </c:strCache>
            </c:strRef>
          </c:cat>
          <c:val>
            <c:numRef>
              <c:f>'[新建 XLSX 工作表.xlsx]Sheet1'!$B$83</c:f>
              <c:numCache>
                <c:formatCode>General</c:formatCode>
                <c:ptCount val="1"/>
                <c:pt idx="0">
                  <c:v>2.87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ff88b0f3-6927-4dd2-b61a-4dc677edada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75bda0e7-897e-44a9-b0c5-12d37331d1c5</errorID>
      <errorWord>建筑法</errorWord>
      <group>L1_Knowledge</group>
      <groupName>知识性问题</groupName>
      <ability>L2_Knowledge</ability>
      <abilityName>其他知识</abilityName>
      <candidateList>
        <item>中华人民共和国建筑法</item>
      </candidateList>
      <explain>当前法律法规名称使用简称，请注意是否应当使用全称。</explain>
      <paraID>3F19A892</paraID>
      <start>202</start>
      <end>212</end>
      <status>modified</status>
      <modifiedWord>中华人民共和国建筑法</modifiedWord>
      <trackRevisions>false</trackRevisions>
    </reviewItem>
    <reviewItem>
      <errorID>95a528d0-d638-4ae7-942a-a25032d56cee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3F19A892</paraID>
      <start>415</start>
      <end>427</end>
      <status>modified</status>
      <modifiedWord>中华人民共和国安全生产法</modifiedWord>
      <trackRevisions>false</trackRevisions>
    </reviewItem>
    <reviewItem>
      <errorID>e0c2a9b5-4905-4ece-96dc-21d57c641613</errorID>
      <errorWord>建筑工程质量管理条例</errorWord>
      <group>L1_Knowledge</group>
      <groupName>知识性问题</groupName>
      <ability>L2_Knowledge</ability>
      <abilityName>其他知识</abilityName>
      <candidateList>
        <item>建设工程质量管理条例</item>
      </candidateList>
      <explain>当前法律法规未收录或尚未生效，注意核查是否正确。</explain>
      <paraID>3F19A892</paraID>
      <start>675</start>
      <end>685</end>
      <status>modified</status>
      <modifiedWord>建设工程质量管理条例</modifiedWord>
      <trackRevisions>false</trackRevisions>
    </reviewItem>
    <reviewItem>
      <errorID>974d901d-3c5a-4757-8b9a-4016235320fb</errorID>
      <errorWord>法律、法规</errorWord>
      <group>L1_Word</group>
      <groupName>字词问题</groupName>
      <ability>L2_Typo</ability>
      <abilityName>字词错误</abilityName>
      <candidateList>
        <item>法律法规</item>
      </candidateList>
      <explain/>
      <paraID>3F19A892</paraID>
      <start>968</start>
      <end>972</end>
      <status>modified</status>
      <modifiedWord>法律法规</modifiedWord>
      <trackRevisions>false</trackRevisions>
    </reviewItem>
    <reviewItem>
      <errorID>6288fce8-6780-4fcb-86ca-61cb92953c50</errorID>
      <errorWord>法律、法规</errorWord>
      <group>L1_Word</group>
      <groupName>字词问题</groupName>
      <ability>L2_Typo</ability>
      <abilityName>字词错误</abilityName>
      <candidateList>
        <item>法律法规</item>
      </candidateList>
      <explain/>
      <paraID>3F19A892</paraID>
      <start>1200</start>
      <end>1204</end>
      <status>modified</status>
      <modifiedWord>法律法规</modifiedWord>
      <trackRevisions>false</trackRevisions>
    </reviewItem>
    <reviewItem>
      <errorID>a38d2255-2054-45ed-b7f7-bbba3aeca77e</errorID>
      <errorWord>法律、法规</errorWord>
      <group>L1_Word</group>
      <groupName>字词问题</groupName>
      <ability>L2_Typo</ability>
      <abilityName>字词错误</abilityName>
      <candidateList>
        <item>法律法规</item>
      </candidateList>
      <explain/>
      <paraID>3F19A892</paraID>
      <start>1753</start>
      <end>1757</end>
      <status>modified</status>
      <modifiedWord>法律法规</modifiedWord>
      <trackRevisions>false</trackRevisions>
    </reviewItem>
    <reviewItem>
      <errorID>bf96a442-3a45-4b68-90c7-f75945a57914</errorID>
      <errorWord>：</errorWord>
      <group>L1_Punc</group>
      <groupName>标点问题</groupName>
      <ability>L2_Punc_CN</ability>
      <abilityName>标点符号问题</abilityName>
      <candidateList/>
      <explain/>
      <paraID>71AC381B</paraID>
      <start>0</start>
      <end>1</end>
      <status>unmodified</status>
      <modifiedWord/>
      <trackRevisions>false</trackRevisions>
    </reviewItem>
    <reviewItem>
      <errorID>effd1b08-74f1-4b59-81f7-e6e04aa469be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71AC381B</paraID>
      <start>17</start>
      <end>18</end>
      <status>unmodified</status>
      <modifiedWord/>
      <trackRevisions>false</trackRevisions>
    </reviewItem>
    <reviewItem>
      <errorID>43fd0651-37c7-43e3-8e00-38a8cd2b3fc0</errorID>
      <errorWord>..</errorWord>
      <group>L1_Punc</group>
      <groupName>标点问题</groupName>
      <ability>L2_Punc_CN</ability>
      <abilityName>标点符号问题</abilityName>
      <candidateList>
        <item>.</item>
      </candidateList>
      <explain/>
      <paraID>19F6D1B8</paraID>
      <start>1</start>
      <end>2</end>
      <status>modified</status>
      <modifiedWord>.</modifiedWord>
      <trackRevisions>false</trackRevisions>
    </reviewItem>
    <reviewItem>
      <errorID>8f1f8c46-c257-41b2-bcc9-04c90ae98343</errorID>
      <errorWord>:</errorWord>
      <group>L1_Format</group>
      <groupName>格式问题</groupName>
      <ability>L2_HalfPunc_CN</ability>
      <abilityName>全半角问题</abilityName>
      <candidateList>
        <item>：</item>
      </candidateList>
      <explain>文本全半角错误。</explain>
      <paraID>4306FEBB</paraID>
      <start>24</start>
      <end>25</end>
      <status>modified</status>
      <modifiedWord>：</modifiedWord>
      <trackRevisions>false</trackRevisions>
    </reviewItem>
    <reviewItem>
      <errorID>152a4a63-bc55-4b23-a051-35687bdb8f50</errorID>
      <errorWord>&lt;</errorWord>
      <group>L1_Format</group>
      <groupName>格式问题</groupName>
      <ability>L2_HalfPunc_CN</ability>
      <abilityName>全半角问题</abilityName>
      <candidateList>
        <item>〈</item>
      </candidateList>
      <explain>文本全半角错误。</explain>
      <paraID>1D676519</paraID>
      <start>50</start>
      <end>51</end>
      <status>modified</status>
      <modifiedWord>〈</modifiedWord>
      <trackRevisions>false</trackRevisions>
    </reviewItem>
    <reviewItem>
      <errorID>9f4fd5d7-66c4-4192-a665-db7964738ec4</errorID>
      <errorWord>&gt;</errorWord>
      <group>L1_Format</group>
      <groupName>格式问题</groupName>
      <ability>L2_HalfPunc_CN</ability>
      <abilityName>全半角问题</abilityName>
      <candidateList>
        <item>〉</item>
      </candidateList>
      <explain>文本全半角错误。</explain>
      <paraID>1D676519</paraID>
      <start>53</start>
      <end>54</end>
      <status>modified</status>
      <modifiedWord>〉</modifiedWord>
      <trackRevisions>false</trackRevisions>
    </reviewItem>
    <reviewItem>
      <errorID>356f385e-34cb-4350-a3ef-604c437c7488</errorID>
      <errorWord>&lt;</errorWord>
      <group>L1_Format</group>
      <groupName>格式问题</groupName>
      <ability>L2_HalfPunc_CN</ability>
      <abilityName>全半角问题</abilityName>
      <candidateList>
        <item>〈</item>
      </candidateList>
      <explain>文本全半角错误。</explain>
      <paraID>1D676519</paraID>
      <start>60</start>
      <end>61</end>
      <status>modified</status>
      <modifiedWord>〈</modifiedWord>
      <trackRevisions>false</trackRevisions>
    </reviewItem>
    <reviewItem>
      <errorID>44f1d936-da45-4116-a827-afafba12cd70</errorID>
      <errorWord>&gt;</errorWord>
      <group>L1_Format</group>
      <groupName>格式问题</groupName>
      <ability>L2_HalfPunc_CN</ability>
      <abilityName>全半角问题</abilityName>
      <candidateList>
        <item>〉</item>
      </candidateList>
      <explain>文本全半角错误。</explain>
      <paraID>1D676519</paraID>
      <start>63</start>
      <end>64</end>
      <status>modified</status>
      <modifiedWord>〉</modifiedWord>
      <trackRevisions>false</trackRevisions>
    </reviewItem>
    <reviewItem>
      <errorID>254edc3d-fb1e-4ab6-aedc-c76817dd1149</errorID>
      <errorWord>(</errorWord>
      <group>L1_Format</group>
      <groupName>格式问题</groupName>
      <ability>L2_HalfPunc_CN</ability>
      <abilityName>全半角问题</abilityName>
      <candidateList>
        <item>（</item>
      </candidateList>
      <explain>文本全半角错误。</explain>
      <paraID>60139C46</paraID>
      <start>18</start>
      <end>19</end>
      <status>modified</status>
      <modifiedWord>（</modifiedWord>
      <trackRevisions>false</trackRevisions>
    </reviewItem>
    <reviewItem>
      <errorID>e22a849d-4f16-4bfc-b7b8-cb08fffee9fb</errorID>
      <errorWord>)</errorWord>
      <group>L1_Format</group>
      <groupName>格式问题</groupName>
      <ability>L2_HalfPunc_CN</ability>
      <abilityName>全半角问题</abilityName>
      <candidateList>
        <item>）</item>
      </candidateList>
      <explain>文本全半角错误。</explain>
      <paraID>60139C46</paraID>
      <start>45</start>
      <end>46</end>
      <status>modified</status>
      <modifiedWord>）</modifiedWord>
      <trackRevisions>false</trackRevisions>
    </reviewItem>
    <reviewItem>
      <errorID>90567427-124b-4082-b0f2-45a31a50e98b</errorID>
      <errorWord>主要是</errorWord>
      <group>L1_Word</group>
      <groupName>字词问题</groupName>
      <ability>L2_Typo</ability>
      <abilityName>字词错误</abilityName>
      <candidateList>
        <item>主要</item>
      </candidateList>
      <explain/>
      <paraID>3A1C30F6</paraID>
      <start>75</start>
      <end>77</end>
      <status>modified</status>
      <modifiedWord>主要</modifiedWord>
      <trackRevisions>false</trackRevisions>
    </reviewItem>
    <reviewItem>
      <errorID>e695e7b7-986d-4ea4-8d36-2353894cd6b0</errorID>
      <errorWord>，</errorWord>
      <group>L1_Word</group>
      <groupName>字词问题</groupName>
      <ability>L2_Typo</ability>
      <abilityName>字词错误</abilityName>
      <candidateList>
        <item>，在</item>
      </candidateList>
      <explain/>
      <paraID>3AE6E755</paraID>
      <start>64</start>
      <end>66</end>
      <status>modified</status>
      <modifiedWord>，在</modifiedWord>
      <trackRevisions>false</trackRevisions>
    </reviewItem>
    <reviewItem>
      <errorID>00ed8651-2a00-44d1-9561-30ed28fa61ba</errorID>
      <errorWord>:</errorWord>
      <group>L1_Format</group>
      <groupName>格式问题</groupName>
      <ability>L2_HalfPunc_CN</ability>
      <abilityName>全半角问题</abilityName>
      <candidateList>
        <item>：</item>
      </candidateList>
      <explain>文本全半角错误。</explain>
      <paraID>1F10CDA0</paraID>
      <start>24</start>
      <end>25</end>
      <status>modified</status>
      <modifiedWord>：</modifiedWord>
      <trackRevisions>false</trackRevisions>
    </reviewItem>
    <reviewItem>
      <errorID>dcaec98f-fbd5-41a0-ac86-b51b4ef02836</errorID>
      <errorWord>比列</errorWord>
      <group>L1_Word</group>
      <groupName>字词问题</groupName>
      <ability>L2_Typo</ability>
      <abilityName>字词错误</abilityName>
      <candidateList>
        <item>比例</item>
      </candidateList>
      <explain/>
      <paraID>1F10CDA0</paraID>
      <start>64</start>
      <end>66</end>
      <status>modified</status>
      <modifiedWord>比例</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703f44-1300-48c3-bc8b-a53a0b8bddf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5190</Words>
  <Characters>5591</Characters>
  <Lines>61</Lines>
  <Paragraphs>17</Paragraphs>
  <TotalTime>13</TotalTime>
  <ScaleCrop>false</ScaleCrop>
  <LinksUpToDate>false</LinksUpToDate>
  <CharactersWithSpaces>5702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奕夕^_^</cp:lastModifiedBy>
  <cp:lastPrinted>2025-08-07T09:34:00Z</cp:lastPrinted>
  <dcterms:modified xsi:type="dcterms:W3CDTF">2026-10-15T01:25:36Z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eyJoZGlkIjoiNTU1MWNhN2ZmY2ZhZmY3ODhlYTg0MWU5OGMyY2QwZmUiLCJ1c2VySWQiOiI0MzQ2NTM0NzEifQ==</vt:lpwstr>
  </property>
</Properties>
</file>