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49952">
      <w:pPr>
        <w:pStyle w:val="7"/>
        <w:rPr>
          <w:rFonts w:hint="eastAsia"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77193"/>
      <w:bookmarkStart w:id="2" w:name="_Toc15377425"/>
      <w:bookmarkStart w:id="3" w:name="_Toc15378441"/>
      <w:bookmarkStart w:id="4" w:name="_Toc15396475"/>
      <w:bookmarkStart w:id="5" w:name="_Toc15306267"/>
    </w:p>
    <w:p w14:paraId="3F2664EA">
      <w:pPr>
        <w:rPr>
          <w:rFonts w:ascii="Times New Roman" w:hAnsi="Times New Roman"/>
        </w:rPr>
      </w:pPr>
    </w:p>
    <w:p w14:paraId="0D6EE14B">
      <w:pPr>
        <w:pStyle w:val="7"/>
        <w:spacing w:beforeLines="0"/>
        <w:jc w:val="center"/>
        <w:rPr>
          <w:rFonts w:hint="eastAsia" w:ascii="Times New Roman" w:hAnsi="Times New Roman" w:eastAsia="方正小标宋简体" w:cs="Times New Roman"/>
          <w:color w:val="auto"/>
          <w:kern w:val="2"/>
          <w:sz w:val="44"/>
          <w:szCs w:val="44"/>
          <w:highlight w:val="none"/>
          <w:lang w:val="en-US" w:eastAsia="zh-CN" w:bidi="ar-SA"/>
        </w:rPr>
      </w:pPr>
    </w:p>
    <w:p w14:paraId="2EC466B9">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586953B3">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40174CEA">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0564C814">
      <w:pPr>
        <w:pStyle w:val="7"/>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426"/>
      <w:bookmarkStart w:id="7" w:name="_Toc15396598"/>
      <w:bookmarkStart w:id="8" w:name="_Toc15377194"/>
      <w:bookmarkStart w:id="9" w:name="_Toc15378442"/>
      <w:bookmarkStart w:id="10" w:name="_Toc15396476"/>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w:t>
      </w:r>
    </w:p>
    <w:p w14:paraId="61D2A291">
      <w:pPr>
        <w:pStyle w:val="7"/>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松潘县人力资源和社会保障局</w:t>
      </w:r>
    </w:p>
    <w:p w14:paraId="39711349">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1C18E638">
      <w:pPr>
        <w:widowControl/>
        <w:jc w:val="center"/>
        <w:rPr>
          <w:rFonts w:ascii="Times New Roman" w:hAnsi="Times New Roman" w:eastAsia="黑体"/>
          <w:color w:val="auto"/>
          <w:sz w:val="48"/>
          <w:szCs w:val="48"/>
          <w:highlight w:val="none"/>
        </w:rPr>
      </w:pPr>
      <w:r>
        <w:rPr>
          <w:rFonts w:ascii="Times New Roman" w:hAnsi="Times New Roman" w:eastAsia="方正小标宋简体"/>
          <w:color w:val="auto"/>
          <w:sz w:val="36"/>
          <w:szCs w:val="36"/>
          <w:highlight w:val="none"/>
        </w:rPr>
        <w:br w:type="page"/>
      </w:r>
    </w:p>
    <w:p w14:paraId="30CDB30C">
      <w:pPr>
        <w:widowControl/>
        <w:jc w:val="center"/>
        <w:rPr>
          <w:rFonts w:ascii="Times New Roman" w:hAnsi="Times New Roman" w:eastAsia="黑体" w:cstheme="minorBidi"/>
          <w:color w:val="auto"/>
          <w:sz w:val="28"/>
          <w:szCs w:val="28"/>
          <w:highlight w:val="none"/>
        </w:rPr>
      </w:pPr>
    </w:p>
    <w:p w14:paraId="4F6A91EF">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83B7BAC">
      <w:pPr>
        <w:widowControl/>
        <w:jc w:val="center"/>
        <w:rPr>
          <w:rFonts w:ascii="Times New Roman" w:hAnsi="Times New Roman" w:eastAsia="黑体" w:cstheme="minorBidi"/>
          <w:color w:val="auto"/>
          <w:sz w:val="28"/>
          <w:szCs w:val="28"/>
          <w:highlight w:val="none"/>
        </w:rPr>
      </w:pPr>
    </w:p>
    <w:p w14:paraId="288BF19D">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13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78654"/>
        <w:docPartObj>
          <w:docPartGallery w:val="Table of Contents"/>
          <w:docPartUnique/>
        </w:docPartObj>
      </w:sdtPr>
      <w:sdtEndPr>
        <w:rPr>
          <w:rFonts w:ascii="宋体" w:hAnsi="宋体" w:eastAsia="宋体" w:cs="Times New Roman"/>
          <w:kern w:val="2"/>
          <w:sz w:val="20"/>
          <w:szCs w:val="20"/>
          <w:lang w:val="en-US" w:eastAsia="zh-CN" w:bidi="ar-SA"/>
        </w:rPr>
      </w:sdtEndPr>
      <w:sdtContent>
        <w:p w14:paraId="001266D1">
          <w:pPr>
            <w:spacing w:before="0" w:beforeLines="0" w:after="0" w:afterLines="0" w:line="240" w:lineRule="auto"/>
            <w:ind w:left="0" w:leftChars="0" w:right="0" w:rightChars="0" w:firstLine="0" w:firstLineChars="0"/>
            <w:jc w:val="center"/>
          </w:pPr>
          <w:bookmarkStart w:id="12" w:name="_Toc19198_WPSOffice_Type2"/>
        </w:p>
        <w:p w14:paraId="3CDE2B08">
          <w:pPr>
            <w:pStyle w:val="35"/>
            <w:tabs>
              <w:tab w:val="right" w:leader="dot" w:pos="8306"/>
            </w:tabs>
          </w:pPr>
          <w:r>
            <w:rPr>
              <w:rFonts w:hint="eastAsia" w:ascii="Times New Roman" w:hAnsi="Times New Roman" w:eastAsia="黑体" w:cs="黑体"/>
              <w:color w:val="auto"/>
              <w:kern w:val="2"/>
              <w:sz w:val="32"/>
              <w:szCs w:val="32"/>
              <w:highlight w:val="none"/>
              <w:lang w:val="en-US" w:eastAsia="zh-CN" w:bidi="ar-SA"/>
            </w:rPr>
            <w:fldChar w:fldCharType="begin"/>
          </w:r>
          <w:r>
            <w:rPr>
              <w:rFonts w:hint="eastAsia" w:ascii="Times New Roman" w:hAnsi="Times New Roman" w:eastAsia="黑体" w:cs="黑体"/>
              <w:color w:val="auto"/>
              <w:kern w:val="2"/>
              <w:sz w:val="32"/>
              <w:szCs w:val="32"/>
              <w:highlight w:val="none"/>
              <w:lang w:val="en-US" w:eastAsia="zh-CN" w:bidi="ar-SA"/>
            </w:rPr>
            <w:instrText xml:space="preserve"> HYPERLINK \l _Toc20944_WPSOffice_Level1 </w:instrText>
          </w:r>
          <w:r>
            <w:rPr>
              <w:rFonts w:hint="eastAsia" w:ascii="Times New Roman" w:hAnsi="Times New Roman" w:eastAsia="黑体" w:cs="黑体"/>
              <w:color w:val="auto"/>
              <w:kern w:val="2"/>
              <w:sz w:val="32"/>
              <w:szCs w:val="32"/>
              <w:highlight w:val="none"/>
              <w:lang w:val="en-US" w:eastAsia="zh-CN" w:bidi="ar-SA"/>
            </w:rPr>
            <w:fldChar w:fldCharType="separate"/>
          </w:r>
          <w:sdt>
            <w:sdtPr>
              <w:rPr>
                <w:rFonts w:hint="eastAsia" w:ascii="Times New Roman" w:hAnsi="Times New Roman" w:eastAsia="黑体" w:cs="黑体"/>
                <w:color w:val="auto"/>
                <w:kern w:val="2"/>
                <w:sz w:val="32"/>
                <w:szCs w:val="32"/>
                <w:highlight w:val="none"/>
                <w:lang w:val="en-US" w:eastAsia="zh-CN" w:bidi="ar-SA"/>
              </w:rPr>
              <w:id w:val="147459044"/>
              <w:placeholder>
                <w:docPart w:val="{58cf6175-a4c4-4a36-a8a3-86154f6d9982}"/>
              </w:placeholder>
            </w:sdtPr>
            <w:sdtEndPr>
              <w:rPr>
                <w:rFonts w:hint="eastAsia" w:ascii="Times New Roman" w:hAnsi="Times New Roman" w:eastAsia="黑体" w:cs="黑体"/>
                <w:color w:val="auto"/>
                <w:kern w:val="2"/>
                <w:sz w:val="32"/>
                <w:szCs w:val="32"/>
                <w:highlight w:val="none"/>
                <w:lang w:val="en-US" w:eastAsia="zh-CN" w:bidi="ar-SA"/>
              </w:rPr>
            </w:sdtEndPr>
            <w:sdtContent>
              <w:r>
                <w:rPr>
                  <w:rFonts w:hint="eastAsia" w:ascii="Times New Roman" w:hAnsi="Times New Roman" w:eastAsia="黑体" w:cs="黑体"/>
                  <w:color w:val="auto"/>
                  <w:kern w:val="2"/>
                  <w:sz w:val="32"/>
                  <w:szCs w:val="32"/>
                  <w:highlight w:val="none"/>
                  <w:lang w:val="en-US" w:eastAsia="zh-CN" w:bidi="ar-SA"/>
                </w:rPr>
                <w:t>第一部分  部门概况</w:t>
              </w:r>
            </w:sdtContent>
          </w:sdt>
          <w:r>
            <w:rPr>
              <w:rFonts w:hint="eastAsia" w:ascii="Times New Roman" w:hAnsi="Times New Roman" w:eastAsia="黑体" w:cs="黑体"/>
              <w:color w:val="auto"/>
              <w:kern w:val="2"/>
              <w:sz w:val="32"/>
              <w:szCs w:val="32"/>
              <w:highlight w:val="none"/>
              <w:lang w:val="en-US" w:eastAsia="zh-CN" w:bidi="ar-SA"/>
            </w:rPr>
            <w:tab/>
          </w:r>
          <w:bookmarkStart w:id="13" w:name="_Toc20944_WPSOffice_Level1Page"/>
          <w:r>
            <w:rPr>
              <w:rFonts w:hint="eastAsia" w:ascii="Times New Roman" w:hAnsi="Times New Roman" w:eastAsia="黑体" w:cs="黑体"/>
              <w:color w:val="auto"/>
              <w:kern w:val="2"/>
              <w:sz w:val="32"/>
              <w:szCs w:val="32"/>
              <w:highlight w:val="none"/>
              <w:lang w:val="en-US" w:eastAsia="zh-CN" w:bidi="ar-SA"/>
            </w:rPr>
            <w:t>4</w:t>
          </w:r>
          <w:bookmarkEnd w:id="13"/>
          <w:r>
            <w:rPr>
              <w:rFonts w:hint="eastAsia" w:ascii="Times New Roman" w:hAnsi="Times New Roman" w:eastAsia="黑体" w:cs="黑体"/>
              <w:color w:val="auto"/>
              <w:kern w:val="2"/>
              <w:sz w:val="32"/>
              <w:szCs w:val="32"/>
              <w:highlight w:val="none"/>
              <w:lang w:val="en-US" w:eastAsia="zh-CN" w:bidi="ar-SA"/>
            </w:rPr>
            <w:fldChar w:fldCharType="end"/>
          </w:r>
        </w:p>
        <w:p w14:paraId="57E91BB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_Toc19198_WPSOffice_Level2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72410"/>
              <w:placeholder>
                <w:docPart w:val="{8d152393-f3a9-4931-91b3-24fe4df00689}"/>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一、部门职责</w:t>
              </w:r>
            </w:sdtContent>
          </w:sdt>
          <w:r>
            <w:rPr>
              <w:rFonts w:hint="eastAsia" w:ascii="Times New Roman" w:hAnsi="Times New Roman" w:eastAsia="仿宋_GB2312" w:cs="仿宋_GB2312"/>
              <w:color w:val="auto"/>
              <w:sz w:val="32"/>
              <w:szCs w:val="32"/>
              <w:highlight w:val="none"/>
            </w:rPr>
            <w:tab/>
          </w:r>
          <w:bookmarkStart w:id="14" w:name="_Toc19198_WPSOffice_Level2Page"/>
          <w:r>
            <w:rPr>
              <w:rFonts w:hint="eastAsia" w:ascii="Times New Roman" w:hAnsi="Times New Roman" w:eastAsia="仿宋_GB2312" w:cs="仿宋_GB2312"/>
              <w:color w:val="auto"/>
              <w:sz w:val="32"/>
              <w:szCs w:val="32"/>
              <w:highlight w:val="none"/>
            </w:rPr>
            <w:t>4</w:t>
          </w:r>
          <w:bookmarkEnd w:id="14"/>
          <w:r>
            <w:rPr>
              <w:rFonts w:hint="eastAsia" w:ascii="Times New Roman" w:hAnsi="Times New Roman" w:eastAsia="仿宋_GB2312" w:cs="仿宋_GB2312"/>
              <w:color w:val="auto"/>
              <w:sz w:val="32"/>
              <w:szCs w:val="32"/>
              <w:highlight w:val="none"/>
            </w:rPr>
            <w:fldChar w:fldCharType="end"/>
          </w:r>
        </w:p>
        <w:p w14:paraId="336AAD0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_Toc3919_WPSOffice_Level2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60752"/>
              <w:placeholder>
                <w:docPart w:val="{c8c791a4-25c7-472a-b78e-fcaedb14c694}"/>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二、机构设置</w:t>
              </w:r>
            </w:sdtContent>
          </w:sdt>
          <w:r>
            <w:rPr>
              <w:rFonts w:hint="eastAsia" w:ascii="Times New Roman" w:hAnsi="Times New Roman" w:eastAsia="仿宋_GB2312" w:cs="仿宋_GB2312"/>
              <w:color w:val="auto"/>
              <w:sz w:val="32"/>
              <w:szCs w:val="32"/>
              <w:highlight w:val="none"/>
            </w:rPr>
            <w:tab/>
          </w:r>
          <w:bookmarkStart w:id="15" w:name="_Toc3919_WPSOffice_Level2Page"/>
          <w:r>
            <w:rPr>
              <w:rFonts w:hint="eastAsia" w:ascii="Times New Roman" w:hAnsi="Times New Roman" w:eastAsia="仿宋_GB2312" w:cs="仿宋_GB2312"/>
              <w:color w:val="auto"/>
              <w:sz w:val="32"/>
              <w:szCs w:val="32"/>
              <w:highlight w:val="none"/>
            </w:rPr>
            <w:t>7</w:t>
          </w:r>
          <w:bookmarkEnd w:id="15"/>
          <w:r>
            <w:rPr>
              <w:rFonts w:hint="eastAsia" w:ascii="Times New Roman" w:hAnsi="Times New Roman" w:eastAsia="仿宋_GB2312" w:cs="仿宋_GB2312"/>
              <w:color w:val="auto"/>
              <w:sz w:val="32"/>
              <w:szCs w:val="32"/>
              <w:highlight w:val="none"/>
            </w:rPr>
            <w:fldChar w:fldCharType="end"/>
          </w:r>
        </w:p>
        <w:p w14:paraId="35E3C725">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_Toc19198_WPSOffice_Level1 </w:instrText>
          </w:r>
          <w:r>
            <w:rPr>
              <w:rFonts w:hint="eastAsia" w:ascii="Times New Roman" w:hAnsi="Times New Roman" w:eastAsia="黑体" w:cs="黑体"/>
              <w:color w:val="auto"/>
              <w:sz w:val="32"/>
              <w:szCs w:val="32"/>
              <w:highlight w:val="none"/>
            </w:rPr>
            <w:fldChar w:fldCharType="separate"/>
          </w:r>
          <w:sdt>
            <w:sdtPr>
              <w:rPr>
                <w:rFonts w:hint="eastAsia" w:ascii="Times New Roman" w:hAnsi="Times New Roman" w:eastAsia="黑体" w:cs="黑体"/>
                <w:color w:val="auto"/>
                <w:sz w:val="32"/>
                <w:szCs w:val="32"/>
                <w:highlight w:val="none"/>
                <w:lang w:val="en-US" w:eastAsia="zh-CN"/>
              </w:rPr>
              <w:id w:val="147476284"/>
              <w:placeholder>
                <w:docPart w:val="{d332ae22-7faa-459d-9146-c0703c321971}"/>
              </w:placeholder>
            </w:sdtPr>
            <w:sdtEndPr>
              <w:rPr>
                <w:rFonts w:hint="eastAsia" w:ascii="Times New Roman" w:hAnsi="Times New Roman" w:eastAsia="黑体" w:cs="黑体"/>
                <w:color w:val="auto"/>
                <w:sz w:val="32"/>
                <w:szCs w:val="32"/>
                <w:highlight w:val="none"/>
                <w:lang w:val="en-US" w:eastAsia="zh-CN"/>
              </w:rPr>
            </w:sdtEndPr>
            <w:sdtContent>
              <w:r>
                <w:rPr>
                  <w:rFonts w:hint="eastAsia" w:ascii="Times New Roman" w:hAnsi="Times New Roman" w:eastAsia="黑体" w:cs="黑体"/>
                  <w:color w:val="auto"/>
                  <w:sz w:val="32"/>
                  <w:szCs w:val="32"/>
                  <w:highlight w:val="none"/>
                </w:rPr>
                <w:t>第二部分  202</w:t>
              </w:r>
              <w:r>
                <w:rPr>
                  <w:rFonts w:hint="eastAsia" w:ascii="Times New Roman" w:hAnsi="Times New Roman" w:eastAsia="黑体" w:cs="黑体"/>
                  <w:color w:val="auto"/>
                  <w:sz w:val="32"/>
                  <w:szCs w:val="32"/>
                  <w:highlight w:val="none"/>
                  <w:lang w:val="en-US" w:eastAsia="zh-CN"/>
                </w:rPr>
                <w:t>5</w:t>
              </w:r>
              <w:r>
                <w:rPr>
                  <w:rFonts w:hint="eastAsia" w:ascii="Times New Roman" w:hAnsi="Times New Roman" w:eastAsia="黑体" w:cs="黑体"/>
                  <w:color w:val="auto"/>
                  <w:sz w:val="32"/>
                  <w:szCs w:val="32"/>
                  <w:highlight w:val="none"/>
                </w:rPr>
                <w:t>年度部门决算情况说明</w:t>
              </w:r>
            </w:sdtContent>
          </w:sdt>
          <w:r>
            <w:rPr>
              <w:rFonts w:hint="eastAsia" w:ascii="Times New Roman" w:hAnsi="Times New Roman" w:eastAsia="黑体" w:cs="黑体"/>
              <w:color w:val="auto"/>
              <w:sz w:val="32"/>
              <w:szCs w:val="32"/>
              <w:highlight w:val="none"/>
            </w:rPr>
            <w:tab/>
          </w:r>
          <w:bookmarkStart w:id="16" w:name="_Toc19198_WPSOffice_Level1Page"/>
          <w:r>
            <w:rPr>
              <w:rFonts w:hint="eastAsia" w:ascii="Times New Roman" w:hAnsi="Times New Roman" w:eastAsia="黑体" w:cs="黑体"/>
              <w:color w:val="auto"/>
              <w:sz w:val="32"/>
              <w:szCs w:val="32"/>
              <w:highlight w:val="none"/>
            </w:rPr>
            <w:t>8</w:t>
          </w:r>
          <w:bookmarkEnd w:id="16"/>
          <w:r>
            <w:rPr>
              <w:rFonts w:hint="eastAsia" w:ascii="Times New Roman" w:hAnsi="Times New Roman" w:eastAsia="黑体" w:cs="黑体"/>
              <w:color w:val="auto"/>
              <w:sz w:val="32"/>
              <w:szCs w:val="32"/>
              <w:highlight w:val="none"/>
            </w:rPr>
            <w:fldChar w:fldCharType="end"/>
          </w:r>
        </w:p>
        <w:p w14:paraId="102AC1B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_Toc4320_WPSOffice_Level2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62238"/>
              <w:placeholder>
                <w:docPart w:val="{6821fe53-58ff-4aaf-9b2f-2bbcd7b601fa}"/>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一、收入支出决算总体情况说明</w:t>
              </w:r>
            </w:sdtContent>
          </w:sdt>
          <w:r>
            <w:rPr>
              <w:rFonts w:hint="eastAsia" w:ascii="Times New Roman" w:hAnsi="Times New Roman" w:eastAsia="仿宋_GB2312" w:cs="仿宋_GB2312"/>
              <w:color w:val="auto"/>
              <w:sz w:val="32"/>
              <w:szCs w:val="32"/>
              <w:highlight w:val="none"/>
            </w:rPr>
            <w:tab/>
          </w:r>
          <w:bookmarkStart w:id="17" w:name="_Toc4320_WPSOffice_Level2Page"/>
          <w:r>
            <w:rPr>
              <w:rFonts w:hint="eastAsia" w:ascii="Times New Roman" w:hAnsi="Times New Roman" w:eastAsia="仿宋_GB2312" w:cs="仿宋_GB2312"/>
              <w:color w:val="auto"/>
              <w:sz w:val="32"/>
              <w:szCs w:val="32"/>
              <w:highlight w:val="none"/>
            </w:rPr>
            <w:t>8</w:t>
          </w:r>
          <w:bookmarkEnd w:id="17"/>
          <w:r>
            <w:rPr>
              <w:rFonts w:hint="eastAsia" w:ascii="Times New Roman" w:hAnsi="Times New Roman" w:eastAsia="仿宋_GB2312" w:cs="仿宋_GB2312"/>
              <w:color w:val="auto"/>
              <w:sz w:val="32"/>
              <w:szCs w:val="32"/>
              <w:highlight w:val="none"/>
            </w:rPr>
            <w:fldChar w:fldCharType="end"/>
          </w:r>
        </w:p>
        <w:p w14:paraId="23FC8A8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_Toc18507_WPSOffice_Level2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67674"/>
              <w:placeholder>
                <w:docPart w:val="{714d69b4-f2b7-41ce-8258-df89e30d438d}"/>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二、收入决算情况说明</w:t>
              </w:r>
            </w:sdtContent>
          </w:sdt>
          <w:r>
            <w:rPr>
              <w:rFonts w:hint="eastAsia" w:ascii="Times New Roman" w:hAnsi="Times New Roman" w:eastAsia="仿宋_GB2312" w:cs="仿宋_GB2312"/>
              <w:color w:val="auto"/>
              <w:sz w:val="32"/>
              <w:szCs w:val="32"/>
              <w:highlight w:val="none"/>
            </w:rPr>
            <w:tab/>
          </w:r>
          <w:bookmarkStart w:id="18" w:name="_Toc18507_WPSOffice_Level2Page"/>
          <w:r>
            <w:rPr>
              <w:rFonts w:hint="eastAsia" w:ascii="Times New Roman" w:hAnsi="Times New Roman" w:eastAsia="仿宋_GB2312" w:cs="仿宋_GB2312"/>
              <w:color w:val="auto"/>
              <w:sz w:val="32"/>
              <w:szCs w:val="32"/>
              <w:highlight w:val="none"/>
            </w:rPr>
            <w:t>8</w:t>
          </w:r>
          <w:bookmarkEnd w:id="18"/>
          <w:r>
            <w:rPr>
              <w:rFonts w:hint="eastAsia" w:ascii="Times New Roman" w:hAnsi="Times New Roman" w:eastAsia="仿宋_GB2312" w:cs="仿宋_GB2312"/>
              <w:color w:val="auto"/>
              <w:sz w:val="32"/>
              <w:szCs w:val="32"/>
              <w:highlight w:val="none"/>
            </w:rPr>
            <w:fldChar w:fldCharType="end"/>
          </w:r>
        </w:p>
        <w:p w14:paraId="5F17C18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_Toc13987_WPSOffice_Level2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60556"/>
              <w:placeholder>
                <w:docPart w:val="{5a1601ee-cb8d-4381-9fc8-c594272b35e4}"/>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三、支出决算情况说明</w:t>
              </w:r>
            </w:sdtContent>
          </w:sdt>
          <w:r>
            <w:rPr>
              <w:rFonts w:hint="eastAsia" w:ascii="Times New Roman" w:hAnsi="Times New Roman" w:eastAsia="仿宋_GB2312" w:cs="仿宋_GB2312"/>
              <w:color w:val="auto"/>
              <w:sz w:val="32"/>
              <w:szCs w:val="32"/>
              <w:highlight w:val="none"/>
            </w:rPr>
            <w:tab/>
          </w:r>
          <w:bookmarkStart w:id="19" w:name="_Toc13987_WPSOffice_Level2Page"/>
          <w:r>
            <w:rPr>
              <w:rFonts w:hint="eastAsia" w:ascii="Times New Roman" w:hAnsi="Times New Roman" w:eastAsia="仿宋_GB2312" w:cs="仿宋_GB2312"/>
              <w:color w:val="auto"/>
              <w:sz w:val="32"/>
              <w:szCs w:val="32"/>
              <w:highlight w:val="none"/>
            </w:rPr>
            <w:t>8</w:t>
          </w:r>
          <w:bookmarkEnd w:id="19"/>
          <w:r>
            <w:rPr>
              <w:rFonts w:hint="eastAsia" w:ascii="Times New Roman" w:hAnsi="Times New Roman" w:eastAsia="仿宋_GB2312" w:cs="仿宋_GB2312"/>
              <w:color w:val="auto"/>
              <w:sz w:val="32"/>
              <w:szCs w:val="32"/>
              <w:highlight w:val="none"/>
            </w:rPr>
            <w:fldChar w:fldCharType="end"/>
          </w:r>
        </w:p>
        <w:p w14:paraId="2A34D33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_Toc4867_WPSOffice_Level2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78549"/>
              <w:placeholder>
                <w:docPart w:val="{e4e55c08-e843-45dc-b69b-452c5cd15635}"/>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四、财政拨款收入支出决算总体情况说明</w:t>
              </w:r>
            </w:sdtContent>
          </w:sdt>
          <w:r>
            <w:rPr>
              <w:rFonts w:hint="eastAsia" w:ascii="Times New Roman" w:hAnsi="Times New Roman" w:eastAsia="仿宋_GB2312" w:cs="仿宋_GB2312"/>
              <w:color w:val="auto"/>
              <w:sz w:val="32"/>
              <w:szCs w:val="32"/>
              <w:highlight w:val="none"/>
            </w:rPr>
            <w:tab/>
          </w:r>
          <w:bookmarkStart w:id="20" w:name="_Toc4867_WPSOffice_Level2Page"/>
          <w:r>
            <w:rPr>
              <w:rFonts w:hint="eastAsia" w:ascii="Times New Roman" w:hAnsi="Times New Roman" w:eastAsia="仿宋_GB2312" w:cs="仿宋_GB2312"/>
              <w:color w:val="auto"/>
              <w:sz w:val="32"/>
              <w:szCs w:val="32"/>
              <w:highlight w:val="none"/>
            </w:rPr>
            <w:t>8</w:t>
          </w:r>
          <w:bookmarkEnd w:id="20"/>
          <w:r>
            <w:rPr>
              <w:rFonts w:hint="eastAsia" w:ascii="Times New Roman" w:hAnsi="Times New Roman" w:eastAsia="仿宋_GB2312" w:cs="仿宋_GB2312"/>
              <w:color w:val="auto"/>
              <w:sz w:val="32"/>
              <w:szCs w:val="32"/>
              <w:highlight w:val="none"/>
            </w:rPr>
            <w:fldChar w:fldCharType="end"/>
          </w:r>
        </w:p>
        <w:p w14:paraId="4701E0A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_Toc6169_WPSOffice_Level2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76723"/>
              <w:placeholder>
                <w:docPart w:val="{a53bfe0e-218f-441c-afd0-b247b3fe3ac6}"/>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五、一般公共预算财政拨款支出决算情况说明</w:t>
              </w:r>
            </w:sdtContent>
          </w:sdt>
          <w:r>
            <w:rPr>
              <w:rFonts w:hint="eastAsia" w:ascii="Times New Roman" w:hAnsi="Times New Roman" w:eastAsia="仿宋_GB2312" w:cs="仿宋_GB2312"/>
              <w:color w:val="auto"/>
              <w:sz w:val="32"/>
              <w:szCs w:val="32"/>
              <w:highlight w:val="none"/>
            </w:rPr>
            <w:tab/>
          </w:r>
          <w:bookmarkStart w:id="21" w:name="_Toc6169_WPSOffice_Level2Page"/>
          <w:r>
            <w:rPr>
              <w:rFonts w:hint="eastAsia" w:ascii="Times New Roman" w:hAnsi="Times New Roman" w:eastAsia="仿宋_GB2312" w:cs="仿宋_GB2312"/>
              <w:color w:val="auto"/>
              <w:sz w:val="32"/>
              <w:szCs w:val="32"/>
              <w:highlight w:val="none"/>
            </w:rPr>
            <w:t>8</w:t>
          </w:r>
          <w:bookmarkEnd w:id="21"/>
          <w:r>
            <w:rPr>
              <w:rFonts w:hint="eastAsia" w:ascii="Times New Roman" w:hAnsi="Times New Roman" w:eastAsia="仿宋_GB2312" w:cs="仿宋_GB2312"/>
              <w:color w:val="auto"/>
              <w:sz w:val="32"/>
              <w:szCs w:val="32"/>
              <w:highlight w:val="none"/>
            </w:rPr>
            <w:fldChar w:fldCharType="end"/>
          </w:r>
        </w:p>
        <w:p w14:paraId="1DD3678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_Toc18667_WPSOffice_Level2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78075"/>
              <w:placeholder>
                <w:docPart w:val="{0150a334-308b-4333-b39b-bbc7eaa3f53c}"/>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六、一般公共预算财政拨款基本支出决算情况说明</w:t>
              </w:r>
            </w:sdtContent>
          </w:sdt>
          <w:r>
            <w:rPr>
              <w:rFonts w:hint="eastAsia" w:ascii="Times New Roman" w:hAnsi="Times New Roman" w:eastAsia="仿宋_GB2312" w:cs="仿宋_GB2312"/>
              <w:color w:val="auto"/>
              <w:sz w:val="32"/>
              <w:szCs w:val="32"/>
              <w:highlight w:val="none"/>
            </w:rPr>
            <w:tab/>
          </w:r>
          <w:bookmarkStart w:id="22" w:name="_Toc18667_WPSOffice_Level2Page"/>
          <w:r>
            <w:rPr>
              <w:rFonts w:hint="eastAsia" w:ascii="Times New Roman" w:hAnsi="Times New Roman" w:eastAsia="仿宋_GB2312" w:cs="仿宋_GB2312"/>
              <w:color w:val="auto"/>
              <w:sz w:val="32"/>
              <w:szCs w:val="32"/>
              <w:highlight w:val="none"/>
            </w:rPr>
            <w:t>10</w:t>
          </w:r>
          <w:bookmarkEnd w:id="22"/>
          <w:r>
            <w:rPr>
              <w:rFonts w:hint="eastAsia" w:ascii="Times New Roman" w:hAnsi="Times New Roman" w:eastAsia="仿宋_GB2312" w:cs="仿宋_GB2312"/>
              <w:color w:val="auto"/>
              <w:sz w:val="32"/>
              <w:szCs w:val="32"/>
              <w:highlight w:val="none"/>
            </w:rPr>
            <w:fldChar w:fldCharType="end"/>
          </w:r>
        </w:p>
        <w:p w14:paraId="7748409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_Toc2600_WPSOffice_Level2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71754"/>
              <w:placeholder>
                <w:docPart w:val="{043b64a7-1106-4b43-bad1-924373b983bc}"/>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七、财政拨款“三公”经费支出决算情况说明</w:t>
              </w:r>
            </w:sdtContent>
          </w:sdt>
          <w:r>
            <w:rPr>
              <w:rFonts w:hint="eastAsia" w:ascii="Times New Roman" w:hAnsi="Times New Roman" w:eastAsia="仿宋_GB2312" w:cs="仿宋_GB2312"/>
              <w:color w:val="auto"/>
              <w:sz w:val="32"/>
              <w:szCs w:val="32"/>
              <w:highlight w:val="none"/>
            </w:rPr>
            <w:tab/>
          </w:r>
          <w:bookmarkStart w:id="23" w:name="_Toc2600_WPSOffice_Level2Page"/>
          <w:r>
            <w:rPr>
              <w:rFonts w:hint="eastAsia" w:ascii="Times New Roman" w:hAnsi="Times New Roman" w:eastAsia="仿宋_GB2312" w:cs="仿宋_GB2312"/>
              <w:color w:val="auto"/>
              <w:sz w:val="32"/>
              <w:szCs w:val="32"/>
              <w:highlight w:val="none"/>
            </w:rPr>
            <w:t>10</w:t>
          </w:r>
          <w:bookmarkEnd w:id="23"/>
          <w:r>
            <w:rPr>
              <w:rFonts w:hint="eastAsia" w:ascii="Times New Roman" w:hAnsi="Times New Roman" w:eastAsia="仿宋_GB2312" w:cs="仿宋_GB2312"/>
              <w:color w:val="auto"/>
              <w:sz w:val="32"/>
              <w:szCs w:val="32"/>
              <w:highlight w:val="none"/>
            </w:rPr>
            <w:fldChar w:fldCharType="end"/>
          </w:r>
        </w:p>
        <w:p w14:paraId="7AB6F06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_Toc20357_WPSOffice_Level2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59517"/>
              <w:placeholder>
                <w:docPart w:val="{2c24708b-e9dd-4ab8-88ff-d40d202bb7d1}"/>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八、政府性基金预算支出决算情况说明</w:t>
              </w:r>
            </w:sdtContent>
          </w:sdt>
          <w:r>
            <w:rPr>
              <w:rFonts w:hint="eastAsia" w:ascii="Times New Roman" w:hAnsi="Times New Roman" w:eastAsia="仿宋_GB2312" w:cs="仿宋_GB2312"/>
              <w:color w:val="auto"/>
              <w:sz w:val="32"/>
              <w:szCs w:val="32"/>
              <w:highlight w:val="none"/>
            </w:rPr>
            <w:tab/>
          </w:r>
          <w:bookmarkStart w:id="24" w:name="_Toc20357_WPSOffice_Level2Page"/>
          <w:r>
            <w:rPr>
              <w:rFonts w:hint="eastAsia" w:ascii="Times New Roman" w:hAnsi="Times New Roman" w:eastAsia="仿宋_GB2312" w:cs="仿宋_GB2312"/>
              <w:color w:val="auto"/>
              <w:sz w:val="32"/>
              <w:szCs w:val="32"/>
              <w:highlight w:val="none"/>
            </w:rPr>
            <w:t>12</w:t>
          </w:r>
          <w:bookmarkEnd w:id="24"/>
          <w:r>
            <w:rPr>
              <w:rFonts w:hint="eastAsia" w:ascii="Times New Roman" w:hAnsi="Times New Roman" w:eastAsia="仿宋_GB2312" w:cs="仿宋_GB2312"/>
              <w:color w:val="auto"/>
              <w:sz w:val="32"/>
              <w:szCs w:val="32"/>
              <w:highlight w:val="none"/>
            </w:rPr>
            <w:fldChar w:fldCharType="end"/>
          </w:r>
        </w:p>
        <w:p w14:paraId="27FE744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_Toc6044_WPSOffice_Level2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58070"/>
              <w:placeholder>
                <w:docPart w:val="{38e99205-aed3-4a92-994e-56c51a24a896}"/>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九、国有资本经营预算支出决算情况说明</w:t>
              </w:r>
            </w:sdtContent>
          </w:sdt>
          <w:r>
            <w:rPr>
              <w:rFonts w:hint="eastAsia" w:ascii="Times New Roman" w:hAnsi="Times New Roman" w:eastAsia="仿宋_GB2312" w:cs="仿宋_GB2312"/>
              <w:color w:val="auto"/>
              <w:sz w:val="32"/>
              <w:szCs w:val="32"/>
              <w:highlight w:val="none"/>
            </w:rPr>
            <w:tab/>
          </w:r>
          <w:bookmarkStart w:id="25" w:name="_Toc6044_WPSOffice_Level2Page"/>
          <w:r>
            <w:rPr>
              <w:rFonts w:hint="eastAsia" w:ascii="Times New Roman" w:hAnsi="Times New Roman" w:eastAsia="仿宋_GB2312" w:cs="仿宋_GB2312"/>
              <w:color w:val="auto"/>
              <w:sz w:val="32"/>
              <w:szCs w:val="32"/>
              <w:highlight w:val="none"/>
            </w:rPr>
            <w:t>12</w:t>
          </w:r>
          <w:bookmarkEnd w:id="25"/>
          <w:r>
            <w:rPr>
              <w:rFonts w:hint="eastAsia" w:ascii="Times New Roman" w:hAnsi="Times New Roman" w:eastAsia="仿宋_GB2312" w:cs="仿宋_GB2312"/>
              <w:color w:val="auto"/>
              <w:sz w:val="32"/>
              <w:szCs w:val="32"/>
              <w:highlight w:val="none"/>
            </w:rPr>
            <w:fldChar w:fldCharType="end"/>
          </w:r>
        </w:p>
        <w:p w14:paraId="4D7338E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_Toc7295_WPSOffice_Level2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64257"/>
              <w:placeholder>
                <w:docPart w:val="{b68c40ab-45dd-44b4-b6a5-337616fdabee}"/>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十、其他重要事项的情况说明</w:t>
              </w:r>
            </w:sdtContent>
          </w:sdt>
          <w:r>
            <w:rPr>
              <w:rFonts w:hint="eastAsia" w:ascii="Times New Roman" w:hAnsi="Times New Roman" w:eastAsia="仿宋_GB2312" w:cs="仿宋_GB2312"/>
              <w:color w:val="auto"/>
              <w:sz w:val="32"/>
              <w:szCs w:val="32"/>
              <w:highlight w:val="none"/>
            </w:rPr>
            <w:tab/>
          </w:r>
          <w:bookmarkStart w:id="26" w:name="_Toc7295_WPSOffice_Level2Page"/>
          <w:r>
            <w:rPr>
              <w:rFonts w:hint="eastAsia" w:ascii="Times New Roman" w:hAnsi="Times New Roman" w:eastAsia="仿宋_GB2312" w:cs="仿宋_GB2312"/>
              <w:color w:val="auto"/>
              <w:sz w:val="32"/>
              <w:szCs w:val="32"/>
              <w:highlight w:val="none"/>
            </w:rPr>
            <w:t>12</w:t>
          </w:r>
          <w:bookmarkEnd w:id="26"/>
          <w:r>
            <w:rPr>
              <w:rFonts w:hint="eastAsia" w:ascii="Times New Roman" w:hAnsi="Times New Roman" w:eastAsia="仿宋_GB2312" w:cs="仿宋_GB2312"/>
              <w:color w:val="auto"/>
              <w:sz w:val="32"/>
              <w:szCs w:val="32"/>
              <w:highlight w:val="none"/>
            </w:rPr>
            <w:fldChar w:fldCharType="end"/>
          </w:r>
        </w:p>
        <w:p w14:paraId="260A8F92">
          <w:pPr>
            <w:pStyle w:val="35"/>
            <w:tabs>
              <w:tab w:val="right" w:leader="dot" w:pos="8306"/>
            </w:tabs>
          </w:pPr>
          <w:r>
            <w:rPr>
              <w:b/>
              <w:bCs/>
            </w:rPr>
            <w:fldChar w:fldCharType="begin"/>
          </w:r>
          <w:r>
            <w:instrText xml:space="preserve"> HYPERLINK \l _Toc3919_WPSOffice_Level1 </w:instrText>
          </w:r>
          <w:r>
            <w:rPr>
              <w:b/>
              <w:bCs/>
            </w:rPr>
            <w:fldChar w:fldCharType="separate"/>
          </w:r>
          <w:sdt>
            <w:sdtPr>
              <w:rPr>
                <w:rFonts w:ascii="Times New Roman" w:hAnsi="Times New Roman" w:eastAsia="宋体" w:cs="Times New Roman"/>
                <w:b/>
                <w:bCs/>
                <w:kern w:val="44"/>
                <w:sz w:val="44"/>
                <w:szCs w:val="44"/>
                <w:lang w:val="en-US" w:eastAsia="zh-CN" w:bidi="ar-SA"/>
              </w:rPr>
              <w:id w:val="147466731"/>
              <w:placeholder>
                <w:docPart w:val="{5257eadb-3f9a-403e-8b63-b4014cad42b7}"/>
              </w:placeholder>
            </w:sdtPr>
            <w:sdtEndPr>
              <w:rPr>
                <w:rFonts w:hint="eastAsia" w:ascii="Times New Roman" w:hAnsi="Times New Roman" w:eastAsia="黑体" w:cs="黑体"/>
                <w:b/>
                <w:bCs/>
                <w:color w:val="auto"/>
                <w:kern w:val="2"/>
                <w:sz w:val="32"/>
                <w:szCs w:val="32"/>
                <w:highlight w:val="none"/>
                <w:lang w:val="en-US" w:eastAsia="zh-CN" w:bidi="ar-SA"/>
              </w:rPr>
            </w:sdtEndPr>
            <w:sdtContent>
              <w:r>
                <w:rPr>
                  <w:rFonts w:hint="eastAsia" w:ascii="Times New Roman" w:hAnsi="Times New Roman" w:eastAsia="黑体" w:cs="黑体"/>
                  <w:color w:val="auto"/>
                  <w:kern w:val="2"/>
                  <w:sz w:val="32"/>
                  <w:szCs w:val="32"/>
                  <w:highlight w:val="none"/>
                  <w:lang w:val="en-US" w:eastAsia="zh-CN" w:bidi="ar-SA"/>
                </w:rPr>
                <w:t>第三部分  名词解释</w:t>
              </w:r>
            </w:sdtContent>
          </w:sdt>
          <w:r>
            <w:rPr>
              <w:rFonts w:hint="eastAsia" w:ascii="Times New Roman" w:hAnsi="Times New Roman" w:eastAsia="黑体" w:cs="黑体"/>
              <w:color w:val="auto"/>
              <w:kern w:val="2"/>
              <w:sz w:val="32"/>
              <w:szCs w:val="32"/>
              <w:highlight w:val="none"/>
              <w:lang w:val="en-US" w:eastAsia="zh-CN" w:bidi="ar-SA"/>
            </w:rPr>
            <w:tab/>
          </w:r>
          <w:bookmarkStart w:id="27" w:name="_Toc3919_WPSOffice_Level1Page"/>
          <w:r>
            <w:rPr>
              <w:rFonts w:hint="eastAsia" w:ascii="Times New Roman" w:hAnsi="Times New Roman" w:eastAsia="黑体" w:cs="黑体"/>
              <w:color w:val="auto"/>
              <w:kern w:val="2"/>
              <w:sz w:val="32"/>
              <w:szCs w:val="32"/>
              <w:highlight w:val="none"/>
              <w:lang w:val="en-US" w:eastAsia="zh-CN" w:bidi="ar-SA"/>
            </w:rPr>
            <w:t>14</w:t>
          </w:r>
          <w:bookmarkEnd w:id="27"/>
          <w:r>
            <w:rPr>
              <w:b/>
              <w:bCs/>
            </w:rPr>
            <w:fldChar w:fldCharType="end"/>
          </w:r>
        </w:p>
        <w:p w14:paraId="5A1C4000">
          <w:pPr>
            <w:pStyle w:val="35"/>
            <w:tabs>
              <w:tab w:val="right" w:leader="dot" w:pos="8306"/>
            </w:tabs>
          </w:pPr>
          <w:r>
            <w:rPr>
              <w:rFonts w:hint="eastAsia" w:ascii="Times New Roman" w:hAnsi="Times New Roman" w:eastAsia="黑体" w:cs="黑体"/>
              <w:color w:val="auto"/>
              <w:kern w:val="2"/>
              <w:sz w:val="32"/>
              <w:szCs w:val="32"/>
              <w:highlight w:val="none"/>
              <w:lang w:val="en-US" w:eastAsia="zh-CN" w:bidi="ar-SA"/>
            </w:rPr>
            <w:fldChar w:fldCharType="begin"/>
          </w:r>
          <w:r>
            <w:rPr>
              <w:rFonts w:hint="eastAsia" w:ascii="Times New Roman" w:hAnsi="Times New Roman" w:eastAsia="黑体" w:cs="黑体"/>
              <w:color w:val="auto"/>
              <w:kern w:val="2"/>
              <w:sz w:val="32"/>
              <w:szCs w:val="32"/>
              <w:highlight w:val="none"/>
              <w:lang w:val="en-US" w:eastAsia="zh-CN" w:bidi="ar-SA"/>
            </w:rPr>
            <w:instrText xml:space="preserve"> HYPERLINK \l _Toc4320_WPSOffice_Level1 </w:instrText>
          </w:r>
          <w:r>
            <w:rPr>
              <w:rFonts w:hint="eastAsia" w:ascii="Times New Roman" w:hAnsi="Times New Roman" w:eastAsia="黑体" w:cs="黑体"/>
              <w:color w:val="auto"/>
              <w:kern w:val="2"/>
              <w:sz w:val="32"/>
              <w:szCs w:val="32"/>
              <w:highlight w:val="none"/>
              <w:lang w:val="en-US" w:eastAsia="zh-CN" w:bidi="ar-SA"/>
            </w:rPr>
            <w:fldChar w:fldCharType="separate"/>
          </w:r>
          <w:sdt>
            <w:sdtPr>
              <w:rPr>
                <w:rFonts w:hint="eastAsia" w:ascii="Times New Roman" w:hAnsi="Times New Roman" w:eastAsia="黑体" w:cs="黑体"/>
                <w:color w:val="auto"/>
                <w:kern w:val="2"/>
                <w:sz w:val="32"/>
                <w:szCs w:val="32"/>
                <w:highlight w:val="none"/>
                <w:lang w:val="en-US" w:eastAsia="zh-CN" w:bidi="ar-SA"/>
              </w:rPr>
              <w:id w:val="147463936"/>
              <w:placeholder>
                <w:docPart w:val="{965bf384-841b-4e9f-9eca-7028a7d94f01}"/>
              </w:placeholder>
            </w:sdtPr>
            <w:sdtEndPr>
              <w:rPr>
                <w:rFonts w:hint="eastAsia" w:ascii="Times New Roman" w:hAnsi="Times New Roman" w:eastAsia="黑体" w:cs="黑体"/>
                <w:color w:val="auto"/>
                <w:kern w:val="2"/>
                <w:sz w:val="32"/>
                <w:szCs w:val="32"/>
                <w:highlight w:val="none"/>
                <w:lang w:val="en-US" w:eastAsia="zh-CN" w:bidi="ar-SA"/>
              </w:rPr>
            </w:sdtEndPr>
            <w:sdtContent>
              <w:r>
                <w:rPr>
                  <w:rFonts w:hint="eastAsia" w:ascii="Times New Roman" w:hAnsi="Times New Roman" w:eastAsia="黑体" w:cs="黑体"/>
                  <w:color w:val="auto"/>
                  <w:kern w:val="2"/>
                  <w:sz w:val="32"/>
                  <w:szCs w:val="32"/>
                  <w:highlight w:val="none"/>
                  <w:lang w:val="en-US" w:eastAsia="zh-CN" w:bidi="ar-SA"/>
                </w:rPr>
                <w:t>第四部分 附表</w:t>
              </w:r>
            </w:sdtContent>
          </w:sdt>
          <w:r>
            <w:rPr>
              <w:rFonts w:hint="eastAsia" w:ascii="Times New Roman" w:hAnsi="Times New Roman" w:eastAsia="黑体" w:cs="黑体"/>
              <w:color w:val="auto"/>
              <w:kern w:val="2"/>
              <w:sz w:val="32"/>
              <w:szCs w:val="32"/>
              <w:highlight w:val="none"/>
              <w:lang w:val="en-US" w:eastAsia="zh-CN" w:bidi="ar-SA"/>
            </w:rPr>
            <w:tab/>
          </w:r>
          <w:bookmarkStart w:id="28" w:name="_Toc4320_WPSOffice_Level1Page"/>
          <w:r>
            <w:rPr>
              <w:rFonts w:hint="eastAsia" w:ascii="Times New Roman" w:hAnsi="Times New Roman" w:eastAsia="黑体" w:cs="黑体"/>
              <w:color w:val="auto"/>
              <w:kern w:val="2"/>
              <w:sz w:val="32"/>
              <w:szCs w:val="32"/>
              <w:highlight w:val="none"/>
              <w:lang w:val="en-US" w:eastAsia="zh-CN" w:bidi="ar-SA"/>
            </w:rPr>
            <w:t>16</w:t>
          </w:r>
          <w:bookmarkEnd w:id="28"/>
          <w:r>
            <w:rPr>
              <w:rFonts w:hint="eastAsia" w:ascii="Times New Roman" w:hAnsi="Times New Roman" w:eastAsia="黑体" w:cs="黑体"/>
              <w:color w:val="auto"/>
              <w:kern w:val="2"/>
              <w:sz w:val="32"/>
              <w:szCs w:val="32"/>
              <w:highlight w:val="none"/>
              <w:lang w:val="en-US" w:eastAsia="zh-CN" w:bidi="ar-SA"/>
            </w:rPr>
            <w:fldChar w:fldCharType="end"/>
          </w:r>
        </w:p>
        <w:p w14:paraId="53734F4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_Toc17746_WPSOffice_Level2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68241"/>
              <w:placeholder>
                <w:docPart w:val="{b86490ce-64ff-4a16-8aa1-6d82f726c72e}"/>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一、收入支出决算总表</w:t>
              </w:r>
            </w:sdtContent>
          </w:sdt>
          <w:r>
            <w:rPr>
              <w:rFonts w:hint="eastAsia" w:ascii="Times New Roman" w:hAnsi="Times New Roman" w:eastAsia="仿宋_GB2312" w:cs="仿宋_GB2312"/>
              <w:color w:val="auto"/>
              <w:sz w:val="32"/>
              <w:szCs w:val="32"/>
              <w:highlight w:val="none"/>
            </w:rPr>
            <w:tab/>
          </w:r>
          <w:bookmarkStart w:id="29" w:name="_Toc17746_WPSOffice_Level2Page"/>
          <w:r>
            <w:rPr>
              <w:rFonts w:hint="eastAsia" w:ascii="Times New Roman" w:hAnsi="Times New Roman" w:eastAsia="仿宋_GB2312" w:cs="仿宋_GB2312"/>
              <w:color w:val="auto"/>
              <w:sz w:val="32"/>
              <w:szCs w:val="32"/>
              <w:highlight w:val="none"/>
            </w:rPr>
            <w:t>16</w:t>
          </w:r>
          <w:bookmarkEnd w:id="29"/>
          <w:r>
            <w:rPr>
              <w:rFonts w:hint="eastAsia" w:ascii="Times New Roman" w:hAnsi="Times New Roman" w:eastAsia="仿宋_GB2312" w:cs="仿宋_GB2312"/>
              <w:color w:val="auto"/>
              <w:sz w:val="32"/>
              <w:szCs w:val="32"/>
              <w:highlight w:val="none"/>
            </w:rPr>
            <w:fldChar w:fldCharType="end"/>
          </w:r>
        </w:p>
        <w:p w14:paraId="139AC87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_Toc30616_WPSOffice_Level2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54527"/>
              <w:placeholder>
                <w:docPart w:val="{a20001e1-2014-4d08-9b5e-8bba516f2579}"/>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二、收入决算表</w:t>
              </w:r>
            </w:sdtContent>
          </w:sdt>
          <w:r>
            <w:rPr>
              <w:rFonts w:hint="eastAsia" w:ascii="Times New Roman" w:hAnsi="Times New Roman" w:eastAsia="仿宋_GB2312" w:cs="仿宋_GB2312"/>
              <w:color w:val="auto"/>
              <w:sz w:val="32"/>
              <w:szCs w:val="32"/>
              <w:highlight w:val="none"/>
            </w:rPr>
            <w:tab/>
          </w:r>
          <w:bookmarkStart w:id="30" w:name="_Toc30616_WPSOffice_Level2Page"/>
          <w:r>
            <w:rPr>
              <w:rFonts w:hint="eastAsia" w:ascii="Times New Roman" w:hAnsi="Times New Roman" w:eastAsia="仿宋_GB2312" w:cs="仿宋_GB2312"/>
              <w:color w:val="auto"/>
              <w:sz w:val="32"/>
              <w:szCs w:val="32"/>
              <w:highlight w:val="none"/>
            </w:rPr>
            <w:t>16</w:t>
          </w:r>
          <w:bookmarkEnd w:id="30"/>
          <w:r>
            <w:rPr>
              <w:rFonts w:hint="eastAsia" w:ascii="Times New Roman" w:hAnsi="Times New Roman" w:eastAsia="仿宋_GB2312" w:cs="仿宋_GB2312"/>
              <w:color w:val="auto"/>
              <w:sz w:val="32"/>
              <w:szCs w:val="32"/>
              <w:highlight w:val="none"/>
            </w:rPr>
            <w:fldChar w:fldCharType="end"/>
          </w:r>
        </w:p>
        <w:p w14:paraId="36268E8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_Toc8442_WPSOffice_Level2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55269"/>
              <w:placeholder>
                <w:docPart w:val="{5ac83b22-7d13-4634-951b-5737edc6d8d5}"/>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三、支出决算表</w:t>
              </w:r>
            </w:sdtContent>
          </w:sdt>
          <w:r>
            <w:rPr>
              <w:rFonts w:hint="eastAsia" w:ascii="Times New Roman" w:hAnsi="Times New Roman" w:eastAsia="仿宋_GB2312" w:cs="仿宋_GB2312"/>
              <w:color w:val="auto"/>
              <w:sz w:val="32"/>
              <w:szCs w:val="32"/>
              <w:highlight w:val="none"/>
            </w:rPr>
            <w:tab/>
          </w:r>
          <w:bookmarkStart w:id="31" w:name="_Toc8442_WPSOffice_Level2Page"/>
          <w:r>
            <w:rPr>
              <w:rFonts w:hint="eastAsia" w:ascii="Times New Roman" w:hAnsi="Times New Roman" w:eastAsia="仿宋_GB2312" w:cs="仿宋_GB2312"/>
              <w:color w:val="auto"/>
              <w:sz w:val="32"/>
              <w:szCs w:val="32"/>
              <w:highlight w:val="none"/>
            </w:rPr>
            <w:t>16</w:t>
          </w:r>
          <w:bookmarkEnd w:id="31"/>
          <w:r>
            <w:rPr>
              <w:rFonts w:hint="eastAsia" w:ascii="Times New Roman" w:hAnsi="Times New Roman" w:eastAsia="仿宋_GB2312" w:cs="仿宋_GB2312"/>
              <w:color w:val="auto"/>
              <w:sz w:val="32"/>
              <w:szCs w:val="32"/>
              <w:highlight w:val="none"/>
            </w:rPr>
            <w:fldChar w:fldCharType="end"/>
          </w:r>
        </w:p>
        <w:p w14:paraId="0E1F561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_Toc20713_WPSOffice_Level2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56882"/>
              <w:placeholder>
                <w:docPart w:val="{ce81625b-23e6-4260-b199-597ff2d02fa8}"/>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四、财政拨款收入支出决算总表</w:t>
              </w:r>
            </w:sdtContent>
          </w:sdt>
          <w:r>
            <w:rPr>
              <w:rFonts w:hint="eastAsia" w:ascii="Times New Roman" w:hAnsi="Times New Roman" w:eastAsia="仿宋_GB2312" w:cs="仿宋_GB2312"/>
              <w:color w:val="auto"/>
              <w:sz w:val="32"/>
              <w:szCs w:val="32"/>
              <w:highlight w:val="none"/>
            </w:rPr>
            <w:tab/>
          </w:r>
          <w:bookmarkStart w:id="32" w:name="_Toc20713_WPSOffice_Level2Page"/>
          <w:r>
            <w:rPr>
              <w:rFonts w:hint="eastAsia" w:ascii="Times New Roman" w:hAnsi="Times New Roman" w:eastAsia="仿宋_GB2312" w:cs="仿宋_GB2312"/>
              <w:color w:val="auto"/>
              <w:sz w:val="32"/>
              <w:szCs w:val="32"/>
              <w:highlight w:val="none"/>
            </w:rPr>
            <w:t>16</w:t>
          </w:r>
          <w:bookmarkEnd w:id="32"/>
          <w:r>
            <w:rPr>
              <w:rFonts w:hint="eastAsia" w:ascii="Times New Roman" w:hAnsi="Times New Roman" w:eastAsia="仿宋_GB2312" w:cs="仿宋_GB2312"/>
              <w:color w:val="auto"/>
              <w:sz w:val="32"/>
              <w:szCs w:val="32"/>
              <w:highlight w:val="none"/>
            </w:rPr>
            <w:fldChar w:fldCharType="end"/>
          </w:r>
        </w:p>
        <w:p w14:paraId="6B73A62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_Toc14026_WPSOffice_Level2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81310"/>
              <w:placeholder>
                <w:docPart w:val="{46c2ca48-8533-474e-a2b7-c025acf056e2}"/>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五、财政拨款支出决算明细表</w:t>
              </w:r>
            </w:sdtContent>
          </w:sdt>
          <w:r>
            <w:rPr>
              <w:rFonts w:hint="eastAsia" w:ascii="Times New Roman" w:hAnsi="Times New Roman" w:eastAsia="仿宋_GB2312" w:cs="仿宋_GB2312"/>
              <w:color w:val="auto"/>
              <w:sz w:val="32"/>
              <w:szCs w:val="32"/>
              <w:highlight w:val="none"/>
            </w:rPr>
            <w:tab/>
          </w:r>
          <w:bookmarkStart w:id="33" w:name="_Toc14026_WPSOffice_Level2Page"/>
          <w:r>
            <w:rPr>
              <w:rFonts w:hint="eastAsia" w:ascii="Times New Roman" w:hAnsi="Times New Roman" w:eastAsia="仿宋_GB2312" w:cs="仿宋_GB2312"/>
              <w:color w:val="auto"/>
              <w:sz w:val="32"/>
              <w:szCs w:val="32"/>
              <w:highlight w:val="none"/>
            </w:rPr>
            <w:t>16</w:t>
          </w:r>
          <w:bookmarkEnd w:id="33"/>
          <w:r>
            <w:rPr>
              <w:rFonts w:hint="eastAsia" w:ascii="Times New Roman" w:hAnsi="Times New Roman" w:eastAsia="仿宋_GB2312" w:cs="仿宋_GB2312"/>
              <w:color w:val="auto"/>
              <w:sz w:val="32"/>
              <w:szCs w:val="32"/>
              <w:highlight w:val="none"/>
            </w:rPr>
            <w:fldChar w:fldCharType="end"/>
          </w:r>
        </w:p>
        <w:p w14:paraId="450324A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_Toc30282_WPSOffice_Level2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76405"/>
              <w:placeholder>
                <w:docPart w:val="{b325f891-7943-4e08-bd83-d649f3fa9af3}"/>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六、一般公共预算财政拨款支出决算表</w:t>
              </w:r>
            </w:sdtContent>
          </w:sdt>
          <w:r>
            <w:rPr>
              <w:rFonts w:hint="eastAsia" w:ascii="Times New Roman" w:hAnsi="Times New Roman" w:eastAsia="仿宋_GB2312" w:cs="仿宋_GB2312"/>
              <w:color w:val="auto"/>
              <w:sz w:val="32"/>
              <w:szCs w:val="32"/>
              <w:highlight w:val="none"/>
            </w:rPr>
            <w:tab/>
          </w:r>
          <w:bookmarkStart w:id="34" w:name="_Toc30282_WPSOffice_Level2Page"/>
          <w:r>
            <w:rPr>
              <w:rFonts w:hint="eastAsia" w:ascii="Times New Roman" w:hAnsi="Times New Roman" w:eastAsia="仿宋_GB2312" w:cs="仿宋_GB2312"/>
              <w:color w:val="auto"/>
              <w:sz w:val="32"/>
              <w:szCs w:val="32"/>
              <w:highlight w:val="none"/>
            </w:rPr>
            <w:t>16</w:t>
          </w:r>
          <w:bookmarkEnd w:id="34"/>
          <w:r>
            <w:rPr>
              <w:rFonts w:hint="eastAsia" w:ascii="Times New Roman" w:hAnsi="Times New Roman" w:eastAsia="仿宋_GB2312" w:cs="仿宋_GB2312"/>
              <w:color w:val="auto"/>
              <w:sz w:val="32"/>
              <w:szCs w:val="32"/>
              <w:highlight w:val="none"/>
            </w:rPr>
            <w:fldChar w:fldCharType="end"/>
          </w:r>
        </w:p>
        <w:p w14:paraId="1EB8115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_Toc11728_WPSOffice_Level2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56429"/>
              <w:placeholder>
                <w:docPart w:val="{79959efc-cf50-4074-8470-6dd4eced305b}"/>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七、一般公共预算财政拨款支出决算明细表</w:t>
              </w:r>
            </w:sdtContent>
          </w:sdt>
          <w:r>
            <w:rPr>
              <w:rFonts w:hint="eastAsia" w:ascii="Times New Roman" w:hAnsi="Times New Roman" w:eastAsia="仿宋_GB2312" w:cs="仿宋_GB2312"/>
              <w:color w:val="auto"/>
              <w:sz w:val="32"/>
              <w:szCs w:val="32"/>
              <w:highlight w:val="none"/>
            </w:rPr>
            <w:tab/>
          </w:r>
          <w:bookmarkStart w:id="35" w:name="_Toc11728_WPSOffice_Level2Page"/>
          <w:r>
            <w:rPr>
              <w:rFonts w:hint="eastAsia" w:ascii="Times New Roman" w:hAnsi="Times New Roman" w:eastAsia="仿宋_GB2312" w:cs="仿宋_GB2312"/>
              <w:color w:val="auto"/>
              <w:sz w:val="32"/>
              <w:szCs w:val="32"/>
              <w:highlight w:val="none"/>
            </w:rPr>
            <w:t>16</w:t>
          </w:r>
          <w:bookmarkEnd w:id="35"/>
          <w:r>
            <w:rPr>
              <w:rFonts w:hint="eastAsia" w:ascii="Times New Roman" w:hAnsi="Times New Roman" w:eastAsia="仿宋_GB2312" w:cs="仿宋_GB2312"/>
              <w:color w:val="auto"/>
              <w:sz w:val="32"/>
              <w:szCs w:val="32"/>
              <w:highlight w:val="none"/>
            </w:rPr>
            <w:fldChar w:fldCharType="end"/>
          </w:r>
        </w:p>
        <w:p w14:paraId="193B906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_Toc2269_WPSOffice_Level2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53155"/>
              <w:placeholder>
                <w:docPart w:val="{cfb10a0e-7967-4638-9df8-b573ed090edb}"/>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八、一般公共预算财政拨款基本支出决算表</w:t>
              </w:r>
            </w:sdtContent>
          </w:sdt>
          <w:r>
            <w:rPr>
              <w:rFonts w:hint="eastAsia" w:ascii="Times New Roman" w:hAnsi="Times New Roman" w:eastAsia="仿宋_GB2312" w:cs="仿宋_GB2312"/>
              <w:color w:val="auto"/>
              <w:sz w:val="32"/>
              <w:szCs w:val="32"/>
              <w:highlight w:val="none"/>
            </w:rPr>
            <w:tab/>
          </w:r>
          <w:bookmarkStart w:id="36" w:name="_Toc2269_WPSOffice_Level2Page"/>
          <w:r>
            <w:rPr>
              <w:rFonts w:hint="eastAsia" w:ascii="Times New Roman" w:hAnsi="Times New Roman" w:eastAsia="仿宋_GB2312" w:cs="仿宋_GB2312"/>
              <w:color w:val="auto"/>
              <w:sz w:val="32"/>
              <w:szCs w:val="32"/>
              <w:highlight w:val="none"/>
            </w:rPr>
            <w:t>16</w:t>
          </w:r>
          <w:bookmarkEnd w:id="36"/>
          <w:r>
            <w:rPr>
              <w:rFonts w:hint="eastAsia" w:ascii="Times New Roman" w:hAnsi="Times New Roman" w:eastAsia="仿宋_GB2312" w:cs="仿宋_GB2312"/>
              <w:color w:val="auto"/>
              <w:sz w:val="32"/>
              <w:szCs w:val="32"/>
              <w:highlight w:val="none"/>
            </w:rPr>
            <w:fldChar w:fldCharType="end"/>
          </w:r>
        </w:p>
        <w:p w14:paraId="4325C96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_Toc1989_WPSOffice_Level2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82679"/>
              <w:placeholder>
                <w:docPart w:val="{1009ddec-69d1-4f49-9178-95fba149f3da}"/>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九、一般公共预算财政拨款项目支出决算表</w:t>
              </w:r>
            </w:sdtContent>
          </w:sdt>
          <w:r>
            <w:rPr>
              <w:rFonts w:hint="eastAsia" w:ascii="Times New Roman" w:hAnsi="Times New Roman" w:eastAsia="仿宋_GB2312" w:cs="仿宋_GB2312"/>
              <w:color w:val="auto"/>
              <w:sz w:val="32"/>
              <w:szCs w:val="32"/>
              <w:highlight w:val="none"/>
            </w:rPr>
            <w:tab/>
          </w:r>
          <w:bookmarkStart w:id="37" w:name="_Toc1989_WPSOffice_Level2Page"/>
          <w:r>
            <w:rPr>
              <w:rFonts w:hint="eastAsia" w:ascii="Times New Roman" w:hAnsi="Times New Roman" w:eastAsia="仿宋_GB2312" w:cs="仿宋_GB2312"/>
              <w:color w:val="auto"/>
              <w:sz w:val="32"/>
              <w:szCs w:val="32"/>
              <w:highlight w:val="none"/>
            </w:rPr>
            <w:t>16</w:t>
          </w:r>
          <w:bookmarkEnd w:id="37"/>
          <w:r>
            <w:rPr>
              <w:rFonts w:hint="eastAsia" w:ascii="Times New Roman" w:hAnsi="Times New Roman" w:eastAsia="仿宋_GB2312" w:cs="仿宋_GB2312"/>
              <w:color w:val="auto"/>
              <w:sz w:val="32"/>
              <w:szCs w:val="32"/>
              <w:highlight w:val="none"/>
            </w:rPr>
            <w:fldChar w:fldCharType="end"/>
          </w:r>
        </w:p>
        <w:p w14:paraId="303910E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_Toc23569_WPSOffice_Level2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67879"/>
              <w:placeholder>
                <w:docPart w:val="{1b64220d-7373-4725-b6f3-eb6b9e01ea25}"/>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十、政府性基金预算财政拨款收入支出决算表</w:t>
              </w:r>
            </w:sdtContent>
          </w:sdt>
          <w:r>
            <w:rPr>
              <w:rFonts w:hint="eastAsia" w:ascii="Times New Roman" w:hAnsi="Times New Roman" w:eastAsia="仿宋_GB2312" w:cs="仿宋_GB2312"/>
              <w:color w:val="auto"/>
              <w:sz w:val="32"/>
              <w:szCs w:val="32"/>
              <w:highlight w:val="none"/>
            </w:rPr>
            <w:tab/>
          </w:r>
          <w:bookmarkStart w:id="38" w:name="_Toc23569_WPSOffice_Level2Page"/>
          <w:r>
            <w:rPr>
              <w:rFonts w:hint="eastAsia" w:ascii="Times New Roman" w:hAnsi="Times New Roman" w:eastAsia="仿宋_GB2312" w:cs="仿宋_GB2312"/>
              <w:color w:val="auto"/>
              <w:sz w:val="32"/>
              <w:szCs w:val="32"/>
              <w:highlight w:val="none"/>
            </w:rPr>
            <w:t>16</w:t>
          </w:r>
          <w:bookmarkEnd w:id="38"/>
          <w:r>
            <w:rPr>
              <w:rFonts w:hint="eastAsia" w:ascii="Times New Roman" w:hAnsi="Times New Roman" w:eastAsia="仿宋_GB2312" w:cs="仿宋_GB2312"/>
              <w:color w:val="auto"/>
              <w:sz w:val="32"/>
              <w:szCs w:val="32"/>
              <w:highlight w:val="none"/>
            </w:rPr>
            <w:fldChar w:fldCharType="end"/>
          </w:r>
        </w:p>
        <w:p w14:paraId="52901F8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_Toc10386_WPSOffice_Level2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65761"/>
              <w:placeholder>
                <w:docPart w:val="{02b9308a-0f52-4b66-ab52-e584eab0f046}"/>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十一、国有资本经营预算财政拨款收入支出决算表</w:t>
              </w:r>
            </w:sdtContent>
          </w:sdt>
          <w:r>
            <w:rPr>
              <w:rFonts w:hint="eastAsia" w:ascii="Times New Roman" w:hAnsi="Times New Roman" w:eastAsia="仿宋_GB2312" w:cs="仿宋_GB2312"/>
              <w:color w:val="auto"/>
              <w:sz w:val="32"/>
              <w:szCs w:val="32"/>
              <w:highlight w:val="none"/>
            </w:rPr>
            <w:tab/>
          </w:r>
          <w:bookmarkStart w:id="39" w:name="_Toc10386_WPSOffice_Level2Page"/>
          <w:r>
            <w:rPr>
              <w:rFonts w:hint="eastAsia" w:ascii="Times New Roman" w:hAnsi="Times New Roman" w:eastAsia="仿宋_GB2312" w:cs="仿宋_GB2312"/>
              <w:color w:val="auto"/>
              <w:sz w:val="32"/>
              <w:szCs w:val="32"/>
              <w:highlight w:val="none"/>
            </w:rPr>
            <w:t>16</w:t>
          </w:r>
          <w:bookmarkEnd w:id="39"/>
          <w:r>
            <w:rPr>
              <w:rFonts w:hint="eastAsia" w:ascii="Times New Roman" w:hAnsi="Times New Roman" w:eastAsia="仿宋_GB2312" w:cs="仿宋_GB2312"/>
              <w:color w:val="auto"/>
              <w:sz w:val="32"/>
              <w:szCs w:val="32"/>
              <w:highlight w:val="none"/>
            </w:rPr>
            <w:fldChar w:fldCharType="end"/>
          </w:r>
        </w:p>
        <w:p w14:paraId="666A36B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_Toc29078_WPSOffice_Level2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64099"/>
              <w:placeholder>
                <w:docPart w:val="{e14ce8a4-6e74-4944-8f5d-a63637d5d620}"/>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十二、国有资本经营预算财政拨款支出决算表</w:t>
              </w:r>
            </w:sdtContent>
          </w:sdt>
          <w:r>
            <w:rPr>
              <w:rFonts w:hint="eastAsia" w:ascii="Times New Roman" w:hAnsi="Times New Roman" w:eastAsia="仿宋_GB2312" w:cs="仿宋_GB2312"/>
              <w:color w:val="auto"/>
              <w:sz w:val="32"/>
              <w:szCs w:val="32"/>
              <w:highlight w:val="none"/>
            </w:rPr>
            <w:tab/>
          </w:r>
          <w:bookmarkStart w:id="40" w:name="_Toc29078_WPSOffice_Level2Page"/>
          <w:r>
            <w:rPr>
              <w:rFonts w:hint="eastAsia" w:ascii="Times New Roman" w:hAnsi="Times New Roman" w:eastAsia="仿宋_GB2312" w:cs="仿宋_GB2312"/>
              <w:color w:val="auto"/>
              <w:sz w:val="32"/>
              <w:szCs w:val="32"/>
              <w:highlight w:val="none"/>
            </w:rPr>
            <w:t>16</w:t>
          </w:r>
          <w:bookmarkEnd w:id="40"/>
          <w:r>
            <w:rPr>
              <w:rFonts w:hint="eastAsia" w:ascii="Times New Roman" w:hAnsi="Times New Roman" w:eastAsia="仿宋_GB2312" w:cs="仿宋_GB2312"/>
              <w:color w:val="auto"/>
              <w:sz w:val="32"/>
              <w:szCs w:val="32"/>
              <w:highlight w:val="none"/>
            </w:rPr>
            <w:fldChar w:fldCharType="end"/>
          </w:r>
        </w:p>
        <w:p w14:paraId="7DC9AF1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_Toc10980_WPSOffice_Level2 </w:instrText>
          </w:r>
          <w:r>
            <w:rPr>
              <w:rFonts w:hint="eastAsia" w:ascii="Times New Roman" w:hAnsi="Times New Roman" w:eastAsia="仿宋_GB2312" w:cs="仿宋_GB2312"/>
              <w:color w:val="auto"/>
              <w:sz w:val="32"/>
              <w:szCs w:val="32"/>
              <w:highlight w:val="none"/>
            </w:rPr>
            <w:fldChar w:fldCharType="separate"/>
          </w:r>
          <w:sdt>
            <w:sdtPr>
              <w:rPr>
                <w:rFonts w:hint="eastAsia" w:ascii="Times New Roman" w:hAnsi="Times New Roman" w:eastAsia="仿宋_GB2312" w:cs="仿宋_GB2312"/>
                <w:color w:val="auto"/>
                <w:sz w:val="32"/>
                <w:szCs w:val="32"/>
                <w:highlight w:val="none"/>
                <w:lang w:val="en-US" w:eastAsia="zh-CN"/>
              </w:rPr>
              <w:id w:val="147460702"/>
              <w:placeholder>
                <w:docPart w:val="{24139814-aba7-49b5-af51-ade7173cd3ef}"/>
              </w:placeholder>
            </w:sdtPr>
            <w:sdtEndPr>
              <w:rPr>
                <w:rFonts w:hint="eastAsia" w:ascii="Times New Roman" w:hAnsi="Times New Roman" w:eastAsia="仿宋_GB2312" w:cs="仿宋_GB2312"/>
                <w:color w:val="auto"/>
                <w:sz w:val="32"/>
                <w:szCs w:val="32"/>
                <w:highlight w:val="none"/>
                <w:lang w:val="en-US" w:eastAsia="zh-CN"/>
              </w:rPr>
            </w:sdtEndPr>
            <w:sdtContent>
              <w:r>
                <w:rPr>
                  <w:rFonts w:hint="eastAsia" w:ascii="Times New Roman" w:hAnsi="Times New Roman" w:eastAsia="仿宋_GB2312" w:cs="仿宋_GB2312"/>
                  <w:color w:val="auto"/>
                  <w:sz w:val="32"/>
                  <w:szCs w:val="32"/>
                  <w:highlight w:val="none"/>
                </w:rPr>
                <w:t>十三、财政拨款“三公”经费支出决算表</w:t>
              </w:r>
            </w:sdtContent>
          </w:sdt>
          <w:r>
            <w:rPr>
              <w:rFonts w:hint="eastAsia" w:ascii="Times New Roman" w:hAnsi="Times New Roman" w:eastAsia="仿宋_GB2312" w:cs="仿宋_GB2312"/>
              <w:color w:val="auto"/>
              <w:sz w:val="32"/>
              <w:szCs w:val="32"/>
              <w:highlight w:val="none"/>
            </w:rPr>
            <w:tab/>
          </w:r>
          <w:bookmarkStart w:id="41" w:name="_Toc10980_WPSOffice_Level2Page"/>
          <w:r>
            <w:rPr>
              <w:rFonts w:hint="eastAsia" w:ascii="Times New Roman" w:hAnsi="Times New Roman" w:eastAsia="仿宋_GB2312" w:cs="仿宋_GB2312"/>
              <w:color w:val="auto"/>
              <w:sz w:val="32"/>
              <w:szCs w:val="32"/>
              <w:highlight w:val="none"/>
            </w:rPr>
            <w:t>16</w:t>
          </w:r>
          <w:bookmarkEnd w:id="41"/>
          <w:r>
            <w:rPr>
              <w:rFonts w:hint="eastAsia" w:ascii="Times New Roman" w:hAnsi="Times New Roman" w:eastAsia="仿宋_GB2312" w:cs="仿宋_GB2312"/>
              <w:color w:val="auto"/>
              <w:sz w:val="32"/>
              <w:szCs w:val="32"/>
              <w:highlight w:val="none"/>
            </w:rPr>
            <w:fldChar w:fldCharType="end"/>
          </w:r>
          <w:bookmarkEnd w:id="12"/>
        </w:p>
      </w:sdtContent>
    </w:sdt>
    <w:p w14:paraId="23CBBFA0">
      <w:pPr>
        <w:pStyle w:val="4"/>
        <w:jc w:val="center"/>
        <w:rPr>
          <w:rFonts w:hint="eastAsia" w:ascii="Times New Roman" w:hAnsi="Times New Roman" w:eastAsia="方正小标宋简体" w:cs="方正小标宋简体"/>
          <w:b w:val="0"/>
          <w:color w:val="auto"/>
          <w:highlight w:val="none"/>
        </w:rPr>
      </w:pPr>
    </w:p>
    <w:p w14:paraId="3760FD84">
      <w:pPr>
        <w:pStyle w:val="4"/>
        <w:jc w:val="center"/>
        <w:rPr>
          <w:rFonts w:hint="eastAsia" w:ascii="Times New Roman" w:hAnsi="Times New Roman" w:eastAsia="方正小标宋简体" w:cs="方正小标宋简体"/>
          <w:b w:val="0"/>
          <w:color w:val="auto"/>
          <w:highlight w:val="none"/>
        </w:rPr>
      </w:pPr>
    </w:p>
    <w:p w14:paraId="0AC7F365">
      <w:pPr>
        <w:pStyle w:val="4"/>
        <w:jc w:val="both"/>
        <w:rPr>
          <w:rFonts w:hint="eastAsia" w:ascii="Times New Roman" w:hAnsi="Times New Roman" w:eastAsia="方正小标宋简体" w:cs="方正小标宋简体"/>
          <w:b w:val="0"/>
          <w:color w:val="auto"/>
          <w:highlight w:val="none"/>
        </w:rPr>
      </w:pPr>
    </w:p>
    <w:p w14:paraId="08F49FE5">
      <w:pPr>
        <w:rPr>
          <w:rFonts w:hint="eastAsia" w:ascii="Times New Roman" w:hAnsi="Times New Roman" w:eastAsia="方正小标宋简体" w:cs="方正小标宋简体"/>
          <w:b w:val="0"/>
          <w:color w:val="auto"/>
          <w:highlight w:val="none"/>
        </w:rPr>
      </w:pPr>
    </w:p>
    <w:p w14:paraId="6096E493">
      <w:pPr>
        <w:pStyle w:val="2"/>
        <w:rPr>
          <w:rFonts w:hint="eastAsia" w:ascii="Times New Roman" w:hAnsi="Times New Roman" w:eastAsia="方正小标宋简体" w:cs="方正小标宋简体"/>
          <w:b w:val="0"/>
          <w:color w:val="auto"/>
          <w:highlight w:val="none"/>
        </w:rPr>
      </w:pPr>
    </w:p>
    <w:p w14:paraId="53862360">
      <w:pPr>
        <w:pStyle w:val="2"/>
        <w:rPr>
          <w:rFonts w:hint="eastAsia" w:ascii="Times New Roman" w:hAnsi="Times New Roman" w:eastAsia="方正小标宋简体" w:cs="方正小标宋简体"/>
          <w:b w:val="0"/>
          <w:color w:val="auto"/>
          <w:highlight w:val="none"/>
        </w:rPr>
      </w:pPr>
    </w:p>
    <w:p w14:paraId="610822AA">
      <w:pPr>
        <w:pStyle w:val="2"/>
        <w:rPr>
          <w:rFonts w:hint="eastAsia" w:ascii="Times New Roman" w:hAnsi="Times New Roman" w:eastAsia="方正小标宋简体" w:cs="方正小标宋简体"/>
          <w:b w:val="0"/>
          <w:color w:val="auto"/>
          <w:highlight w:val="none"/>
        </w:rPr>
      </w:pPr>
    </w:p>
    <w:p w14:paraId="3664CC7E">
      <w:pPr>
        <w:pStyle w:val="2"/>
        <w:rPr>
          <w:rFonts w:hint="eastAsia" w:ascii="Times New Roman" w:hAnsi="Times New Roman" w:eastAsia="方正小标宋简体" w:cs="方正小标宋简体"/>
          <w:b w:val="0"/>
          <w:color w:val="auto"/>
          <w:highlight w:val="none"/>
        </w:rPr>
      </w:pPr>
    </w:p>
    <w:p w14:paraId="35BC74D7">
      <w:pPr>
        <w:pStyle w:val="4"/>
        <w:jc w:val="center"/>
        <w:rPr>
          <w:rFonts w:ascii="Times New Roman" w:hAnsi="Times New Roman" w:eastAsia="黑体"/>
          <w:color w:val="auto"/>
          <w:sz w:val="32"/>
          <w:szCs w:val="32"/>
          <w:highlight w:val="none"/>
        </w:rPr>
      </w:pPr>
      <w:bookmarkStart w:id="42" w:name="_Toc20944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42"/>
    </w:p>
    <w:p w14:paraId="06AC85EB">
      <w:pPr>
        <w:pStyle w:val="5"/>
        <w:numPr>
          <w:ilvl w:val="0"/>
          <w:numId w:val="1"/>
        </w:numPr>
        <w:rPr>
          <w:rFonts w:hint="eastAsia" w:ascii="Times New Roman" w:hAnsi="Times New Roman" w:eastAsia="黑体"/>
          <w:b w:val="0"/>
          <w:color w:val="auto"/>
          <w:highlight w:val="none"/>
          <w:lang w:eastAsia="zh-CN"/>
        </w:rPr>
      </w:pPr>
      <w:bookmarkStart w:id="43" w:name="_Toc19198_WPSOffice_Level2"/>
      <w:r>
        <w:rPr>
          <w:rFonts w:hint="eastAsia" w:ascii="Times New Roman" w:hAnsi="Times New Roman" w:eastAsia="黑体"/>
          <w:b w:val="0"/>
          <w:color w:val="auto"/>
          <w:highlight w:val="none"/>
          <w:lang w:eastAsia="zh-CN"/>
        </w:rPr>
        <w:t>部门职责</w:t>
      </w:r>
      <w:bookmarkEnd w:id="43"/>
    </w:p>
    <w:p w14:paraId="4A69E060">
      <w:pPr>
        <w:keepNext w:val="0"/>
        <w:keepLines w:val="0"/>
        <w:pageBreakBefore w:val="0"/>
        <w:widowControl w:val="0"/>
        <w:suppressLineNumbers w:val="0"/>
        <w:kinsoku/>
        <w:wordWrap/>
        <w:overflowPunct/>
        <w:topLinePunct w:val="0"/>
        <w:autoSpaceDE w:val="0"/>
        <w:autoSpaceDN/>
        <w:bidi w:val="0"/>
        <w:adjustRightInd/>
        <w:spacing w:afterAutospacing="0" w:line="560" w:lineRule="exact"/>
        <w:ind w:left="0" w:firstLine="640" w:firstLineChars="200"/>
        <w:jc w:val="both"/>
        <w:textAlignment w:val="auto"/>
        <w:rPr>
          <w:rFonts w:hint="eastAsia" w:ascii="仿宋_GB2312" w:hAnsi="宋体" w:eastAsia="仿宋_GB2312" w:cs="仿宋_GB2312"/>
          <w:kern w:val="0"/>
          <w:sz w:val="32"/>
          <w:szCs w:val="32"/>
        </w:rPr>
      </w:pPr>
      <w:r>
        <w:rPr>
          <w:rFonts w:hint="eastAsia" w:eastAsia="仿宋_GB2312" w:cs="Times New Roman"/>
          <w:kern w:val="0"/>
          <w:sz w:val="32"/>
          <w:szCs w:val="32"/>
          <w:lang w:eastAsia="zh-CN"/>
        </w:rPr>
        <w:t>（</w:t>
      </w:r>
      <w:r>
        <w:rPr>
          <w:rFonts w:hint="eastAsia" w:ascii="仿宋_GB2312" w:hAnsi="宋体" w:eastAsia="仿宋_GB2312" w:cs="仿宋_GB2312"/>
          <w:kern w:val="0"/>
          <w:sz w:val="32"/>
          <w:szCs w:val="32"/>
        </w:rPr>
        <w:t>一</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rPr>
        <w:t>贯彻执</w:t>
      </w:r>
      <w:r>
        <w:rPr>
          <w:rFonts w:hint="eastAsia" w:ascii="仿宋_GB2312" w:hAnsi="Times New Roman" w:eastAsia="仿宋_GB2312" w:cs="仿宋_GB2312"/>
          <w:kern w:val="0"/>
          <w:sz w:val="32"/>
          <w:szCs w:val="32"/>
        </w:rPr>
        <w:t>行国家、省、州人力</w:t>
      </w:r>
      <w:r>
        <w:rPr>
          <w:rFonts w:hint="eastAsia" w:ascii="仿宋_GB2312" w:hAnsi="宋体" w:eastAsia="仿宋_GB2312" w:cs="仿宋_GB2312"/>
          <w:kern w:val="0"/>
          <w:sz w:val="32"/>
          <w:szCs w:val="32"/>
        </w:rPr>
        <w:t>资源和社会保障工作的相关</w:t>
      </w:r>
      <w:r>
        <w:rPr>
          <w:rFonts w:hint="eastAsia" w:ascii="仿宋_GB2312" w:hAnsi="宋体" w:eastAsia="仿宋_GB2312" w:cs="仿宋_GB2312"/>
          <w:kern w:val="0"/>
          <w:sz w:val="32"/>
          <w:szCs w:val="32"/>
          <w:lang w:eastAsia="zh-CN"/>
        </w:rPr>
        <w:t>法律法规</w:t>
      </w:r>
      <w:r>
        <w:rPr>
          <w:rFonts w:hint="eastAsia" w:ascii="仿宋_GB2312" w:hAnsi="宋体" w:eastAsia="仿宋_GB2312" w:cs="仿宋_GB2312"/>
          <w:kern w:val="0"/>
          <w:sz w:val="32"/>
          <w:szCs w:val="32"/>
        </w:rPr>
        <w:t>和政策，起草全县人力资源和社会保障规范性文件草案，拟订全县人力资源和社会保障事业发展规划、政策并组织实施和监督检查。</w:t>
      </w:r>
    </w:p>
    <w:p w14:paraId="6152E074">
      <w:pPr>
        <w:keepNext w:val="0"/>
        <w:keepLines w:val="0"/>
        <w:pageBreakBefore w:val="0"/>
        <w:widowControl/>
        <w:suppressLineNumbers w:val="0"/>
        <w:kinsoku/>
        <w:wordWrap/>
        <w:overflowPunct/>
        <w:topLinePunct w:val="0"/>
        <w:autoSpaceDE w:val="0"/>
        <w:autoSpaceDN/>
        <w:bidi w:val="0"/>
        <w:adjustRightInd/>
        <w:spacing w:afterAutospacing="0" w:line="560" w:lineRule="exact"/>
        <w:ind w:left="0" w:firstLine="640" w:firstLineChars="200"/>
        <w:jc w:val="both"/>
        <w:textAlignment w:val="auto"/>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rPr>
        <w:t>二</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rPr>
        <w:t>组织实施人力资源市场发展规划和人力资源流动政策，管理人力资源和社会保障公共服务机构，建立全县统一规范的人力资源市场，促进人力资源合理流动、有效配置。</w:t>
      </w:r>
    </w:p>
    <w:p w14:paraId="2BE72C5C">
      <w:pPr>
        <w:keepNext w:val="0"/>
        <w:keepLines w:val="0"/>
        <w:pageBreakBefore w:val="0"/>
        <w:widowControl/>
        <w:suppressLineNumbers w:val="0"/>
        <w:kinsoku/>
        <w:wordWrap/>
        <w:overflowPunct/>
        <w:topLinePunct w:val="0"/>
        <w:autoSpaceDE w:val="0"/>
        <w:autoSpaceDN/>
        <w:bidi w:val="0"/>
        <w:adjustRightInd/>
        <w:spacing w:afterAutospacing="0" w:line="560" w:lineRule="exact"/>
        <w:ind w:left="0" w:firstLine="640" w:firstLineChars="200"/>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kern w:val="0"/>
          <w:sz w:val="32"/>
          <w:szCs w:val="32"/>
          <w:lang w:eastAsia="zh-CN"/>
        </w:rPr>
        <w:t>（</w:t>
      </w:r>
      <w:r>
        <w:rPr>
          <w:rFonts w:hint="eastAsia" w:ascii="仿宋_GB2312" w:hAnsi="宋体" w:eastAsia="仿宋_GB2312" w:cs="仿宋_GB2312"/>
          <w:kern w:val="0"/>
          <w:sz w:val="32"/>
          <w:szCs w:val="32"/>
        </w:rPr>
        <w:t>三</w:t>
      </w:r>
      <w:r>
        <w:rPr>
          <w:rFonts w:hint="eastAsia" w:ascii="仿宋_GB2312" w:hAnsi="宋体" w:eastAsia="仿宋_GB2312" w:cs="仿宋_GB2312"/>
          <w:kern w:val="0"/>
          <w:sz w:val="32"/>
          <w:szCs w:val="32"/>
          <w:lang w:eastAsia="zh-CN"/>
        </w:rPr>
        <w:t>）</w:t>
      </w:r>
      <w:r>
        <w:rPr>
          <w:rFonts w:hint="eastAsia" w:ascii="仿宋_GB2312" w:hAnsi="宋体" w:eastAsia="仿宋_GB2312" w:cs="仿宋_GB2312"/>
          <w:color w:val="000000"/>
          <w:kern w:val="0"/>
          <w:sz w:val="32"/>
          <w:szCs w:val="32"/>
        </w:rPr>
        <w:t>负责就业促进工作，组织实施统筹城乡就业发展规划和政策，完善公共就业服务体系；统筹建立面向城乡劳动者的职业技能培训制度，组织落实创业、就业援助制度；组织实施高校毕业生就业政策。</w:t>
      </w:r>
    </w:p>
    <w:p w14:paraId="561804A8">
      <w:pPr>
        <w:keepNext w:val="0"/>
        <w:keepLines w:val="0"/>
        <w:pageBreakBefore w:val="0"/>
        <w:widowControl/>
        <w:suppressLineNumbers w:val="0"/>
        <w:kinsoku/>
        <w:wordWrap/>
        <w:overflowPunct/>
        <w:topLinePunct w:val="0"/>
        <w:autoSpaceDE w:val="0"/>
        <w:autoSpaceDN/>
        <w:bidi w:val="0"/>
        <w:adjustRightInd/>
        <w:spacing w:afterAutospacing="0" w:line="560" w:lineRule="exact"/>
        <w:ind w:left="0" w:firstLine="640" w:firstLineChars="200"/>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四）推进建立覆盖城乡的多层次社会保障体系。组织实施养老、失业、工伤等社会保险及其补充保险政策和标准。贯彻落实全国统一的养老、失业、工伤保险关系转续办法；贯彻落实养老、失业、工伤等社会保险及其补充保险基金管理和监督办法；编制相关</w:t>
      </w:r>
      <w:r>
        <w:rPr>
          <w:rFonts w:hint="eastAsia" w:ascii="仿宋_GB2312" w:hAnsi="宋体" w:eastAsia="仿宋_GB2312" w:cs="仿宋_GB2312"/>
          <w:color w:val="000000"/>
          <w:kern w:val="0"/>
          <w:sz w:val="32"/>
          <w:szCs w:val="32"/>
          <w:lang w:eastAsia="zh-CN"/>
        </w:rPr>
        <w:t>社会保险基金预算</w:t>
      </w:r>
      <w:r>
        <w:rPr>
          <w:rFonts w:hint="eastAsia" w:ascii="仿宋_GB2312" w:hAnsi="宋体" w:eastAsia="仿宋_GB2312" w:cs="仿宋_GB2312"/>
          <w:color w:val="000000"/>
          <w:kern w:val="0"/>
          <w:sz w:val="32"/>
          <w:szCs w:val="32"/>
        </w:rPr>
        <w:t>草案。会同有关部门实施全民参保计划并参与建立全国统一的社会保险公共服务平台。拟订全县人力资源和社会保障信息化建设总体规划、年度计划，制定相关制度、标准和规范并组织实施。指导、督促企业参加工伤保险。</w:t>
      </w:r>
    </w:p>
    <w:p w14:paraId="5E19A6D4">
      <w:pPr>
        <w:keepNext w:val="0"/>
        <w:keepLines w:val="0"/>
        <w:pageBreakBefore w:val="0"/>
        <w:widowControl/>
        <w:suppressLineNumbers w:val="0"/>
        <w:kinsoku/>
        <w:wordWrap/>
        <w:overflowPunct/>
        <w:topLinePunct w:val="0"/>
        <w:autoSpaceDE w:val="0"/>
        <w:autoSpaceDN/>
        <w:bidi w:val="0"/>
        <w:adjustRightInd/>
        <w:spacing w:afterAutospacing="0" w:line="560" w:lineRule="exact"/>
        <w:ind w:left="0" w:firstLine="640" w:firstLineChars="200"/>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（五）负责就业、失业和相关社会保险基金预测预警和信息引导，拟订应对预案，实施预防、调节和控制，保持就业形势稳定和相关社会保险基金总体收支平衡。</w:t>
      </w:r>
    </w:p>
    <w:p w14:paraId="547527BC">
      <w:pPr>
        <w:keepNext w:val="0"/>
        <w:keepLines w:val="0"/>
        <w:pageBreakBefore w:val="0"/>
        <w:widowControl/>
        <w:suppressLineNumbers w:val="0"/>
        <w:kinsoku/>
        <w:wordWrap/>
        <w:overflowPunct/>
        <w:topLinePunct w:val="0"/>
        <w:autoSpaceDE w:val="0"/>
        <w:autoSpaceDN/>
        <w:bidi w:val="0"/>
        <w:adjustRightInd/>
        <w:spacing w:afterAutospacing="0" w:line="560" w:lineRule="exact"/>
        <w:ind w:left="0" w:firstLine="640" w:firstLineChars="200"/>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六）组织实施劳动人事争议调解仲裁制度和劳动关系政策，完善劳动关系协商协调机制，贯彻职工工作时间、休息休假和假期制度，落实消除非法使用童工政策和女工、未成年工特殊劳动保护政策。依法督促用人单位在劳动用工、合同签订与履约时，载明劳动保护、劳动条件和职业危害防护等条款。组织实施劳动保障监察，协调劳动者维权工作，依法查处重大案件。</w:t>
      </w:r>
    </w:p>
    <w:p w14:paraId="685C7223">
      <w:pPr>
        <w:keepNext w:val="0"/>
        <w:keepLines w:val="0"/>
        <w:pageBreakBefore w:val="0"/>
        <w:widowControl/>
        <w:numPr>
          <w:ilvl w:val="0"/>
          <w:numId w:val="2"/>
        </w:numPr>
        <w:suppressLineNumbers w:val="0"/>
        <w:kinsoku/>
        <w:wordWrap/>
        <w:overflowPunct/>
        <w:topLinePunct w:val="0"/>
        <w:autoSpaceDE w:val="0"/>
        <w:autoSpaceDN/>
        <w:bidi w:val="0"/>
        <w:adjustRightInd/>
        <w:spacing w:afterAutospacing="0" w:line="560" w:lineRule="exact"/>
        <w:ind w:left="0" w:firstLine="640" w:firstLineChars="200"/>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牵头推进深化职称制度改革，组织实施专业技术人员管理、继续教育和博士后管理等政策，负责高层次专业技术人才选拔和培养工作，贯彻落实吸引留学人员来县</w:t>
      </w:r>
      <w:r>
        <w:rPr>
          <w:rFonts w:hint="eastAsia" w:ascii="仿宋_GB2312" w:hAnsi="宋体" w:eastAsia="仿宋_GB2312" w:cs="仿宋_GB2312"/>
          <w:color w:val="000000"/>
          <w:kern w:val="0"/>
          <w:sz w:val="32"/>
          <w:szCs w:val="32"/>
          <w:lang w:eastAsia="zh-CN"/>
        </w:rPr>
        <w:t>（</w:t>
      </w:r>
      <w:r>
        <w:rPr>
          <w:rFonts w:hint="eastAsia" w:ascii="仿宋_GB2312" w:hAnsi="宋体" w:eastAsia="仿宋_GB2312" w:cs="仿宋_GB2312"/>
          <w:color w:val="000000"/>
          <w:kern w:val="0"/>
          <w:sz w:val="32"/>
          <w:szCs w:val="32"/>
        </w:rPr>
        <w:t>回县</w:t>
      </w:r>
      <w:r>
        <w:rPr>
          <w:rFonts w:hint="eastAsia" w:ascii="仿宋_GB2312" w:hAnsi="宋体" w:eastAsia="仿宋_GB2312" w:cs="仿宋_GB2312"/>
          <w:color w:val="000000"/>
          <w:kern w:val="0"/>
          <w:sz w:val="32"/>
          <w:szCs w:val="32"/>
          <w:lang w:eastAsia="zh-CN"/>
        </w:rPr>
        <w:t>）</w:t>
      </w:r>
      <w:r>
        <w:rPr>
          <w:rFonts w:hint="eastAsia" w:ascii="仿宋_GB2312" w:hAnsi="宋体" w:eastAsia="仿宋_GB2312" w:cs="仿宋_GB2312"/>
          <w:color w:val="000000"/>
          <w:kern w:val="0"/>
          <w:sz w:val="32"/>
          <w:szCs w:val="32"/>
        </w:rPr>
        <w:t>工作或定居政策。组织拟订技能人才培养、评价、使用和激励制度。贯彻落实职业资格制度，健全职业技能多元化评价政策。指导、监督各级各类技工学校、民办职业培训机构按国家和省、州、县有关规定履行安全管理责任。</w:t>
      </w:r>
    </w:p>
    <w:p w14:paraId="55C5323A">
      <w:pPr>
        <w:keepNext w:val="0"/>
        <w:keepLines w:val="0"/>
        <w:pageBreakBefore w:val="0"/>
        <w:widowControl/>
        <w:suppressLineNumbers w:val="0"/>
        <w:kinsoku/>
        <w:wordWrap/>
        <w:overflowPunct/>
        <w:topLinePunct w:val="0"/>
        <w:autoSpaceDE w:val="0"/>
        <w:autoSpaceDN/>
        <w:bidi w:val="0"/>
        <w:adjustRightInd/>
        <w:spacing w:afterAutospacing="0" w:line="560" w:lineRule="exact"/>
        <w:ind w:left="0" w:firstLine="640"/>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 xml:space="preserve">（八）会同有关部门负责事业单位人事制度改革，按照管理权限负责规范事业单位岗位设置、公开招聘、聘用合同等人事综合管理工作，落实规范事业单位工作人员和机关工勤人员管理政策，将安全生产及生态环境保护责任履行情况作为事业单位工作人员奖惩、考核的重要内容。   </w:t>
      </w:r>
    </w:p>
    <w:p w14:paraId="7EDE6E1A">
      <w:pPr>
        <w:keepNext w:val="0"/>
        <w:keepLines w:val="0"/>
        <w:pageBreakBefore w:val="0"/>
        <w:widowControl/>
        <w:suppressLineNumbers w:val="0"/>
        <w:kinsoku/>
        <w:wordWrap/>
        <w:overflowPunct/>
        <w:topLinePunct w:val="0"/>
        <w:autoSpaceDE w:val="0"/>
        <w:autoSpaceDN/>
        <w:bidi w:val="0"/>
        <w:adjustRightInd/>
        <w:spacing w:afterAutospacing="0" w:line="560" w:lineRule="exact"/>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lang w:eastAsia="zh-CN"/>
        </w:rPr>
        <w:t>（</w:t>
      </w:r>
      <w:r>
        <w:rPr>
          <w:rFonts w:hint="eastAsia" w:ascii="仿宋_GB2312" w:hAnsi="宋体" w:eastAsia="仿宋_GB2312" w:cs="仿宋_GB2312"/>
          <w:color w:val="000000"/>
          <w:kern w:val="0"/>
          <w:sz w:val="32"/>
          <w:szCs w:val="32"/>
        </w:rPr>
        <w:t>九</w:t>
      </w:r>
      <w:r>
        <w:rPr>
          <w:rFonts w:hint="eastAsia" w:ascii="仿宋_GB2312" w:hAnsi="宋体" w:eastAsia="仿宋_GB2312" w:cs="仿宋_GB2312"/>
          <w:color w:val="000000"/>
          <w:kern w:val="0"/>
          <w:sz w:val="32"/>
          <w:szCs w:val="32"/>
          <w:lang w:eastAsia="zh-CN"/>
        </w:rPr>
        <w:t>）</w:t>
      </w:r>
      <w:r>
        <w:rPr>
          <w:rFonts w:hint="eastAsia" w:ascii="仿宋_GB2312" w:hAnsi="宋体" w:eastAsia="仿宋_GB2312" w:cs="仿宋_GB2312"/>
          <w:color w:val="000000"/>
          <w:kern w:val="0"/>
          <w:sz w:val="32"/>
          <w:szCs w:val="32"/>
        </w:rPr>
        <w:t>组织实施国家表彰奖励制度，综合管理政府表彰奖励工作，承担评比达标表彰等工作，根据授权承办以县委、县政府名义开展的表彰奖励活动。承办提请县人大常委会和县政府决定的人事任免事项。</w:t>
      </w:r>
    </w:p>
    <w:p w14:paraId="5D0BCBA6">
      <w:pPr>
        <w:keepNext w:val="0"/>
        <w:keepLines w:val="0"/>
        <w:pageBreakBefore w:val="0"/>
        <w:widowControl/>
        <w:suppressLineNumbers w:val="0"/>
        <w:kinsoku/>
        <w:wordWrap/>
        <w:overflowPunct/>
        <w:topLinePunct w:val="0"/>
        <w:autoSpaceDE w:val="0"/>
        <w:autoSpaceDN/>
        <w:bidi w:val="0"/>
        <w:adjustRightInd/>
        <w:spacing w:afterAutospacing="0" w:line="560" w:lineRule="exact"/>
        <w:ind w:left="0" w:firstLine="640" w:firstLineChars="200"/>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lang w:eastAsia="zh-CN"/>
        </w:rPr>
        <w:t>（</w:t>
      </w:r>
      <w:r>
        <w:rPr>
          <w:rFonts w:hint="eastAsia" w:ascii="仿宋_GB2312" w:hAnsi="宋体" w:eastAsia="仿宋_GB2312" w:cs="仿宋_GB2312"/>
          <w:color w:val="000000"/>
          <w:kern w:val="0"/>
          <w:sz w:val="32"/>
          <w:szCs w:val="32"/>
        </w:rPr>
        <w:t>十</w:t>
      </w:r>
      <w:r>
        <w:rPr>
          <w:rFonts w:hint="eastAsia" w:ascii="仿宋_GB2312" w:hAnsi="宋体" w:eastAsia="仿宋_GB2312" w:cs="仿宋_GB2312"/>
          <w:color w:val="000000"/>
          <w:kern w:val="0"/>
          <w:sz w:val="32"/>
          <w:szCs w:val="32"/>
          <w:lang w:eastAsia="zh-CN"/>
        </w:rPr>
        <w:t>）</w:t>
      </w:r>
      <w:r>
        <w:rPr>
          <w:rFonts w:hint="eastAsia" w:ascii="仿宋_GB2312" w:hAnsi="宋体" w:eastAsia="仿宋_GB2312" w:cs="仿宋_GB2312"/>
          <w:color w:val="000000"/>
          <w:kern w:val="0"/>
          <w:sz w:val="32"/>
          <w:szCs w:val="32"/>
        </w:rPr>
        <w:t>组织实施事业单位人员工资收入分配政策，建立企事业单位人员工资决定、正常增长和支付保障机制。组织实施企事业单位人员福利和离退休政策。</w:t>
      </w:r>
    </w:p>
    <w:p w14:paraId="50870B47">
      <w:pPr>
        <w:keepNext w:val="0"/>
        <w:keepLines w:val="0"/>
        <w:pageBreakBefore w:val="0"/>
        <w:widowControl/>
        <w:suppressLineNumbers w:val="0"/>
        <w:kinsoku/>
        <w:wordWrap/>
        <w:overflowPunct/>
        <w:topLinePunct w:val="0"/>
        <w:autoSpaceDE w:val="0"/>
        <w:autoSpaceDN/>
        <w:bidi w:val="0"/>
        <w:adjustRightInd/>
        <w:spacing w:afterAutospacing="0" w:line="560" w:lineRule="exact"/>
        <w:ind w:left="640" w:leftChars="0"/>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lang w:eastAsia="zh-CN"/>
        </w:rPr>
        <w:t>（</w:t>
      </w:r>
      <w:r>
        <w:rPr>
          <w:rFonts w:hint="eastAsia" w:ascii="仿宋_GB2312" w:hAnsi="宋体" w:eastAsia="仿宋_GB2312" w:cs="仿宋_GB2312"/>
          <w:color w:val="000000"/>
          <w:kern w:val="0"/>
          <w:sz w:val="32"/>
          <w:szCs w:val="32"/>
        </w:rPr>
        <w:t>十一</w:t>
      </w:r>
      <w:r>
        <w:rPr>
          <w:rFonts w:hint="eastAsia" w:ascii="仿宋_GB2312" w:hAnsi="宋体" w:eastAsia="仿宋_GB2312" w:cs="仿宋_GB2312"/>
          <w:color w:val="000000"/>
          <w:kern w:val="0"/>
          <w:sz w:val="32"/>
          <w:szCs w:val="32"/>
          <w:lang w:eastAsia="zh-CN"/>
        </w:rPr>
        <w:t>）</w:t>
      </w:r>
      <w:r>
        <w:rPr>
          <w:rFonts w:hint="eastAsia" w:ascii="仿宋_GB2312" w:hAnsi="宋体" w:eastAsia="仿宋_GB2312" w:cs="仿宋_GB2312"/>
          <w:color w:val="000000"/>
          <w:kern w:val="0"/>
          <w:sz w:val="32"/>
          <w:szCs w:val="32"/>
        </w:rPr>
        <w:t>会同相关部门组织实施农民工工作的综合性</w:t>
      </w:r>
      <w:r>
        <w:rPr>
          <w:rFonts w:hint="eastAsia" w:ascii="仿宋_GB2312" w:hAnsi="宋体" w:eastAsia="仿宋_GB2312" w:cs="仿宋_GB2312"/>
          <w:color w:val="000000"/>
          <w:kern w:val="0"/>
          <w:sz w:val="32"/>
          <w:szCs w:val="32"/>
          <w:lang w:eastAsia="zh-CN"/>
        </w:rPr>
        <w:t>政策</w:t>
      </w:r>
    </w:p>
    <w:p w14:paraId="620FC722">
      <w:pPr>
        <w:keepNext w:val="0"/>
        <w:keepLines w:val="0"/>
        <w:pageBreakBefore w:val="0"/>
        <w:widowControl/>
        <w:suppressLineNumbers w:val="0"/>
        <w:kinsoku/>
        <w:wordWrap/>
        <w:overflowPunct/>
        <w:topLinePunct w:val="0"/>
        <w:autoSpaceDE w:val="0"/>
        <w:autoSpaceDN/>
        <w:bidi w:val="0"/>
        <w:adjustRightInd/>
        <w:spacing w:afterAutospacing="0" w:line="560" w:lineRule="exact"/>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策和规划，推动相关政策落实，协调解决重点难点问题，维护农民工合法权益。负责将安全生产纳入农民工技能培训内容。</w:t>
      </w:r>
    </w:p>
    <w:p w14:paraId="57CAB5ED">
      <w:pPr>
        <w:keepNext w:val="0"/>
        <w:keepLines w:val="0"/>
        <w:pageBreakBefore w:val="0"/>
        <w:widowControl/>
        <w:numPr>
          <w:ilvl w:val="0"/>
          <w:numId w:val="3"/>
        </w:numPr>
        <w:suppressLineNumbers w:val="0"/>
        <w:kinsoku/>
        <w:wordWrap/>
        <w:overflowPunct/>
        <w:topLinePunct w:val="0"/>
        <w:autoSpaceDE w:val="0"/>
        <w:autoSpaceDN/>
        <w:bidi w:val="0"/>
        <w:adjustRightInd/>
        <w:spacing w:afterAutospacing="0" w:line="560" w:lineRule="exact"/>
        <w:ind w:left="640" w:leftChars="0" w:firstLine="0"/>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负责人力资源和社会保障领域内的对外交流</w:t>
      </w:r>
    </w:p>
    <w:p w14:paraId="6C410C15">
      <w:pPr>
        <w:keepNext w:val="0"/>
        <w:keepLines w:val="0"/>
        <w:pageBreakBefore w:val="0"/>
        <w:widowControl/>
        <w:suppressLineNumbers w:val="0"/>
        <w:kinsoku/>
        <w:wordWrap/>
        <w:overflowPunct/>
        <w:topLinePunct w:val="0"/>
        <w:autoSpaceDE w:val="0"/>
        <w:autoSpaceDN/>
        <w:bidi w:val="0"/>
        <w:adjustRightInd/>
        <w:spacing w:afterAutospacing="0" w:line="560" w:lineRule="exact"/>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与合作。</w:t>
      </w:r>
    </w:p>
    <w:p w14:paraId="3D8FBBD3">
      <w:pPr>
        <w:keepNext w:val="0"/>
        <w:keepLines w:val="0"/>
        <w:pageBreakBefore w:val="0"/>
        <w:widowControl/>
        <w:numPr>
          <w:ilvl w:val="0"/>
          <w:numId w:val="3"/>
        </w:numPr>
        <w:suppressLineNumbers w:val="0"/>
        <w:kinsoku/>
        <w:wordWrap/>
        <w:overflowPunct/>
        <w:topLinePunct w:val="0"/>
        <w:autoSpaceDE w:val="0"/>
        <w:autoSpaceDN/>
        <w:bidi w:val="0"/>
        <w:adjustRightInd/>
        <w:spacing w:afterAutospacing="0" w:line="560" w:lineRule="exact"/>
        <w:ind w:left="640" w:leftChars="0" w:firstLine="0" w:firstLineChars="0"/>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承担职责范围内的安全生产和职业健康、生态</w:t>
      </w:r>
    </w:p>
    <w:p w14:paraId="0898E333">
      <w:pPr>
        <w:keepNext w:val="0"/>
        <w:keepLines w:val="0"/>
        <w:pageBreakBefore w:val="0"/>
        <w:widowControl/>
        <w:suppressLineNumbers w:val="0"/>
        <w:kinsoku/>
        <w:wordWrap/>
        <w:overflowPunct/>
        <w:topLinePunct w:val="0"/>
        <w:autoSpaceDE w:val="0"/>
        <w:autoSpaceDN/>
        <w:bidi w:val="0"/>
        <w:adjustRightInd/>
        <w:spacing w:afterAutospacing="0" w:line="560" w:lineRule="exact"/>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环境保护、审批服务便民化等工作。</w:t>
      </w:r>
    </w:p>
    <w:p w14:paraId="24AF3E36">
      <w:pPr>
        <w:keepNext w:val="0"/>
        <w:keepLines w:val="0"/>
        <w:pageBreakBefore w:val="0"/>
        <w:widowControl/>
        <w:suppressLineNumbers w:val="0"/>
        <w:kinsoku/>
        <w:wordWrap/>
        <w:overflowPunct/>
        <w:topLinePunct w:val="0"/>
        <w:autoSpaceDE w:val="0"/>
        <w:autoSpaceDN/>
        <w:bidi w:val="0"/>
        <w:adjustRightInd/>
        <w:spacing w:afterAutospacing="0" w:line="560" w:lineRule="exact"/>
        <w:ind w:left="0" w:firstLine="640" w:firstLineChars="200"/>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（十四）完成县委、县政府交办的其他任务。</w:t>
      </w:r>
    </w:p>
    <w:p w14:paraId="36AF0BE8">
      <w:pPr>
        <w:keepNext w:val="0"/>
        <w:keepLines w:val="0"/>
        <w:pageBreakBefore w:val="0"/>
        <w:widowControl/>
        <w:suppressLineNumbers w:val="0"/>
        <w:kinsoku/>
        <w:wordWrap/>
        <w:overflowPunct/>
        <w:topLinePunct w:val="0"/>
        <w:autoSpaceDE w:val="0"/>
        <w:autoSpaceDN/>
        <w:bidi w:val="0"/>
        <w:adjustRightInd/>
        <w:spacing w:afterAutospacing="0" w:line="560" w:lineRule="exact"/>
        <w:ind w:left="640" w:leftChars="0"/>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（十五）职能转变。深入推进简政放权、放管结合、优</w:t>
      </w:r>
    </w:p>
    <w:p w14:paraId="49A0028F">
      <w:pPr>
        <w:keepNext w:val="0"/>
        <w:keepLines w:val="0"/>
        <w:pageBreakBefore w:val="0"/>
        <w:widowControl/>
        <w:suppressLineNumbers w:val="0"/>
        <w:kinsoku/>
        <w:wordWrap/>
        <w:overflowPunct/>
        <w:topLinePunct w:val="0"/>
        <w:autoSpaceDE w:val="0"/>
        <w:autoSpaceDN/>
        <w:bidi w:val="0"/>
        <w:adjustRightInd/>
        <w:spacing w:afterAutospacing="0" w:line="560" w:lineRule="exact"/>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化服务改革，进一步减少行政审批事项，规范和优化对外办理事项，减少职业资格许可和认定等审批事项，实行职业资格目录清单管理，加强事中事后监管，创新就业和社会保障等公共服务方式，加强信息共享，提高公共服务水平。</w:t>
      </w:r>
    </w:p>
    <w:p w14:paraId="357AA60F">
      <w:pPr>
        <w:keepNext w:val="0"/>
        <w:keepLines w:val="0"/>
        <w:pageBreakBefore w:val="0"/>
        <w:widowControl/>
        <w:suppressLineNumbers w:val="0"/>
        <w:kinsoku/>
        <w:wordWrap/>
        <w:overflowPunct/>
        <w:topLinePunct w:val="0"/>
        <w:autoSpaceDE w:val="0"/>
        <w:autoSpaceDN/>
        <w:bidi w:val="0"/>
        <w:adjustRightInd/>
        <w:spacing w:afterAutospacing="0" w:line="560" w:lineRule="exact"/>
        <w:jc w:val="both"/>
        <w:textAlignment w:val="auto"/>
        <w:rPr>
          <w:rFonts w:hint="eastAsia"/>
          <w:lang w:eastAsia="zh-CN"/>
        </w:rPr>
      </w:pPr>
      <w:r>
        <w:rPr>
          <w:rFonts w:hint="eastAsia" w:ascii="仿宋_GB2312" w:hAnsi="宋体" w:eastAsia="仿宋_GB2312" w:cs="仿宋_GB2312"/>
          <w:color w:val="000000"/>
          <w:kern w:val="0"/>
          <w:sz w:val="32"/>
          <w:szCs w:val="32"/>
        </w:rPr>
        <w:t xml:space="preserve">    （十六）有关职责分工。与县教育局的有关职责分工。高校毕业生就业政策由县</w:t>
      </w:r>
      <w:r>
        <w:rPr>
          <w:rFonts w:hint="eastAsia" w:ascii="仿宋_GB2312" w:hAnsi="宋体" w:eastAsia="仿宋_GB2312" w:cs="仿宋_GB2312"/>
          <w:color w:val="000000"/>
          <w:kern w:val="0"/>
          <w:sz w:val="32"/>
          <w:szCs w:val="32"/>
          <w:lang w:eastAsia="zh-CN"/>
        </w:rPr>
        <w:t>人力资源和社会保障局</w:t>
      </w:r>
      <w:r>
        <w:rPr>
          <w:rFonts w:hint="eastAsia" w:ascii="仿宋_GB2312" w:hAnsi="宋体" w:eastAsia="仿宋_GB2312" w:cs="仿宋_GB2312"/>
          <w:color w:val="000000"/>
          <w:kern w:val="0"/>
          <w:sz w:val="32"/>
          <w:szCs w:val="32"/>
        </w:rPr>
        <w:t>牵头，会同县教育局等部门拟订。高校毕业生离校前的就业指导和服务工作，由县教育局负责；高校毕业生离校后的就业指导和服务工作，由县</w:t>
      </w:r>
      <w:r>
        <w:rPr>
          <w:rFonts w:hint="eastAsia" w:ascii="仿宋_GB2312" w:hAnsi="宋体" w:eastAsia="仿宋_GB2312" w:cs="仿宋_GB2312"/>
          <w:color w:val="000000"/>
          <w:kern w:val="0"/>
          <w:sz w:val="32"/>
          <w:szCs w:val="32"/>
          <w:lang w:eastAsia="zh-CN"/>
        </w:rPr>
        <w:t>人力资源和社会保障局</w:t>
      </w:r>
      <w:r>
        <w:rPr>
          <w:rFonts w:hint="eastAsia" w:ascii="仿宋_GB2312" w:hAnsi="宋体" w:eastAsia="仿宋_GB2312" w:cs="仿宋_GB2312"/>
          <w:color w:val="000000"/>
          <w:kern w:val="0"/>
          <w:sz w:val="32"/>
          <w:szCs w:val="32"/>
        </w:rPr>
        <w:t>负责。</w:t>
      </w:r>
    </w:p>
    <w:p w14:paraId="2EFC3BC7">
      <w:pPr>
        <w:pStyle w:val="5"/>
        <w:rPr>
          <w:rStyle w:val="29"/>
          <w:rFonts w:ascii="Times New Roman" w:hAnsi="Times New Roman"/>
          <w:b w:val="0"/>
          <w:bCs w:val="0"/>
          <w:color w:val="auto"/>
          <w:highlight w:val="none"/>
        </w:rPr>
      </w:pPr>
      <w:bookmarkStart w:id="44" w:name="_Toc15377200"/>
      <w:bookmarkStart w:id="45" w:name="_Toc15396601"/>
      <w:bookmarkStart w:id="46" w:name="_Toc3919_WPSOffice_Level2"/>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44"/>
      <w:bookmarkEnd w:id="45"/>
      <w:bookmarkEnd w:id="46"/>
    </w:p>
    <w:p w14:paraId="750B43C9">
      <w:pPr>
        <w:keepNext w:val="0"/>
        <w:keepLines w:val="0"/>
        <w:pageBreakBefore w:val="0"/>
        <w:widowControl/>
        <w:suppressLineNumbers w:val="0"/>
        <w:kinsoku/>
        <w:wordWrap/>
        <w:overflowPunct/>
        <w:topLinePunct w:val="0"/>
        <w:autoSpaceDE w:val="0"/>
        <w:autoSpaceDN/>
        <w:bidi w:val="0"/>
        <w:adjustRightInd/>
        <w:spacing w:afterAutospacing="0" w:line="560" w:lineRule="exact"/>
        <w:ind w:firstLine="640" w:firstLineChars="200"/>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松潘县人力资源和社会保障局下属二级预算单位</w:t>
      </w:r>
      <w:r>
        <w:rPr>
          <w:rFonts w:hint="eastAsia" w:ascii="仿宋_GB2312" w:hAnsi="宋体" w:eastAsia="仿宋_GB2312" w:cs="仿宋_GB2312"/>
          <w:color w:val="000000"/>
          <w:kern w:val="0"/>
          <w:sz w:val="32"/>
          <w:szCs w:val="32"/>
          <w:lang w:val="en-US" w:eastAsia="zh-CN"/>
        </w:rPr>
        <w:t>5</w:t>
      </w:r>
      <w:r>
        <w:rPr>
          <w:rFonts w:hint="eastAsia" w:ascii="仿宋_GB2312" w:hAnsi="宋体" w:eastAsia="仿宋_GB2312" w:cs="仿宋_GB2312"/>
          <w:color w:val="000000"/>
          <w:kern w:val="0"/>
          <w:sz w:val="32"/>
          <w:szCs w:val="32"/>
        </w:rPr>
        <w:t>个，其中参照公务员法管理的事业单位</w:t>
      </w:r>
      <w:r>
        <w:rPr>
          <w:rFonts w:hint="eastAsia" w:ascii="仿宋_GB2312" w:hAnsi="宋体" w:eastAsia="仿宋_GB2312" w:cs="仿宋_GB2312"/>
          <w:color w:val="000000"/>
          <w:kern w:val="0"/>
          <w:sz w:val="32"/>
          <w:szCs w:val="32"/>
          <w:lang w:val="en-US" w:eastAsia="zh-CN"/>
        </w:rPr>
        <w:t>2</w:t>
      </w:r>
      <w:r>
        <w:rPr>
          <w:rFonts w:hint="eastAsia" w:ascii="仿宋_GB2312" w:hAnsi="宋体" w:eastAsia="仿宋_GB2312" w:cs="仿宋_GB2312"/>
          <w:color w:val="000000"/>
          <w:kern w:val="0"/>
          <w:sz w:val="32"/>
          <w:szCs w:val="32"/>
        </w:rPr>
        <w:t>个，其他事业单位</w:t>
      </w:r>
      <w:r>
        <w:rPr>
          <w:rFonts w:hint="eastAsia" w:ascii="仿宋_GB2312" w:hAnsi="宋体" w:eastAsia="仿宋_GB2312" w:cs="仿宋_GB2312"/>
          <w:color w:val="000000"/>
          <w:kern w:val="0"/>
          <w:sz w:val="32"/>
          <w:szCs w:val="32"/>
          <w:lang w:val="en-US" w:eastAsia="zh-CN"/>
        </w:rPr>
        <w:t>3</w:t>
      </w:r>
      <w:r>
        <w:rPr>
          <w:rFonts w:hint="eastAsia" w:ascii="仿宋_GB2312" w:hAnsi="宋体" w:eastAsia="仿宋_GB2312" w:cs="仿宋_GB2312"/>
          <w:color w:val="000000"/>
          <w:kern w:val="0"/>
          <w:sz w:val="32"/>
          <w:szCs w:val="32"/>
        </w:rPr>
        <w:t>个。</w:t>
      </w:r>
    </w:p>
    <w:p w14:paraId="27CCAA2C">
      <w:pPr>
        <w:keepNext w:val="0"/>
        <w:keepLines w:val="0"/>
        <w:pageBreakBefore w:val="0"/>
        <w:widowControl/>
        <w:suppressLineNumbers w:val="0"/>
        <w:kinsoku/>
        <w:wordWrap/>
        <w:overflowPunct/>
        <w:topLinePunct w:val="0"/>
        <w:autoSpaceDE w:val="0"/>
        <w:autoSpaceDN/>
        <w:bidi w:val="0"/>
        <w:adjustRightInd/>
        <w:spacing w:afterAutospacing="0" w:line="560" w:lineRule="exact"/>
        <w:ind w:firstLine="640" w:firstLineChars="200"/>
        <w:jc w:val="both"/>
        <w:textAlignment w:val="auto"/>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纳入松潘县人力资源和社会保障局202</w:t>
      </w:r>
      <w:r>
        <w:rPr>
          <w:rFonts w:hint="eastAsia" w:ascii="仿宋_GB2312" w:hAnsi="宋体" w:eastAsia="仿宋_GB2312" w:cs="仿宋_GB2312"/>
          <w:color w:val="000000"/>
          <w:kern w:val="0"/>
          <w:sz w:val="32"/>
          <w:szCs w:val="32"/>
          <w:lang w:val="en-US" w:eastAsia="zh-CN"/>
        </w:rPr>
        <w:t>5</w:t>
      </w:r>
      <w:r>
        <w:rPr>
          <w:rFonts w:hint="eastAsia" w:ascii="仿宋_GB2312" w:hAnsi="宋体" w:eastAsia="仿宋_GB2312" w:cs="仿宋_GB2312"/>
          <w:color w:val="000000"/>
          <w:kern w:val="0"/>
          <w:sz w:val="32"/>
          <w:szCs w:val="32"/>
        </w:rPr>
        <w:t>年度部门决算编制范围的二级预算单位包括：</w:t>
      </w:r>
    </w:p>
    <w:p w14:paraId="7FA3060F">
      <w:pPr>
        <w:pStyle w:val="7"/>
        <w:numPr>
          <w:ilvl w:val="0"/>
          <w:numId w:val="4"/>
        </w:numPr>
        <w:adjustRightInd w:val="0"/>
        <w:snapToGrid w:val="0"/>
        <w:spacing w:before="93" w:line="600" w:lineRule="exact"/>
        <w:outlineLvl w:val="2"/>
        <w:rPr>
          <w:rFonts w:hint="eastAsia" w:ascii="仿宋_GB2312" w:hAnsi="宋体" w:eastAsia="仿宋_GB2312" w:cs="仿宋_GB2312"/>
          <w:color w:val="000000"/>
          <w:kern w:val="0"/>
          <w:sz w:val="32"/>
          <w:szCs w:val="32"/>
          <w:lang w:val="en-US" w:eastAsia="zh-CN" w:bidi="ar-SA"/>
        </w:rPr>
      </w:pPr>
      <w:bookmarkStart w:id="47" w:name="_Toc15377202"/>
      <w:bookmarkStart w:id="48" w:name="_Toc15377433"/>
      <w:bookmarkStart w:id="49" w:name="_Toc15306276"/>
      <w:bookmarkStart w:id="50" w:name="_Toc15378449"/>
      <w:r>
        <w:rPr>
          <w:rFonts w:hint="eastAsia" w:ascii="仿宋_GB2312" w:hAnsi="宋体" w:eastAsia="仿宋_GB2312" w:cs="仿宋_GB2312"/>
          <w:color w:val="000000"/>
          <w:kern w:val="0"/>
          <w:sz w:val="32"/>
          <w:szCs w:val="32"/>
          <w:lang w:val="en-US" w:eastAsia="zh-CN" w:bidi="ar-SA"/>
        </w:rPr>
        <w:t>松潘县社会保险事务中心</w:t>
      </w:r>
      <w:bookmarkEnd w:id="47"/>
      <w:bookmarkEnd w:id="48"/>
      <w:bookmarkEnd w:id="49"/>
      <w:bookmarkEnd w:id="50"/>
    </w:p>
    <w:p w14:paraId="6642DD12">
      <w:pPr>
        <w:pStyle w:val="7"/>
        <w:numPr>
          <w:ilvl w:val="0"/>
          <w:numId w:val="4"/>
        </w:numPr>
        <w:adjustRightInd w:val="0"/>
        <w:snapToGrid w:val="0"/>
        <w:spacing w:before="93" w:line="600" w:lineRule="exact"/>
        <w:outlineLvl w:val="2"/>
        <w:rPr>
          <w:rFonts w:hint="eastAsia" w:ascii="仿宋_GB2312" w:hAnsi="宋体" w:eastAsia="仿宋_GB2312" w:cs="仿宋_GB2312"/>
          <w:color w:val="000000"/>
          <w:kern w:val="0"/>
          <w:sz w:val="32"/>
          <w:szCs w:val="32"/>
          <w:lang w:val="en-US" w:eastAsia="zh-CN" w:bidi="ar-SA"/>
        </w:rPr>
      </w:pPr>
      <w:r>
        <w:rPr>
          <w:rFonts w:hint="eastAsia" w:ascii="仿宋_GB2312" w:hAnsi="宋体" w:eastAsia="仿宋_GB2312" w:cs="仿宋_GB2312"/>
          <w:color w:val="000000"/>
          <w:kern w:val="0"/>
          <w:sz w:val="32"/>
          <w:szCs w:val="32"/>
          <w:lang w:val="en-US" w:eastAsia="zh-CN" w:bidi="ar-SA"/>
        </w:rPr>
        <w:t>松潘县公共就业和人才交流服务中心</w:t>
      </w:r>
    </w:p>
    <w:p w14:paraId="2DAC2B5A">
      <w:pPr>
        <w:pStyle w:val="7"/>
        <w:numPr>
          <w:ilvl w:val="0"/>
          <w:numId w:val="4"/>
        </w:numPr>
        <w:adjustRightInd w:val="0"/>
        <w:snapToGrid w:val="0"/>
        <w:spacing w:before="93" w:line="600" w:lineRule="exact"/>
        <w:outlineLvl w:val="2"/>
        <w:rPr>
          <w:rFonts w:hint="eastAsia" w:ascii="仿宋_GB2312" w:hAnsi="宋体" w:eastAsia="仿宋_GB2312" w:cs="仿宋_GB2312"/>
          <w:color w:val="000000"/>
          <w:kern w:val="0"/>
          <w:sz w:val="32"/>
          <w:szCs w:val="32"/>
          <w:lang w:val="en-US" w:eastAsia="zh-CN" w:bidi="ar-SA"/>
        </w:rPr>
      </w:pPr>
      <w:r>
        <w:rPr>
          <w:rFonts w:hint="eastAsia" w:ascii="仿宋_GB2312" w:hAnsi="宋体" w:eastAsia="仿宋_GB2312" w:cs="仿宋_GB2312"/>
          <w:color w:val="000000"/>
          <w:kern w:val="0"/>
          <w:sz w:val="32"/>
          <w:szCs w:val="32"/>
          <w:lang w:val="en-US" w:eastAsia="zh-CN" w:bidi="ar-SA"/>
        </w:rPr>
        <w:t>松潘县城乡居民养老保险事务中心</w:t>
      </w:r>
    </w:p>
    <w:p w14:paraId="5CDAFBAA">
      <w:pPr>
        <w:pStyle w:val="7"/>
        <w:numPr>
          <w:ilvl w:val="0"/>
          <w:numId w:val="4"/>
        </w:numPr>
        <w:adjustRightInd w:val="0"/>
        <w:snapToGrid w:val="0"/>
        <w:spacing w:before="93" w:line="600" w:lineRule="exact"/>
        <w:outlineLvl w:val="2"/>
        <w:rPr>
          <w:rFonts w:hint="eastAsia" w:ascii="仿宋_GB2312" w:hAnsi="宋体" w:eastAsia="仿宋_GB2312" w:cs="仿宋_GB2312"/>
          <w:color w:val="000000"/>
          <w:kern w:val="0"/>
          <w:sz w:val="32"/>
          <w:szCs w:val="32"/>
          <w:lang w:val="en-US" w:eastAsia="zh-CN" w:bidi="ar-SA"/>
        </w:rPr>
      </w:pPr>
      <w:r>
        <w:rPr>
          <w:rFonts w:hint="eastAsia" w:ascii="仿宋_GB2312" w:hAnsi="宋体" w:eastAsia="仿宋_GB2312" w:cs="仿宋_GB2312"/>
          <w:color w:val="000000"/>
          <w:kern w:val="0"/>
          <w:sz w:val="32"/>
          <w:szCs w:val="32"/>
          <w:lang w:val="en-US" w:eastAsia="zh-CN" w:bidi="ar-SA"/>
        </w:rPr>
        <w:t>松潘县劳动人事争议仲裁院</w:t>
      </w:r>
    </w:p>
    <w:p w14:paraId="73030D4C">
      <w:pPr>
        <w:pStyle w:val="7"/>
        <w:numPr>
          <w:ilvl w:val="0"/>
          <w:numId w:val="4"/>
        </w:numPr>
        <w:adjustRightInd w:val="0"/>
        <w:snapToGrid w:val="0"/>
        <w:spacing w:before="93" w:line="600" w:lineRule="exact"/>
        <w:outlineLvl w:val="2"/>
        <w:rPr>
          <w:rFonts w:hint="eastAsia" w:ascii="仿宋_GB2312" w:hAnsi="宋体" w:eastAsia="仿宋_GB2312" w:cs="仿宋_GB2312"/>
          <w:color w:val="000000"/>
          <w:kern w:val="0"/>
          <w:sz w:val="32"/>
          <w:szCs w:val="32"/>
          <w:lang w:val="en-US" w:eastAsia="zh-CN" w:bidi="ar-SA"/>
        </w:rPr>
      </w:pPr>
      <w:r>
        <w:rPr>
          <w:rFonts w:hint="eastAsia" w:ascii="仿宋_GB2312" w:hAnsi="宋体" w:eastAsia="仿宋_GB2312" w:cs="仿宋_GB2312"/>
          <w:color w:val="000000"/>
          <w:kern w:val="0"/>
          <w:sz w:val="32"/>
          <w:szCs w:val="32"/>
          <w:lang w:val="en-US" w:eastAsia="zh-CN" w:bidi="ar-SA"/>
        </w:rPr>
        <w:t>松潘县机关事业养老保险中心</w:t>
      </w:r>
    </w:p>
    <w:p w14:paraId="2032488D">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5480F137">
      <w:pPr>
        <w:pStyle w:val="4"/>
        <w:jc w:val="center"/>
        <w:rPr>
          <w:rFonts w:hint="eastAsia" w:ascii="Times New Roman" w:hAnsi="Times New Roman" w:eastAsia="方正小标宋简体" w:cs="方正小标宋简体"/>
          <w:b w:val="0"/>
          <w:color w:val="auto"/>
          <w:highlight w:val="none"/>
        </w:rPr>
      </w:pPr>
      <w:bookmarkStart w:id="51" w:name="_Toc15396602"/>
      <w:bookmarkStart w:id="52" w:name="_Toc19198_WPSOffice_Level1"/>
      <w:bookmarkStart w:id="53"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51"/>
      <w:bookmarkEnd w:id="52"/>
      <w:bookmarkEnd w:id="53"/>
    </w:p>
    <w:p w14:paraId="467032FA">
      <w:pPr>
        <w:rPr>
          <w:rFonts w:ascii="Times New Roman" w:hAnsi="Times New Roman"/>
          <w:color w:val="auto"/>
          <w:highlight w:val="none"/>
        </w:rPr>
      </w:pPr>
    </w:p>
    <w:p w14:paraId="645E8D7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54" w:name="_Toc15377205"/>
      <w:bookmarkStart w:id="55" w:name="_Toc4320_WPSOffice_Level2"/>
      <w:bookmarkStart w:id="56"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54"/>
      <w:bookmarkEnd w:id="55"/>
      <w:bookmarkEnd w:id="56"/>
    </w:p>
    <w:p w14:paraId="155164AF">
      <w:pPr>
        <w:spacing w:line="580" w:lineRule="exact"/>
        <w:ind w:firstLine="640" w:firstLineChars="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2575.67</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720.87</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21.87</w:t>
      </w:r>
      <w:r>
        <w:rPr>
          <w:rFonts w:hint="eastAsia" w:ascii="Times New Roman" w:hAnsi="Times New Roman" w:eastAsia="仿宋_GB2312" w:cs="仿宋_GB2312"/>
          <w:color w:val="auto"/>
          <w:sz w:val="32"/>
          <w:szCs w:val="32"/>
          <w:highlight w:val="none"/>
        </w:rPr>
        <w:t>%。主要变动原因是</w:t>
      </w:r>
      <w:r>
        <w:rPr>
          <w:rFonts w:hint="eastAsia" w:ascii="Times New Roman" w:hAnsi="Times New Roman" w:eastAsia="仿宋_GB2312" w:cs="仿宋_GB2312"/>
          <w:color w:val="auto"/>
          <w:sz w:val="32"/>
          <w:szCs w:val="32"/>
          <w:highlight w:val="none"/>
          <w:lang w:val="en-US" w:eastAsia="zh-CN"/>
        </w:rPr>
        <w:t>编外用工人员经费由各自用工单位负责，不再由人社局统一支付。</w:t>
      </w:r>
    </w:p>
    <w:p w14:paraId="2556D49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57" w:name="_Toc18507_WPSOffice_Level2"/>
      <w:bookmarkStart w:id="58" w:name="_Toc15377206"/>
      <w:bookmarkStart w:id="59" w:name="_Toc15396604"/>
      <w:r>
        <w:rPr>
          <w:rFonts w:hint="eastAsia" w:ascii="Times New Roman" w:hAnsi="Times New Roman" w:eastAsia="黑体"/>
          <w:color w:val="auto"/>
          <w:sz w:val="32"/>
          <w:szCs w:val="32"/>
          <w:highlight w:val="none"/>
          <w:lang w:eastAsia="zh-CN"/>
        </w:rPr>
        <w:t>二、收入决算情况说明</w:t>
      </w:r>
      <w:bookmarkEnd w:id="57"/>
      <w:bookmarkEnd w:id="58"/>
      <w:bookmarkEnd w:id="59"/>
    </w:p>
    <w:p w14:paraId="1B84A18D">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lang w:val="en-US" w:eastAsia="zh-CN"/>
        </w:rPr>
        <w:t>2575.67</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2488.1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97.05</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lang w:val="en-US" w:eastAsia="zh-CN"/>
        </w:rPr>
        <w:t>87.57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2.94%</w:t>
      </w:r>
      <w:r>
        <w:rPr>
          <w:rFonts w:hint="eastAsia" w:ascii="仿宋_GB2312" w:hAnsi="仿宋_GB2312" w:eastAsia="仿宋_GB2312" w:cs="仿宋_GB2312"/>
          <w:color w:val="auto"/>
          <w:sz w:val="32"/>
          <w:szCs w:val="32"/>
          <w:highlight w:val="none"/>
          <w:lang w:eastAsia="zh-CN"/>
        </w:rPr>
        <w:t>。</w:t>
      </w:r>
    </w:p>
    <w:p w14:paraId="24B806E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60" w:name="_Toc13987_WPSOffice_Level2"/>
      <w:bookmarkStart w:id="61" w:name="_Toc15396605"/>
      <w:bookmarkStart w:id="62"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60"/>
      <w:bookmarkEnd w:id="61"/>
      <w:bookmarkEnd w:id="62"/>
    </w:p>
    <w:p w14:paraId="0EE1B63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lang w:val="en-US" w:eastAsia="zh-CN"/>
        </w:rPr>
        <w:t>2575.67</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14</w:t>
      </w:r>
      <w:r>
        <w:rPr>
          <w:rFonts w:hint="eastAsia" w:ascii="仿宋_GB2312" w:hAnsi="仿宋_GB2312" w:eastAsia="仿宋_GB2312" w:cs="仿宋_GB2312"/>
          <w:sz w:val="32"/>
          <w:szCs w:val="32"/>
          <w:lang w:val="en-US" w:eastAsia="zh-CN"/>
        </w:rPr>
        <w:t>87.98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57.77</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lang w:val="en-US" w:eastAsia="zh-CN"/>
        </w:rPr>
        <w:t>1087.7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42.23</w:t>
      </w:r>
      <w:r>
        <w:rPr>
          <w:rFonts w:hint="eastAsia" w:ascii="仿宋_GB2312" w:hAnsi="仿宋_GB2312" w:eastAsia="仿宋_GB2312" w:cs="仿宋_GB2312"/>
          <w:color w:val="auto"/>
          <w:sz w:val="32"/>
          <w:szCs w:val="32"/>
          <w:highlight w:val="none"/>
          <w:lang w:eastAsia="zh-CN"/>
        </w:rPr>
        <w:t>%。</w:t>
      </w:r>
    </w:p>
    <w:p w14:paraId="4D00494D">
      <w:pPr>
        <w:spacing w:line="600" w:lineRule="exact"/>
        <w:ind w:firstLine="640" w:firstLineChars="200"/>
        <w:outlineLvl w:val="1"/>
        <w:rPr>
          <w:rStyle w:val="29"/>
          <w:rFonts w:ascii="Times New Roman" w:hAnsi="Times New Roman" w:eastAsia="黑体"/>
          <w:b w:val="0"/>
          <w:color w:val="auto"/>
          <w:highlight w:val="none"/>
        </w:rPr>
      </w:pPr>
      <w:bookmarkStart w:id="63" w:name="_Toc4867_WPSOffice_Level2"/>
      <w:bookmarkStart w:id="64" w:name="_Toc15377208"/>
      <w:bookmarkStart w:id="65"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63"/>
      <w:bookmarkEnd w:id="64"/>
      <w:bookmarkEnd w:id="65"/>
    </w:p>
    <w:p w14:paraId="460FCAC1">
      <w:pPr>
        <w:spacing w:line="58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lang w:val="en-US" w:eastAsia="zh-CN"/>
        </w:rPr>
        <w:t>2575.67</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ascii="Times New Roman" w:hAnsi="Times New Roman" w:eastAsia="仿宋_GB2312" w:cs="仿宋_GB2312"/>
          <w:color w:val="auto"/>
          <w:sz w:val="32"/>
          <w:szCs w:val="32"/>
          <w:highlight w:val="none"/>
        </w:rPr>
        <w:t>减少</w:t>
      </w:r>
      <w:r>
        <w:rPr>
          <w:rFonts w:hint="eastAsia" w:eastAsia="仿宋_GB2312" w:cs="仿宋_GB2312"/>
          <w:color w:val="auto"/>
          <w:sz w:val="32"/>
          <w:szCs w:val="32"/>
          <w:highlight w:val="none"/>
          <w:lang w:val="en-US" w:eastAsia="zh-CN"/>
        </w:rPr>
        <w:t>720.87</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21.87</w:t>
      </w:r>
      <w:r>
        <w:rPr>
          <w:rFonts w:hint="eastAsia" w:ascii="Times New Roman" w:hAnsi="Times New Roman" w:eastAsia="仿宋_GB2312" w:cs="仿宋_GB2312"/>
          <w:color w:val="auto"/>
          <w:sz w:val="32"/>
          <w:szCs w:val="32"/>
          <w:highlight w:val="none"/>
        </w:rPr>
        <w:t>%。主要变动原因是</w:t>
      </w:r>
      <w:r>
        <w:rPr>
          <w:rFonts w:hint="eastAsia" w:ascii="Times New Roman" w:hAnsi="Times New Roman" w:eastAsia="仿宋_GB2312" w:cs="仿宋_GB2312"/>
          <w:color w:val="auto"/>
          <w:sz w:val="32"/>
          <w:szCs w:val="32"/>
          <w:highlight w:val="none"/>
          <w:lang w:val="en-US" w:eastAsia="zh-CN"/>
        </w:rPr>
        <w:t>编外用工人员经费由各自用工单位负责，不再由人社局统一支付。</w:t>
      </w:r>
    </w:p>
    <w:p w14:paraId="7630C50D">
      <w:pPr>
        <w:spacing w:line="600" w:lineRule="exact"/>
        <w:ind w:firstLine="640" w:firstLineChars="200"/>
        <w:outlineLvl w:val="1"/>
        <w:rPr>
          <w:rStyle w:val="29"/>
          <w:rFonts w:ascii="Times New Roman" w:hAnsi="Times New Roman" w:eastAsia="黑体"/>
          <w:b w:val="0"/>
          <w:color w:val="auto"/>
          <w:highlight w:val="none"/>
        </w:rPr>
      </w:pPr>
      <w:bookmarkStart w:id="66" w:name="_Toc15396607"/>
      <w:bookmarkStart w:id="67" w:name="_Toc15377209"/>
      <w:bookmarkStart w:id="68" w:name="_Toc6169_WPSOffice_Level2"/>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66"/>
      <w:bookmarkEnd w:id="67"/>
      <w:bookmarkEnd w:id="68"/>
    </w:p>
    <w:p w14:paraId="1B63EF3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9"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69"/>
    </w:p>
    <w:p w14:paraId="1B754322">
      <w:pPr>
        <w:spacing w:line="58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2025年度一般公共预算财政拨款支出2488.1万元，占本年支出合计的</w:t>
      </w:r>
      <w:r>
        <w:rPr>
          <w:rFonts w:hint="eastAsia" w:ascii="仿宋_GB2312" w:hAnsi="仿宋_GB2312" w:eastAsia="仿宋_GB2312" w:cs="仿宋_GB2312"/>
          <w:sz w:val="32"/>
          <w:szCs w:val="32"/>
          <w:lang w:val="en-US" w:eastAsia="zh-CN"/>
        </w:rPr>
        <w:t>96.6</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%。与2024年度相比，一般公共预算财政拨款支出减少711.48万元，下降22.24%。主要变动原因是</w:t>
      </w:r>
      <w:r>
        <w:rPr>
          <w:rFonts w:hint="eastAsia" w:ascii="Times New Roman" w:hAnsi="Times New Roman" w:eastAsia="仿宋_GB2312" w:cs="仿宋_GB2312"/>
          <w:color w:val="auto"/>
          <w:sz w:val="32"/>
          <w:szCs w:val="32"/>
          <w:highlight w:val="none"/>
          <w:lang w:val="en-US" w:eastAsia="zh-CN"/>
        </w:rPr>
        <w:t>编外用工人员经费由各自用工单位负责，不再由人社局统一支付。</w:t>
      </w:r>
    </w:p>
    <w:p w14:paraId="606CFC3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0"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70"/>
    </w:p>
    <w:p w14:paraId="011F6E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lang w:val="en-US" w:eastAsia="zh-CN"/>
        </w:rPr>
        <w:t>2488.1</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186.32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7.49</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2122.1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85.29</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73.75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2.96</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105.93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4.26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C8395F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1"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71"/>
    </w:p>
    <w:p w14:paraId="0CBCA1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2" w:name="_Toc15377213"/>
      <w:bookmarkStart w:id="73" w:name="_Toc15378460"/>
      <w:bookmarkStart w:id="74" w:name="_Toc15377444"/>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2488.1</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72"/>
      <w:bookmarkEnd w:id="73"/>
      <w:bookmarkEnd w:id="74"/>
    </w:p>
    <w:p w14:paraId="2880E65C">
      <w:pPr>
        <w:spacing w:line="580" w:lineRule="exact"/>
        <w:ind w:firstLine="640" w:firstLineChars="20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1.教育支出： 支出决算为</w:t>
      </w:r>
      <w:r>
        <w:rPr>
          <w:rFonts w:hint="eastAsia" w:eastAsia="仿宋_GB2312" w:cs="仿宋_GB2312"/>
          <w:color w:val="auto"/>
          <w:sz w:val="32"/>
          <w:szCs w:val="32"/>
          <w:highlight w:val="none"/>
          <w:lang w:val="en-US" w:eastAsia="zh-CN"/>
        </w:rPr>
        <w:t>186.32</w:t>
      </w:r>
      <w:r>
        <w:rPr>
          <w:rFonts w:hint="eastAsia" w:ascii="Times New Roman" w:hAnsi="Times New Roman" w:eastAsia="仿宋_GB2312" w:cs="仿宋_GB2312"/>
          <w:color w:val="auto"/>
          <w:sz w:val="32"/>
          <w:szCs w:val="32"/>
          <w:highlight w:val="none"/>
          <w:lang w:val="en-US" w:eastAsia="zh-CN"/>
        </w:rPr>
        <w:t>万元，完成预算100%</w:t>
      </w:r>
      <w:r>
        <w:rPr>
          <w:rFonts w:hint="eastAsia" w:eastAsia="仿宋_GB2312" w:cs="仿宋_GB2312"/>
          <w:color w:val="auto"/>
          <w:sz w:val="32"/>
          <w:szCs w:val="32"/>
          <w:highlight w:val="none"/>
          <w:lang w:val="en-US" w:eastAsia="zh-CN"/>
        </w:rPr>
        <w:t>，2050302中等职业教育支出40.63万元，2050803培训支出140万元，2059999其他教育支出5.7万元。</w:t>
      </w:r>
    </w:p>
    <w:p w14:paraId="25B4E6AB">
      <w:pPr>
        <w:spacing w:line="580" w:lineRule="exact"/>
        <w:ind w:firstLine="640" w:firstLineChars="200"/>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2.社会保障和就业支出： 支出决算为</w:t>
      </w:r>
      <w:r>
        <w:rPr>
          <w:rFonts w:hint="eastAsia" w:eastAsia="仿宋_GB2312" w:cs="仿宋_GB2312"/>
          <w:color w:val="auto"/>
          <w:sz w:val="32"/>
          <w:szCs w:val="32"/>
          <w:highlight w:val="none"/>
          <w:lang w:val="en-US" w:eastAsia="zh-CN"/>
        </w:rPr>
        <w:t>2122.1</w:t>
      </w:r>
      <w:r>
        <w:rPr>
          <w:rFonts w:hint="eastAsia" w:ascii="Times New Roman" w:hAnsi="Times New Roman" w:eastAsia="仿宋_GB2312" w:cs="仿宋_GB2312"/>
          <w:color w:val="auto"/>
          <w:sz w:val="32"/>
          <w:szCs w:val="32"/>
          <w:highlight w:val="none"/>
          <w:lang w:val="en-US" w:eastAsia="zh-CN"/>
        </w:rPr>
        <w:t>万元，完成预算</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val="en-US" w:eastAsia="zh-CN"/>
        </w:rPr>
        <w:t>%，其中：2080101行政运行支出</w:t>
      </w:r>
      <w:r>
        <w:rPr>
          <w:rFonts w:hint="eastAsia" w:eastAsia="仿宋_GB2312" w:cs="仿宋_GB2312"/>
          <w:color w:val="auto"/>
          <w:sz w:val="32"/>
          <w:szCs w:val="32"/>
          <w:highlight w:val="none"/>
          <w:lang w:val="en-US" w:eastAsia="zh-CN"/>
        </w:rPr>
        <w:t>246.36</w:t>
      </w:r>
      <w:r>
        <w:rPr>
          <w:rFonts w:hint="eastAsia" w:ascii="Times New Roman" w:hAnsi="Times New Roman" w:eastAsia="仿宋_GB2312" w:cs="仿宋_GB2312"/>
          <w:color w:val="auto"/>
          <w:sz w:val="32"/>
          <w:szCs w:val="32"/>
          <w:highlight w:val="none"/>
          <w:lang w:val="en-US" w:eastAsia="zh-CN"/>
        </w:rPr>
        <w:t>万元，2080102一般行政管理事务支出</w:t>
      </w:r>
      <w:r>
        <w:rPr>
          <w:rFonts w:hint="eastAsia" w:eastAsia="仿宋_GB2312" w:cs="仿宋_GB2312"/>
          <w:color w:val="auto"/>
          <w:sz w:val="32"/>
          <w:szCs w:val="32"/>
          <w:highlight w:val="none"/>
          <w:lang w:val="en-US" w:eastAsia="zh-CN"/>
        </w:rPr>
        <w:t>4.1</w:t>
      </w:r>
      <w:r>
        <w:rPr>
          <w:rFonts w:hint="eastAsia" w:ascii="Times New Roman" w:hAnsi="Times New Roman" w:eastAsia="仿宋_GB2312" w:cs="仿宋_GB2312"/>
          <w:color w:val="auto"/>
          <w:sz w:val="32"/>
          <w:szCs w:val="32"/>
          <w:highlight w:val="none"/>
          <w:lang w:val="en-US" w:eastAsia="zh-CN"/>
        </w:rPr>
        <w:t>万元，208010</w:t>
      </w:r>
      <w:r>
        <w:rPr>
          <w:rFonts w:hint="eastAsia" w:eastAsia="仿宋_GB2312" w:cs="仿宋_GB2312"/>
          <w:color w:val="auto"/>
          <w:sz w:val="32"/>
          <w:szCs w:val="32"/>
          <w:highlight w:val="none"/>
          <w:lang w:val="en-US" w:eastAsia="zh-CN"/>
        </w:rPr>
        <w:t>6就业</w:t>
      </w:r>
      <w:r>
        <w:rPr>
          <w:rFonts w:hint="eastAsia" w:ascii="Times New Roman" w:hAnsi="Times New Roman" w:eastAsia="仿宋_GB2312" w:cs="仿宋_GB2312"/>
          <w:color w:val="auto"/>
          <w:sz w:val="32"/>
          <w:szCs w:val="32"/>
          <w:highlight w:val="none"/>
          <w:lang w:val="en-US" w:eastAsia="zh-CN"/>
        </w:rPr>
        <w:t>管理</w:t>
      </w:r>
      <w:r>
        <w:rPr>
          <w:rFonts w:hint="eastAsia" w:eastAsia="仿宋_GB2312" w:cs="仿宋_GB2312"/>
          <w:color w:val="auto"/>
          <w:sz w:val="32"/>
          <w:szCs w:val="32"/>
          <w:highlight w:val="none"/>
          <w:lang w:val="en-US" w:eastAsia="zh-CN"/>
        </w:rPr>
        <w:t>事务</w:t>
      </w:r>
      <w:r>
        <w:rPr>
          <w:rFonts w:hint="eastAsia" w:ascii="Times New Roman" w:hAnsi="Times New Roman" w:eastAsia="仿宋_GB2312" w:cs="仿宋_GB2312"/>
          <w:color w:val="auto"/>
          <w:sz w:val="32"/>
          <w:szCs w:val="32"/>
          <w:highlight w:val="none"/>
          <w:lang w:val="en-US" w:eastAsia="zh-CN"/>
        </w:rPr>
        <w:t>支出</w:t>
      </w:r>
      <w:r>
        <w:rPr>
          <w:rFonts w:hint="eastAsia" w:eastAsia="仿宋_GB2312" w:cs="仿宋_GB2312"/>
          <w:color w:val="auto"/>
          <w:sz w:val="32"/>
          <w:szCs w:val="32"/>
          <w:highlight w:val="none"/>
          <w:lang w:val="en-US" w:eastAsia="zh-CN"/>
        </w:rPr>
        <w:t>197.15</w:t>
      </w:r>
      <w:r>
        <w:rPr>
          <w:rFonts w:hint="eastAsia" w:ascii="Times New Roman" w:hAnsi="Times New Roman" w:eastAsia="仿宋_GB2312" w:cs="仿宋_GB2312"/>
          <w:color w:val="auto"/>
          <w:sz w:val="32"/>
          <w:szCs w:val="32"/>
          <w:highlight w:val="none"/>
          <w:lang w:val="en-US" w:eastAsia="zh-CN"/>
        </w:rPr>
        <w:t>万元，2080108信息化建设支出</w:t>
      </w:r>
      <w:r>
        <w:rPr>
          <w:rFonts w:hint="eastAsia" w:eastAsia="仿宋_GB2312" w:cs="仿宋_GB2312"/>
          <w:color w:val="auto"/>
          <w:sz w:val="32"/>
          <w:szCs w:val="32"/>
          <w:highlight w:val="none"/>
          <w:lang w:val="en-US" w:eastAsia="zh-CN"/>
        </w:rPr>
        <w:t>23.62</w:t>
      </w:r>
      <w:r>
        <w:rPr>
          <w:rFonts w:hint="eastAsia" w:ascii="Times New Roman" w:hAnsi="Times New Roman" w:eastAsia="仿宋_GB2312" w:cs="仿宋_GB2312"/>
          <w:color w:val="auto"/>
          <w:sz w:val="32"/>
          <w:szCs w:val="32"/>
          <w:highlight w:val="none"/>
          <w:lang w:val="en-US" w:eastAsia="zh-CN"/>
        </w:rPr>
        <w:t>万元，2080109社会保险经办机构支出</w:t>
      </w:r>
      <w:r>
        <w:rPr>
          <w:rFonts w:hint="eastAsia" w:eastAsia="仿宋_GB2312" w:cs="仿宋_GB2312"/>
          <w:color w:val="auto"/>
          <w:sz w:val="32"/>
          <w:szCs w:val="32"/>
          <w:highlight w:val="none"/>
          <w:lang w:val="en-US" w:eastAsia="zh-CN"/>
        </w:rPr>
        <w:t>277.12</w:t>
      </w:r>
      <w:r>
        <w:rPr>
          <w:rFonts w:hint="eastAsia" w:ascii="Times New Roman" w:hAnsi="Times New Roman" w:eastAsia="仿宋_GB2312" w:cs="仿宋_GB2312"/>
          <w:color w:val="auto"/>
          <w:sz w:val="32"/>
          <w:szCs w:val="32"/>
          <w:highlight w:val="none"/>
          <w:lang w:val="en-US" w:eastAsia="zh-CN"/>
        </w:rPr>
        <w:t>万元，2080150事业运行支出</w:t>
      </w:r>
      <w:r>
        <w:rPr>
          <w:rFonts w:hint="eastAsia" w:eastAsia="仿宋_GB2312" w:cs="仿宋_GB2312"/>
          <w:color w:val="auto"/>
          <w:sz w:val="32"/>
          <w:szCs w:val="32"/>
          <w:highlight w:val="none"/>
          <w:lang w:val="en-US" w:eastAsia="zh-CN"/>
        </w:rPr>
        <w:t>449.79</w:t>
      </w:r>
      <w:r>
        <w:rPr>
          <w:rFonts w:hint="eastAsia" w:ascii="Times New Roman" w:hAnsi="Times New Roman" w:eastAsia="仿宋_GB2312" w:cs="仿宋_GB2312"/>
          <w:color w:val="auto"/>
          <w:sz w:val="32"/>
          <w:szCs w:val="32"/>
          <w:highlight w:val="none"/>
          <w:lang w:val="en-US" w:eastAsia="zh-CN"/>
        </w:rPr>
        <w:t>万元，2080199其他人力资源和社会保障管理事务支出</w:t>
      </w:r>
      <w:r>
        <w:rPr>
          <w:rFonts w:hint="eastAsia" w:eastAsia="仿宋_GB2312" w:cs="仿宋_GB2312"/>
          <w:color w:val="auto"/>
          <w:sz w:val="32"/>
          <w:szCs w:val="32"/>
          <w:highlight w:val="none"/>
          <w:lang w:val="en-US" w:eastAsia="zh-CN"/>
        </w:rPr>
        <w:t>3.79</w:t>
      </w:r>
      <w:r>
        <w:rPr>
          <w:rFonts w:hint="eastAsia" w:ascii="Times New Roman" w:hAnsi="Times New Roman" w:eastAsia="仿宋_GB2312" w:cs="仿宋_GB2312"/>
          <w:color w:val="auto"/>
          <w:sz w:val="32"/>
          <w:szCs w:val="32"/>
          <w:highlight w:val="none"/>
          <w:lang w:val="en-US" w:eastAsia="zh-CN"/>
        </w:rPr>
        <w:t>万元，2080505机关事业单位基本养老保险缴费支出</w:t>
      </w:r>
      <w:r>
        <w:rPr>
          <w:rFonts w:hint="eastAsia" w:eastAsia="仿宋_GB2312" w:cs="仿宋_GB2312"/>
          <w:color w:val="auto"/>
          <w:sz w:val="32"/>
          <w:szCs w:val="32"/>
          <w:highlight w:val="none"/>
          <w:lang w:val="en-US" w:eastAsia="zh-CN"/>
        </w:rPr>
        <w:t>129.86</w:t>
      </w:r>
      <w:r>
        <w:rPr>
          <w:rFonts w:hint="eastAsia" w:ascii="Times New Roman" w:hAnsi="Times New Roman" w:eastAsia="仿宋_GB2312" w:cs="仿宋_GB2312"/>
          <w:color w:val="auto"/>
          <w:sz w:val="32"/>
          <w:szCs w:val="32"/>
          <w:highlight w:val="none"/>
          <w:lang w:val="en-US" w:eastAsia="zh-CN"/>
        </w:rPr>
        <w:t>万元，2080506机关事业单位职业年金缴费支出</w:t>
      </w:r>
      <w:r>
        <w:rPr>
          <w:rFonts w:hint="eastAsia" w:eastAsia="仿宋_GB2312" w:cs="仿宋_GB2312"/>
          <w:color w:val="auto"/>
          <w:sz w:val="32"/>
          <w:szCs w:val="32"/>
          <w:highlight w:val="none"/>
          <w:lang w:val="en-US" w:eastAsia="zh-CN"/>
        </w:rPr>
        <w:t>68.77</w:t>
      </w:r>
      <w:r>
        <w:rPr>
          <w:rFonts w:hint="eastAsia" w:ascii="Times New Roman" w:hAnsi="Times New Roman" w:eastAsia="仿宋_GB2312" w:cs="仿宋_GB2312"/>
          <w:color w:val="auto"/>
          <w:sz w:val="32"/>
          <w:szCs w:val="32"/>
          <w:highlight w:val="none"/>
          <w:lang w:val="en-US" w:eastAsia="zh-CN"/>
        </w:rPr>
        <w:t>万元，2080701就业创业服务补贴支出</w:t>
      </w:r>
      <w:r>
        <w:rPr>
          <w:rFonts w:hint="eastAsia" w:eastAsia="仿宋_GB2312" w:cs="仿宋_GB2312"/>
          <w:color w:val="auto"/>
          <w:sz w:val="32"/>
          <w:szCs w:val="32"/>
          <w:highlight w:val="none"/>
          <w:lang w:val="en-US" w:eastAsia="zh-CN"/>
        </w:rPr>
        <w:t>634.73</w:t>
      </w:r>
      <w:r>
        <w:rPr>
          <w:rFonts w:hint="eastAsia" w:ascii="Times New Roman" w:hAnsi="Times New Roman" w:eastAsia="仿宋_GB2312" w:cs="仿宋_GB2312"/>
          <w:color w:val="auto"/>
          <w:sz w:val="32"/>
          <w:szCs w:val="32"/>
          <w:highlight w:val="none"/>
          <w:lang w:val="en-US" w:eastAsia="zh-CN"/>
        </w:rPr>
        <w:t>万元，2080799其他就业补助支出</w:t>
      </w:r>
      <w:r>
        <w:rPr>
          <w:rFonts w:hint="eastAsia" w:eastAsia="仿宋_GB2312" w:cs="仿宋_GB2312"/>
          <w:color w:val="auto"/>
          <w:sz w:val="32"/>
          <w:szCs w:val="32"/>
          <w:highlight w:val="none"/>
          <w:lang w:val="en-US" w:eastAsia="zh-CN"/>
        </w:rPr>
        <w:t>86.8</w:t>
      </w:r>
      <w:r>
        <w:rPr>
          <w:rFonts w:hint="eastAsia" w:ascii="Times New Roman" w:hAnsi="Times New Roman" w:eastAsia="仿宋_GB2312" w:cs="仿宋_GB2312"/>
          <w:color w:val="auto"/>
          <w:sz w:val="32"/>
          <w:szCs w:val="32"/>
          <w:highlight w:val="none"/>
          <w:lang w:val="en-US" w:eastAsia="zh-CN"/>
        </w:rPr>
        <w:t>万元。</w:t>
      </w:r>
    </w:p>
    <w:p w14:paraId="6FFB9223">
      <w:pPr>
        <w:spacing w:line="580" w:lineRule="exact"/>
        <w:ind w:firstLine="640" w:firstLineChars="20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3.卫生健康支出：支出决算为</w:t>
      </w:r>
      <w:r>
        <w:rPr>
          <w:rFonts w:hint="eastAsia" w:eastAsia="仿宋_GB2312" w:cs="仿宋_GB2312"/>
          <w:color w:val="auto"/>
          <w:sz w:val="32"/>
          <w:szCs w:val="32"/>
          <w:highlight w:val="none"/>
          <w:lang w:val="en-US" w:eastAsia="zh-CN"/>
        </w:rPr>
        <w:t>73.75</w:t>
      </w:r>
      <w:r>
        <w:rPr>
          <w:rFonts w:hint="eastAsia" w:ascii="Times New Roman" w:hAnsi="Times New Roman" w:eastAsia="仿宋_GB2312" w:cs="仿宋_GB2312"/>
          <w:color w:val="auto"/>
          <w:sz w:val="32"/>
          <w:szCs w:val="32"/>
          <w:highlight w:val="none"/>
          <w:lang w:val="en-US" w:eastAsia="zh-CN"/>
        </w:rPr>
        <w:t>万元，完成预算100%。其中：2101101行政单位医疗支出</w:t>
      </w:r>
      <w:r>
        <w:rPr>
          <w:rFonts w:hint="eastAsia" w:eastAsia="仿宋_GB2312" w:cs="仿宋_GB2312"/>
          <w:color w:val="auto"/>
          <w:sz w:val="32"/>
          <w:szCs w:val="32"/>
          <w:highlight w:val="none"/>
          <w:lang w:val="en-US" w:eastAsia="zh-CN"/>
        </w:rPr>
        <w:t>35.31</w:t>
      </w:r>
      <w:r>
        <w:rPr>
          <w:rFonts w:hint="eastAsia" w:ascii="Times New Roman" w:hAnsi="Times New Roman" w:eastAsia="仿宋_GB2312" w:cs="仿宋_GB2312"/>
          <w:color w:val="auto"/>
          <w:sz w:val="32"/>
          <w:szCs w:val="32"/>
          <w:highlight w:val="none"/>
          <w:lang w:val="en-US" w:eastAsia="zh-CN"/>
        </w:rPr>
        <w:t>万元，2101102事业单位医疗支出</w:t>
      </w:r>
      <w:r>
        <w:rPr>
          <w:rFonts w:hint="eastAsia" w:eastAsia="仿宋_GB2312" w:cs="仿宋_GB2312"/>
          <w:color w:val="auto"/>
          <w:sz w:val="32"/>
          <w:szCs w:val="32"/>
          <w:highlight w:val="none"/>
          <w:lang w:val="en-US" w:eastAsia="zh-CN"/>
        </w:rPr>
        <w:t>27.42</w:t>
      </w:r>
      <w:r>
        <w:rPr>
          <w:rFonts w:hint="eastAsia" w:ascii="Times New Roman" w:hAnsi="Times New Roman" w:eastAsia="仿宋_GB2312" w:cs="仿宋_GB2312"/>
          <w:color w:val="auto"/>
          <w:sz w:val="32"/>
          <w:szCs w:val="32"/>
          <w:highlight w:val="none"/>
          <w:lang w:val="en-US" w:eastAsia="zh-CN"/>
        </w:rPr>
        <w:t>万元，2101103公务员医疗补助支出</w:t>
      </w:r>
      <w:r>
        <w:rPr>
          <w:rFonts w:hint="eastAsia" w:eastAsia="仿宋_GB2312" w:cs="仿宋_GB2312"/>
          <w:color w:val="auto"/>
          <w:sz w:val="32"/>
          <w:szCs w:val="32"/>
          <w:highlight w:val="none"/>
          <w:lang w:val="en-US" w:eastAsia="zh-CN"/>
        </w:rPr>
        <w:t>6.21</w:t>
      </w:r>
      <w:r>
        <w:rPr>
          <w:rFonts w:hint="eastAsia" w:ascii="Times New Roman" w:hAnsi="Times New Roman" w:eastAsia="仿宋_GB2312" w:cs="仿宋_GB2312"/>
          <w:color w:val="auto"/>
          <w:sz w:val="32"/>
          <w:szCs w:val="32"/>
          <w:highlight w:val="none"/>
          <w:lang w:val="en-US" w:eastAsia="zh-CN"/>
        </w:rPr>
        <w:t>万元，2101199其他行政事业单位医疗支出</w:t>
      </w:r>
      <w:r>
        <w:rPr>
          <w:rFonts w:hint="eastAsia" w:eastAsia="仿宋_GB2312" w:cs="仿宋_GB2312"/>
          <w:color w:val="auto"/>
          <w:sz w:val="32"/>
          <w:szCs w:val="32"/>
          <w:highlight w:val="none"/>
          <w:lang w:val="en-US" w:eastAsia="zh-CN"/>
        </w:rPr>
        <w:t>4.81</w:t>
      </w:r>
      <w:r>
        <w:rPr>
          <w:rFonts w:hint="eastAsia" w:ascii="Times New Roman" w:hAnsi="Times New Roman" w:eastAsia="仿宋_GB2312" w:cs="仿宋_GB2312"/>
          <w:color w:val="auto"/>
          <w:sz w:val="32"/>
          <w:szCs w:val="32"/>
          <w:highlight w:val="none"/>
          <w:lang w:val="en-US" w:eastAsia="zh-CN"/>
        </w:rPr>
        <w:t>万元。</w:t>
      </w:r>
    </w:p>
    <w:p w14:paraId="1E4175D4">
      <w:pPr>
        <w:spacing w:line="58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val="en-US" w:eastAsia="zh-CN"/>
        </w:rPr>
        <w:t>4.住房保障支出：2210201住房公积金支出决算为</w:t>
      </w:r>
      <w:r>
        <w:rPr>
          <w:rFonts w:hint="eastAsia" w:eastAsia="仿宋_GB2312" w:cs="仿宋_GB2312"/>
          <w:color w:val="auto"/>
          <w:sz w:val="32"/>
          <w:szCs w:val="32"/>
          <w:highlight w:val="none"/>
          <w:lang w:val="en-US" w:eastAsia="zh-CN"/>
        </w:rPr>
        <w:t>105.93</w:t>
      </w:r>
      <w:r>
        <w:rPr>
          <w:rFonts w:hint="eastAsia" w:ascii="Times New Roman" w:hAnsi="Times New Roman" w:eastAsia="仿宋_GB2312" w:cs="仿宋_GB2312"/>
          <w:color w:val="auto"/>
          <w:sz w:val="32"/>
          <w:szCs w:val="32"/>
          <w:highlight w:val="none"/>
          <w:lang w:val="en-US" w:eastAsia="zh-CN"/>
        </w:rPr>
        <w:t>万元，完成预算100%。</w:t>
      </w:r>
    </w:p>
    <w:p w14:paraId="221134C7">
      <w:pPr>
        <w:tabs>
          <w:tab w:val="right" w:pos="8306"/>
        </w:tabs>
        <w:spacing w:line="600" w:lineRule="exact"/>
        <w:ind w:firstLine="640"/>
        <w:outlineLvl w:val="1"/>
        <w:rPr>
          <w:rStyle w:val="29"/>
          <w:rFonts w:ascii="Times New Roman" w:hAnsi="Times New Roman"/>
          <w:color w:val="auto"/>
          <w:highlight w:val="none"/>
        </w:rPr>
      </w:pPr>
      <w:bookmarkStart w:id="75" w:name="_Toc15377214"/>
      <w:bookmarkStart w:id="76" w:name="_Toc15396608"/>
      <w:bookmarkStart w:id="77" w:name="_Toc18667_WPSOffice_Level2"/>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75"/>
      <w:bookmarkEnd w:id="76"/>
      <w:bookmarkEnd w:id="77"/>
      <w:r>
        <w:rPr>
          <w:rStyle w:val="29"/>
          <w:rFonts w:ascii="Times New Roman" w:hAnsi="Times New Roman" w:eastAsia="黑体"/>
          <w:b w:val="0"/>
          <w:color w:val="auto"/>
          <w:highlight w:val="none"/>
        </w:rPr>
        <w:tab/>
      </w:r>
    </w:p>
    <w:p w14:paraId="6D8ABB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lang w:val="en-US" w:eastAsia="zh-CN"/>
        </w:rPr>
        <w:t>1487.98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41A923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1401.4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元，主要包括：基本工资、津贴补贴、奖金、绩效工资、机关事业单位基本养老保险缴费、职业年金缴费、职工基本医疗保险缴费</w:t>
      </w:r>
      <w:r>
        <w:rPr>
          <w:rFonts w:hint="eastAsia" w:eastAsia="仿宋_GB2312" w:cs="仿宋_GB2312"/>
          <w:color w:val="auto"/>
          <w:kern w:val="2"/>
          <w:sz w:val="32"/>
          <w:szCs w:val="32"/>
          <w:highlight w:val="none"/>
          <w:lang w:val="en-US" w:eastAsia="zh-CN" w:bidi="ar-SA"/>
        </w:rPr>
        <w:t>、公务员医疗补助缴费、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其他社会保障缴费、抚恤金、生活补助、医疗费</w:t>
      </w:r>
      <w:r>
        <w:rPr>
          <w:rFonts w:hint="eastAsia" w:eastAsia="仿宋_GB2312" w:cs="仿宋_GB2312"/>
          <w:color w:val="auto"/>
          <w:kern w:val="2"/>
          <w:sz w:val="32"/>
          <w:szCs w:val="32"/>
          <w:highlight w:val="none"/>
          <w:lang w:val="en-US" w:eastAsia="zh-CN" w:bidi="ar-SA"/>
        </w:rPr>
        <w:t>补助</w:t>
      </w:r>
      <w:r>
        <w:rPr>
          <w:rFonts w:hint="eastAsia" w:ascii="Times New Roman" w:hAnsi="Times New Roman" w:eastAsia="仿宋_GB2312" w:cs="仿宋_GB2312"/>
          <w:color w:val="auto"/>
          <w:kern w:val="2"/>
          <w:sz w:val="32"/>
          <w:szCs w:val="32"/>
          <w:highlight w:val="none"/>
          <w:lang w:val="en-US" w:eastAsia="zh-CN" w:bidi="ar-SA"/>
        </w:rPr>
        <w:t>、奖励金、住房公积金、</w:t>
      </w:r>
      <w:r>
        <w:rPr>
          <w:rFonts w:hint="eastAsia" w:eastAsia="仿宋_GB2312" w:cs="仿宋_GB2312"/>
          <w:color w:val="auto"/>
          <w:kern w:val="2"/>
          <w:sz w:val="32"/>
          <w:szCs w:val="32"/>
          <w:highlight w:val="none"/>
          <w:lang w:val="en-US" w:eastAsia="zh-CN" w:bidi="ar-SA"/>
        </w:rPr>
        <w:t>医疗费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86.58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元，主要包括：办公费、水费、电费、邮电费、差旅费、培训费、工会经费、公务用车运行维护费等。</w:t>
      </w:r>
    </w:p>
    <w:p w14:paraId="384702F0">
      <w:pPr>
        <w:spacing w:line="600" w:lineRule="exact"/>
        <w:ind w:firstLine="640"/>
        <w:outlineLvl w:val="1"/>
        <w:rPr>
          <w:rStyle w:val="29"/>
          <w:rFonts w:ascii="Times New Roman" w:hAnsi="Times New Roman" w:eastAsia="黑体"/>
          <w:b w:val="0"/>
          <w:color w:val="auto"/>
          <w:highlight w:val="none"/>
        </w:rPr>
      </w:pPr>
      <w:bookmarkStart w:id="78" w:name="_Toc15377215"/>
      <w:bookmarkStart w:id="79" w:name="_Toc2600_WPSOffice_Level2"/>
      <w:bookmarkStart w:id="80"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78"/>
      <w:bookmarkEnd w:id="79"/>
      <w:bookmarkEnd w:id="80"/>
    </w:p>
    <w:p w14:paraId="22F5912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1"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81"/>
    </w:p>
    <w:p w14:paraId="234B26EC">
      <w:pPr>
        <w:spacing w:line="600" w:lineRule="exact"/>
        <w:ind w:firstLine="640"/>
        <w:rPr>
          <w:rFonts w:ascii="仿宋" w:hAnsi="仿宋" w:eastAsia="仿宋"/>
          <w:sz w:val="32"/>
          <w:szCs w:val="32"/>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eastAsia="仿宋_GB2312" w:cs="仿宋_GB2312"/>
          <w:color w:val="auto"/>
          <w:kern w:val="2"/>
          <w:sz w:val="32"/>
          <w:szCs w:val="32"/>
          <w:highlight w:val="none"/>
          <w:lang w:val="en-US" w:eastAsia="zh-CN" w:bidi="ar-SA"/>
        </w:rPr>
        <w:t>10.76</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增加2.01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上升22.97</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sz w:val="32"/>
          <w:szCs w:val="32"/>
        </w:rPr>
        <w:t>主要原因是</w:t>
      </w:r>
      <w:r>
        <w:rPr>
          <w:rFonts w:hint="eastAsia" w:ascii="仿宋" w:hAnsi="仿宋" w:eastAsia="仿宋"/>
          <w:sz w:val="32"/>
          <w:szCs w:val="32"/>
          <w:lang w:eastAsia="zh-CN"/>
        </w:rPr>
        <w:t>公车运行维护费用增加</w:t>
      </w:r>
      <w:r>
        <w:rPr>
          <w:rFonts w:hint="eastAsia" w:ascii="仿宋" w:hAnsi="仿宋" w:eastAsia="仿宋"/>
          <w:sz w:val="32"/>
          <w:szCs w:val="32"/>
        </w:rPr>
        <w:t>。</w:t>
      </w:r>
    </w:p>
    <w:p w14:paraId="05EC622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2"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82"/>
    </w:p>
    <w:p w14:paraId="182918C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lang w:val="en-US" w:eastAsia="zh-CN"/>
        </w:rPr>
        <w:t>10.76</w:t>
      </w:r>
      <w:r>
        <w:rPr>
          <w:rFonts w:hint="eastAsia" w:ascii="仿宋_GB2312" w:hAnsi="仿宋_GB2312" w:eastAsia="仿宋_GB2312" w:cs="仿宋_GB2312"/>
          <w:color w:val="auto"/>
          <w:kern w:val="2"/>
          <w:sz w:val="32"/>
          <w:szCs w:val="32"/>
          <w:highlight w:val="none"/>
          <w:lang w:val="en-US" w:eastAsia="zh-CN" w:bidi="ar-SA"/>
        </w:rPr>
        <w:t>万元，占100%；公务接待费支出决算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3E2E0E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A8B5CFA">
      <w:pPr>
        <w:spacing w:line="600" w:lineRule="exact"/>
        <w:ind w:firstLine="640"/>
        <w:rPr>
          <w:rFonts w:ascii="仿宋" w:hAnsi="仿宋" w:eastAsia="仿宋"/>
          <w:sz w:val="32"/>
          <w:szCs w:val="32"/>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10.76万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增加2.01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上升22.97</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sz w:val="32"/>
          <w:szCs w:val="32"/>
        </w:rPr>
        <w:t>主要原因是</w:t>
      </w:r>
      <w:r>
        <w:rPr>
          <w:rFonts w:hint="eastAsia" w:ascii="仿宋" w:hAnsi="仿宋" w:eastAsia="仿宋"/>
          <w:sz w:val="32"/>
          <w:szCs w:val="32"/>
          <w:lang w:eastAsia="zh-CN"/>
        </w:rPr>
        <w:t>公车运行维护费用增加</w:t>
      </w:r>
      <w:r>
        <w:rPr>
          <w:rFonts w:hint="eastAsia" w:ascii="仿宋" w:hAnsi="仿宋" w:eastAsia="仿宋"/>
          <w:sz w:val="32"/>
          <w:szCs w:val="32"/>
        </w:rPr>
        <w:t>。</w:t>
      </w:r>
    </w:p>
    <w:p w14:paraId="0A7EFD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p>
    <w:p w14:paraId="4E7EE9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p>
    <w:p w14:paraId="6E4827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10.76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办公出差及下乡</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40DFEF12">
      <w:pPr>
        <w:numPr>
          <w:ilvl w:val="0"/>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3750AC1">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3A3B4C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83" w:name="_Toc15396610"/>
      <w:bookmarkStart w:id="84" w:name="_Toc15377218"/>
    </w:p>
    <w:p w14:paraId="35A77809">
      <w:pPr>
        <w:spacing w:line="600" w:lineRule="exact"/>
        <w:ind w:firstLine="640"/>
        <w:outlineLvl w:val="1"/>
        <w:rPr>
          <w:rStyle w:val="29"/>
          <w:rFonts w:ascii="Times New Roman" w:hAnsi="Times New Roman" w:eastAsia="黑体"/>
          <w:color w:val="auto"/>
          <w:highlight w:val="none"/>
        </w:rPr>
      </w:pPr>
      <w:bookmarkStart w:id="85" w:name="_Toc20357_WPSOffice_Level2"/>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83"/>
      <w:bookmarkEnd w:id="84"/>
      <w:bookmarkEnd w:id="85"/>
    </w:p>
    <w:p w14:paraId="7049BA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2025年度政府性基金预算财政拨款支出87.57万元，占本年支出合计的</w:t>
      </w:r>
      <w:r>
        <w:rPr>
          <w:rFonts w:hint="eastAsia" w:ascii="仿宋_GB2312" w:hAnsi="仿宋_GB2312" w:eastAsia="仿宋_GB2312" w:cs="仿宋_GB2312"/>
          <w:sz w:val="32"/>
          <w:szCs w:val="32"/>
          <w:lang w:val="en-US" w:eastAsia="zh-CN"/>
        </w:rPr>
        <w:t>3.4</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减少9.38</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减少9.68</w:t>
      </w:r>
      <w:r>
        <w:rPr>
          <w:rFonts w:hint="eastAsia" w:ascii="Times New Roman" w:hAnsi="Times New Roman" w:eastAsia="仿宋_GB2312" w:cs="仿宋_GB2312"/>
          <w:color w:val="auto"/>
          <w:kern w:val="2"/>
          <w:sz w:val="32"/>
          <w:szCs w:val="32"/>
          <w:highlight w:val="none"/>
          <w:lang w:val="en-US" w:eastAsia="zh-CN" w:bidi="ar-SA"/>
        </w:rPr>
        <w:t>%。主要变动原因是2025年被征地农民到龄人员减少3人，导致出口补贴减少</w:t>
      </w:r>
      <w:r>
        <w:rPr>
          <w:rFonts w:hint="eastAsia" w:eastAsia="仿宋_GB2312" w:cs="仿宋_GB2312"/>
          <w:color w:val="auto"/>
          <w:kern w:val="2"/>
          <w:sz w:val="32"/>
          <w:szCs w:val="32"/>
          <w:highlight w:val="none"/>
          <w:lang w:val="en-US" w:eastAsia="zh-CN" w:bidi="ar-SA"/>
        </w:rPr>
        <w:t>。</w:t>
      </w:r>
    </w:p>
    <w:p w14:paraId="458930BE">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86" w:name="_Toc15377219"/>
      <w:bookmarkStart w:id="87" w:name="_Toc15396611"/>
      <w:bookmarkStart w:id="88" w:name="_Toc6044_WPSOffice_Level2"/>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86"/>
      <w:bookmarkEnd w:id="87"/>
      <w:bookmarkEnd w:id="88"/>
    </w:p>
    <w:p w14:paraId="5C076A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33A0BB3">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89" w:name="_Toc7295_WPSOffice_Level2"/>
      <w:bookmarkStart w:id="90" w:name="_Toc15377221"/>
      <w:bookmarkStart w:id="91"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89"/>
      <w:bookmarkEnd w:id="90"/>
      <w:bookmarkEnd w:id="91"/>
    </w:p>
    <w:p w14:paraId="007F1EF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2" w:name="_Toc15377222"/>
      <w:r>
        <w:rPr>
          <w:rFonts w:hint="eastAsia" w:ascii="Times New Roman" w:hAnsi="Times New Roman" w:eastAsia="楷体_GB2312" w:cs="楷体_GB2312"/>
          <w:b/>
          <w:color w:val="auto"/>
          <w:sz w:val="32"/>
          <w:szCs w:val="32"/>
          <w:highlight w:val="none"/>
        </w:rPr>
        <w:t>（一）机关运行经费支出情况</w:t>
      </w:r>
      <w:bookmarkEnd w:id="92"/>
    </w:p>
    <w:p w14:paraId="3C54A0C4">
      <w:pPr>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松潘县人力资源和社会保障局</w:t>
      </w:r>
      <w:r>
        <w:rPr>
          <w:rFonts w:hint="eastAsia" w:ascii="仿宋_GB2312" w:hAnsi="仿宋_GB2312" w:eastAsia="仿宋_GB2312" w:cs="仿宋_GB2312"/>
          <w:color w:val="auto"/>
          <w:kern w:val="2"/>
          <w:sz w:val="32"/>
          <w:szCs w:val="32"/>
          <w:highlight w:val="none"/>
          <w:lang w:val="en-US" w:eastAsia="zh-CN" w:bidi="ar-SA"/>
        </w:rPr>
        <w:t>机关运行经费支出59.55万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增加18.06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上升43.53</w:t>
      </w:r>
      <w:r>
        <w:rPr>
          <w:rFonts w:hint="eastAsia" w:ascii="Times New Roman" w:hAnsi="Times New Roman" w:eastAsia="仿宋_GB2312" w:cs="仿宋_GB2312"/>
          <w:color w:val="auto"/>
          <w:kern w:val="2"/>
          <w:sz w:val="32"/>
          <w:szCs w:val="32"/>
          <w:highlight w:val="none"/>
          <w:lang w:val="en-US" w:eastAsia="zh-CN" w:bidi="ar-SA"/>
        </w:rPr>
        <w:t>%</w:t>
      </w:r>
      <w:bookmarkStart w:id="93" w:name="_Toc15377223"/>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主要原因是公用经费及人员经费增加。</w:t>
      </w:r>
    </w:p>
    <w:p w14:paraId="67E427D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93"/>
    </w:p>
    <w:p w14:paraId="12B589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松潘县人力资源和社会保障局</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lang w:val="en-US" w:eastAsia="zh-CN"/>
        </w:rPr>
        <w:t>39</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lang w:val="en-US" w:eastAsia="zh-CN"/>
        </w:rPr>
        <w:t>39</w:t>
      </w:r>
      <w:r>
        <w:rPr>
          <w:rFonts w:hint="eastAsia" w:ascii="仿宋_GB2312" w:hAnsi="仿宋_GB2312" w:eastAsia="仿宋_GB2312" w:cs="仿宋_GB2312"/>
          <w:color w:val="auto"/>
          <w:kern w:val="2"/>
          <w:sz w:val="32"/>
          <w:szCs w:val="32"/>
          <w:highlight w:val="none"/>
          <w:lang w:val="en-US" w:eastAsia="zh-CN" w:bidi="ar-SA"/>
        </w:rPr>
        <w:t>万元。主要用于就业技能提升培训费用。授予中小企业合同金额</w:t>
      </w:r>
      <w:r>
        <w:rPr>
          <w:rFonts w:hint="eastAsia" w:ascii="仿宋_GB2312" w:hAnsi="仿宋_GB2312" w:eastAsia="仿宋_GB2312" w:cs="仿宋_GB2312"/>
          <w:sz w:val="32"/>
          <w:szCs w:val="32"/>
          <w:lang w:val="en-US" w:eastAsia="zh-CN"/>
        </w:rPr>
        <w:t>36.4</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lang w:val="en-US" w:eastAsia="zh-CN"/>
        </w:rPr>
        <w:t>94.81</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38.</w:t>
      </w:r>
      <w:r>
        <w:rPr>
          <w:rFonts w:hint="eastAsia" w:ascii="仿宋_GB2312" w:hAnsi="仿宋_GB2312" w:eastAsia="仿宋_GB2312" w:cs="仿宋_GB2312"/>
          <w:sz w:val="32"/>
          <w:szCs w:val="32"/>
          <w:lang w:val="en-US" w:eastAsia="zh-CN"/>
        </w:rPr>
        <w:t>39</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lang w:val="en-US" w:eastAsia="zh-CN"/>
        </w:rPr>
        <w:t>94.81</w:t>
      </w:r>
      <w:r>
        <w:rPr>
          <w:rFonts w:hint="eastAsia" w:ascii="仿宋_GB2312" w:hAnsi="仿宋_GB2312" w:eastAsia="仿宋_GB2312" w:cs="仿宋_GB2312"/>
          <w:color w:val="auto"/>
          <w:kern w:val="2"/>
          <w:sz w:val="32"/>
          <w:szCs w:val="32"/>
          <w:highlight w:val="none"/>
          <w:lang w:val="en-US" w:eastAsia="zh-CN" w:bidi="ar-SA"/>
        </w:rPr>
        <w:t>%。</w:t>
      </w:r>
    </w:p>
    <w:p w14:paraId="5579261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4" w:name="_Toc15377224"/>
      <w:r>
        <w:rPr>
          <w:rFonts w:hint="eastAsia" w:ascii="Times New Roman" w:hAnsi="Times New Roman" w:eastAsia="楷体_GB2312" w:cs="楷体_GB2312"/>
          <w:b/>
          <w:color w:val="auto"/>
          <w:sz w:val="32"/>
          <w:szCs w:val="32"/>
          <w:highlight w:val="none"/>
        </w:rPr>
        <w:t>（三）国有资产占有使用情况</w:t>
      </w:r>
      <w:bookmarkEnd w:id="94"/>
    </w:p>
    <w:p w14:paraId="794E86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松潘县人力资源和社会保障局</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3</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3</w:t>
      </w:r>
      <w:r>
        <w:rPr>
          <w:rFonts w:hint="eastAsia" w:ascii="仿宋_GB2312" w:hAnsi="仿宋_GB2312" w:eastAsia="仿宋_GB2312" w:cs="仿宋_GB2312"/>
          <w:color w:val="auto"/>
          <w:kern w:val="2"/>
          <w:sz w:val="32"/>
          <w:szCs w:val="32"/>
          <w:highlight w:val="none"/>
          <w:lang w:val="en-US" w:eastAsia="zh-CN" w:bidi="ar-SA"/>
        </w:rPr>
        <w:t>辆，其他用车主要是用于单位办公出差下乡。单价100万元（含）以上设备（不含车辆）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1BD0760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9430BC7">
      <w:pPr>
        <w:spacing w:line="58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w:t>
      </w:r>
      <w:r>
        <w:rPr>
          <w:rFonts w:hint="eastAsia" w:ascii="仿宋_GB2312" w:hAnsi="仿宋_GB2312" w:eastAsia="仿宋_GB2312" w:cs="仿宋_GB2312"/>
          <w:sz w:val="32"/>
          <w:szCs w:val="32"/>
        </w:rPr>
        <w:t>对</w:t>
      </w:r>
      <w:r>
        <w:rPr>
          <w:rFonts w:hint="default" w:ascii="仿宋_GB2312" w:hAnsi="Times New Roman" w:eastAsia="仿宋_GB2312" w:cs="Times New Roman"/>
          <w:sz w:val="32"/>
          <w:szCs w:val="32"/>
          <w:lang w:val="en-US" w:eastAsia="zh-CN"/>
        </w:rPr>
        <w:t>社会保障和就业服务大厅工作经费，乡镇社保网络服务平台，律师代理费，人事考务费，档案信息化管理工作经费</w:t>
      </w:r>
      <w:r>
        <w:rPr>
          <w:rFonts w:hint="eastAsia" w:ascii="仿宋_GB2312" w:eastAsia="仿宋_GB2312" w:cs="Times New Roman"/>
          <w:sz w:val="32"/>
          <w:szCs w:val="32"/>
          <w:lang w:val="en-US" w:eastAsia="zh-CN"/>
        </w:rPr>
        <w:t>，“三支一扶”春节慰问金</w:t>
      </w:r>
      <w:r>
        <w:rPr>
          <w:rFonts w:hint="default" w:ascii="仿宋_GB2312" w:hAnsi="Times New Roman" w:eastAsia="仿宋_GB2312" w:cs="Times New Roman"/>
          <w:sz w:val="32"/>
          <w:szCs w:val="32"/>
          <w:lang w:val="en-US" w:eastAsia="zh-CN"/>
        </w:rPr>
        <w:t>，</w:t>
      </w:r>
      <w:r>
        <w:rPr>
          <w:rFonts w:hint="eastAsia" w:ascii="仿宋_GB2312" w:eastAsia="仿宋_GB2312" w:cs="Times New Roman"/>
          <w:sz w:val="32"/>
          <w:szCs w:val="32"/>
          <w:lang w:val="en-US" w:eastAsia="zh-CN"/>
        </w:rPr>
        <w:t>改制企业离退休人员非统项目补贴，财政补差退休人员工资，春节慰问金，</w:t>
      </w:r>
      <w:r>
        <w:rPr>
          <w:rFonts w:hint="eastAsia" w:ascii="仿宋_GB2312" w:eastAsia="仿宋_GB2312" w:cs="Times New Roman"/>
          <w:color w:val="auto"/>
          <w:sz w:val="32"/>
          <w:szCs w:val="32"/>
          <w:lang w:val="en-US" w:eastAsia="zh-CN"/>
        </w:rPr>
        <w:t>职业教育就读学生费用，</w:t>
      </w:r>
      <w:r>
        <w:rPr>
          <w:rFonts w:hint="eastAsia" w:ascii="仿宋_GB2312" w:eastAsia="仿宋_GB2312" w:cs="Times New Roman"/>
          <w:color w:val="000000" w:themeColor="text1"/>
          <w:sz w:val="32"/>
          <w:szCs w:val="32"/>
          <w:lang w:val="en-US" w:eastAsia="zh-CN"/>
          <w14:textFill>
            <w14:solidFill>
              <w14:schemeClr w14:val="tx1"/>
            </w14:solidFill>
          </w14:textFill>
        </w:rPr>
        <w:t>松潘县劳动能力培训和转移就业</w:t>
      </w:r>
      <w:r>
        <w:rPr>
          <w:rFonts w:hint="eastAsia" w:ascii="仿宋_GB2312" w:eastAsia="仿宋_GB2312" w:cs="Times New Roman"/>
          <w:sz w:val="32"/>
          <w:szCs w:val="32"/>
          <w:lang w:val="en-US" w:eastAsia="zh-CN"/>
        </w:rPr>
        <w:t>，促进大中专毕业生就业创业工作会议经费，就业创业工作经费，农民工服务中心工作经费，建立完善县三级劳务服务体系工作经费，招用新成长劳动力招工成本补贴，2025年就业创业补助资金，就业创业补助资金项目，家门口就业工坊补助，补助被征地农民支出等</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个项目</w:t>
      </w:r>
      <w:r>
        <w:rPr>
          <w:rFonts w:hint="eastAsia" w:ascii="仿宋_GB2312" w:hAnsi="仿宋_GB2312" w:eastAsia="仿宋_GB2312" w:cs="仿宋_GB2312"/>
          <w:sz w:val="32"/>
          <w:szCs w:val="32"/>
          <w:lang w:eastAsia="zh-CN"/>
        </w:rPr>
        <w:t>涉及</w:t>
      </w:r>
      <w:r>
        <w:rPr>
          <w:rFonts w:hint="eastAsia" w:ascii="仿宋_GB2312" w:hAnsi="仿宋_GB2312" w:eastAsia="仿宋_GB2312" w:cs="仿宋_GB2312"/>
          <w:sz w:val="32"/>
          <w:szCs w:val="32"/>
          <w:lang w:val="en-US" w:eastAsia="zh-CN"/>
        </w:rPr>
        <w:t>1087.7万元</w:t>
      </w:r>
      <w:r>
        <w:rPr>
          <w:rFonts w:hint="eastAsia" w:ascii="仿宋_GB2312" w:hAnsi="仿宋_GB2312" w:eastAsia="仿宋_GB2312" w:cs="仿宋_GB2312"/>
          <w:sz w:val="32"/>
          <w:szCs w:val="32"/>
        </w:rPr>
        <w:t>开展了预算事前绩效评估，对</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个项目编制了绩效目标</w:t>
      </w:r>
      <w:bookmarkStart w:id="127" w:name="_GoBack"/>
      <w:r>
        <w:rPr>
          <w:rFonts w:hint="eastAsia" w:ascii="仿宋_GB2312" w:hAnsi="仿宋_GB2312" w:eastAsia="仿宋_GB2312" w:cs="仿宋_GB2312"/>
          <w:sz w:val="32"/>
          <w:szCs w:val="32"/>
          <w:lang w:eastAsia="zh-CN"/>
        </w:rPr>
        <w:t>，在</w:t>
      </w:r>
      <w:bookmarkEnd w:id="127"/>
      <w:r>
        <w:rPr>
          <w:rFonts w:hint="eastAsia" w:ascii="仿宋_GB2312" w:hAnsi="仿宋_GB2312" w:eastAsia="仿宋_GB2312" w:cs="仿宋_GB2312"/>
          <w:sz w:val="32"/>
          <w:szCs w:val="32"/>
        </w:rPr>
        <w:t>预算执行过程中，选取</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个项目开展绩效监控。</w:t>
      </w:r>
    </w:p>
    <w:p w14:paraId="21BE98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48BAC51">
      <w:pPr>
        <w:pStyle w:val="2"/>
        <w:rPr>
          <w:rFonts w:hint="eastAsia"/>
          <w:lang w:val="en-US" w:eastAsia="zh-CN"/>
        </w:rPr>
      </w:pPr>
    </w:p>
    <w:p w14:paraId="714051A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95" w:name="_Toc3919_WPSOffice_Level1"/>
      <w:bookmarkStart w:id="96" w:name="_Toc15396613"/>
      <w:bookmarkStart w:id="97"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95"/>
      <w:bookmarkEnd w:id="96"/>
      <w:bookmarkEnd w:id="97"/>
    </w:p>
    <w:p w14:paraId="134DD552">
      <w:pPr>
        <w:spacing w:line="600" w:lineRule="exact"/>
        <w:jc w:val="left"/>
        <w:rPr>
          <w:rFonts w:ascii="Times New Roman" w:hAnsi="Times New Roman"/>
          <w:b/>
          <w:color w:val="auto"/>
          <w:sz w:val="44"/>
          <w:szCs w:val="44"/>
          <w:highlight w:val="none"/>
        </w:rPr>
      </w:pPr>
    </w:p>
    <w:p w14:paraId="3FE5AD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1.财政拨款收入：指单位从同级财政部门取得的财政预算资金。 </w:t>
      </w:r>
    </w:p>
    <w:p w14:paraId="777882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73BDF5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577873CD">
      <w:pPr>
        <w:ind w:firstLine="640" w:firstLineChars="200"/>
        <w:rPr>
          <w:rFonts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ascii="仿宋_GB2312" w:eastAsia="仿宋_GB2312"/>
          <w:sz w:val="32"/>
          <w:szCs w:val="32"/>
        </w:rPr>
        <w:t>教育（类）</w:t>
      </w:r>
      <w:r>
        <w:rPr>
          <w:rFonts w:hint="eastAsia" w:ascii="仿宋_GB2312" w:eastAsia="仿宋_GB2312"/>
          <w:sz w:val="32"/>
          <w:szCs w:val="32"/>
          <w:lang w:val="en-US" w:eastAsia="zh-CN"/>
        </w:rPr>
        <w:t>205</w:t>
      </w:r>
      <w:r>
        <w:rPr>
          <w:rFonts w:hint="eastAsia" w:ascii="仿宋_GB2312" w:eastAsia="仿宋_GB2312"/>
          <w:sz w:val="32"/>
          <w:szCs w:val="32"/>
        </w:rPr>
        <w:t>（款）</w:t>
      </w:r>
      <w:r>
        <w:rPr>
          <w:rFonts w:hint="eastAsia" w:ascii="仿宋_GB2312" w:eastAsia="仿宋_GB2312"/>
          <w:sz w:val="32"/>
          <w:szCs w:val="32"/>
          <w:lang w:val="en-US" w:eastAsia="zh-CN"/>
        </w:rPr>
        <w:t>99</w:t>
      </w:r>
      <w:r>
        <w:rPr>
          <w:rFonts w:hint="eastAsia" w:ascii="仿宋_GB2312" w:eastAsia="仿宋_GB2312"/>
          <w:sz w:val="32"/>
          <w:szCs w:val="32"/>
        </w:rPr>
        <w:t>（项）</w:t>
      </w:r>
      <w:r>
        <w:rPr>
          <w:rFonts w:hint="eastAsia" w:ascii="仿宋_GB2312" w:eastAsia="仿宋_GB2312"/>
          <w:sz w:val="32"/>
          <w:szCs w:val="32"/>
          <w:lang w:val="en-US" w:eastAsia="zh-CN"/>
        </w:rPr>
        <w:t>99</w:t>
      </w:r>
      <w:r>
        <w:rPr>
          <w:rFonts w:hint="eastAsia" w:ascii="仿宋_GB2312" w:eastAsia="仿宋_GB2312"/>
          <w:sz w:val="32"/>
          <w:szCs w:val="32"/>
        </w:rPr>
        <w:t>：指</w:t>
      </w:r>
      <w:r>
        <w:rPr>
          <w:rFonts w:hint="eastAsia" w:ascii="仿宋_GB2312" w:eastAsia="仿宋_GB2312"/>
          <w:sz w:val="32"/>
          <w:szCs w:val="32"/>
          <w:lang w:eastAsia="zh-CN"/>
        </w:rPr>
        <w:t>其他教育支出</w:t>
      </w:r>
      <w:r>
        <w:rPr>
          <w:rFonts w:hint="eastAsia" w:ascii="仿宋_GB2312" w:eastAsia="仿宋_GB2312"/>
          <w:sz w:val="32"/>
          <w:szCs w:val="32"/>
        </w:rPr>
        <w:t>。</w:t>
      </w:r>
    </w:p>
    <w:p w14:paraId="166E3C08">
      <w:pPr>
        <w:spacing w:line="600" w:lineRule="exact"/>
        <w:ind w:firstLine="640" w:firstLineChars="200"/>
        <w:rPr>
          <w:rFonts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ascii="仿宋_GB2312" w:eastAsia="仿宋_GB2312"/>
          <w:sz w:val="32"/>
          <w:szCs w:val="32"/>
        </w:rPr>
        <w:t>社会保障和就业（类）</w:t>
      </w:r>
      <w:r>
        <w:rPr>
          <w:rFonts w:hint="eastAsia" w:ascii="仿宋_GB2312" w:eastAsia="仿宋_GB2312"/>
          <w:sz w:val="32"/>
          <w:szCs w:val="32"/>
          <w:lang w:val="en-US" w:eastAsia="zh-CN"/>
        </w:rPr>
        <w:t>208</w:t>
      </w:r>
      <w:r>
        <w:rPr>
          <w:rFonts w:hint="eastAsia" w:ascii="仿宋_GB2312" w:eastAsia="仿宋_GB2312"/>
          <w:sz w:val="32"/>
          <w:szCs w:val="32"/>
        </w:rPr>
        <w:t>（款）</w:t>
      </w:r>
      <w:r>
        <w:rPr>
          <w:rFonts w:hint="eastAsia" w:ascii="仿宋_GB2312" w:eastAsia="仿宋_GB2312"/>
          <w:sz w:val="32"/>
          <w:szCs w:val="32"/>
          <w:lang w:val="en-US" w:eastAsia="zh-CN"/>
        </w:rPr>
        <w:t>01</w:t>
      </w:r>
      <w:r>
        <w:rPr>
          <w:rFonts w:hint="eastAsia" w:ascii="仿宋_GB2312" w:eastAsia="仿宋_GB2312"/>
          <w:sz w:val="32"/>
          <w:szCs w:val="32"/>
        </w:rPr>
        <w:t>（项）</w:t>
      </w:r>
      <w:r>
        <w:rPr>
          <w:rFonts w:hint="eastAsia" w:ascii="仿宋_GB2312" w:eastAsia="仿宋_GB2312"/>
          <w:sz w:val="32"/>
          <w:szCs w:val="32"/>
          <w:lang w:val="en-US" w:eastAsia="zh-CN"/>
        </w:rPr>
        <w:t>01</w:t>
      </w:r>
      <w:r>
        <w:rPr>
          <w:rFonts w:hint="eastAsia" w:ascii="仿宋_GB2312" w:eastAsia="仿宋_GB2312"/>
          <w:sz w:val="32"/>
          <w:szCs w:val="32"/>
        </w:rPr>
        <w:t>指</w:t>
      </w:r>
      <w:r>
        <w:rPr>
          <w:rFonts w:hint="eastAsia" w:ascii="仿宋_GB2312" w:eastAsia="仿宋_GB2312"/>
          <w:sz w:val="32"/>
          <w:szCs w:val="32"/>
          <w:lang w:eastAsia="zh-CN"/>
        </w:rPr>
        <w:t>行政运行，</w:t>
      </w:r>
      <w:r>
        <w:rPr>
          <w:rFonts w:hint="eastAsia" w:ascii="仿宋_GB2312" w:eastAsia="仿宋_GB2312"/>
          <w:sz w:val="32"/>
          <w:szCs w:val="32"/>
        </w:rPr>
        <w:t>（类）</w:t>
      </w:r>
      <w:r>
        <w:rPr>
          <w:rStyle w:val="17"/>
          <w:rFonts w:hint="eastAsia" w:ascii="仿宋" w:hAnsi="仿宋" w:eastAsia="仿宋"/>
          <w:b w:val="0"/>
          <w:bCs/>
          <w:sz w:val="32"/>
          <w:szCs w:val="32"/>
          <w:lang w:val="en-US" w:eastAsia="zh-CN"/>
        </w:rPr>
        <w:t>208</w:t>
      </w:r>
      <w:r>
        <w:rPr>
          <w:rFonts w:hint="eastAsia" w:ascii="仿宋_GB2312" w:eastAsia="仿宋_GB2312"/>
          <w:sz w:val="32"/>
          <w:szCs w:val="32"/>
        </w:rPr>
        <w:t>（款）</w:t>
      </w:r>
      <w:r>
        <w:rPr>
          <w:rStyle w:val="17"/>
          <w:rFonts w:hint="eastAsia" w:ascii="仿宋" w:hAnsi="仿宋" w:eastAsia="仿宋"/>
          <w:b w:val="0"/>
          <w:bCs/>
          <w:sz w:val="32"/>
          <w:szCs w:val="32"/>
          <w:lang w:val="en-US" w:eastAsia="zh-CN"/>
        </w:rPr>
        <w:t>01</w:t>
      </w:r>
      <w:r>
        <w:rPr>
          <w:rFonts w:hint="eastAsia" w:ascii="仿宋_GB2312" w:eastAsia="仿宋_GB2312"/>
          <w:sz w:val="32"/>
          <w:szCs w:val="32"/>
        </w:rPr>
        <w:t>（项）</w:t>
      </w:r>
      <w:r>
        <w:rPr>
          <w:rStyle w:val="17"/>
          <w:rFonts w:hint="eastAsia" w:ascii="仿宋" w:hAnsi="仿宋" w:eastAsia="仿宋"/>
          <w:b w:val="0"/>
          <w:bCs/>
          <w:sz w:val="32"/>
          <w:szCs w:val="32"/>
          <w:lang w:val="en-US" w:eastAsia="zh-CN"/>
        </w:rPr>
        <w:t>02一般行政管理事务支出，</w:t>
      </w:r>
      <w:r>
        <w:rPr>
          <w:rFonts w:hint="eastAsia" w:ascii="仿宋_GB2312" w:eastAsia="仿宋_GB2312"/>
          <w:sz w:val="32"/>
          <w:szCs w:val="32"/>
        </w:rPr>
        <w:t>（类）</w:t>
      </w:r>
      <w:r>
        <w:rPr>
          <w:rStyle w:val="17"/>
          <w:rFonts w:hint="eastAsia" w:ascii="仿宋" w:hAnsi="仿宋" w:eastAsia="仿宋"/>
          <w:b w:val="0"/>
          <w:bCs/>
          <w:sz w:val="32"/>
          <w:szCs w:val="32"/>
          <w:lang w:val="en-US" w:eastAsia="zh-CN"/>
        </w:rPr>
        <w:t>208</w:t>
      </w:r>
      <w:r>
        <w:rPr>
          <w:rFonts w:hint="eastAsia" w:ascii="仿宋_GB2312" w:eastAsia="仿宋_GB2312"/>
          <w:sz w:val="32"/>
          <w:szCs w:val="32"/>
        </w:rPr>
        <w:t>（款）</w:t>
      </w:r>
      <w:r>
        <w:rPr>
          <w:rStyle w:val="17"/>
          <w:rFonts w:hint="eastAsia" w:ascii="仿宋" w:hAnsi="仿宋" w:eastAsia="仿宋"/>
          <w:b w:val="0"/>
          <w:bCs/>
          <w:sz w:val="32"/>
          <w:szCs w:val="32"/>
          <w:lang w:val="en-US" w:eastAsia="zh-CN"/>
        </w:rPr>
        <w:t>01</w:t>
      </w:r>
      <w:r>
        <w:rPr>
          <w:rFonts w:hint="eastAsia" w:ascii="仿宋_GB2312" w:eastAsia="仿宋_GB2312"/>
          <w:sz w:val="32"/>
          <w:szCs w:val="32"/>
        </w:rPr>
        <w:t>（项）</w:t>
      </w:r>
      <w:r>
        <w:rPr>
          <w:rStyle w:val="17"/>
          <w:rFonts w:hint="eastAsia" w:ascii="仿宋" w:hAnsi="仿宋" w:eastAsia="仿宋"/>
          <w:b w:val="0"/>
          <w:bCs/>
          <w:sz w:val="32"/>
          <w:szCs w:val="32"/>
          <w:lang w:val="en-US" w:eastAsia="zh-CN"/>
        </w:rPr>
        <w:t>08信息化建设支出，</w:t>
      </w:r>
      <w:r>
        <w:rPr>
          <w:rFonts w:hint="eastAsia" w:ascii="仿宋_GB2312" w:eastAsia="仿宋_GB2312"/>
          <w:sz w:val="32"/>
          <w:szCs w:val="32"/>
        </w:rPr>
        <w:t>（类）</w:t>
      </w:r>
      <w:r>
        <w:rPr>
          <w:rStyle w:val="17"/>
          <w:rFonts w:hint="eastAsia" w:ascii="仿宋" w:hAnsi="仿宋" w:eastAsia="仿宋"/>
          <w:b w:val="0"/>
          <w:bCs/>
          <w:sz w:val="32"/>
          <w:szCs w:val="32"/>
          <w:lang w:val="en-US" w:eastAsia="zh-CN"/>
        </w:rPr>
        <w:t>208</w:t>
      </w:r>
      <w:r>
        <w:rPr>
          <w:rFonts w:hint="eastAsia" w:ascii="仿宋_GB2312" w:eastAsia="仿宋_GB2312"/>
          <w:sz w:val="32"/>
          <w:szCs w:val="32"/>
        </w:rPr>
        <w:t>（款）</w:t>
      </w:r>
      <w:r>
        <w:rPr>
          <w:rStyle w:val="17"/>
          <w:rFonts w:hint="eastAsia" w:ascii="仿宋" w:hAnsi="仿宋" w:eastAsia="仿宋"/>
          <w:b w:val="0"/>
          <w:bCs/>
          <w:sz w:val="32"/>
          <w:szCs w:val="32"/>
          <w:lang w:val="en-US" w:eastAsia="zh-CN"/>
        </w:rPr>
        <w:t>01</w:t>
      </w:r>
      <w:r>
        <w:rPr>
          <w:rFonts w:hint="eastAsia" w:ascii="仿宋_GB2312" w:eastAsia="仿宋_GB2312"/>
          <w:sz w:val="32"/>
          <w:szCs w:val="32"/>
        </w:rPr>
        <w:t>（项）</w:t>
      </w:r>
      <w:r>
        <w:rPr>
          <w:rStyle w:val="17"/>
          <w:rFonts w:hint="eastAsia" w:ascii="仿宋" w:hAnsi="仿宋" w:eastAsia="仿宋"/>
          <w:b w:val="0"/>
          <w:bCs/>
          <w:sz w:val="32"/>
          <w:szCs w:val="32"/>
          <w:lang w:val="en-US" w:eastAsia="zh-CN"/>
        </w:rPr>
        <w:t>09社会保险经办机构支出，</w:t>
      </w:r>
      <w:r>
        <w:rPr>
          <w:rFonts w:hint="eastAsia" w:ascii="仿宋_GB2312" w:eastAsia="仿宋_GB2312"/>
          <w:sz w:val="32"/>
          <w:szCs w:val="32"/>
        </w:rPr>
        <w:t>（类）</w:t>
      </w:r>
      <w:r>
        <w:rPr>
          <w:rStyle w:val="17"/>
          <w:rFonts w:hint="eastAsia" w:ascii="仿宋" w:hAnsi="仿宋" w:eastAsia="仿宋"/>
          <w:b w:val="0"/>
          <w:bCs/>
          <w:sz w:val="32"/>
          <w:szCs w:val="32"/>
          <w:lang w:val="en-US" w:eastAsia="zh-CN"/>
        </w:rPr>
        <w:t>208</w:t>
      </w:r>
      <w:r>
        <w:rPr>
          <w:rFonts w:hint="eastAsia" w:ascii="仿宋_GB2312" w:eastAsia="仿宋_GB2312"/>
          <w:sz w:val="32"/>
          <w:szCs w:val="32"/>
        </w:rPr>
        <w:t>（款）</w:t>
      </w:r>
      <w:r>
        <w:rPr>
          <w:rStyle w:val="17"/>
          <w:rFonts w:hint="eastAsia" w:ascii="仿宋" w:hAnsi="仿宋" w:eastAsia="仿宋"/>
          <w:b w:val="0"/>
          <w:bCs/>
          <w:sz w:val="32"/>
          <w:szCs w:val="32"/>
          <w:lang w:val="en-US" w:eastAsia="zh-CN"/>
        </w:rPr>
        <w:t>01</w:t>
      </w:r>
      <w:r>
        <w:rPr>
          <w:rFonts w:hint="eastAsia" w:ascii="仿宋_GB2312" w:eastAsia="仿宋_GB2312"/>
          <w:sz w:val="32"/>
          <w:szCs w:val="32"/>
        </w:rPr>
        <w:t>（项）</w:t>
      </w:r>
      <w:r>
        <w:rPr>
          <w:rStyle w:val="17"/>
          <w:rFonts w:hint="eastAsia" w:ascii="仿宋" w:hAnsi="仿宋" w:eastAsia="仿宋"/>
          <w:b w:val="0"/>
          <w:bCs/>
          <w:sz w:val="32"/>
          <w:szCs w:val="32"/>
          <w:lang w:val="en-US" w:eastAsia="zh-CN"/>
        </w:rPr>
        <w:t>99其他人力资源和社会保障管理事务支出，</w:t>
      </w:r>
      <w:r>
        <w:rPr>
          <w:rFonts w:hint="eastAsia" w:ascii="仿宋_GB2312" w:eastAsia="仿宋_GB2312"/>
          <w:sz w:val="32"/>
          <w:szCs w:val="32"/>
        </w:rPr>
        <w:t>（类）</w:t>
      </w:r>
      <w:r>
        <w:rPr>
          <w:rStyle w:val="17"/>
          <w:rFonts w:hint="eastAsia" w:ascii="仿宋" w:hAnsi="仿宋" w:eastAsia="仿宋"/>
          <w:b w:val="0"/>
          <w:bCs/>
          <w:sz w:val="32"/>
          <w:szCs w:val="32"/>
          <w:lang w:val="en-US" w:eastAsia="zh-CN"/>
        </w:rPr>
        <w:t>208</w:t>
      </w:r>
      <w:r>
        <w:rPr>
          <w:rFonts w:hint="eastAsia" w:ascii="仿宋_GB2312" w:eastAsia="仿宋_GB2312"/>
          <w:sz w:val="32"/>
          <w:szCs w:val="32"/>
        </w:rPr>
        <w:t>（款）</w:t>
      </w:r>
      <w:r>
        <w:rPr>
          <w:rStyle w:val="17"/>
          <w:rFonts w:hint="eastAsia" w:ascii="仿宋" w:hAnsi="仿宋" w:eastAsia="仿宋"/>
          <w:b w:val="0"/>
          <w:bCs/>
          <w:sz w:val="32"/>
          <w:szCs w:val="32"/>
          <w:lang w:val="en-US" w:eastAsia="zh-CN"/>
        </w:rPr>
        <w:t>05</w:t>
      </w:r>
      <w:r>
        <w:rPr>
          <w:rFonts w:hint="eastAsia" w:ascii="仿宋_GB2312" w:eastAsia="仿宋_GB2312"/>
          <w:sz w:val="32"/>
          <w:szCs w:val="32"/>
        </w:rPr>
        <w:t>（项）</w:t>
      </w:r>
      <w:r>
        <w:rPr>
          <w:rStyle w:val="17"/>
          <w:rFonts w:hint="eastAsia" w:ascii="仿宋" w:hAnsi="仿宋" w:eastAsia="仿宋"/>
          <w:b w:val="0"/>
          <w:bCs/>
          <w:sz w:val="32"/>
          <w:szCs w:val="32"/>
          <w:lang w:val="en-US" w:eastAsia="zh-CN"/>
        </w:rPr>
        <w:t>05机关事业单位基本养老保险缴费支出，</w:t>
      </w:r>
      <w:r>
        <w:rPr>
          <w:rFonts w:hint="eastAsia" w:ascii="仿宋_GB2312" w:eastAsia="仿宋_GB2312"/>
          <w:sz w:val="32"/>
          <w:szCs w:val="32"/>
        </w:rPr>
        <w:t>（类）</w:t>
      </w:r>
      <w:r>
        <w:rPr>
          <w:rStyle w:val="17"/>
          <w:rFonts w:hint="eastAsia" w:ascii="仿宋" w:hAnsi="仿宋" w:eastAsia="仿宋"/>
          <w:b w:val="0"/>
          <w:bCs/>
          <w:sz w:val="32"/>
          <w:szCs w:val="32"/>
          <w:lang w:val="en-US" w:eastAsia="zh-CN"/>
        </w:rPr>
        <w:t>208</w:t>
      </w:r>
      <w:r>
        <w:rPr>
          <w:rFonts w:hint="eastAsia" w:ascii="仿宋_GB2312" w:eastAsia="仿宋_GB2312"/>
          <w:sz w:val="32"/>
          <w:szCs w:val="32"/>
        </w:rPr>
        <w:t>（款）</w:t>
      </w:r>
      <w:r>
        <w:rPr>
          <w:rStyle w:val="17"/>
          <w:rFonts w:hint="eastAsia" w:ascii="仿宋" w:hAnsi="仿宋" w:eastAsia="仿宋"/>
          <w:b w:val="0"/>
          <w:bCs/>
          <w:sz w:val="32"/>
          <w:szCs w:val="32"/>
          <w:lang w:val="en-US" w:eastAsia="zh-CN"/>
        </w:rPr>
        <w:t>05</w:t>
      </w:r>
      <w:r>
        <w:rPr>
          <w:rFonts w:hint="eastAsia" w:ascii="仿宋_GB2312" w:eastAsia="仿宋_GB2312"/>
          <w:sz w:val="32"/>
          <w:szCs w:val="32"/>
        </w:rPr>
        <w:t>（项）</w:t>
      </w:r>
      <w:r>
        <w:rPr>
          <w:rStyle w:val="17"/>
          <w:rFonts w:hint="eastAsia" w:ascii="仿宋" w:hAnsi="仿宋" w:eastAsia="仿宋"/>
          <w:b w:val="0"/>
          <w:bCs/>
          <w:sz w:val="32"/>
          <w:szCs w:val="32"/>
          <w:lang w:val="en-US" w:eastAsia="zh-CN"/>
        </w:rPr>
        <w:t>06机关事业单位职业年金缴费支出</w:t>
      </w:r>
      <w:r>
        <w:rPr>
          <w:rStyle w:val="17"/>
          <w:rFonts w:hint="eastAsia" w:ascii="仿宋" w:hAnsi="仿宋" w:eastAsia="仿宋"/>
          <w:b w:val="0"/>
          <w:bCs/>
          <w:sz w:val="32"/>
          <w:szCs w:val="32"/>
        </w:rPr>
        <w:t>。</w:t>
      </w:r>
    </w:p>
    <w:p w14:paraId="0E1DE38D">
      <w:pPr>
        <w:ind w:firstLine="640" w:firstLineChars="200"/>
        <w:rPr>
          <w:rFonts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6</w:t>
      </w:r>
      <w:r>
        <w:rPr>
          <w:rFonts w:ascii="仿宋_GB2312" w:eastAsia="仿宋_GB2312"/>
          <w:sz w:val="32"/>
          <w:szCs w:val="32"/>
        </w:rPr>
        <w:t>.</w:t>
      </w:r>
      <w:r>
        <w:rPr>
          <w:rFonts w:hint="eastAsia" w:ascii="仿宋_GB2312" w:eastAsia="仿宋_GB2312"/>
          <w:sz w:val="32"/>
          <w:szCs w:val="32"/>
        </w:rPr>
        <w:t>卫生健康（类）</w:t>
      </w:r>
      <w:r>
        <w:rPr>
          <w:rFonts w:hint="eastAsia" w:ascii="仿宋_GB2312" w:eastAsia="仿宋_GB2312"/>
          <w:sz w:val="32"/>
          <w:szCs w:val="32"/>
          <w:lang w:val="en-US" w:eastAsia="zh-CN"/>
        </w:rPr>
        <w:t>210</w:t>
      </w:r>
      <w:r>
        <w:rPr>
          <w:rFonts w:hint="eastAsia" w:ascii="仿宋_GB2312" w:eastAsia="仿宋_GB2312"/>
          <w:sz w:val="32"/>
          <w:szCs w:val="32"/>
        </w:rPr>
        <w:t>（款）</w:t>
      </w:r>
      <w:r>
        <w:rPr>
          <w:rFonts w:hint="eastAsia" w:ascii="仿宋_GB2312" w:eastAsia="仿宋_GB2312"/>
          <w:sz w:val="32"/>
          <w:szCs w:val="32"/>
          <w:lang w:val="en-US" w:eastAsia="zh-CN"/>
        </w:rPr>
        <w:t>11</w:t>
      </w:r>
      <w:r>
        <w:rPr>
          <w:rFonts w:hint="eastAsia" w:ascii="仿宋_GB2312" w:eastAsia="仿宋_GB2312"/>
          <w:sz w:val="32"/>
          <w:szCs w:val="32"/>
        </w:rPr>
        <w:t>（项）</w:t>
      </w:r>
      <w:r>
        <w:rPr>
          <w:rFonts w:hint="eastAsia" w:ascii="仿宋_GB2312" w:eastAsia="仿宋_GB2312"/>
          <w:sz w:val="32"/>
          <w:szCs w:val="32"/>
          <w:lang w:val="en-US" w:eastAsia="zh-CN"/>
        </w:rPr>
        <w:t>01</w:t>
      </w:r>
      <w:r>
        <w:rPr>
          <w:rFonts w:hint="eastAsia" w:ascii="仿宋_GB2312" w:eastAsia="仿宋_GB2312"/>
          <w:sz w:val="32"/>
          <w:szCs w:val="32"/>
        </w:rPr>
        <w:t>：指</w:t>
      </w:r>
      <w:r>
        <w:rPr>
          <w:rFonts w:hint="eastAsia" w:ascii="仿宋_GB2312" w:eastAsia="仿宋_GB2312"/>
          <w:sz w:val="32"/>
          <w:szCs w:val="32"/>
          <w:lang w:eastAsia="zh-CN"/>
        </w:rPr>
        <w:t>行政单位医疗，</w:t>
      </w:r>
      <w:r>
        <w:rPr>
          <w:rFonts w:hint="eastAsia" w:ascii="仿宋_GB2312" w:eastAsia="仿宋_GB2312"/>
          <w:sz w:val="32"/>
          <w:szCs w:val="32"/>
        </w:rPr>
        <w:t>（类）</w:t>
      </w:r>
      <w:r>
        <w:rPr>
          <w:rFonts w:hint="eastAsia" w:ascii="仿宋_GB2312" w:eastAsia="仿宋_GB2312"/>
          <w:sz w:val="32"/>
          <w:szCs w:val="32"/>
          <w:lang w:val="en-US" w:eastAsia="zh-CN"/>
        </w:rPr>
        <w:t>210</w:t>
      </w:r>
      <w:r>
        <w:rPr>
          <w:rFonts w:hint="eastAsia" w:ascii="仿宋_GB2312" w:eastAsia="仿宋_GB2312"/>
          <w:sz w:val="32"/>
          <w:szCs w:val="32"/>
        </w:rPr>
        <w:t>（款）</w:t>
      </w:r>
      <w:r>
        <w:rPr>
          <w:rFonts w:hint="eastAsia" w:ascii="仿宋_GB2312" w:eastAsia="仿宋_GB2312"/>
          <w:sz w:val="32"/>
          <w:szCs w:val="32"/>
          <w:lang w:val="en-US" w:eastAsia="zh-CN"/>
        </w:rPr>
        <w:t>11</w:t>
      </w:r>
      <w:r>
        <w:rPr>
          <w:rFonts w:hint="eastAsia" w:ascii="仿宋_GB2312" w:eastAsia="仿宋_GB2312"/>
          <w:sz w:val="32"/>
          <w:szCs w:val="32"/>
        </w:rPr>
        <w:t>（项）</w:t>
      </w:r>
      <w:r>
        <w:rPr>
          <w:rFonts w:hint="eastAsia" w:ascii="仿宋_GB2312" w:eastAsia="仿宋_GB2312"/>
          <w:sz w:val="32"/>
          <w:szCs w:val="32"/>
          <w:lang w:val="en-US" w:eastAsia="zh-CN"/>
        </w:rPr>
        <w:t>02指事业单位医疗，</w:t>
      </w:r>
      <w:r>
        <w:rPr>
          <w:rFonts w:hint="eastAsia" w:ascii="仿宋_GB2312" w:eastAsia="仿宋_GB2312"/>
          <w:sz w:val="32"/>
          <w:szCs w:val="32"/>
        </w:rPr>
        <w:t>（类）</w:t>
      </w:r>
      <w:r>
        <w:rPr>
          <w:rFonts w:hint="eastAsia" w:ascii="仿宋_GB2312" w:eastAsia="仿宋_GB2312"/>
          <w:sz w:val="32"/>
          <w:szCs w:val="32"/>
          <w:lang w:val="en-US" w:eastAsia="zh-CN"/>
        </w:rPr>
        <w:t>210</w:t>
      </w:r>
      <w:r>
        <w:rPr>
          <w:rFonts w:hint="eastAsia" w:ascii="仿宋_GB2312" w:eastAsia="仿宋_GB2312"/>
          <w:sz w:val="32"/>
          <w:szCs w:val="32"/>
        </w:rPr>
        <w:t>（款）</w:t>
      </w:r>
      <w:r>
        <w:rPr>
          <w:rFonts w:hint="eastAsia" w:ascii="仿宋_GB2312" w:eastAsia="仿宋_GB2312"/>
          <w:sz w:val="32"/>
          <w:szCs w:val="32"/>
          <w:lang w:val="en-US" w:eastAsia="zh-CN"/>
        </w:rPr>
        <w:t>11</w:t>
      </w:r>
      <w:r>
        <w:rPr>
          <w:rFonts w:hint="eastAsia" w:ascii="仿宋_GB2312" w:eastAsia="仿宋_GB2312"/>
          <w:sz w:val="32"/>
          <w:szCs w:val="32"/>
        </w:rPr>
        <w:t>（项）</w:t>
      </w:r>
      <w:r>
        <w:rPr>
          <w:rFonts w:hint="eastAsia" w:ascii="仿宋_GB2312" w:eastAsia="仿宋_GB2312"/>
          <w:sz w:val="32"/>
          <w:szCs w:val="32"/>
          <w:lang w:val="en-US" w:eastAsia="zh-CN"/>
        </w:rPr>
        <w:t>03指公务员医疗补助，</w:t>
      </w:r>
      <w:r>
        <w:rPr>
          <w:rFonts w:hint="eastAsia" w:ascii="仿宋_GB2312" w:eastAsia="仿宋_GB2312"/>
          <w:sz w:val="32"/>
          <w:szCs w:val="32"/>
        </w:rPr>
        <w:t>（类）</w:t>
      </w:r>
      <w:r>
        <w:rPr>
          <w:rFonts w:hint="eastAsia" w:ascii="仿宋_GB2312" w:eastAsia="仿宋_GB2312"/>
          <w:sz w:val="32"/>
          <w:szCs w:val="32"/>
          <w:lang w:val="en-US" w:eastAsia="zh-CN"/>
        </w:rPr>
        <w:t>210</w:t>
      </w:r>
      <w:r>
        <w:rPr>
          <w:rFonts w:hint="eastAsia" w:ascii="仿宋_GB2312" w:eastAsia="仿宋_GB2312"/>
          <w:sz w:val="32"/>
          <w:szCs w:val="32"/>
        </w:rPr>
        <w:t>（款）</w:t>
      </w:r>
      <w:r>
        <w:rPr>
          <w:rFonts w:hint="eastAsia" w:ascii="仿宋_GB2312" w:eastAsia="仿宋_GB2312"/>
          <w:sz w:val="32"/>
          <w:szCs w:val="32"/>
          <w:lang w:val="en-US" w:eastAsia="zh-CN"/>
        </w:rPr>
        <w:t>11</w:t>
      </w:r>
      <w:r>
        <w:rPr>
          <w:rFonts w:hint="eastAsia" w:ascii="仿宋_GB2312" w:eastAsia="仿宋_GB2312"/>
          <w:sz w:val="32"/>
          <w:szCs w:val="32"/>
        </w:rPr>
        <w:t>（项）</w:t>
      </w:r>
      <w:r>
        <w:rPr>
          <w:rFonts w:hint="eastAsia" w:ascii="仿宋_GB2312" w:eastAsia="仿宋_GB2312"/>
          <w:sz w:val="32"/>
          <w:szCs w:val="32"/>
          <w:lang w:val="en-US" w:eastAsia="zh-CN"/>
        </w:rPr>
        <w:t>99指</w:t>
      </w:r>
      <w:r>
        <w:rPr>
          <w:rFonts w:hint="eastAsia" w:ascii="Times New Roman" w:hAnsi="Times New Roman" w:eastAsia="仿宋_GB2312" w:cs="仿宋_GB2312"/>
          <w:color w:val="auto"/>
          <w:sz w:val="32"/>
          <w:szCs w:val="32"/>
          <w:highlight w:val="none"/>
          <w:lang w:val="en-US" w:eastAsia="zh-CN"/>
        </w:rPr>
        <w:t>其他行政事业单位医疗</w:t>
      </w:r>
      <w:r>
        <w:rPr>
          <w:rFonts w:hint="eastAsia" w:ascii="仿宋_GB2312" w:eastAsia="仿宋_GB2312"/>
          <w:sz w:val="32"/>
          <w:szCs w:val="32"/>
          <w:lang w:val="en-US" w:eastAsia="zh-CN"/>
        </w:rPr>
        <w:t>。</w:t>
      </w:r>
    </w:p>
    <w:p w14:paraId="585EE555">
      <w:pPr>
        <w:ind w:firstLine="640" w:firstLineChars="200"/>
        <w:rPr>
          <w:rFonts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7.</w:t>
      </w:r>
      <w:r>
        <w:rPr>
          <w:rFonts w:hint="eastAsia" w:ascii="仿宋_GB2312" w:eastAsia="仿宋_GB2312"/>
          <w:sz w:val="32"/>
          <w:szCs w:val="32"/>
        </w:rPr>
        <w:t>住房保障（类）</w:t>
      </w:r>
      <w:r>
        <w:rPr>
          <w:rFonts w:hint="eastAsia" w:ascii="仿宋_GB2312" w:eastAsia="仿宋_GB2312"/>
          <w:sz w:val="32"/>
          <w:szCs w:val="32"/>
          <w:lang w:val="en-US" w:eastAsia="zh-CN"/>
        </w:rPr>
        <w:t>221</w:t>
      </w:r>
      <w:r>
        <w:rPr>
          <w:rFonts w:hint="eastAsia" w:ascii="仿宋_GB2312" w:eastAsia="仿宋_GB2312"/>
          <w:sz w:val="32"/>
          <w:szCs w:val="32"/>
        </w:rPr>
        <w:t>（款）</w:t>
      </w:r>
      <w:r>
        <w:rPr>
          <w:rFonts w:hint="eastAsia" w:ascii="仿宋_GB2312" w:eastAsia="仿宋_GB2312"/>
          <w:sz w:val="32"/>
          <w:szCs w:val="32"/>
          <w:lang w:val="en-US" w:eastAsia="zh-CN"/>
        </w:rPr>
        <w:t>02</w:t>
      </w:r>
      <w:r>
        <w:rPr>
          <w:rFonts w:hint="eastAsia" w:ascii="仿宋_GB2312" w:eastAsia="仿宋_GB2312"/>
          <w:sz w:val="32"/>
          <w:szCs w:val="32"/>
        </w:rPr>
        <w:t>（项）</w:t>
      </w:r>
      <w:r>
        <w:rPr>
          <w:rFonts w:hint="eastAsia" w:ascii="仿宋_GB2312" w:eastAsia="仿宋_GB2312"/>
          <w:sz w:val="32"/>
          <w:szCs w:val="32"/>
          <w:lang w:val="en-US" w:eastAsia="zh-CN"/>
        </w:rPr>
        <w:t>01</w:t>
      </w:r>
      <w:r>
        <w:rPr>
          <w:rFonts w:hint="eastAsia" w:ascii="仿宋_GB2312" w:eastAsia="仿宋_GB2312"/>
          <w:sz w:val="32"/>
          <w:szCs w:val="32"/>
        </w:rPr>
        <w:t>：指</w:t>
      </w:r>
      <w:r>
        <w:rPr>
          <w:rFonts w:hint="eastAsia" w:ascii="仿宋_GB2312" w:eastAsia="仿宋_GB2312"/>
          <w:sz w:val="32"/>
          <w:szCs w:val="32"/>
          <w:lang w:eastAsia="zh-CN"/>
        </w:rPr>
        <w:t>住房公积金</w:t>
      </w:r>
      <w:r>
        <w:rPr>
          <w:rFonts w:hint="eastAsia" w:ascii="仿宋_GB2312" w:eastAsia="仿宋_GB2312"/>
          <w:sz w:val="32"/>
          <w:szCs w:val="32"/>
        </w:rPr>
        <w:t>。</w:t>
      </w:r>
    </w:p>
    <w:p w14:paraId="67FA78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780482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0D0025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8E539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EFB9F8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98" w:name="_Toc15377226"/>
      <w:r>
        <w:rPr>
          <w:rFonts w:hint="eastAsia" w:ascii="Times New Roman" w:hAnsi="Times New Roman" w:eastAsia="仿宋_GB2312" w:cs="仿宋_GB2312"/>
          <w:color w:val="auto"/>
          <w:kern w:val="2"/>
          <w:sz w:val="32"/>
          <w:szCs w:val="32"/>
          <w:highlight w:val="none"/>
          <w:lang w:val="en-US" w:eastAsia="zh-CN" w:bidi="ar-SA"/>
        </w:rPr>
        <w:br w:type="page"/>
      </w:r>
    </w:p>
    <w:p w14:paraId="4A984CAF">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99" w:name="_Toc15396618"/>
    </w:p>
    <w:p w14:paraId="26DB4D17">
      <w:pPr>
        <w:widowControl/>
        <w:jc w:val="center"/>
        <w:rPr>
          <w:rFonts w:hint="eastAsia" w:ascii="Times New Roman" w:hAnsi="Times New Roman" w:eastAsia="仿宋"/>
          <w:b w:val="0"/>
          <w:color w:val="auto"/>
          <w:highlight w:val="none"/>
        </w:rPr>
      </w:pPr>
      <w:bookmarkStart w:id="100" w:name="_Toc4320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8"/>
          <w:rFonts w:hint="eastAsia" w:ascii="Times New Roman" w:hAnsi="Times New Roman" w:eastAsia="黑体"/>
          <w:b w:val="0"/>
          <w:color w:val="auto"/>
          <w:highlight w:val="none"/>
        </w:rPr>
        <w:t>部分 附表</w:t>
      </w:r>
      <w:bookmarkEnd w:id="98"/>
      <w:bookmarkEnd w:id="99"/>
      <w:bookmarkEnd w:id="100"/>
      <w:bookmarkStart w:id="101" w:name="_Toc15396619"/>
    </w:p>
    <w:p w14:paraId="036EB8E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07567C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2" w:name="_Toc17746_WPSOffice_Level2"/>
      <w:r>
        <w:rPr>
          <w:rFonts w:hint="eastAsia" w:ascii="Times New Roman" w:hAnsi="Times New Roman" w:eastAsia="仿宋_GB2312" w:cs="仿宋_GB2312"/>
          <w:color w:val="auto"/>
          <w:sz w:val="32"/>
          <w:szCs w:val="32"/>
          <w:highlight w:val="none"/>
        </w:rPr>
        <w:t>一、收入支出决算总表</w:t>
      </w:r>
      <w:bookmarkEnd w:id="101"/>
      <w:bookmarkEnd w:id="102"/>
    </w:p>
    <w:p w14:paraId="4F02670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3" w:name="_Toc15396620"/>
      <w:bookmarkStart w:id="104" w:name="_Toc30616_WPSOffice_Level2"/>
      <w:r>
        <w:rPr>
          <w:rFonts w:hint="eastAsia" w:ascii="Times New Roman" w:hAnsi="Times New Roman" w:eastAsia="仿宋_GB2312" w:cs="仿宋_GB2312"/>
          <w:color w:val="auto"/>
          <w:sz w:val="32"/>
          <w:szCs w:val="32"/>
          <w:highlight w:val="none"/>
        </w:rPr>
        <w:t>二、收入决算表</w:t>
      </w:r>
      <w:bookmarkEnd w:id="103"/>
      <w:bookmarkEnd w:id="104"/>
    </w:p>
    <w:p w14:paraId="7EC6D05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5" w:name="_Toc8442_WPSOffice_Level2"/>
      <w:bookmarkStart w:id="106" w:name="_Toc15396621"/>
      <w:r>
        <w:rPr>
          <w:rFonts w:hint="eastAsia" w:ascii="Times New Roman" w:hAnsi="Times New Roman" w:eastAsia="仿宋_GB2312" w:cs="仿宋_GB2312"/>
          <w:color w:val="auto"/>
          <w:sz w:val="32"/>
          <w:szCs w:val="32"/>
          <w:highlight w:val="none"/>
        </w:rPr>
        <w:t>三、支出决算表</w:t>
      </w:r>
      <w:bookmarkEnd w:id="105"/>
      <w:bookmarkEnd w:id="106"/>
    </w:p>
    <w:p w14:paraId="6178798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7" w:name="_Toc20713_WPSOffice_Level2"/>
      <w:bookmarkStart w:id="108" w:name="_Toc15396622"/>
      <w:r>
        <w:rPr>
          <w:rFonts w:hint="eastAsia" w:ascii="Times New Roman" w:hAnsi="Times New Roman" w:eastAsia="仿宋_GB2312" w:cs="仿宋_GB2312"/>
          <w:color w:val="auto"/>
          <w:sz w:val="32"/>
          <w:szCs w:val="32"/>
          <w:highlight w:val="none"/>
        </w:rPr>
        <w:t>四、财政拨款收入支出决算总表</w:t>
      </w:r>
      <w:bookmarkEnd w:id="107"/>
      <w:bookmarkEnd w:id="108"/>
    </w:p>
    <w:p w14:paraId="7FA2002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9" w:name="_Toc14026_WPSOffice_Level2"/>
      <w:bookmarkStart w:id="110" w:name="_Toc15396623"/>
      <w:r>
        <w:rPr>
          <w:rFonts w:hint="eastAsia" w:ascii="Times New Roman" w:hAnsi="Times New Roman" w:eastAsia="仿宋_GB2312" w:cs="仿宋_GB2312"/>
          <w:color w:val="auto"/>
          <w:sz w:val="32"/>
          <w:szCs w:val="32"/>
          <w:highlight w:val="none"/>
        </w:rPr>
        <w:t>五、财政拨款支出决算明细表</w:t>
      </w:r>
      <w:bookmarkEnd w:id="109"/>
      <w:bookmarkEnd w:id="110"/>
      <w:bookmarkStart w:id="111" w:name="_Toc15396624"/>
    </w:p>
    <w:p w14:paraId="52A1DFD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2" w:name="_Toc30282_WPSOffice_Level2"/>
      <w:r>
        <w:rPr>
          <w:rFonts w:hint="eastAsia" w:ascii="Times New Roman" w:hAnsi="Times New Roman" w:eastAsia="仿宋_GB2312" w:cs="仿宋_GB2312"/>
          <w:color w:val="auto"/>
          <w:sz w:val="32"/>
          <w:szCs w:val="32"/>
          <w:highlight w:val="none"/>
        </w:rPr>
        <w:t>六、一般公共预算财政拨款支出决算表</w:t>
      </w:r>
      <w:bookmarkEnd w:id="111"/>
      <w:bookmarkEnd w:id="112"/>
    </w:p>
    <w:p w14:paraId="6F2A138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3" w:name="_Toc15396625"/>
      <w:bookmarkStart w:id="114" w:name="_Toc11728_WPSOffice_Level2"/>
      <w:r>
        <w:rPr>
          <w:rFonts w:hint="eastAsia" w:ascii="Times New Roman" w:hAnsi="Times New Roman" w:eastAsia="仿宋_GB2312" w:cs="仿宋_GB2312"/>
          <w:color w:val="auto"/>
          <w:sz w:val="32"/>
          <w:szCs w:val="32"/>
          <w:highlight w:val="none"/>
        </w:rPr>
        <w:t>七、一般公共预算财政拨款支出决算明细表</w:t>
      </w:r>
      <w:bookmarkEnd w:id="113"/>
      <w:bookmarkEnd w:id="114"/>
    </w:p>
    <w:p w14:paraId="53552B8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5" w:name="_Toc15396626"/>
      <w:bookmarkStart w:id="116" w:name="_Toc2269_WPSOffice_Level2"/>
      <w:r>
        <w:rPr>
          <w:rFonts w:hint="eastAsia" w:ascii="Times New Roman" w:hAnsi="Times New Roman" w:eastAsia="仿宋_GB2312" w:cs="仿宋_GB2312"/>
          <w:color w:val="auto"/>
          <w:sz w:val="32"/>
          <w:szCs w:val="32"/>
          <w:highlight w:val="none"/>
        </w:rPr>
        <w:t>八、一般公共预算财政拨款基本支出决算表</w:t>
      </w:r>
      <w:bookmarkEnd w:id="115"/>
      <w:bookmarkEnd w:id="116"/>
    </w:p>
    <w:p w14:paraId="7098936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7" w:name="_Toc15396627"/>
      <w:bookmarkStart w:id="118" w:name="_Toc1989_WPSOffice_Level2"/>
      <w:r>
        <w:rPr>
          <w:rFonts w:hint="eastAsia" w:ascii="Times New Roman" w:hAnsi="Times New Roman" w:eastAsia="仿宋_GB2312" w:cs="仿宋_GB2312"/>
          <w:color w:val="auto"/>
          <w:sz w:val="32"/>
          <w:szCs w:val="32"/>
          <w:highlight w:val="none"/>
        </w:rPr>
        <w:t>九、一般公共预算财政拨款项目支出决算表</w:t>
      </w:r>
      <w:bookmarkEnd w:id="117"/>
      <w:bookmarkEnd w:id="118"/>
    </w:p>
    <w:p w14:paraId="2419A19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9" w:name="_Toc15396628"/>
      <w:bookmarkStart w:id="120" w:name="_Toc23569_WPSOffice_Level2"/>
      <w:r>
        <w:rPr>
          <w:rFonts w:hint="eastAsia" w:ascii="Times New Roman" w:hAnsi="Times New Roman" w:eastAsia="仿宋_GB2312" w:cs="仿宋_GB2312"/>
          <w:color w:val="auto"/>
          <w:sz w:val="32"/>
          <w:szCs w:val="32"/>
          <w:highlight w:val="none"/>
        </w:rPr>
        <w:t>十、</w:t>
      </w:r>
      <w:bookmarkEnd w:id="119"/>
      <w:r>
        <w:rPr>
          <w:rFonts w:hint="eastAsia" w:ascii="Times New Roman" w:hAnsi="Times New Roman" w:eastAsia="仿宋_GB2312" w:cs="仿宋_GB2312"/>
          <w:color w:val="auto"/>
          <w:sz w:val="32"/>
          <w:szCs w:val="32"/>
          <w:highlight w:val="none"/>
        </w:rPr>
        <w:t>政府性基金预算财政拨款收入支出决算表</w:t>
      </w:r>
      <w:bookmarkEnd w:id="120"/>
    </w:p>
    <w:p w14:paraId="0BB3BE1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1" w:name="_Toc15396629"/>
      <w:bookmarkStart w:id="122" w:name="_Toc10386_WPSOffice_Level2"/>
      <w:r>
        <w:rPr>
          <w:rFonts w:hint="eastAsia" w:ascii="Times New Roman" w:hAnsi="Times New Roman" w:eastAsia="仿宋_GB2312" w:cs="仿宋_GB2312"/>
          <w:color w:val="auto"/>
          <w:sz w:val="32"/>
          <w:szCs w:val="32"/>
          <w:highlight w:val="none"/>
        </w:rPr>
        <w:t>十一、</w:t>
      </w:r>
      <w:bookmarkEnd w:id="121"/>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22"/>
    </w:p>
    <w:p w14:paraId="1CFB062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3" w:name="_Toc15396630"/>
      <w:bookmarkStart w:id="124" w:name="_Toc29078_WPSOffice_Level2"/>
      <w:r>
        <w:rPr>
          <w:rFonts w:hint="eastAsia" w:ascii="Times New Roman" w:hAnsi="Times New Roman" w:eastAsia="仿宋_GB2312" w:cs="仿宋_GB2312"/>
          <w:color w:val="auto"/>
          <w:sz w:val="32"/>
          <w:szCs w:val="32"/>
          <w:highlight w:val="none"/>
        </w:rPr>
        <w:t>十二、</w:t>
      </w:r>
      <w:bookmarkEnd w:id="123"/>
      <w:r>
        <w:rPr>
          <w:rFonts w:hint="eastAsia" w:ascii="Times New Roman" w:hAnsi="Times New Roman" w:eastAsia="仿宋_GB2312" w:cs="仿宋_GB2312"/>
          <w:color w:val="auto"/>
          <w:sz w:val="32"/>
          <w:szCs w:val="32"/>
          <w:highlight w:val="none"/>
          <w:lang w:eastAsia="zh-CN"/>
        </w:rPr>
        <w:t>国有资本经营预算财政拨款支出决算表</w:t>
      </w:r>
      <w:bookmarkEnd w:id="124"/>
    </w:p>
    <w:p w14:paraId="69F4154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25" w:name="_Toc15396631"/>
      <w:bookmarkStart w:id="126" w:name="_Toc10980_WPSOffice_Level2"/>
      <w:r>
        <w:rPr>
          <w:rFonts w:hint="eastAsia" w:ascii="Times New Roman" w:hAnsi="Times New Roman" w:eastAsia="仿宋_GB2312" w:cs="仿宋_GB2312"/>
          <w:color w:val="auto"/>
          <w:sz w:val="32"/>
          <w:szCs w:val="32"/>
          <w:highlight w:val="none"/>
        </w:rPr>
        <w:t>十三、</w:t>
      </w:r>
      <w:bookmarkEnd w:id="125"/>
      <w:r>
        <w:rPr>
          <w:rFonts w:hint="eastAsia" w:ascii="Times New Roman" w:hAnsi="Times New Roman" w:eastAsia="仿宋_GB2312" w:cs="仿宋_GB2312"/>
          <w:color w:val="auto"/>
          <w:sz w:val="32"/>
          <w:szCs w:val="32"/>
          <w:highlight w:val="none"/>
          <w:lang w:eastAsia="zh-CN"/>
        </w:rPr>
        <w:t>财政拨款“三公”经费支出决算表</w:t>
      </w:r>
      <w:bookmarkEnd w:id="126"/>
    </w:p>
    <w:p w14:paraId="2D31338D">
      <w:pPr>
        <w:rPr>
          <w:rFonts w:hint="eastAsia" w:ascii="Times New Roman" w:hAnsi="Times New Roman"/>
          <w:lang w:eastAsia="zh-CN"/>
        </w:rPr>
      </w:pPr>
    </w:p>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93D7D0-1733-40CB-9574-60E21DC23F6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59C032DD-87D7-4415-BAB2-347F971CCB77}"/>
  </w:font>
  <w:font w:name="仿宋">
    <w:panose1 w:val="02010609060101010101"/>
    <w:charset w:val="86"/>
    <w:family w:val="modern"/>
    <w:pitch w:val="default"/>
    <w:sig w:usb0="800002BF" w:usb1="38CF7CFA" w:usb2="00000016" w:usb3="00000000" w:csb0="00040001" w:csb1="00000000"/>
    <w:embedRegular r:id="rId3" w:fontKey="{C7CB231B-2230-422E-8AF8-EF8FF727AE4D}"/>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D6199E30-0F7E-4925-811A-1D454FA655EB}"/>
  </w:font>
  <w:font w:name="楷体_GB2312">
    <w:panose1 w:val="02010609030101010101"/>
    <w:charset w:val="86"/>
    <w:family w:val="auto"/>
    <w:pitch w:val="default"/>
    <w:sig w:usb0="00000001" w:usb1="080E0000" w:usb2="00000000" w:usb3="00000000" w:csb0="00040000" w:csb1="00000000"/>
    <w:embedRegular r:id="rId5" w:fontKey="{B463BE0F-79CB-4CDC-BFEE-19C26C664F6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E237A">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BB11AD">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BB11AD">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v:textbox>
            </v:shape>
          </w:pict>
        </mc:Fallback>
      </mc:AlternateContent>
    </w:r>
  </w:p>
  <w:p w14:paraId="599453FE">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D9D85">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19EEC"/>
    <w:multiLevelType w:val="multilevel"/>
    <w:tmpl w:val="80C19EEC"/>
    <w:lvl w:ilvl="0" w:tentative="0">
      <w:start w:val="7"/>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abstractNum w:abstractNumId="1">
    <w:nsid w:val="A7577A1A"/>
    <w:multiLevelType w:val="singleLevel"/>
    <w:tmpl w:val="A7577A1A"/>
    <w:lvl w:ilvl="0" w:tentative="0">
      <w:start w:val="1"/>
      <w:numFmt w:val="chineseCounting"/>
      <w:suff w:val="nothing"/>
      <w:lvlText w:val="%1、"/>
      <w:lvlJc w:val="left"/>
      <w:rPr>
        <w:rFonts w:hint="eastAsia"/>
      </w:rPr>
    </w:lvl>
  </w:abstractNum>
  <w:abstractNum w:abstractNumId="2">
    <w:nsid w:val="002E2E2F"/>
    <w:multiLevelType w:val="multilevel"/>
    <w:tmpl w:val="002E2E2F"/>
    <w:lvl w:ilvl="0" w:tentative="0">
      <w:start w:val="12"/>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abstractNum w:abstractNumId="3">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45272"/>
    <w:rsid w:val="012A5EC2"/>
    <w:rsid w:val="015975B8"/>
    <w:rsid w:val="01BE477C"/>
    <w:rsid w:val="02FEBE30"/>
    <w:rsid w:val="04916F1E"/>
    <w:rsid w:val="061E35DE"/>
    <w:rsid w:val="066E0107"/>
    <w:rsid w:val="07996F6E"/>
    <w:rsid w:val="07DFD8BA"/>
    <w:rsid w:val="09867E8F"/>
    <w:rsid w:val="0A2032A3"/>
    <w:rsid w:val="0CA8290A"/>
    <w:rsid w:val="0D35B1ED"/>
    <w:rsid w:val="0E254B6B"/>
    <w:rsid w:val="0F98263C"/>
    <w:rsid w:val="0FC32944"/>
    <w:rsid w:val="101860EC"/>
    <w:rsid w:val="101F47CC"/>
    <w:rsid w:val="10C055FF"/>
    <w:rsid w:val="11694EBD"/>
    <w:rsid w:val="11772AA4"/>
    <w:rsid w:val="118107EC"/>
    <w:rsid w:val="128C4474"/>
    <w:rsid w:val="12E24EE2"/>
    <w:rsid w:val="13D50BC4"/>
    <w:rsid w:val="14B17F78"/>
    <w:rsid w:val="165E0673"/>
    <w:rsid w:val="16B831D5"/>
    <w:rsid w:val="16BB723D"/>
    <w:rsid w:val="176154E5"/>
    <w:rsid w:val="17E50567"/>
    <w:rsid w:val="186504BB"/>
    <w:rsid w:val="197F33F5"/>
    <w:rsid w:val="19A445FC"/>
    <w:rsid w:val="1BE8440E"/>
    <w:rsid w:val="1D155CEE"/>
    <w:rsid w:val="1D1638FE"/>
    <w:rsid w:val="1E312DEB"/>
    <w:rsid w:val="1E740ACF"/>
    <w:rsid w:val="1FF35744"/>
    <w:rsid w:val="1FF6BC77"/>
    <w:rsid w:val="2186353C"/>
    <w:rsid w:val="21932EAB"/>
    <w:rsid w:val="222E1094"/>
    <w:rsid w:val="23860B96"/>
    <w:rsid w:val="23D12BCC"/>
    <w:rsid w:val="240371BF"/>
    <w:rsid w:val="244F3473"/>
    <w:rsid w:val="24C97D99"/>
    <w:rsid w:val="25A718F0"/>
    <w:rsid w:val="25BB59F6"/>
    <w:rsid w:val="260F557C"/>
    <w:rsid w:val="26970054"/>
    <w:rsid w:val="281408E2"/>
    <w:rsid w:val="29FD04D3"/>
    <w:rsid w:val="2BF21E6F"/>
    <w:rsid w:val="2BFF7BC6"/>
    <w:rsid w:val="2C2240F7"/>
    <w:rsid w:val="2C8A61B5"/>
    <w:rsid w:val="2D852A4C"/>
    <w:rsid w:val="2DF04E50"/>
    <w:rsid w:val="2E586DFA"/>
    <w:rsid w:val="2EBD4844"/>
    <w:rsid w:val="2F040D46"/>
    <w:rsid w:val="2F6B035B"/>
    <w:rsid w:val="2FAE5751"/>
    <w:rsid w:val="2FB1A395"/>
    <w:rsid w:val="2FD9A7D8"/>
    <w:rsid w:val="2FDBF714"/>
    <w:rsid w:val="30AB6865"/>
    <w:rsid w:val="319F7F4E"/>
    <w:rsid w:val="32BD1EF1"/>
    <w:rsid w:val="3304709D"/>
    <w:rsid w:val="33A773CB"/>
    <w:rsid w:val="349D6851"/>
    <w:rsid w:val="36837330"/>
    <w:rsid w:val="36A71ECA"/>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1105CF"/>
    <w:rsid w:val="3D98207C"/>
    <w:rsid w:val="3DC72AE4"/>
    <w:rsid w:val="3DDC0E2E"/>
    <w:rsid w:val="3DEE7CF3"/>
    <w:rsid w:val="3E740A63"/>
    <w:rsid w:val="3E78745D"/>
    <w:rsid w:val="3EE17838"/>
    <w:rsid w:val="3F55381A"/>
    <w:rsid w:val="3F7F7599"/>
    <w:rsid w:val="3FF4CAE0"/>
    <w:rsid w:val="3FF7B227"/>
    <w:rsid w:val="44E268DA"/>
    <w:rsid w:val="450D13D7"/>
    <w:rsid w:val="45336DBD"/>
    <w:rsid w:val="45506656"/>
    <w:rsid w:val="45E71561"/>
    <w:rsid w:val="463302C9"/>
    <w:rsid w:val="46C42BF6"/>
    <w:rsid w:val="478F2093"/>
    <w:rsid w:val="486A6C7A"/>
    <w:rsid w:val="4A627F82"/>
    <w:rsid w:val="4B0E749A"/>
    <w:rsid w:val="4B2477C4"/>
    <w:rsid w:val="4B4F25DA"/>
    <w:rsid w:val="4B790C5D"/>
    <w:rsid w:val="4BB516E4"/>
    <w:rsid w:val="4BE068DB"/>
    <w:rsid w:val="4D577224"/>
    <w:rsid w:val="4DBF1CEB"/>
    <w:rsid w:val="4DF0007C"/>
    <w:rsid w:val="4EAB630A"/>
    <w:rsid w:val="4ECE2238"/>
    <w:rsid w:val="4F833267"/>
    <w:rsid w:val="4FE9BD67"/>
    <w:rsid w:val="4FFB052F"/>
    <w:rsid w:val="50005B78"/>
    <w:rsid w:val="51B92A88"/>
    <w:rsid w:val="52610F0D"/>
    <w:rsid w:val="537E6D0A"/>
    <w:rsid w:val="53D46C8E"/>
    <w:rsid w:val="53F74C96"/>
    <w:rsid w:val="54753FF4"/>
    <w:rsid w:val="55170BA8"/>
    <w:rsid w:val="553218C9"/>
    <w:rsid w:val="567E1AA5"/>
    <w:rsid w:val="56E47B74"/>
    <w:rsid w:val="57175D52"/>
    <w:rsid w:val="57BD3DD4"/>
    <w:rsid w:val="5A633130"/>
    <w:rsid w:val="5A811857"/>
    <w:rsid w:val="5AAA6EF9"/>
    <w:rsid w:val="5AF92295"/>
    <w:rsid w:val="5B250254"/>
    <w:rsid w:val="5BDD79E6"/>
    <w:rsid w:val="5BF561CA"/>
    <w:rsid w:val="5BFF5DFC"/>
    <w:rsid w:val="5CD71FC4"/>
    <w:rsid w:val="5D1F11B5"/>
    <w:rsid w:val="5D682758"/>
    <w:rsid w:val="5D695134"/>
    <w:rsid w:val="5DAE1B18"/>
    <w:rsid w:val="5DE7D9E5"/>
    <w:rsid w:val="5E5C4C89"/>
    <w:rsid w:val="5ECEC941"/>
    <w:rsid w:val="5FBF9FF3"/>
    <w:rsid w:val="5FCD4E2C"/>
    <w:rsid w:val="5FEF394A"/>
    <w:rsid w:val="5FF67715"/>
    <w:rsid w:val="60F01F94"/>
    <w:rsid w:val="623F5473"/>
    <w:rsid w:val="627D0D56"/>
    <w:rsid w:val="62BF3928"/>
    <w:rsid w:val="62F4168B"/>
    <w:rsid w:val="63B3701E"/>
    <w:rsid w:val="63C54727"/>
    <w:rsid w:val="64731895"/>
    <w:rsid w:val="647F5392"/>
    <w:rsid w:val="65E66580"/>
    <w:rsid w:val="664B1D71"/>
    <w:rsid w:val="664B4E8E"/>
    <w:rsid w:val="6722178D"/>
    <w:rsid w:val="67277B67"/>
    <w:rsid w:val="67AA3209"/>
    <w:rsid w:val="698D0931"/>
    <w:rsid w:val="6A7FE5F3"/>
    <w:rsid w:val="6AC7743F"/>
    <w:rsid w:val="6AD048AD"/>
    <w:rsid w:val="6B053271"/>
    <w:rsid w:val="6BDD78B3"/>
    <w:rsid w:val="6C4A05C8"/>
    <w:rsid w:val="6C8742B8"/>
    <w:rsid w:val="6DBF5E93"/>
    <w:rsid w:val="6DFF077E"/>
    <w:rsid w:val="6E714EF0"/>
    <w:rsid w:val="6E7E3605"/>
    <w:rsid w:val="6E7FDCC7"/>
    <w:rsid w:val="6ED6A62E"/>
    <w:rsid w:val="6EE00B15"/>
    <w:rsid w:val="6F116D1D"/>
    <w:rsid w:val="6F6FB3EB"/>
    <w:rsid w:val="6F8731EA"/>
    <w:rsid w:val="6FCE6052"/>
    <w:rsid w:val="6FD57C00"/>
    <w:rsid w:val="6FEFFFD8"/>
    <w:rsid w:val="6FF5CC65"/>
    <w:rsid w:val="6FFB47EC"/>
    <w:rsid w:val="6FFF034A"/>
    <w:rsid w:val="70484440"/>
    <w:rsid w:val="712A28F1"/>
    <w:rsid w:val="715C0E4B"/>
    <w:rsid w:val="71781BD1"/>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977272"/>
    <w:rsid w:val="79D7FD79"/>
    <w:rsid w:val="79EE5BA4"/>
    <w:rsid w:val="7A894339"/>
    <w:rsid w:val="7AD284E8"/>
    <w:rsid w:val="7AFF7572"/>
    <w:rsid w:val="7B6C7DFB"/>
    <w:rsid w:val="7BA14832"/>
    <w:rsid w:val="7BBFBED0"/>
    <w:rsid w:val="7BC3E394"/>
    <w:rsid w:val="7C1F3737"/>
    <w:rsid w:val="7CB504D6"/>
    <w:rsid w:val="7CBFC87B"/>
    <w:rsid w:val="7CFE0F48"/>
    <w:rsid w:val="7D272ABC"/>
    <w:rsid w:val="7D350DDE"/>
    <w:rsid w:val="7D7EC23E"/>
    <w:rsid w:val="7E7D1E8B"/>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7">
    <w:name w:val="Body Text"/>
    <w:basedOn w:val="1"/>
    <w:link w:val="25"/>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2"/>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7"/>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4"/>
    <w:qFormat/>
    <w:uiPriority w:val="9"/>
    <w:rPr>
      <w:rFonts w:ascii="Times New Roman" w:hAnsi="Times New Roman"/>
      <w:b/>
      <w:bCs/>
      <w:kern w:val="44"/>
      <w:sz w:val="44"/>
      <w:szCs w:val="44"/>
    </w:rPr>
  </w:style>
  <w:style w:type="character" w:customStyle="1" w:styleId="29">
    <w:name w:val="标题 2 Char"/>
    <w:basedOn w:val="16"/>
    <w:link w:val="5"/>
    <w:qFormat/>
    <w:uiPriority w:val="9"/>
    <w:rPr>
      <w:rFonts w:asciiTheme="majorHAnsi" w:hAnsiTheme="majorHAnsi" w:eastAsiaTheme="majorEastAsia" w:cstheme="majorBidi"/>
      <w:b/>
      <w:bCs/>
      <w:kern w:val="2"/>
      <w:sz w:val="32"/>
      <w:szCs w:val="32"/>
    </w:rPr>
  </w:style>
  <w:style w:type="paragraph" w:customStyle="1" w:styleId="30">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6"/>
    <w:qFormat/>
    <w:uiPriority w:val="9"/>
    <w:rPr>
      <w:rFonts w:ascii="Times New Roman" w:hAnsi="Times New Roman"/>
      <w:b/>
      <w:bCs/>
      <w:kern w:val="2"/>
      <w:sz w:val="32"/>
      <w:szCs w:val="32"/>
    </w:rPr>
  </w:style>
  <w:style w:type="paragraph" w:customStyle="1" w:styleId="33">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heme="minorHAnsi" w:hAnsiTheme="minorHAnsi" w:eastAsiaTheme="minorEastAsia" w:cstheme="minorBidi"/>
      <w:sz w:val="20"/>
      <w:szCs w:val="20"/>
    </w:rPr>
  </w:style>
  <w:style w:type="paragraph" w:customStyle="1" w:styleId="36">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8cf6175-a4c4-4a36-a8a3-86154f6d9982}"/>
        <w:style w:val=""/>
        <w:category>
          <w:name w:val="常规"/>
          <w:gallery w:val="placeholder"/>
        </w:category>
        <w:types>
          <w:type w:val="bbPlcHdr"/>
        </w:types>
        <w:behaviors>
          <w:behavior w:val="content"/>
        </w:behaviors>
        <w:description w:val=""/>
        <w:guid w:val="{58cf6175-a4c4-4a36-a8a3-86154f6d9982}"/>
      </w:docPartPr>
      <w:docPartBody>
        <w:p w14:paraId="2456B612">
          <w:r>
            <w:rPr>
              <w:color w:val="808080"/>
            </w:rPr>
            <w:t>单击此处输入文字。</w:t>
          </w:r>
        </w:p>
      </w:docPartBody>
    </w:docPart>
    <w:docPart>
      <w:docPartPr>
        <w:name w:val="{8d152393-f3a9-4931-91b3-24fe4df00689}"/>
        <w:style w:val=""/>
        <w:category>
          <w:name w:val="常规"/>
          <w:gallery w:val="placeholder"/>
        </w:category>
        <w:types>
          <w:type w:val="bbPlcHdr"/>
        </w:types>
        <w:behaviors>
          <w:behavior w:val="content"/>
        </w:behaviors>
        <w:description w:val=""/>
        <w:guid w:val="{8d152393-f3a9-4931-91b3-24fe4df00689}"/>
      </w:docPartPr>
      <w:docPartBody>
        <w:p w14:paraId="4C9FD46C">
          <w:r>
            <w:rPr>
              <w:color w:val="808080"/>
            </w:rPr>
            <w:t>单击此处输入文字。</w:t>
          </w:r>
        </w:p>
      </w:docPartBody>
    </w:docPart>
    <w:docPart>
      <w:docPartPr>
        <w:name w:val="{c8c791a4-25c7-472a-b78e-fcaedb14c694}"/>
        <w:style w:val=""/>
        <w:category>
          <w:name w:val="常规"/>
          <w:gallery w:val="placeholder"/>
        </w:category>
        <w:types>
          <w:type w:val="bbPlcHdr"/>
        </w:types>
        <w:behaviors>
          <w:behavior w:val="content"/>
        </w:behaviors>
        <w:description w:val=""/>
        <w:guid w:val="{c8c791a4-25c7-472a-b78e-fcaedb14c694}"/>
      </w:docPartPr>
      <w:docPartBody>
        <w:p w14:paraId="3C20FE9C">
          <w:r>
            <w:rPr>
              <w:color w:val="808080"/>
            </w:rPr>
            <w:t>单击此处输入文字。</w:t>
          </w:r>
        </w:p>
      </w:docPartBody>
    </w:docPart>
    <w:docPart>
      <w:docPartPr>
        <w:name w:val="{d332ae22-7faa-459d-9146-c0703c321971}"/>
        <w:style w:val=""/>
        <w:category>
          <w:name w:val="常规"/>
          <w:gallery w:val="placeholder"/>
        </w:category>
        <w:types>
          <w:type w:val="bbPlcHdr"/>
        </w:types>
        <w:behaviors>
          <w:behavior w:val="content"/>
        </w:behaviors>
        <w:description w:val=""/>
        <w:guid w:val="{d332ae22-7faa-459d-9146-c0703c321971}"/>
      </w:docPartPr>
      <w:docPartBody>
        <w:p w14:paraId="3312322D">
          <w:r>
            <w:rPr>
              <w:color w:val="808080"/>
            </w:rPr>
            <w:t>单击此处输入文字。</w:t>
          </w:r>
        </w:p>
      </w:docPartBody>
    </w:docPart>
    <w:docPart>
      <w:docPartPr>
        <w:name w:val="{6821fe53-58ff-4aaf-9b2f-2bbcd7b601fa}"/>
        <w:style w:val=""/>
        <w:category>
          <w:name w:val="常规"/>
          <w:gallery w:val="placeholder"/>
        </w:category>
        <w:types>
          <w:type w:val="bbPlcHdr"/>
        </w:types>
        <w:behaviors>
          <w:behavior w:val="content"/>
        </w:behaviors>
        <w:description w:val=""/>
        <w:guid w:val="{6821fe53-58ff-4aaf-9b2f-2bbcd7b601fa}"/>
      </w:docPartPr>
      <w:docPartBody>
        <w:p w14:paraId="59883375">
          <w:r>
            <w:rPr>
              <w:color w:val="808080"/>
            </w:rPr>
            <w:t>单击此处输入文字。</w:t>
          </w:r>
        </w:p>
      </w:docPartBody>
    </w:docPart>
    <w:docPart>
      <w:docPartPr>
        <w:name w:val="{714d69b4-f2b7-41ce-8258-df89e30d438d}"/>
        <w:style w:val=""/>
        <w:category>
          <w:name w:val="常规"/>
          <w:gallery w:val="placeholder"/>
        </w:category>
        <w:types>
          <w:type w:val="bbPlcHdr"/>
        </w:types>
        <w:behaviors>
          <w:behavior w:val="content"/>
        </w:behaviors>
        <w:description w:val=""/>
        <w:guid w:val="{714d69b4-f2b7-41ce-8258-df89e30d438d}"/>
      </w:docPartPr>
      <w:docPartBody>
        <w:p w14:paraId="32F419CF">
          <w:r>
            <w:rPr>
              <w:color w:val="808080"/>
            </w:rPr>
            <w:t>单击此处输入文字。</w:t>
          </w:r>
        </w:p>
      </w:docPartBody>
    </w:docPart>
    <w:docPart>
      <w:docPartPr>
        <w:name w:val="{5a1601ee-cb8d-4381-9fc8-c594272b35e4}"/>
        <w:style w:val=""/>
        <w:category>
          <w:name w:val="常规"/>
          <w:gallery w:val="placeholder"/>
        </w:category>
        <w:types>
          <w:type w:val="bbPlcHdr"/>
        </w:types>
        <w:behaviors>
          <w:behavior w:val="content"/>
        </w:behaviors>
        <w:description w:val=""/>
        <w:guid w:val="{5a1601ee-cb8d-4381-9fc8-c594272b35e4}"/>
      </w:docPartPr>
      <w:docPartBody>
        <w:p w14:paraId="6D49F07B">
          <w:r>
            <w:rPr>
              <w:color w:val="808080"/>
            </w:rPr>
            <w:t>单击此处输入文字。</w:t>
          </w:r>
        </w:p>
      </w:docPartBody>
    </w:docPart>
    <w:docPart>
      <w:docPartPr>
        <w:name w:val="{e4e55c08-e843-45dc-b69b-452c5cd15635}"/>
        <w:style w:val=""/>
        <w:category>
          <w:name w:val="常规"/>
          <w:gallery w:val="placeholder"/>
        </w:category>
        <w:types>
          <w:type w:val="bbPlcHdr"/>
        </w:types>
        <w:behaviors>
          <w:behavior w:val="content"/>
        </w:behaviors>
        <w:description w:val=""/>
        <w:guid w:val="{e4e55c08-e843-45dc-b69b-452c5cd15635}"/>
      </w:docPartPr>
      <w:docPartBody>
        <w:p w14:paraId="721CDC41">
          <w:r>
            <w:rPr>
              <w:color w:val="808080"/>
            </w:rPr>
            <w:t>单击此处输入文字。</w:t>
          </w:r>
        </w:p>
      </w:docPartBody>
    </w:docPart>
    <w:docPart>
      <w:docPartPr>
        <w:name w:val="{a53bfe0e-218f-441c-afd0-b247b3fe3ac6}"/>
        <w:style w:val=""/>
        <w:category>
          <w:name w:val="常规"/>
          <w:gallery w:val="placeholder"/>
        </w:category>
        <w:types>
          <w:type w:val="bbPlcHdr"/>
        </w:types>
        <w:behaviors>
          <w:behavior w:val="content"/>
        </w:behaviors>
        <w:description w:val=""/>
        <w:guid w:val="{a53bfe0e-218f-441c-afd0-b247b3fe3ac6}"/>
      </w:docPartPr>
      <w:docPartBody>
        <w:p w14:paraId="59A88113">
          <w:r>
            <w:rPr>
              <w:color w:val="808080"/>
            </w:rPr>
            <w:t>单击此处输入文字。</w:t>
          </w:r>
        </w:p>
      </w:docPartBody>
    </w:docPart>
    <w:docPart>
      <w:docPartPr>
        <w:name w:val="{0150a334-308b-4333-b39b-bbc7eaa3f53c}"/>
        <w:style w:val=""/>
        <w:category>
          <w:name w:val="常规"/>
          <w:gallery w:val="placeholder"/>
        </w:category>
        <w:types>
          <w:type w:val="bbPlcHdr"/>
        </w:types>
        <w:behaviors>
          <w:behavior w:val="content"/>
        </w:behaviors>
        <w:description w:val=""/>
        <w:guid w:val="{0150a334-308b-4333-b39b-bbc7eaa3f53c}"/>
      </w:docPartPr>
      <w:docPartBody>
        <w:p w14:paraId="589AF758">
          <w:r>
            <w:rPr>
              <w:color w:val="808080"/>
            </w:rPr>
            <w:t>单击此处输入文字。</w:t>
          </w:r>
        </w:p>
      </w:docPartBody>
    </w:docPart>
    <w:docPart>
      <w:docPartPr>
        <w:name w:val="{043b64a7-1106-4b43-bad1-924373b983bc}"/>
        <w:style w:val=""/>
        <w:category>
          <w:name w:val="常规"/>
          <w:gallery w:val="placeholder"/>
        </w:category>
        <w:types>
          <w:type w:val="bbPlcHdr"/>
        </w:types>
        <w:behaviors>
          <w:behavior w:val="content"/>
        </w:behaviors>
        <w:description w:val=""/>
        <w:guid w:val="{043b64a7-1106-4b43-bad1-924373b983bc}"/>
      </w:docPartPr>
      <w:docPartBody>
        <w:p w14:paraId="767397D6">
          <w:r>
            <w:rPr>
              <w:color w:val="808080"/>
            </w:rPr>
            <w:t>单击此处输入文字。</w:t>
          </w:r>
        </w:p>
      </w:docPartBody>
    </w:docPart>
    <w:docPart>
      <w:docPartPr>
        <w:name w:val="{2c24708b-e9dd-4ab8-88ff-d40d202bb7d1}"/>
        <w:style w:val=""/>
        <w:category>
          <w:name w:val="常规"/>
          <w:gallery w:val="placeholder"/>
        </w:category>
        <w:types>
          <w:type w:val="bbPlcHdr"/>
        </w:types>
        <w:behaviors>
          <w:behavior w:val="content"/>
        </w:behaviors>
        <w:description w:val=""/>
        <w:guid w:val="{2c24708b-e9dd-4ab8-88ff-d40d202bb7d1}"/>
      </w:docPartPr>
      <w:docPartBody>
        <w:p w14:paraId="5EAA7C98">
          <w:r>
            <w:rPr>
              <w:color w:val="808080"/>
            </w:rPr>
            <w:t>单击此处输入文字。</w:t>
          </w:r>
        </w:p>
      </w:docPartBody>
    </w:docPart>
    <w:docPart>
      <w:docPartPr>
        <w:name w:val="{38e99205-aed3-4a92-994e-56c51a24a896}"/>
        <w:style w:val=""/>
        <w:category>
          <w:name w:val="常规"/>
          <w:gallery w:val="placeholder"/>
        </w:category>
        <w:types>
          <w:type w:val="bbPlcHdr"/>
        </w:types>
        <w:behaviors>
          <w:behavior w:val="content"/>
        </w:behaviors>
        <w:description w:val=""/>
        <w:guid w:val="{38e99205-aed3-4a92-994e-56c51a24a896}"/>
      </w:docPartPr>
      <w:docPartBody>
        <w:p w14:paraId="45606018">
          <w:r>
            <w:rPr>
              <w:color w:val="808080"/>
            </w:rPr>
            <w:t>单击此处输入文字。</w:t>
          </w:r>
        </w:p>
      </w:docPartBody>
    </w:docPart>
    <w:docPart>
      <w:docPartPr>
        <w:name w:val="{b68c40ab-45dd-44b4-b6a5-337616fdabee}"/>
        <w:style w:val=""/>
        <w:category>
          <w:name w:val="常规"/>
          <w:gallery w:val="placeholder"/>
        </w:category>
        <w:types>
          <w:type w:val="bbPlcHdr"/>
        </w:types>
        <w:behaviors>
          <w:behavior w:val="content"/>
        </w:behaviors>
        <w:description w:val=""/>
        <w:guid w:val="{b68c40ab-45dd-44b4-b6a5-337616fdabee}"/>
      </w:docPartPr>
      <w:docPartBody>
        <w:p w14:paraId="36D1E50E">
          <w:r>
            <w:rPr>
              <w:color w:val="808080"/>
            </w:rPr>
            <w:t>单击此处输入文字。</w:t>
          </w:r>
        </w:p>
      </w:docPartBody>
    </w:docPart>
    <w:docPart>
      <w:docPartPr>
        <w:name w:val="{5257eadb-3f9a-403e-8b63-b4014cad42b7}"/>
        <w:style w:val=""/>
        <w:category>
          <w:name w:val="常规"/>
          <w:gallery w:val="placeholder"/>
        </w:category>
        <w:types>
          <w:type w:val="bbPlcHdr"/>
        </w:types>
        <w:behaviors>
          <w:behavior w:val="content"/>
        </w:behaviors>
        <w:description w:val=""/>
        <w:guid w:val="{5257eadb-3f9a-403e-8b63-b4014cad42b7}"/>
      </w:docPartPr>
      <w:docPartBody>
        <w:p w14:paraId="21F9F39D">
          <w:r>
            <w:rPr>
              <w:color w:val="808080"/>
            </w:rPr>
            <w:t>单击此处输入文字。</w:t>
          </w:r>
        </w:p>
      </w:docPartBody>
    </w:docPart>
    <w:docPart>
      <w:docPartPr>
        <w:name w:val="{965bf384-841b-4e9f-9eca-7028a7d94f01}"/>
        <w:style w:val=""/>
        <w:category>
          <w:name w:val="常规"/>
          <w:gallery w:val="placeholder"/>
        </w:category>
        <w:types>
          <w:type w:val="bbPlcHdr"/>
        </w:types>
        <w:behaviors>
          <w:behavior w:val="content"/>
        </w:behaviors>
        <w:description w:val=""/>
        <w:guid w:val="{965bf384-841b-4e9f-9eca-7028a7d94f01}"/>
      </w:docPartPr>
      <w:docPartBody>
        <w:p w14:paraId="690BD1C0">
          <w:r>
            <w:rPr>
              <w:color w:val="808080"/>
            </w:rPr>
            <w:t>单击此处输入文字。</w:t>
          </w:r>
        </w:p>
      </w:docPartBody>
    </w:docPart>
    <w:docPart>
      <w:docPartPr>
        <w:name w:val="{b86490ce-64ff-4a16-8aa1-6d82f726c72e}"/>
        <w:style w:val=""/>
        <w:category>
          <w:name w:val="常规"/>
          <w:gallery w:val="placeholder"/>
        </w:category>
        <w:types>
          <w:type w:val="bbPlcHdr"/>
        </w:types>
        <w:behaviors>
          <w:behavior w:val="content"/>
        </w:behaviors>
        <w:description w:val=""/>
        <w:guid w:val="{b86490ce-64ff-4a16-8aa1-6d82f726c72e}"/>
      </w:docPartPr>
      <w:docPartBody>
        <w:p w14:paraId="6180E5EE">
          <w:r>
            <w:rPr>
              <w:color w:val="808080"/>
            </w:rPr>
            <w:t>单击此处输入文字。</w:t>
          </w:r>
        </w:p>
      </w:docPartBody>
    </w:docPart>
    <w:docPart>
      <w:docPartPr>
        <w:name w:val="{a20001e1-2014-4d08-9b5e-8bba516f2579}"/>
        <w:style w:val=""/>
        <w:category>
          <w:name w:val="常规"/>
          <w:gallery w:val="placeholder"/>
        </w:category>
        <w:types>
          <w:type w:val="bbPlcHdr"/>
        </w:types>
        <w:behaviors>
          <w:behavior w:val="content"/>
        </w:behaviors>
        <w:description w:val=""/>
        <w:guid w:val="{a20001e1-2014-4d08-9b5e-8bba516f2579}"/>
      </w:docPartPr>
      <w:docPartBody>
        <w:p w14:paraId="24B1BFA8">
          <w:r>
            <w:rPr>
              <w:color w:val="808080"/>
            </w:rPr>
            <w:t>单击此处输入文字。</w:t>
          </w:r>
        </w:p>
      </w:docPartBody>
    </w:docPart>
    <w:docPart>
      <w:docPartPr>
        <w:name w:val="{5ac83b22-7d13-4634-951b-5737edc6d8d5}"/>
        <w:style w:val=""/>
        <w:category>
          <w:name w:val="常规"/>
          <w:gallery w:val="placeholder"/>
        </w:category>
        <w:types>
          <w:type w:val="bbPlcHdr"/>
        </w:types>
        <w:behaviors>
          <w:behavior w:val="content"/>
        </w:behaviors>
        <w:description w:val=""/>
        <w:guid w:val="{5ac83b22-7d13-4634-951b-5737edc6d8d5}"/>
      </w:docPartPr>
      <w:docPartBody>
        <w:p w14:paraId="49CCE8B2">
          <w:r>
            <w:rPr>
              <w:color w:val="808080"/>
            </w:rPr>
            <w:t>单击此处输入文字。</w:t>
          </w:r>
        </w:p>
      </w:docPartBody>
    </w:docPart>
    <w:docPart>
      <w:docPartPr>
        <w:name w:val="{ce81625b-23e6-4260-b199-597ff2d02fa8}"/>
        <w:style w:val=""/>
        <w:category>
          <w:name w:val="常规"/>
          <w:gallery w:val="placeholder"/>
        </w:category>
        <w:types>
          <w:type w:val="bbPlcHdr"/>
        </w:types>
        <w:behaviors>
          <w:behavior w:val="content"/>
        </w:behaviors>
        <w:description w:val=""/>
        <w:guid w:val="{ce81625b-23e6-4260-b199-597ff2d02fa8}"/>
      </w:docPartPr>
      <w:docPartBody>
        <w:p w14:paraId="4DABEC6B">
          <w:r>
            <w:rPr>
              <w:color w:val="808080"/>
            </w:rPr>
            <w:t>单击此处输入文字。</w:t>
          </w:r>
        </w:p>
      </w:docPartBody>
    </w:docPart>
    <w:docPart>
      <w:docPartPr>
        <w:name w:val="{46c2ca48-8533-474e-a2b7-c025acf056e2}"/>
        <w:style w:val=""/>
        <w:category>
          <w:name w:val="常规"/>
          <w:gallery w:val="placeholder"/>
        </w:category>
        <w:types>
          <w:type w:val="bbPlcHdr"/>
        </w:types>
        <w:behaviors>
          <w:behavior w:val="content"/>
        </w:behaviors>
        <w:description w:val=""/>
        <w:guid w:val="{46c2ca48-8533-474e-a2b7-c025acf056e2}"/>
      </w:docPartPr>
      <w:docPartBody>
        <w:p w14:paraId="4E26692F">
          <w:r>
            <w:rPr>
              <w:color w:val="808080"/>
            </w:rPr>
            <w:t>单击此处输入文字。</w:t>
          </w:r>
        </w:p>
      </w:docPartBody>
    </w:docPart>
    <w:docPart>
      <w:docPartPr>
        <w:name w:val="{b325f891-7943-4e08-bd83-d649f3fa9af3}"/>
        <w:style w:val=""/>
        <w:category>
          <w:name w:val="常规"/>
          <w:gallery w:val="placeholder"/>
        </w:category>
        <w:types>
          <w:type w:val="bbPlcHdr"/>
        </w:types>
        <w:behaviors>
          <w:behavior w:val="content"/>
        </w:behaviors>
        <w:description w:val=""/>
        <w:guid w:val="{b325f891-7943-4e08-bd83-d649f3fa9af3}"/>
      </w:docPartPr>
      <w:docPartBody>
        <w:p w14:paraId="3E66B1BF">
          <w:r>
            <w:rPr>
              <w:color w:val="808080"/>
            </w:rPr>
            <w:t>单击此处输入文字。</w:t>
          </w:r>
        </w:p>
      </w:docPartBody>
    </w:docPart>
    <w:docPart>
      <w:docPartPr>
        <w:name w:val="{79959efc-cf50-4074-8470-6dd4eced305b}"/>
        <w:style w:val=""/>
        <w:category>
          <w:name w:val="常规"/>
          <w:gallery w:val="placeholder"/>
        </w:category>
        <w:types>
          <w:type w:val="bbPlcHdr"/>
        </w:types>
        <w:behaviors>
          <w:behavior w:val="content"/>
        </w:behaviors>
        <w:description w:val=""/>
        <w:guid w:val="{79959efc-cf50-4074-8470-6dd4eced305b}"/>
      </w:docPartPr>
      <w:docPartBody>
        <w:p w14:paraId="33FBEB5D">
          <w:r>
            <w:rPr>
              <w:color w:val="808080"/>
            </w:rPr>
            <w:t>单击此处输入文字。</w:t>
          </w:r>
        </w:p>
      </w:docPartBody>
    </w:docPart>
    <w:docPart>
      <w:docPartPr>
        <w:name w:val="{cfb10a0e-7967-4638-9df8-b573ed090edb}"/>
        <w:style w:val=""/>
        <w:category>
          <w:name w:val="常规"/>
          <w:gallery w:val="placeholder"/>
        </w:category>
        <w:types>
          <w:type w:val="bbPlcHdr"/>
        </w:types>
        <w:behaviors>
          <w:behavior w:val="content"/>
        </w:behaviors>
        <w:description w:val=""/>
        <w:guid w:val="{cfb10a0e-7967-4638-9df8-b573ed090edb}"/>
      </w:docPartPr>
      <w:docPartBody>
        <w:p w14:paraId="149391D6">
          <w:r>
            <w:rPr>
              <w:color w:val="808080"/>
            </w:rPr>
            <w:t>单击此处输入文字。</w:t>
          </w:r>
        </w:p>
      </w:docPartBody>
    </w:docPart>
    <w:docPart>
      <w:docPartPr>
        <w:name w:val="{1009ddec-69d1-4f49-9178-95fba149f3da}"/>
        <w:style w:val=""/>
        <w:category>
          <w:name w:val="常规"/>
          <w:gallery w:val="placeholder"/>
        </w:category>
        <w:types>
          <w:type w:val="bbPlcHdr"/>
        </w:types>
        <w:behaviors>
          <w:behavior w:val="content"/>
        </w:behaviors>
        <w:description w:val=""/>
        <w:guid w:val="{1009ddec-69d1-4f49-9178-95fba149f3da}"/>
      </w:docPartPr>
      <w:docPartBody>
        <w:p w14:paraId="14BEE667">
          <w:r>
            <w:rPr>
              <w:color w:val="808080"/>
            </w:rPr>
            <w:t>单击此处输入文字。</w:t>
          </w:r>
        </w:p>
      </w:docPartBody>
    </w:docPart>
    <w:docPart>
      <w:docPartPr>
        <w:name w:val="{1b64220d-7373-4725-b6f3-eb6b9e01ea25}"/>
        <w:style w:val=""/>
        <w:category>
          <w:name w:val="常规"/>
          <w:gallery w:val="placeholder"/>
        </w:category>
        <w:types>
          <w:type w:val="bbPlcHdr"/>
        </w:types>
        <w:behaviors>
          <w:behavior w:val="content"/>
        </w:behaviors>
        <w:description w:val=""/>
        <w:guid w:val="{1b64220d-7373-4725-b6f3-eb6b9e01ea25}"/>
      </w:docPartPr>
      <w:docPartBody>
        <w:p w14:paraId="0FA2B8C8">
          <w:r>
            <w:rPr>
              <w:color w:val="808080"/>
            </w:rPr>
            <w:t>单击此处输入文字。</w:t>
          </w:r>
        </w:p>
      </w:docPartBody>
    </w:docPart>
    <w:docPart>
      <w:docPartPr>
        <w:name w:val="{02b9308a-0f52-4b66-ab52-e584eab0f046}"/>
        <w:style w:val=""/>
        <w:category>
          <w:name w:val="常规"/>
          <w:gallery w:val="placeholder"/>
        </w:category>
        <w:types>
          <w:type w:val="bbPlcHdr"/>
        </w:types>
        <w:behaviors>
          <w:behavior w:val="content"/>
        </w:behaviors>
        <w:description w:val=""/>
        <w:guid w:val="{02b9308a-0f52-4b66-ab52-e584eab0f046}"/>
      </w:docPartPr>
      <w:docPartBody>
        <w:p w14:paraId="61B05B09">
          <w:r>
            <w:rPr>
              <w:color w:val="808080"/>
            </w:rPr>
            <w:t>单击此处输入文字。</w:t>
          </w:r>
        </w:p>
      </w:docPartBody>
    </w:docPart>
    <w:docPart>
      <w:docPartPr>
        <w:name w:val="{e14ce8a4-6e74-4944-8f5d-a63637d5d620}"/>
        <w:style w:val=""/>
        <w:category>
          <w:name w:val="常规"/>
          <w:gallery w:val="placeholder"/>
        </w:category>
        <w:types>
          <w:type w:val="bbPlcHdr"/>
        </w:types>
        <w:behaviors>
          <w:behavior w:val="content"/>
        </w:behaviors>
        <w:description w:val=""/>
        <w:guid w:val="{e14ce8a4-6e74-4944-8f5d-a63637d5d620}"/>
      </w:docPartPr>
      <w:docPartBody>
        <w:p w14:paraId="53DFFC89">
          <w:r>
            <w:rPr>
              <w:color w:val="808080"/>
            </w:rPr>
            <w:t>单击此处输入文字。</w:t>
          </w:r>
        </w:p>
      </w:docPartBody>
    </w:docPart>
    <w:docPart>
      <w:docPartPr>
        <w:name w:val="{24139814-aba7-49b5-af51-ade7173cd3ef}"/>
        <w:style w:val=""/>
        <w:category>
          <w:name w:val="常规"/>
          <w:gallery w:val="placeholder"/>
        </w:category>
        <w:types>
          <w:type w:val="bbPlcHdr"/>
        </w:types>
        <w:behaviors>
          <w:behavior w:val="content"/>
        </w:behaviors>
        <w:description w:val=""/>
        <w:guid w:val="{24139814-aba7-49b5-af51-ade7173cd3ef}"/>
      </w:docPartPr>
      <w:docPartBody>
        <w:p w14:paraId="4F892E16">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c2c9cb1c-c1c7-4c8d-938c-3cdc60b7b8e2</errorID>
      <errorWord>社会保险基金预决算</errorWord>
      <group>L1_Political</group>
      <groupName>政治性问题</groupName>
      <ability>L2_Keyword</ability>
      <abilityName>固定表述</abilityName>
      <candidateList>
        <item>社会保险基金预算</item>
      </candidateList>
      <explain>词汇“社会保险基金预算”在特定场景下为固定表述形式，请确认此处的“社会保险基金预决算”是否存在不当。</explain>
      <paraID>561804A8</paraID>
      <start>114</start>
      <end>122</end>
      <status>modified</status>
      <modifiedWord>社会保险基金预算</modifiedWord>
      <trackRevisions>false</trackRevisions>
    </reviewItem>
    <reviewItem>
      <errorID>7595706c-7816-4aeb-b976-f33a2738c37a</errorID>
      <errorWord>人力资源社会保障局</errorWord>
      <group>L1_Political</group>
      <groupName>政治性问题</groupName>
      <ability>L2_Keyword</ability>
      <abilityName>固定表述</abilityName>
      <candidateList>
        <item>人力资源和社会保障局</item>
      </candidateList>
      <explain>词汇“人力资源和社会保障局”在特定场景下为固定表述形式，请确认此处的“人力资源社会保障局”是否存在不当。</explain>
      <paraID>357AA60F</paraID>
      <start>39</start>
      <end>49</end>
      <status>modified</status>
      <modifiedWord>人力资源和社会保障局</modifiedWord>
      <trackRevisions>false</trackRevisions>
    </reviewItem>
    <reviewItem>
      <errorID>303361d2-3e68-46af-a2a3-2d33fc1a546d</errorID>
      <errorWord>人力资源社会保障局</errorWord>
      <group>L1_Political</group>
      <groupName>政治性问题</groupName>
      <ability>L2_Keyword</ability>
      <abilityName>固定表述</abilityName>
      <candidateList>
        <item>人力资源和社会保障局</item>
      </candidateList>
      <explain>词汇“人力资源和社会保障局”在特定场景下为固定表述形式，请确认此处的“人力资源社会保障局”是否存在不当。</explain>
      <paraID>357AA60F</paraID>
      <start>112</start>
      <end>122</end>
      <status>modified</status>
      <modifiedWord>人力资源和社会保障局</modifiedWord>
      <trackRevisions>false</trackRevisions>
    </reviewItem>
    <reviewItem>
      <errorID>88479e61-461a-4b8f-b3c4-ae2a02973b3c</errorID>
      <errorWord>三支一扶</errorWord>
      <group>L1_Political</group>
      <groupName>政治性问题</groupName>
      <ability>L2_Keyword</ability>
      <abilityName>固定表述</abilityName>
      <candidateList>
        <item>“三支一扶”</item>
      </candidateList>
      <explain>注意检查当前固定表述标点是否使用规范。</explain>
      <paraID>19430BC7</paraID>
      <start>82</start>
      <end>88</end>
      <status>modified</status>
      <modifiedWord>“三支一扶”</modifiedWord>
      <trackRevisions>false</trackRevisions>
    </reviewItem>
    <reviewItem>
      <errorID>4e26742a-f8e2-474c-ae11-bdb3984518d4</errorID>
      <errorWord>,</errorWord>
      <group>L1_Format</group>
      <groupName>格式问题</groupName>
      <ability>L2_HalfPunc_CN</ability>
      <abilityName>全半角问题</abilityName>
      <candidateList>
        <item>，</item>
      </candidateList>
      <explain>文本全半角错误。</explain>
      <paraID>19430BC7</paraID>
      <start>260</start>
      <end>261</end>
      <status>modified</status>
      <modifiedWord>，</modifiedWord>
      <trackRevisions>false</trackRevisions>
    </reviewItem>
    <reviewItem>
      <errorID>d4f26e6f-1912-4744-88a7-ca57b2a1fb6f</errorID>
      <errorWord>，</errorWord>
      <group>L1_Word</group>
      <groupName>字词问题</groupName>
      <ability>L2_Typo</ability>
      <abilityName>字词错误</abilityName>
      <candidateList>
        <item>，在</item>
      </candidateList>
      <explain/>
      <paraID>19430BC7</paraID>
      <start>311</start>
      <end>313</end>
      <status>modified</status>
      <modifiedWord>，在</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875821-92e0-41fa-9dc1-e1c8c16aab3b}">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5931</Words>
  <Characters>6618</Characters>
  <Lines>61</Lines>
  <Paragraphs>17</Paragraphs>
  <TotalTime>234</TotalTime>
  <ScaleCrop>false</ScaleCrop>
  <LinksUpToDate>false</LinksUpToDate>
  <CharactersWithSpaces>6684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奕夕^_^</cp:lastModifiedBy>
  <cp:lastPrinted>2025-08-06T17:34:00Z</cp:lastPrinted>
  <dcterms:modified xsi:type="dcterms:W3CDTF">2026-10-13T08:09:44Z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A7703EBEE0194FF49C4155F748AA067F_13</vt:lpwstr>
  </property>
  <property fmtid="{D5CDD505-2E9C-101B-9397-08002B2CF9AE}" pid="4" name="KSOTemplateDocerSaveRecord">
    <vt:lpwstr>eyJoZGlkIjoiNTU1MWNhN2ZmY2ZhZmY3ODhlYTg0MWU5OGMyY2QwZmUiLCJ1c2VySWQiOiI0MzQ2NTM0NzEifQ==</vt:lpwstr>
  </property>
</Properties>
</file>