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31B55B">
      <w:pPr>
        <w:pStyle w:val="7"/>
        <w:ind w:firstLine="440" w:firstLineChars="100"/>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06267"/>
      <w:bookmarkStart w:id="1" w:name="_Toc15377426"/>
      <w:bookmarkStart w:id="2" w:name="_Toc15378442"/>
      <w:bookmarkStart w:id="3" w:name="_Toc15396598"/>
      <w:bookmarkStart w:id="4" w:name="_Toc15396476"/>
      <w:bookmarkStart w:id="5" w:name="_Toc15377194"/>
    </w:p>
    <w:p w14:paraId="771CEF65">
      <w:pPr>
        <w:pStyle w:val="7"/>
        <w:ind w:firstLine="440" w:firstLineChars="100"/>
        <w:jc w:val="both"/>
        <w:rPr>
          <w:rFonts w:hint="eastAsia" w:ascii="Times New Roman" w:hAnsi="Times New Roman" w:eastAsia="方正小标宋简体" w:cs="Times New Roman"/>
          <w:color w:val="auto"/>
          <w:kern w:val="2"/>
          <w:sz w:val="44"/>
          <w:szCs w:val="44"/>
          <w:highlight w:val="none"/>
          <w:lang w:val="en-US" w:eastAsia="zh-CN" w:bidi="ar-SA"/>
        </w:rPr>
      </w:pPr>
    </w:p>
    <w:p w14:paraId="7683375C">
      <w:pPr>
        <w:pStyle w:val="7"/>
        <w:ind w:firstLine="440" w:firstLineChars="100"/>
        <w:jc w:val="both"/>
        <w:rPr>
          <w:rFonts w:hint="eastAsia" w:ascii="Times New Roman" w:hAnsi="Times New Roman" w:eastAsia="方正小标宋简体" w:cs="Times New Roman"/>
          <w:color w:val="auto"/>
          <w:kern w:val="2"/>
          <w:sz w:val="44"/>
          <w:szCs w:val="44"/>
          <w:highlight w:val="none"/>
          <w:lang w:val="en-US" w:eastAsia="zh-CN" w:bidi="ar-SA"/>
        </w:rPr>
      </w:pPr>
    </w:p>
    <w:p w14:paraId="61212FDD">
      <w:pPr>
        <w:pStyle w:val="7"/>
        <w:ind w:firstLine="440" w:firstLineChars="100"/>
        <w:jc w:val="both"/>
        <w:rPr>
          <w:rFonts w:hint="eastAsia" w:ascii="Times New Roman" w:hAnsi="Times New Roman" w:eastAsia="方正小标宋简体" w:cs="Times New Roman"/>
          <w:color w:val="auto"/>
          <w:kern w:val="2"/>
          <w:sz w:val="44"/>
          <w:szCs w:val="44"/>
          <w:highlight w:val="none"/>
          <w:lang w:val="en-US" w:eastAsia="zh-CN" w:bidi="ar-SA"/>
        </w:rPr>
      </w:pPr>
    </w:p>
    <w:p w14:paraId="54C47CE4">
      <w:pPr>
        <w:pStyle w:val="7"/>
        <w:ind w:firstLine="440" w:firstLineChars="100"/>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w:t>
      </w:r>
    </w:p>
    <w:p w14:paraId="268095B1">
      <w:pPr>
        <w:pStyle w:val="7"/>
        <w:ind w:firstLine="440" w:firstLineChars="100"/>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四川省</w:t>
      </w:r>
      <w:bookmarkEnd w:id="0"/>
      <w:bookmarkStart w:id="6" w:name="_Toc15306268"/>
      <w:r>
        <w:rPr>
          <w:rFonts w:hint="eastAsia" w:ascii="Times New Roman" w:eastAsia="方正小标宋简体" w:cs="Times New Roman"/>
          <w:color w:val="auto"/>
          <w:kern w:val="2"/>
          <w:sz w:val="44"/>
          <w:szCs w:val="44"/>
          <w:highlight w:val="none"/>
          <w:lang w:val="en-US" w:eastAsia="zh-CN" w:bidi="ar-SA"/>
        </w:rPr>
        <w:t>松潘县人力资源和社会保障局</w:t>
      </w:r>
    </w:p>
    <w:p w14:paraId="5DCD4916">
      <w:pPr>
        <w:pStyle w:val="7"/>
        <w:ind w:firstLine="440" w:firstLineChars="100"/>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1"/>
      <w:bookmarkEnd w:id="2"/>
      <w:bookmarkEnd w:id="3"/>
      <w:bookmarkEnd w:id="4"/>
      <w:bookmarkEnd w:id="5"/>
      <w:bookmarkEnd w:id="6"/>
    </w:p>
    <w:p w14:paraId="488301BF">
      <w:pPr>
        <w:widowControl/>
        <w:jc w:val="center"/>
        <w:rPr>
          <w:rFonts w:hint="eastAsia" w:ascii="Times New Roman" w:hAnsi="Times New Roman" w:eastAsia="黑体"/>
          <w:color w:val="auto"/>
          <w:sz w:val="48"/>
          <w:szCs w:val="48"/>
          <w:highlight w:val="none"/>
        </w:rPr>
      </w:pPr>
    </w:p>
    <w:p w14:paraId="09C68307">
      <w:pPr>
        <w:widowControl/>
        <w:jc w:val="center"/>
        <w:rPr>
          <w:rFonts w:hint="eastAsia" w:ascii="Times New Roman" w:hAnsi="Times New Roman" w:eastAsia="黑体"/>
          <w:color w:val="auto"/>
          <w:sz w:val="48"/>
          <w:szCs w:val="48"/>
          <w:highlight w:val="none"/>
        </w:rPr>
      </w:pPr>
    </w:p>
    <w:p w14:paraId="1E8973AA">
      <w:pPr>
        <w:widowControl/>
        <w:jc w:val="center"/>
        <w:rPr>
          <w:rFonts w:hint="eastAsia" w:ascii="Times New Roman" w:hAnsi="Times New Roman" w:eastAsia="黑体"/>
          <w:color w:val="auto"/>
          <w:sz w:val="48"/>
          <w:szCs w:val="48"/>
          <w:highlight w:val="none"/>
        </w:rPr>
      </w:pPr>
    </w:p>
    <w:p w14:paraId="7EA71D1C">
      <w:pPr>
        <w:widowControl/>
        <w:jc w:val="center"/>
        <w:rPr>
          <w:rFonts w:hint="eastAsia" w:ascii="Times New Roman" w:hAnsi="Times New Roman" w:eastAsia="黑体"/>
          <w:color w:val="auto"/>
          <w:sz w:val="48"/>
          <w:szCs w:val="48"/>
          <w:highlight w:val="none"/>
        </w:rPr>
      </w:pPr>
    </w:p>
    <w:p w14:paraId="15E24F58">
      <w:pPr>
        <w:widowControl/>
        <w:jc w:val="center"/>
        <w:rPr>
          <w:rFonts w:hint="eastAsia" w:ascii="Times New Roman" w:hAnsi="Times New Roman" w:eastAsia="黑体"/>
          <w:color w:val="auto"/>
          <w:sz w:val="48"/>
          <w:szCs w:val="48"/>
          <w:highlight w:val="none"/>
        </w:rPr>
      </w:pPr>
    </w:p>
    <w:p w14:paraId="709DD9C8">
      <w:pPr>
        <w:widowControl/>
        <w:jc w:val="center"/>
        <w:rPr>
          <w:rFonts w:hint="eastAsia" w:ascii="Times New Roman" w:hAnsi="Times New Roman" w:eastAsia="黑体"/>
          <w:color w:val="auto"/>
          <w:sz w:val="48"/>
          <w:szCs w:val="48"/>
          <w:highlight w:val="none"/>
        </w:rPr>
      </w:pPr>
    </w:p>
    <w:p w14:paraId="7E2DA6F4">
      <w:pPr>
        <w:widowControl/>
        <w:jc w:val="center"/>
        <w:rPr>
          <w:rFonts w:hint="eastAsia" w:ascii="Times New Roman" w:hAnsi="Times New Roman" w:eastAsia="黑体"/>
          <w:color w:val="auto"/>
          <w:sz w:val="48"/>
          <w:szCs w:val="48"/>
          <w:highlight w:val="none"/>
        </w:rPr>
      </w:pPr>
    </w:p>
    <w:p w14:paraId="249331CE">
      <w:pPr>
        <w:widowControl/>
        <w:jc w:val="center"/>
        <w:rPr>
          <w:rFonts w:hint="eastAsia" w:ascii="Times New Roman" w:hAnsi="Times New Roman" w:eastAsia="黑体"/>
          <w:color w:val="auto"/>
          <w:sz w:val="48"/>
          <w:szCs w:val="48"/>
          <w:highlight w:val="none"/>
        </w:rPr>
      </w:pPr>
    </w:p>
    <w:p w14:paraId="317E9B44">
      <w:pPr>
        <w:widowControl/>
        <w:jc w:val="center"/>
        <w:rPr>
          <w:rFonts w:hint="eastAsia" w:ascii="Times New Roman" w:hAnsi="Times New Roman" w:eastAsia="黑体"/>
          <w:color w:val="auto"/>
          <w:sz w:val="48"/>
          <w:szCs w:val="48"/>
          <w:highlight w:val="none"/>
        </w:rPr>
      </w:pPr>
    </w:p>
    <w:p w14:paraId="5855392E">
      <w:pPr>
        <w:widowControl/>
        <w:jc w:val="center"/>
        <w:rPr>
          <w:rFonts w:hint="eastAsia" w:ascii="Times New Roman" w:hAnsi="Times New Roman" w:eastAsia="黑体"/>
          <w:color w:val="auto"/>
          <w:sz w:val="48"/>
          <w:szCs w:val="48"/>
          <w:highlight w:val="none"/>
        </w:rPr>
      </w:pPr>
    </w:p>
    <w:p w14:paraId="1D1669D0">
      <w:pPr>
        <w:widowControl/>
        <w:jc w:val="center"/>
        <w:rPr>
          <w:rFonts w:hint="eastAsia" w:ascii="Times New Roman" w:hAnsi="Times New Roman" w:eastAsia="黑体"/>
          <w:color w:val="auto"/>
          <w:sz w:val="48"/>
          <w:szCs w:val="48"/>
          <w:highlight w:val="none"/>
        </w:rPr>
      </w:pPr>
    </w:p>
    <w:p w14:paraId="756F951D">
      <w:pPr>
        <w:widowControl/>
        <w:jc w:val="center"/>
        <w:rPr>
          <w:rFonts w:hint="eastAsia" w:ascii="Times New Roman" w:hAnsi="Times New Roman" w:eastAsia="黑体"/>
          <w:color w:val="auto"/>
          <w:sz w:val="48"/>
          <w:szCs w:val="48"/>
          <w:highlight w:val="none"/>
        </w:rPr>
      </w:pPr>
    </w:p>
    <w:p w14:paraId="6CB2EC00">
      <w:pPr>
        <w:widowControl/>
        <w:jc w:val="center"/>
        <w:rPr>
          <w:rFonts w:hint="eastAsia" w:ascii="Times New Roman" w:hAnsi="Times New Roman" w:eastAsia="黑体"/>
          <w:color w:val="auto"/>
          <w:sz w:val="48"/>
          <w:szCs w:val="48"/>
          <w:highlight w:val="none"/>
        </w:rPr>
      </w:pPr>
    </w:p>
    <w:p w14:paraId="705469D2">
      <w:pPr>
        <w:widowControl/>
        <w:jc w:val="center"/>
        <w:rPr>
          <w:rFonts w:hint="eastAsia" w:ascii="Times New Roman" w:hAnsi="Times New Roman" w:eastAsia="黑体"/>
          <w:color w:val="auto"/>
          <w:sz w:val="48"/>
          <w:szCs w:val="48"/>
          <w:highlight w:val="none"/>
        </w:rPr>
      </w:pPr>
    </w:p>
    <w:p w14:paraId="0284D388">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4B291BD">
      <w:pPr>
        <w:widowControl/>
        <w:jc w:val="center"/>
        <w:rPr>
          <w:rFonts w:ascii="Times New Roman" w:hAnsi="Times New Roman" w:eastAsia="黑体" w:cstheme="minorBidi"/>
          <w:color w:val="auto"/>
          <w:sz w:val="28"/>
          <w:szCs w:val="28"/>
          <w:highlight w:val="none"/>
        </w:rPr>
      </w:pPr>
    </w:p>
    <w:p w14:paraId="210B68AC">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13</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70739"/>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28E57A89">
          <w:pPr>
            <w:spacing w:before="0" w:beforeLines="0" w:after="0" w:afterLines="0" w:line="240" w:lineRule="auto"/>
            <w:ind w:left="0" w:leftChars="0" w:right="0" w:rightChars="0" w:firstLine="0" w:firstLineChars="0"/>
            <w:jc w:val="center"/>
          </w:pPr>
          <w:bookmarkStart w:id="7" w:name="_Toc30093_WPSOffice_Type2"/>
        </w:p>
        <w:p w14:paraId="24C81328">
          <w:pPr>
            <w:pStyle w:val="36"/>
            <w:tabs>
              <w:tab w:val="right" w:leader="dot" w:pos="8306"/>
            </w:tabs>
          </w:pPr>
          <w:r>
            <w:rPr>
              <w:b/>
              <w:bCs/>
            </w:rPr>
            <w:fldChar w:fldCharType="begin"/>
          </w:r>
          <w:r>
            <w:instrText xml:space="preserve"> HYPERLINK \l _Toc871_WPSOffice_Level1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6382"/>
              <w:placeholder>
                <w:docPart w:val="{68b6fd89-4b51-4ce3-8fea-fed17eaff814}"/>
              </w:placeholder>
            </w:sdtPr>
            <w:sdtEndPr>
              <w:rPr>
                <w:rFonts w:hint="eastAsia" w:ascii="Times New Roman" w:hAnsi="Times New Roman" w:eastAsia="黑体" w:cs="黑体"/>
                <w:b/>
                <w:bCs/>
                <w:color w:val="auto"/>
                <w:kern w:val="2"/>
                <w:sz w:val="32"/>
                <w:szCs w:val="32"/>
                <w:highlight w:val="none"/>
                <w:lang w:val="en-US" w:eastAsia="zh-CN" w:bidi="ar-SA"/>
              </w:rPr>
            </w:sdtEndPr>
            <w:sdtContent>
              <w:r>
                <w:rPr>
                  <w:rFonts w:hint="eastAsia" w:ascii="Times New Roman" w:hAnsi="Times New Roman" w:eastAsia="黑体" w:cs="黑体"/>
                  <w:color w:val="auto"/>
                  <w:kern w:val="2"/>
                  <w:sz w:val="32"/>
                  <w:szCs w:val="32"/>
                  <w:highlight w:val="none"/>
                  <w:lang w:val="en-US" w:eastAsia="zh-CN" w:bidi="ar-SA"/>
                </w:rPr>
                <w:t>第一部分  部门概况</w:t>
              </w:r>
            </w:sdtContent>
          </w:sdt>
          <w:r>
            <w:rPr>
              <w:rFonts w:hint="eastAsia" w:ascii="Times New Roman" w:hAnsi="Times New Roman" w:eastAsia="黑体" w:cs="黑体"/>
              <w:color w:val="auto"/>
              <w:kern w:val="2"/>
              <w:sz w:val="32"/>
              <w:szCs w:val="32"/>
              <w:highlight w:val="none"/>
              <w:lang w:val="en-US" w:eastAsia="zh-CN" w:bidi="ar-SA"/>
            </w:rPr>
            <w:tab/>
          </w:r>
          <w:r>
            <w:rPr>
              <w:rFonts w:hint="eastAsia" w:ascii="Times New Roman" w:hAnsi="Times New Roman" w:eastAsia="黑体" w:cs="黑体"/>
              <w:color w:val="auto"/>
              <w:kern w:val="2"/>
              <w:sz w:val="32"/>
              <w:szCs w:val="32"/>
              <w:highlight w:val="none"/>
              <w:lang w:val="en-US" w:eastAsia="zh-CN" w:bidi="ar-SA"/>
            </w:rPr>
            <w:t>4</w:t>
          </w:r>
          <w:r>
            <w:rPr>
              <w:b/>
              <w:bCs/>
            </w:rPr>
            <w:fldChar w:fldCharType="end"/>
          </w:r>
        </w:p>
        <w:p w14:paraId="44A2DBB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_Toc30093_WPSOffice_Level2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53175"/>
              <w:placeholder>
                <w:docPart w:val="{141309fb-10fc-47b3-a4ea-76bf020d4326}"/>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一、 部门职责</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fldChar w:fldCharType="end"/>
          </w:r>
        </w:p>
        <w:p w14:paraId="5A3FEBB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_Toc14227_WPSOffice_Level2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70437"/>
              <w:placeholder>
                <w:docPart w:val="{f03d1696-7475-4e98-8ff1-ca0ce8d0cee0}"/>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二、 机构设置</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7</w:t>
          </w:r>
          <w:r>
            <w:rPr>
              <w:rFonts w:hint="eastAsia" w:ascii="Times New Roman" w:hAnsi="Times New Roman" w:eastAsia="仿宋_GB2312" w:cs="仿宋_GB2312"/>
              <w:color w:val="auto"/>
              <w:sz w:val="32"/>
              <w:szCs w:val="32"/>
              <w:highlight w:val="none"/>
            </w:rPr>
            <w:fldChar w:fldCharType="end"/>
          </w:r>
        </w:p>
        <w:p w14:paraId="7BA7CA15">
          <w:pPr>
            <w:pStyle w:val="36"/>
            <w:tabs>
              <w:tab w:val="right" w:leader="dot" w:pos="8306"/>
            </w:tabs>
          </w:pPr>
          <w:r>
            <w:rPr>
              <w:b/>
              <w:bCs/>
            </w:rPr>
            <w:fldChar w:fldCharType="begin"/>
          </w:r>
          <w:r>
            <w:instrText xml:space="preserve"> HYPERLINK \l _Toc30093_WPSOffice_Level1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82498"/>
              <w:placeholder>
                <w:docPart w:val="{c0f5f865-82f5-4942-988a-62c4695924a7}"/>
              </w:placeholder>
            </w:sdtPr>
            <w:sdtEndPr>
              <w:rPr>
                <w:rFonts w:hint="eastAsia" w:ascii="Times New Roman" w:hAnsi="Times New Roman" w:eastAsia="黑体" w:cs="黑体"/>
                <w:b/>
                <w:bCs/>
                <w:color w:val="auto"/>
                <w:kern w:val="2"/>
                <w:sz w:val="32"/>
                <w:szCs w:val="32"/>
                <w:highlight w:val="none"/>
                <w:lang w:val="en-US" w:eastAsia="zh-CN" w:bidi="ar-SA"/>
              </w:rPr>
            </w:sdtEndPr>
            <w:sdtContent>
              <w:r>
                <w:rPr>
                  <w:rFonts w:hint="eastAsia" w:ascii="Times New Roman" w:hAnsi="Times New Roman" w:eastAsia="黑体" w:cs="黑体"/>
                  <w:color w:val="auto"/>
                  <w:kern w:val="2"/>
                  <w:sz w:val="32"/>
                  <w:szCs w:val="32"/>
                  <w:highlight w:val="none"/>
                  <w:lang w:val="en-US" w:eastAsia="zh-CN" w:bidi="ar-SA"/>
                </w:rPr>
                <w:t>第二部分  2025年度部门决算情况说明</w:t>
              </w:r>
            </w:sdtContent>
          </w:sdt>
          <w:r>
            <w:rPr>
              <w:rFonts w:hint="eastAsia" w:ascii="Times New Roman" w:hAnsi="Times New Roman" w:eastAsia="黑体" w:cs="黑体"/>
              <w:color w:val="auto"/>
              <w:kern w:val="2"/>
              <w:sz w:val="32"/>
              <w:szCs w:val="32"/>
              <w:highlight w:val="none"/>
              <w:lang w:val="en-US" w:eastAsia="zh-CN" w:bidi="ar-SA"/>
            </w:rPr>
            <w:tab/>
          </w:r>
          <w:r>
            <w:rPr>
              <w:rFonts w:hint="eastAsia" w:ascii="Times New Roman" w:hAnsi="Times New Roman" w:eastAsia="黑体" w:cs="黑体"/>
              <w:color w:val="auto"/>
              <w:kern w:val="2"/>
              <w:sz w:val="32"/>
              <w:szCs w:val="32"/>
              <w:highlight w:val="none"/>
              <w:lang w:val="en-US" w:eastAsia="zh-CN" w:bidi="ar-SA"/>
            </w:rPr>
            <w:t>8</w:t>
          </w:r>
          <w:r>
            <w:rPr>
              <w:b/>
              <w:bCs/>
            </w:rPr>
            <w:fldChar w:fldCharType="end"/>
          </w:r>
        </w:p>
        <w:p w14:paraId="366E5CD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_Toc20657_WPSOffice_Level2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67586"/>
              <w:placeholder>
                <w:docPart w:val="{3a1ce3c2-6dda-48a6-ba85-b20ee2e8382d}"/>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一、收入支出决算总体情况说明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rPr>
            <w:fldChar w:fldCharType="end"/>
          </w:r>
        </w:p>
        <w:p w14:paraId="506AC55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_Toc3509_WPSOffice_Level2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81799"/>
              <w:placeholder>
                <w:docPart w:val="{df355f67-313a-4c09-8d4b-02c813a366db}"/>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二、收入决算情况说明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fldChar w:fldCharType="end"/>
          </w:r>
        </w:p>
        <w:p w14:paraId="32E5043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_Toc3008_WPSOffice_Level2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79996"/>
              <w:placeholder>
                <w:docPart w:val="{8d5146a0-3e0e-4405-99c1-e7a17d211386}"/>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三、支出决算情况说明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fldChar w:fldCharType="end"/>
          </w:r>
        </w:p>
        <w:p w14:paraId="1E28A44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_Toc18378_WPSOffice_Level2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65954"/>
              <w:placeholder>
                <w:docPart w:val="{3cd8c0c3-610e-4dc3-9bfe-6b663295f21a}"/>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四、财政拨款收入支出决算总体情况说明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fldChar w:fldCharType="end"/>
          </w:r>
        </w:p>
        <w:p w14:paraId="247430C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_Toc12504_WPSOffice_Level2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70256"/>
              <w:placeholder>
                <w:docPart w:val="{397ef5f4-f584-4a4d-a28d-5803faa9746e}"/>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五、一般公共预算财政拨款支出决算情况说明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fldChar w:fldCharType="end"/>
          </w:r>
        </w:p>
        <w:p w14:paraId="4885E1B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_Toc7965_WPSOffice_Level2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82521"/>
              <w:placeholder>
                <w:docPart w:val="{8f9e69d4-95c7-4adf-96a4-1fe9a0c4fc1f}"/>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六、一般公共预算财政拨款基本支出决算情况说明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0</w:t>
          </w:r>
        </w:p>
        <w:p w14:paraId="4522963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_Toc5429_WPSOffice_Level2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54897"/>
              <w:placeholder>
                <w:docPart w:val="{7385d782-6233-49c8-89e8-5c986d65ba0d}"/>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七、财政拨款“三公”经费支出决算情况说明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1</w:t>
          </w:r>
        </w:p>
        <w:p w14:paraId="4D5F9B4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_Toc30886_WPSOffice_Level2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69185"/>
              <w:placeholder>
                <w:docPart w:val="{6f1ac6b6-c1b3-48eb-ada1-334f48716980}"/>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八、政府性基金预算支出决算情况说明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2</w:t>
          </w:r>
        </w:p>
        <w:p w14:paraId="757ABFE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_Toc9174_WPSOffice_Level2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76760"/>
              <w:placeholder>
                <w:docPart w:val="{1d9149a1-f364-416b-9afe-6cb21550e3e0}"/>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九、国有资本经营预算支出决算情况说明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2</w:t>
          </w:r>
        </w:p>
        <w:p w14:paraId="35B5587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eastAsia="仿宋_GB2312"/>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_Toc28078_WPSOffice_Level2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57357"/>
              <w:placeholder>
                <w:docPart w:val="{6c3964db-ba39-457f-a738-7f776f5749ce}"/>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十、其他重要事项的情况说明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2</w:t>
          </w:r>
        </w:p>
        <w:p w14:paraId="78A743D3">
          <w:pPr>
            <w:pStyle w:val="36"/>
            <w:tabs>
              <w:tab w:val="right" w:leader="dot" w:pos="8306"/>
            </w:tabs>
            <w:rPr>
              <w:rFonts w:hint="eastAsia" w:ascii="Times New Roman" w:hAnsi="Times New Roman" w:eastAsia="黑体" w:cs="黑体"/>
              <w:color w:val="auto"/>
              <w:kern w:val="2"/>
              <w:sz w:val="32"/>
              <w:szCs w:val="32"/>
              <w:highlight w:val="none"/>
              <w:lang w:val="en-US" w:eastAsia="zh-CN" w:bidi="ar-SA"/>
            </w:rPr>
          </w:pPr>
          <w:r>
            <w:rPr>
              <w:rFonts w:hint="eastAsia" w:ascii="Times New Roman" w:hAnsi="Times New Roman" w:eastAsia="黑体" w:cs="黑体"/>
              <w:color w:val="auto"/>
              <w:kern w:val="2"/>
              <w:sz w:val="32"/>
              <w:szCs w:val="32"/>
              <w:highlight w:val="none"/>
              <w:lang w:val="en-US" w:eastAsia="zh-CN" w:bidi="ar-SA"/>
            </w:rPr>
            <w:fldChar w:fldCharType="begin"/>
          </w:r>
          <w:r>
            <w:rPr>
              <w:rFonts w:hint="eastAsia" w:ascii="Times New Roman" w:hAnsi="Times New Roman" w:eastAsia="黑体" w:cs="黑体"/>
              <w:color w:val="auto"/>
              <w:kern w:val="2"/>
              <w:sz w:val="32"/>
              <w:szCs w:val="32"/>
              <w:highlight w:val="none"/>
              <w:lang w:val="en-US" w:eastAsia="zh-CN" w:bidi="ar-SA"/>
            </w:rPr>
            <w:instrText xml:space="preserve"> HYPERLINK \l _Toc14227_WPSOffice_Level1 </w:instrText>
          </w:r>
          <w:r>
            <w:rPr>
              <w:rFonts w:hint="eastAsia" w:ascii="Times New Roman" w:hAnsi="Times New Roman" w:eastAsia="黑体" w:cs="黑体"/>
              <w:color w:val="auto"/>
              <w:kern w:val="2"/>
              <w:sz w:val="32"/>
              <w:szCs w:val="32"/>
              <w:highlight w:val="none"/>
              <w:lang w:val="en-US" w:eastAsia="zh-CN" w:bidi="ar-SA"/>
            </w:rPr>
            <w:fldChar w:fldCharType="separate"/>
          </w:r>
          <w:sdt>
            <w:sdtPr>
              <w:rPr>
                <w:rFonts w:hint="eastAsia" w:ascii="Times New Roman" w:hAnsi="Times New Roman" w:eastAsia="黑体" w:cs="黑体"/>
                <w:color w:val="auto"/>
                <w:kern w:val="2"/>
                <w:sz w:val="32"/>
                <w:szCs w:val="32"/>
                <w:highlight w:val="none"/>
                <w:lang w:val="en-US" w:eastAsia="zh-CN" w:bidi="ar-SA"/>
              </w:rPr>
              <w:id w:val="147451282"/>
              <w:placeholder>
                <w:docPart w:val="{ac10bf62-f4fd-4767-92eb-62dfa5881d52}"/>
              </w:placeholder>
            </w:sdtPr>
            <w:sdtEndPr>
              <w:rPr>
                <w:rFonts w:hint="eastAsia" w:ascii="Times New Roman" w:hAnsi="Times New Roman" w:eastAsia="黑体" w:cs="黑体"/>
                <w:color w:val="auto"/>
                <w:kern w:val="2"/>
                <w:sz w:val="32"/>
                <w:szCs w:val="32"/>
                <w:highlight w:val="none"/>
                <w:lang w:val="en-US" w:eastAsia="zh-CN" w:bidi="ar-SA"/>
              </w:rPr>
            </w:sdtEndPr>
            <w:sdtContent>
              <w:r>
                <w:rPr>
                  <w:rFonts w:hint="eastAsia" w:ascii="Times New Roman" w:hAnsi="Times New Roman" w:eastAsia="黑体" w:cs="黑体"/>
                  <w:color w:val="auto"/>
                  <w:kern w:val="2"/>
                  <w:sz w:val="32"/>
                  <w:szCs w:val="32"/>
                  <w:highlight w:val="none"/>
                  <w:lang w:val="en-US" w:eastAsia="zh-CN" w:bidi="ar-SA"/>
                </w:rPr>
                <w:t>第三部分  名词解释</w:t>
              </w:r>
            </w:sdtContent>
          </w:sdt>
          <w:r>
            <w:rPr>
              <w:rFonts w:hint="eastAsia" w:ascii="Times New Roman" w:hAnsi="Times New Roman" w:eastAsia="黑体" w:cs="黑体"/>
              <w:color w:val="auto"/>
              <w:kern w:val="2"/>
              <w:sz w:val="32"/>
              <w:szCs w:val="32"/>
              <w:highlight w:val="none"/>
              <w:lang w:val="en-US" w:eastAsia="zh-CN" w:bidi="ar-SA"/>
            </w:rPr>
            <w:tab/>
          </w:r>
          <w:r>
            <w:rPr>
              <w:rFonts w:hint="eastAsia" w:ascii="Times New Roman" w:hAnsi="Times New Roman" w:eastAsia="黑体" w:cs="黑体"/>
              <w:color w:val="auto"/>
              <w:kern w:val="2"/>
              <w:sz w:val="32"/>
              <w:szCs w:val="32"/>
              <w:highlight w:val="none"/>
              <w:lang w:val="en-US" w:eastAsia="zh-CN" w:bidi="ar-SA"/>
            </w:rPr>
            <w:t>1</w:t>
          </w:r>
          <w:r>
            <w:rPr>
              <w:rFonts w:hint="eastAsia" w:ascii="Times New Roman" w:hAnsi="Times New Roman" w:eastAsia="黑体" w:cs="黑体"/>
              <w:color w:val="auto"/>
              <w:kern w:val="2"/>
              <w:sz w:val="32"/>
              <w:szCs w:val="32"/>
              <w:highlight w:val="none"/>
              <w:lang w:val="en-US" w:eastAsia="zh-CN" w:bidi="ar-SA"/>
            </w:rPr>
            <w:fldChar w:fldCharType="end"/>
          </w:r>
          <w:r>
            <w:rPr>
              <w:rFonts w:hint="eastAsia" w:ascii="Times New Roman" w:hAnsi="Times New Roman" w:eastAsia="黑体" w:cs="黑体"/>
              <w:color w:val="auto"/>
              <w:kern w:val="2"/>
              <w:sz w:val="32"/>
              <w:szCs w:val="32"/>
              <w:highlight w:val="none"/>
              <w:lang w:val="en-US" w:eastAsia="zh-CN" w:bidi="ar-SA"/>
            </w:rPr>
            <w:t>3</w:t>
          </w:r>
        </w:p>
        <w:p w14:paraId="082CA429">
          <w:pPr>
            <w:pStyle w:val="36"/>
            <w:tabs>
              <w:tab w:val="right" w:leader="dot" w:pos="8306"/>
            </w:tabs>
            <w:rPr>
              <w:lang w:val="en-US"/>
            </w:rPr>
          </w:pPr>
          <w:r>
            <w:rPr>
              <w:rFonts w:hint="eastAsia" w:ascii="Times New Roman" w:hAnsi="Times New Roman" w:eastAsia="黑体" w:cs="黑体"/>
              <w:color w:val="auto"/>
              <w:kern w:val="2"/>
              <w:sz w:val="32"/>
              <w:szCs w:val="32"/>
              <w:highlight w:val="none"/>
              <w:lang w:val="en-US" w:eastAsia="zh-CN" w:bidi="ar-SA"/>
            </w:rPr>
            <w:fldChar w:fldCharType="begin"/>
          </w:r>
          <w:r>
            <w:rPr>
              <w:rFonts w:hint="eastAsia" w:ascii="Times New Roman" w:hAnsi="Times New Roman" w:eastAsia="黑体" w:cs="黑体"/>
              <w:color w:val="auto"/>
              <w:kern w:val="2"/>
              <w:sz w:val="32"/>
              <w:szCs w:val="32"/>
              <w:highlight w:val="none"/>
              <w:lang w:val="en-US" w:eastAsia="zh-CN" w:bidi="ar-SA"/>
            </w:rPr>
            <w:instrText xml:space="preserve"> HYPERLINK \l _Toc20657_WPSOffice_Level1 </w:instrText>
          </w:r>
          <w:r>
            <w:rPr>
              <w:rFonts w:hint="eastAsia" w:ascii="Times New Roman" w:hAnsi="Times New Roman" w:eastAsia="黑体" w:cs="黑体"/>
              <w:color w:val="auto"/>
              <w:kern w:val="2"/>
              <w:sz w:val="32"/>
              <w:szCs w:val="32"/>
              <w:highlight w:val="none"/>
              <w:lang w:val="en-US" w:eastAsia="zh-CN" w:bidi="ar-SA"/>
            </w:rPr>
            <w:fldChar w:fldCharType="separate"/>
          </w:r>
          <w:sdt>
            <w:sdtPr>
              <w:rPr>
                <w:rFonts w:hint="eastAsia" w:ascii="Times New Roman" w:hAnsi="Times New Roman" w:eastAsia="黑体" w:cs="黑体"/>
                <w:color w:val="auto"/>
                <w:kern w:val="2"/>
                <w:sz w:val="32"/>
                <w:szCs w:val="32"/>
                <w:highlight w:val="none"/>
                <w:lang w:val="en-US" w:eastAsia="zh-CN" w:bidi="ar-SA"/>
              </w:rPr>
              <w:id w:val="147481249"/>
              <w:placeholder>
                <w:docPart w:val="{2fd56b3b-681f-4391-978a-3dd0b5fcbf75}"/>
              </w:placeholder>
            </w:sdtPr>
            <w:sdtEndPr>
              <w:rPr>
                <w:rFonts w:hint="eastAsia" w:ascii="Times New Roman" w:hAnsi="Times New Roman" w:eastAsia="黑体" w:cs="黑体"/>
                <w:color w:val="auto"/>
                <w:kern w:val="2"/>
                <w:sz w:val="32"/>
                <w:szCs w:val="32"/>
                <w:highlight w:val="none"/>
                <w:lang w:val="en-US" w:eastAsia="zh-CN" w:bidi="ar-SA"/>
              </w:rPr>
            </w:sdtEndPr>
            <w:sdtContent>
              <w:r>
                <w:rPr>
                  <w:rFonts w:hint="eastAsia" w:ascii="Times New Roman" w:hAnsi="Times New Roman" w:eastAsia="黑体" w:cs="黑体"/>
                  <w:color w:val="auto"/>
                  <w:kern w:val="2"/>
                  <w:sz w:val="32"/>
                  <w:szCs w:val="32"/>
                  <w:highlight w:val="none"/>
                  <w:lang w:val="en-US" w:eastAsia="zh-CN" w:bidi="ar-SA"/>
                </w:rPr>
                <w:t>第四部分 附表</w:t>
              </w:r>
            </w:sdtContent>
          </w:sdt>
          <w:r>
            <w:rPr>
              <w:rFonts w:hint="eastAsia" w:ascii="Times New Roman" w:hAnsi="Times New Roman" w:eastAsia="黑体" w:cs="黑体"/>
              <w:color w:val="auto"/>
              <w:kern w:val="2"/>
              <w:sz w:val="32"/>
              <w:szCs w:val="32"/>
              <w:highlight w:val="none"/>
              <w:lang w:val="en-US" w:eastAsia="zh-CN" w:bidi="ar-SA"/>
            </w:rPr>
            <w:tab/>
          </w:r>
          <w:r>
            <w:rPr>
              <w:rFonts w:hint="eastAsia" w:ascii="Times New Roman" w:hAnsi="Times New Roman" w:eastAsia="黑体" w:cs="黑体"/>
              <w:color w:val="auto"/>
              <w:kern w:val="2"/>
              <w:sz w:val="32"/>
              <w:szCs w:val="32"/>
              <w:highlight w:val="none"/>
              <w:lang w:val="en-US" w:eastAsia="zh-CN" w:bidi="ar-SA"/>
            </w:rPr>
            <w:t>1</w:t>
          </w:r>
          <w:r>
            <w:rPr>
              <w:rFonts w:hint="eastAsia" w:ascii="Times New Roman" w:hAnsi="Times New Roman" w:eastAsia="黑体" w:cs="黑体"/>
              <w:color w:val="auto"/>
              <w:kern w:val="2"/>
              <w:sz w:val="32"/>
              <w:szCs w:val="32"/>
              <w:highlight w:val="none"/>
              <w:lang w:val="en-US" w:eastAsia="zh-CN" w:bidi="ar-SA"/>
            </w:rPr>
            <w:fldChar w:fldCharType="end"/>
          </w:r>
          <w:r>
            <w:rPr>
              <w:rFonts w:hint="eastAsia" w:ascii="Times New Roman" w:hAnsi="Times New Roman" w:eastAsia="黑体" w:cs="黑体"/>
              <w:color w:val="auto"/>
              <w:kern w:val="2"/>
              <w:sz w:val="32"/>
              <w:szCs w:val="32"/>
              <w:highlight w:val="none"/>
              <w:lang w:val="en-US" w:eastAsia="zh-CN" w:bidi="ar-SA"/>
            </w:rPr>
            <w:t>5</w:t>
          </w:r>
        </w:p>
        <w:p w14:paraId="7E2AA98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_Toc2586_WPSOffice_Level2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57065"/>
              <w:placeholder>
                <w:docPart w:val="{a8f054e8-1070-413b-b847-ec3bb9d75653}"/>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一、收入支出决算总表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221EA1F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_Toc29292_WPSOffice_Level2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72002"/>
              <w:placeholder>
                <w:docPart w:val="{ee3ce641-1204-4d7a-b0f3-323d1e052109}"/>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二、收入决算表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3744D9E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_Toc15978_WPSOffice_Level2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59957"/>
              <w:placeholder>
                <w:docPart w:val="{3a93d0e9-79df-4644-a5da-173ffba0d8b2}"/>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三、支出决算表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4D731C7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_Toc21121_WPSOffice_Level2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73974"/>
              <w:placeholder>
                <w:docPart w:val="{bdba9d54-3adb-407a-a36b-78e79221f005}"/>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四、财政拨款收入支出决算总表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1B4D383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_Toc22840_WPSOffice_Level2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82743"/>
              <w:placeholder>
                <w:docPart w:val="{a377ac73-f54b-4654-8ea7-28f52e668410}"/>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五、财政拨款支出决算明细表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36F4436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_Toc14990_WPSOffice_Level2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65266"/>
              <w:placeholder>
                <w:docPart w:val="{a5b57e06-626e-4781-a5ce-f2b4aa372d94}"/>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六、一般公共预算财政拨款支出决算表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28560B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_Toc15055_WPSOffice_Level2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82459"/>
              <w:placeholder>
                <w:docPart w:val="{008c6c50-3751-4d46-a45d-3fb2d864921f}"/>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七、一般公共预算财政拨款支出决算明细表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441D5BC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_Toc32562_WPSOffice_Level2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80934"/>
              <w:placeholder>
                <w:docPart w:val="{fbc74b66-7492-42b1-ae4a-a0f74fa3da52}"/>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八、一般公共预算财政拨款基本支出决算表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4B279F9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_Toc3274_WPSOffice_Level2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53186"/>
              <w:placeholder>
                <w:docPart w:val="{bc2d17c9-55cc-4d35-b9c0-6792c9c34bfb}"/>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九、一般公共预算财政拨款项目支出决算表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38AC9C0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_Toc5421_WPSOffice_Level2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60108"/>
              <w:placeholder>
                <w:docPart w:val="{c7cd0ca8-4095-4d57-811d-6f83856fc302}"/>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十、政府性基金预算财政拨款收入支出决算表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110611E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_Toc25651_WPSOffice_Level2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50917"/>
              <w:placeholder>
                <w:docPart w:val="{1ebb7914-439d-450d-b371-a79eaf46f893}"/>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十一、国有资本经营预算财政拨款收入支出决算表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13179E1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_Toc2950_WPSOffice_Level2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56961"/>
              <w:placeholder>
                <w:docPart w:val="{b74f275b-22ca-43db-a1e4-84a48cd86988}"/>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十二、国有资本经营预算财政拨款支出决算表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7741591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_Toc12687_WPSOffice_Level2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80194"/>
              <w:placeholder>
                <w:docPart w:val="{5fe81ebf-1f85-4333-84ba-680177eca5b2}"/>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十三、财政拨款“三公”经费支出决算表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bookmarkEnd w:id="7"/>
          <w:r>
            <w:rPr>
              <w:rFonts w:hint="eastAsia" w:eastAsia="仿宋_GB2312" w:cs="仿宋_GB2312"/>
              <w:color w:val="auto"/>
              <w:sz w:val="32"/>
              <w:szCs w:val="32"/>
              <w:highlight w:val="none"/>
              <w:lang w:val="en-US" w:eastAsia="zh-CN"/>
            </w:rPr>
            <w:t>5</w:t>
          </w:r>
        </w:p>
      </w:sdtContent>
    </w:sdt>
    <w:p w14:paraId="1B14C406">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7624A4D2">
      <w:pPr>
        <w:pStyle w:val="4"/>
        <w:jc w:val="center"/>
        <w:rPr>
          <w:rFonts w:ascii="Times New Roman" w:hAnsi="Times New Roman" w:eastAsia="黑体"/>
          <w:color w:val="auto"/>
          <w:sz w:val="32"/>
          <w:szCs w:val="32"/>
          <w:highlight w:val="none"/>
        </w:rPr>
      </w:pPr>
      <w:bookmarkStart w:id="8" w:name="_Toc871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eastAsia="方正小标宋简体" w:cs="方正小标宋简体"/>
          <w:b w:val="0"/>
          <w:bCs w:val="0"/>
          <w:color w:val="auto"/>
          <w:highlight w:val="none"/>
          <w:lang w:eastAsia="zh-CN"/>
        </w:rPr>
        <w:t>部门</w:t>
      </w:r>
      <w:r>
        <w:rPr>
          <w:rStyle w:val="28"/>
          <w:rFonts w:hint="eastAsia" w:ascii="Times New Roman" w:hAnsi="Times New Roman" w:eastAsia="方正小标宋简体" w:cs="方正小标宋简体"/>
          <w:b w:val="0"/>
          <w:bCs w:val="0"/>
          <w:color w:val="auto"/>
          <w:highlight w:val="none"/>
        </w:rPr>
        <w:t>概况</w:t>
      </w:r>
      <w:bookmarkEnd w:id="8"/>
    </w:p>
    <w:p w14:paraId="5543E5A0">
      <w:pPr>
        <w:pStyle w:val="5"/>
        <w:numPr>
          <w:ilvl w:val="0"/>
          <w:numId w:val="1"/>
        </w:numPr>
        <w:rPr>
          <w:rFonts w:hint="eastAsia" w:ascii="Times New Roman" w:hAnsi="Times New Roman" w:eastAsia="黑体"/>
          <w:b w:val="0"/>
          <w:color w:val="auto"/>
          <w:highlight w:val="none"/>
          <w:lang w:eastAsia="zh-CN"/>
        </w:rPr>
      </w:pPr>
      <w:bookmarkStart w:id="9" w:name="_Toc30093_WPSOffice_Level2"/>
      <w:r>
        <w:rPr>
          <w:rFonts w:hint="eastAsia" w:ascii="Times New Roman" w:hAnsi="Times New Roman" w:eastAsia="黑体"/>
          <w:b w:val="0"/>
          <w:color w:val="auto"/>
          <w:highlight w:val="none"/>
          <w:lang w:eastAsia="zh-CN"/>
        </w:rPr>
        <w:t>部门职责</w:t>
      </w:r>
      <w:bookmarkEnd w:id="9"/>
    </w:p>
    <w:p w14:paraId="2B72C54E">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76" w:lineRule="exact"/>
        <w:ind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rPr>
        <w:t>贯彻执行国家、省、州人力资源和社会保障工作的相关</w:t>
      </w:r>
      <w:r>
        <w:rPr>
          <w:rFonts w:hint="eastAsia" w:ascii="Times New Roman" w:hAnsi="Times New Roman" w:eastAsia="仿宋_GB2312" w:cs="Times New Roman"/>
          <w:kern w:val="0"/>
          <w:sz w:val="32"/>
          <w:szCs w:val="32"/>
          <w:lang w:eastAsia="zh-CN"/>
        </w:rPr>
        <w:t>法律法规</w:t>
      </w:r>
      <w:r>
        <w:rPr>
          <w:rFonts w:hint="default" w:ascii="Times New Roman" w:hAnsi="Times New Roman" w:eastAsia="仿宋_GB2312" w:cs="Times New Roman"/>
          <w:kern w:val="0"/>
          <w:sz w:val="32"/>
          <w:szCs w:val="32"/>
        </w:rPr>
        <w:t>和政策，起草全县人力资源和社会保障规范性文件草案，拟订全县人力资源和社会保障事业发展规划、政策并组织实施和监督检查。</w:t>
      </w:r>
    </w:p>
    <w:p w14:paraId="21D4E3AC">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rPr>
        <w:t>组织实施人力资源市场发展规划和人力资源流动政策，管理人力资源和社会保障公共服务机构，建立全县统一规范的人力资源市场，促进人力资源合理流动、有效配置。</w:t>
      </w:r>
    </w:p>
    <w:p w14:paraId="43945060">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76" w:lineRule="exact"/>
        <w:ind w:right="0"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3.</w:t>
      </w:r>
      <w:r>
        <w:rPr>
          <w:rFonts w:hint="default" w:ascii="Times New Roman" w:hAnsi="Times New Roman" w:eastAsia="仿宋_GB2312" w:cs="Times New Roman"/>
          <w:color w:val="000000"/>
          <w:kern w:val="0"/>
          <w:sz w:val="32"/>
          <w:szCs w:val="32"/>
        </w:rPr>
        <w:t>负责就业促进工作，组织实施统筹城乡就业发展规划和政策，完善公共就业服务体系；统筹建立面向城乡劳动者的职业技能培训制度，组织落实创业、就业援助制度；组织实施高校毕业生就业政策。</w:t>
      </w:r>
    </w:p>
    <w:p w14:paraId="40E56CBB">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76" w:lineRule="exact"/>
        <w:ind w:right="0"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4.</w:t>
      </w:r>
      <w:r>
        <w:rPr>
          <w:rFonts w:hint="default" w:ascii="Times New Roman" w:hAnsi="Times New Roman" w:eastAsia="仿宋_GB2312" w:cs="Times New Roman"/>
          <w:color w:val="000000"/>
          <w:kern w:val="0"/>
          <w:sz w:val="32"/>
          <w:szCs w:val="32"/>
        </w:rPr>
        <w:t>推进建立覆盖城乡的多层次社会保障体系。组织实施养老、失业、工伤等社会保险及其补充保险政策和标准。贯彻落实全国统一的养老、失业、工伤保险关系转续办法；贯彻落实养老、失业、工伤等社会保险及其补充保险基金管理和监督办法；编制相关</w:t>
      </w:r>
      <w:bookmarkStart w:id="89" w:name="_GoBack"/>
      <w:r>
        <w:rPr>
          <w:rFonts w:hint="eastAsia" w:eastAsia="仿宋_GB2312" w:cs="Times New Roman"/>
          <w:color w:val="000000"/>
          <w:kern w:val="0"/>
          <w:sz w:val="32"/>
          <w:szCs w:val="32"/>
          <w:lang w:eastAsia="zh-CN"/>
        </w:rPr>
        <w:t>社会保险基金预算</w:t>
      </w:r>
      <w:bookmarkEnd w:id="89"/>
      <w:r>
        <w:rPr>
          <w:rFonts w:hint="default" w:ascii="Times New Roman" w:hAnsi="Times New Roman" w:eastAsia="仿宋_GB2312" w:cs="Times New Roman"/>
          <w:color w:val="000000"/>
          <w:kern w:val="0"/>
          <w:sz w:val="32"/>
          <w:szCs w:val="32"/>
        </w:rPr>
        <w:t>草案。会同有关部门实施全民参保计划并参与建立全国统一的社会保险公共服务平台。拟订全县人力资源和社会保障信息化建设总体规划、年度计划，制定相关制度、标准和规范并组织实施。指导、督促企业参加工伤保险。</w:t>
      </w:r>
    </w:p>
    <w:p w14:paraId="2E179C6E">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right="0"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rPr>
        <w:t>负责就业、失业和相关社会保险基金预测预警和信息引导，拟订应对预案，实施预防、调节和控制，保持就业形势稳定和相关社会保险基金总体收支平衡。</w:t>
      </w:r>
    </w:p>
    <w:p w14:paraId="7ABE88CA">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right="0"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6.</w:t>
      </w:r>
      <w:r>
        <w:rPr>
          <w:rFonts w:hint="default" w:ascii="Times New Roman" w:hAnsi="Times New Roman" w:eastAsia="仿宋_GB2312" w:cs="Times New Roman"/>
          <w:color w:val="000000"/>
          <w:kern w:val="0"/>
          <w:sz w:val="32"/>
          <w:szCs w:val="32"/>
        </w:rPr>
        <w:t>组织实施劳动人事争议调解仲裁制度和劳动关系政策，完善劳动关系协商协调机制，贯彻职工工作时间、休息休假和假期制度，落实消除非法使用童工政策和女工、未成年工特殊劳动保护政策。依法督促用人单位在劳动用工、合同签订与履约时，载明劳动保护、劳动条件和职业危害防护等条款。组织实施劳动保障监察，协调劳动者维权工作，依法查处重大案件。</w:t>
      </w:r>
    </w:p>
    <w:p w14:paraId="000FE475">
      <w:pPr>
        <w:keepNext w:val="0"/>
        <w:keepLines w:val="0"/>
        <w:pageBreakBefore w:val="0"/>
        <w:widowControl/>
        <w:numPr>
          <w:ilvl w:val="0"/>
          <w:numId w:val="0"/>
        </w:numPr>
        <w:suppressLineNumbers w:val="0"/>
        <w:tabs>
          <w:tab w:val="left" w:pos="0"/>
        </w:tabs>
        <w:kinsoku/>
        <w:wordWrap/>
        <w:overflowPunct/>
        <w:topLinePunct w:val="0"/>
        <w:autoSpaceDE w:val="0"/>
        <w:autoSpaceDN/>
        <w:bidi w:val="0"/>
        <w:snapToGrid w:val="0"/>
        <w:spacing w:before="0" w:beforeAutospacing="0" w:after="0" w:afterAutospacing="0" w:line="576" w:lineRule="exact"/>
        <w:ind w:right="0" w:rightChars="0"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7.</w:t>
      </w:r>
      <w:r>
        <w:rPr>
          <w:rFonts w:hint="default" w:ascii="Times New Roman" w:hAnsi="Times New Roman" w:eastAsia="仿宋_GB2312" w:cs="Times New Roman"/>
          <w:color w:val="000000"/>
          <w:kern w:val="0"/>
          <w:sz w:val="32"/>
          <w:szCs w:val="32"/>
        </w:rPr>
        <w:t>牵头推进深化职称制度改革，组织实施专业技术人员管理、继续教育和博士后管理等政策，负责高层次专业技术人才选拔和培养工作，贯彻落实吸引留学人员来县</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回县</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工作或定居政策。组织拟订技能人才培养、评价、使用和激励制度。贯彻落实职业资格制度，健全职业技能多元化评价政策。指导、监督各级各类技工学校、民办职业培训机构按国家和省、州、县有关规定履行安全管理责任。</w:t>
      </w:r>
    </w:p>
    <w:p w14:paraId="0C19D34A">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right="0"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8.</w:t>
      </w:r>
      <w:r>
        <w:rPr>
          <w:rFonts w:hint="default" w:ascii="Times New Roman" w:hAnsi="Times New Roman" w:eastAsia="仿宋_GB2312" w:cs="Times New Roman"/>
          <w:color w:val="000000"/>
          <w:kern w:val="0"/>
          <w:sz w:val="32"/>
          <w:szCs w:val="32"/>
        </w:rPr>
        <w:t xml:space="preserve">会同有关部门负责事业单位人事制度改革，按照管理权限负责规范事业单位岗位设置、公开招聘、聘用合同等人事综合管理工作，落实规范事业单位工作人员和机关工勤人员管理政策，将安全生产及生态环境保护责任履行情况作为事业单位工作人员奖惩、考核的重要内容。   </w:t>
      </w:r>
    </w:p>
    <w:p w14:paraId="08022E7F">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9.</w:t>
      </w:r>
      <w:r>
        <w:rPr>
          <w:rFonts w:hint="default" w:ascii="Times New Roman" w:hAnsi="Times New Roman" w:eastAsia="仿宋_GB2312" w:cs="Times New Roman"/>
          <w:color w:val="000000"/>
          <w:kern w:val="0"/>
          <w:sz w:val="32"/>
          <w:szCs w:val="32"/>
        </w:rPr>
        <w:t>组织实施国家表彰奖励制度，综合管理政府表彰奖励工作，承担评比达标表彰等工作，根据授权承办以县委、县政府名义开展的表彰奖励活动。承办提请县人大常委会和县政府决定的人事任免事项。</w:t>
      </w:r>
    </w:p>
    <w:p w14:paraId="1FC40D20">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right="0"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10.</w:t>
      </w:r>
      <w:r>
        <w:rPr>
          <w:rFonts w:hint="default" w:ascii="Times New Roman" w:hAnsi="Times New Roman" w:eastAsia="仿宋_GB2312" w:cs="Times New Roman"/>
          <w:color w:val="000000"/>
          <w:kern w:val="0"/>
          <w:sz w:val="32"/>
          <w:szCs w:val="32"/>
        </w:rPr>
        <w:t>组织实施事业单位人员工资收入分配政策，建立企事业单位人员工资决定、正常增长和支付保障机制。组织实施企事业单位人员福利和离退休政策。</w:t>
      </w:r>
    </w:p>
    <w:p w14:paraId="7751BB60">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right="0"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11.</w:t>
      </w:r>
      <w:r>
        <w:rPr>
          <w:rFonts w:hint="default" w:ascii="Times New Roman" w:hAnsi="Times New Roman" w:eastAsia="仿宋_GB2312" w:cs="Times New Roman"/>
          <w:color w:val="000000"/>
          <w:kern w:val="0"/>
          <w:sz w:val="32"/>
          <w:szCs w:val="32"/>
        </w:rPr>
        <w:t>会同相关部门组织实施农民工工作的综合性政策和规划，推动相关政策落实，协调解决重点难点问题，维护农民工合法权益。负责将安全生产纳入农民工技能培训内容。</w:t>
      </w:r>
    </w:p>
    <w:p w14:paraId="653CFC78">
      <w:pPr>
        <w:keepNext w:val="0"/>
        <w:keepLines w:val="0"/>
        <w:pageBreakBefore w:val="0"/>
        <w:widowControl/>
        <w:numPr>
          <w:ilvl w:val="0"/>
          <w:numId w:val="0"/>
        </w:numPr>
        <w:suppressLineNumbers w:val="0"/>
        <w:tabs>
          <w:tab w:val="left" w:pos="0"/>
        </w:tabs>
        <w:kinsoku/>
        <w:wordWrap/>
        <w:overflowPunct/>
        <w:topLinePunct w:val="0"/>
        <w:autoSpaceDE w:val="0"/>
        <w:autoSpaceDN/>
        <w:bidi w:val="0"/>
        <w:snapToGrid w:val="0"/>
        <w:spacing w:before="0" w:beforeAutospacing="0" w:after="0" w:afterAutospacing="0" w:line="576" w:lineRule="exact"/>
        <w:ind w:right="0" w:rightChars="0"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12.</w:t>
      </w:r>
      <w:r>
        <w:rPr>
          <w:rFonts w:hint="default" w:ascii="Times New Roman" w:hAnsi="Times New Roman" w:eastAsia="仿宋_GB2312" w:cs="Times New Roman"/>
          <w:color w:val="000000"/>
          <w:kern w:val="0"/>
          <w:sz w:val="32"/>
          <w:szCs w:val="32"/>
        </w:rPr>
        <w:t>负责人力资源和社会保障领域内的对外交流与合作。</w:t>
      </w:r>
    </w:p>
    <w:p w14:paraId="28BCA4E9">
      <w:pPr>
        <w:keepNext w:val="0"/>
        <w:keepLines w:val="0"/>
        <w:pageBreakBefore w:val="0"/>
        <w:widowControl/>
        <w:numPr>
          <w:ilvl w:val="0"/>
          <w:numId w:val="0"/>
        </w:numPr>
        <w:suppressLineNumbers w:val="0"/>
        <w:tabs>
          <w:tab w:val="left" w:pos="0"/>
        </w:tabs>
        <w:kinsoku/>
        <w:wordWrap/>
        <w:overflowPunct/>
        <w:topLinePunct w:val="0"/>
        <w:autoSpaceDE w:val="0"/>
        <w:autoSpaceDN/>
        <w:bidi w:val="0"/>
        <w:snapToGrid w:val="0"/>
        <w:spacing w:before="0" w:beforeAutospacing="0" w:after="0" w:afterAutospacing="0" w:line="576" w:lineRule="exact"/>
        <w:ind w:right="0" w:rightChars="0"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13.</w:t>
      </w:r>
      <w:r>
        <w:rPr>
          <w:rFonts w:hint="default" w:ascii="Times New Roman" w:hAnsi="Times New Roman" w:eastAsia="仿宋_GB2312" w:cs="Times New Roman"/>
          <w:color w:val="000000"/>
          <w:kern w:val="0"/>
          <w:sz w:val="32"/>
          <w:szCs w:val="32"/>
        </w:rPr>
        <w:t>承担职责范围内的安全生产和职业健康、生态环境保护、审批服务便民化等工作。</w:t>
      </w:r>
    </w:p>
    <w:p w14:paraId="5A4B1D40">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right="0"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14.</w:t>
      </w:r>
      <w:r>
        <w:rPr>
          <w:rFonts w:hint="default" w:ascii="Times New Roman" w:hAnsi="Times New Roman" w:eastAsia="仿宋_GB2312" w:cs="Times New Roman"/>
          <w:color w:val="000000"/>
          <w:kern w:val="0"/>
          <w:sz w:val="32"/>
          <w:szCs w:val="32"/>
        </w:rPr>
        <w:t>完成县委、县政府交办的其他任务。</w:t>
      </w:r>
    </w:p>
    <w:p w14:paraId="37D37B33">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right="0" w:firstLine="64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rPr>
        <w:t>15.</w:t>
      </w:r>
      <w:r>
        <w:rPr>
          <w:rFonts w:hint="default" w:ascii="Times New Roman" w:hAnsi="Times New Roman" w:eastAsia="仿宋_GB2312" w:cs="Times New Roman"/>
          <w:color w:val="000000"/>
          <w:kern w:val="0"/>
          <w:sz w:val="32"/>
          <w:szCs w:val="32"/>
        </w:rPr>
        <w:t>职能转变。深入推进简政放权、放管结合、优化服务改革，进一步减少行政审批事项，规范和优化对外办理事项，减少职业资格许可和认定等审批事项，实行职业资格目录清单管理，加强事中事后监管，创新就业和社会保障等公共服务方式，加强信息共享，提高公共服务水平。</w:t>
      </w:r>
    </w:p>
    <w:p w14:paraId="4B00213C">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b/>
          <w:bCs/>
          <w:kern w:val="0"/>
          <w:sz w:val="32"/>
          <w:szCs w:val="32"/>
          <w:shd w:val="clear" w:fill="FFFFFF"/>
        </w:rPr>
      </w:pPr>
      <w:r>
        <w:rPr>
          <w:rFonts w:hint="default" w:ascii="Times New Roman" w:hAnsi="Times New Roman" w:eastAsia="仿宋_GB2312" w:cs="Times New Roman"/>
          <w:color w:val="000000"/>
          <w:kern w:val="0"/>
          <w:sz w:val="32"/>
          <w:szCs w:val="32"/>
          <w:lang w:val="en-US" w:eastAsia="zh-CN"/>
        </w:rPr>
        <w:t>16.</w:t>
      </w:r>
      <w:r>
        <w:rPr>
          <w:rFonts w:hint="default" w:ascii="Times New Roman" w:hAnsi="Times New Roman" w:eastAsia="仿宋_GB2312" w:cs="Times New Roman"/>
          <w:color w:val="000000"/>
          <w:kern w:val="0"/>
          <w:sz w:val="32"/>
          <w:szCs w:val="32"/>
        </w:rPr>
        <w:t>有关职责分工。与县教育局的有关职责分工。高校毕业生就业政策由县人力资源</w:t>
      </w:r>
      <w:r>
        <w:rPr>
          <w:rFonts w:hint="eastAsia" w:ascii="Times New Roman" w:hAnsi="Times New Roman" w:eastAsia="仿宋_GB2312" w:cs="Times New Roman"/>
          <w:color w:val="000000"/>
          <w:kern w:val="0"/>
          <w:sz w:val="32"/>
          <w:szCs w:val="32"/>
          <w:lang w:val="en-US" w:eastAsia="zh-CN"/>
        </w:rPr>
        <w:t>和</w:t>
      </w:r>
      <w:r>
        <w:rPr>
          <w:rFonts w:hint="default" w:ascii="Times New Roman" w:hAnsi="Times New Roman" w:eastAsia="仿宋_GB2312" w:cs="Times New Roman"/>
          <w:color w:val="000000"/>
          <w:kern w:val="0"/>
          <w:sz w:val="32"/>
          <w:szCs w:val="32"/>
        </w:rPr>
        <w:t>社会保障局牵头，会同县教育局等部门拟订。高校毕业生离校前的就业指导和服务工作，由县教育局负责；高校毕业生离校后的就业指导和服务工作，由县人力资源</w:t>
      </w:r>
      <w:r>
        <w:rPr>
          <w:rFonts w:hint="eastAsia" w:ascii="Times New Roman" w:hAnsi="Times New Roman" w:eastAsia="仿宋_GB2312" w:cs="Times New Roman"/>
          <w:color w:val="000000"/>
          <w:kern w:val="0"/>
          <w:sz w:val="32"/>
          <w:szCs w:val="32"/>
          <w:lang w:val="en-US" w:eastAsia="zh-CN"/>
        </w:rPr>
        <w:t>和</w:t>
      </w:r>
      <w:r>
        <w:rPr>
          <w:rFonts w:hint="default" w:ascii="Times New Roman" w:hAnsi="Times New Roman" w:eastAsia="仿宋_GB2312" w:cs="Times New Roman"/>
          <w:color w:val="000000"/>
          <w:kern w:val="0"/>
          <w:sz w:val="32"/>
          <w:szCs w:val="32"/>
        </w:rPr>
        <w:t>社会保障局负责。</w:t>
      </w:r>
    </w:p>
    <w:p w14:paraId="44E9BE21"/>
    <w:p w14:paraId="5E0A663A">
      <w:pPr>
        <w:numPr>
          <w:ilvl w:val="0"/>
          <w:numId w:val="0"/>
        </w:numPr>
        <w:rPr>
          <w:rFonts w:hint="eastAsia"/>
          <w:lang w:eastAsia="zh-CN"/>
        </w:rPr>
      </w:pPr>
    </w:p>
    <w:p w14:paraId="482220AF">
      <w:pPr>
        <w:pStyle w:val="5"/>
        <w:numPr>
          <w:ilvl w:val="0"/>
          <w:numId w:val="1"/>
        </w:numPr>
        <w:rPr>
          <w:rFonts w:hint="eastAsia" w:ascii="Times New Roman" w:hAnsi="Times New Roman" w:eastAsia="黑体"/>
          <w:b w:val="0"/>
          <w:color w:val="auto"/>
          <w:highlight w:val="none"/>
          <w:lang w:eastAsia="zh-CN"/>
        </w:rPr>
      </w:pPr>
      <w:bookmarkStart w:id="10" w:name="_Toc15396601"/>
      <w:bookmarkStart w:id="11" w:name="_Toc14227_WPSOffice_Level2"/>
      <w:bookmarkStart w:id="12" w:name="_Toc15377200"/>
      <w:r>
        <w:rPr>
          <w:rFonts w:hint="eastAsia" w:ascii="Times New Roman" w:hAnsi="Times New Roman" w:eastAsia="黑体"/>
          <w:b w:val="0"/>
          <w:color w:val="auto"/>
          <w:highlight w:val="none"/>
          <w:lang w:eastAsia="zh-CN"/>
        </w:rPr>
        <w:t>机构设置</w:t>
      </w:r>
      <w:bookmarkEnd w:id="10"/>
      <w:bookmarkEnd w:id="11"/>
      <w:bookmarkEnd w:id="12"/>
    </w:p>
    <w:p w14:paraId="31B1BC33">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b w:val="0"/>
          <w:bCs w:val="0"/>
          <w:color w:val="000000"/>
          <w:kern w:val="0"/>
          <w:sz w:val="32"/>
          <w:szCs w:val="32"/>
        </w:rPr>
      </w:pPr>
      <w:bookmarkStart w:id="13" w:name="_Toc15396602"/>
      <w:bookmarkStart w:id="14" w:name="_Toc15377204"/>
      <w:r>
        <w:rPr>
          <w:rFonts w:hint="default" w:ascii="Times New Roman" w:hAnsi="Times New Roman" w:eastAsia="仿宋_GB2312" w:cs="Times New Roman"/>
          <w:b w:val="0"/>
          <w:bCs w:val="0"/>
          <w:color w:val="000000"/>
          <w:kern w:val="0"/>
          <w:sz w:val="32"/>
          <w:szCs w:val="32"/>
        </w:rPr>
        <w:t>松潘县人力资源和社会保障局内设机构5个</w:t>
      </w:r>
      <w:r>
        <w:rPr>
          <w:rFonts w:hint="eastAsia" w:eastAsia="仿宋_GB2312" w:cs="Times New Roman"/>
          <w:b w:val="0"/>
          <w:bCs w:val="0"/>
          <w:color w:val="000000"/>
          <w:kern w:val="0"/>
          <w:sz w:val="32"/>
          <w:szCs w:val="32"/>
          <w:lang w:eastAsia="zh-CN"/>
        </w:rPr>
        <w:t>。</w:t>
      </w:r>
    </w:p>
    <w:p w14:paraId="2D4442A5">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both"/>
        <w:rPr>
          <w:rFonts w:hint="default" w:ascii="Times New Roman" w:hAnsi="Times New Roman" w:eastAsia="仿宋_GB2312" w:cs="Times New Roman"/>
          <w:b w:val="0"/>
          <w:bCs w:val="0"/>
          <w:color w:val="000000"/>
          <w:kern w:val="0"/>
          <w:sz w:val="32"/>
          <w:szCs w:val="32"/>
        </w:rPr>
      </w:pPr>
      <w:r>
        <w:rPr>
          <w:rFonts w:hint="default" w:ascii="Times New Roman" w:hAnsi="Times New Roman" w:eastAsia="仿宋_GB2312" w:cs="Times New Roman"/>
          <w:b/>
          <w:bCs/>
          <w:color w:val="000000"/>
          <w:kern w:val="0"/>
          <w:sz w:val="32"/>
          <w:szCs w:val="32"/>
        </w:rPr>
        <w:t>办公室。</w:t>
      </w:r>
      <w:r>
        <w:rPr>
          <w:rFonts w:hint="default" w:ascii="Times New Roman" w:hAnsi="Times New Roman" w:eastAsia="仿宋_GB2312" w:cs="Times New Roman"/>
          <w:b w:val="0"/>
          <w:bCs w:val="0"/>
          <w:color w:val="000000"/>
          <w:kern w:val="0"/>
          <w:sz w:val="32"/>
          <w:szCs w:val="32"/>
        </w:rPr>
        <w:t>负责文电、会务、文秘、机要、绩效管理、精神文明、民族团结、保密、安全以及政务公开、应急管理、督查督办、机关运转、国有资产实物管理、后勤保障、节能减排等工作；负责承担综合性文稿起草；承担单位史志、年鉴、大事记编纂等工作。贯彻执行《</w:t>
      </w:r>
      <w:r>
        <w:rPr>
          <w:rFonts w:hint="eastAsia" w:ascii="Times New Roman" w:hAnsi="Times New Roman" w:eastAsia="仿宋_GB2312" w:cs="Times New Roman"/>
          <w:b w:val="0"/>
          <w:bCs w:val="0"/>
          <w:color w:val="000000"/>
          <w:kern w:val="0"/>
          <w:sz w:val="32"/>
          <w:szCs w:val="32"/>
          <w:lang w:val="en-US" w:eastAsia="zh-CN"/>
        </w:rPr>
        <w:t>中华人民共和国</w:t>
      </w:r>
      <w:r>
        <w:rPr>
          <w:rFonts w:hint="default" w:ascii="Times New Roman" w:hAnsi="Times New Roman" w:eastAsia="仿宋_GB2312" w:cs="Times New Roman"/>
          <w:b w:val="0"/>
          <w:bCs w:val="0"/>
          <w:color w:val="000000"/>
          <w:kern w:val="0"/>
          <w:sz w:val="32"/>
          <w:szCs w:val="32"/>
        </w:rPr>
        <w:t>会计法》《</w:t>
      </w:r>
      <w:r>
        <w:rPr>
          <w:rFonts w:hint="eastAsia" w:ascii="Times New Roman" w:hAnsi="Times New Roman" w:eastAsia="仿宋_GB2312" w:cs="Times New Roman"/>
          <w:b w:val="0"/>
          <w:bCs w:val="0"/>
          <w:color w:val="000000"/>
          <w:kern w:val="0"/>
          <w:sz w:val="32"/>
          <w:szCs w:val="32"/>
          <w:lang w:val="en-US" w:eastAsia="zh-CN"/>
        </w:rPr>
        <w:t>中华人民共和国</w:t>
      </w:r>
      <w:r>
        <w:rPr>
          <w:rFonts w:hint="default" w:ascii="Times New Roman" w:hAnsi="Times New Roman" w:eastAsia="仿宋_GB2312" w:cs="Times New Roman"/>
          <w:b w:val="0"/>
          <w:bCs w:val="0"/>
          <w:color w:val="000000"/>
          <w:kern w:val="0"/>
          <w:sz w:val="32"/>
          <w:szCs w:val="32"/>
        </w:rPr>
        <w:t>预算法》及相关财务管理制度，负责机关财务核算和管理工作，负责国有资产、单位基建财务管理工作。</w:t>
      </w:r>
    </w:p>
    <w:p w14:paraId="4B7C717F">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both"/>
        <w:rPr>
          <w:rFonts w:hint="default" w:ascii="Times New Roman" w:hAnsi="Times New Roman" w:eastAsia="仿宋_GB2312" w:cs="Times New Roman"/>
          <w:b w:val="0"/>
          <w:bCs w:val="0"/>
          <w:color w:val="000000"/>
          <w:kern w:val="0"/>
          <w:sz w:val="32"/>
          <w:szCs w:val="32"/>
        </w:rPr>
      </w:pPr>
      <w:r>
        <w:rPr>
          <w:rFonts w:hint="default" w:ascii="Times New Roman" w:hAnsi="Times New Roman" w:eastAsia="仿宋_GB2312" w:cs="Times New Roman"/>
          <w:b/>
          <w:bCs/>
          <w:color w:val="000000"/>
          <w:kern w:val="0"/>
          <w:sz w:val="32"/>
          <w:szCs w:val="32"/>
        </w:rPr>
        <w:t>劳动关系股。</w:t>
      </w:r>
      <w:r>
        <w:rPr>
          <w:rFonts w:hint="default" w:ascii="Times New Roman" w:hAnsi="Times New Roman" w:eastAsia="仿宋_GB2312" w:cs="Times New Roman"/>
          <w:b w:val="0"/>
          <w:bCs w:val="0"/>
          <w:color w:val="000000"/>
          <w:kern w:val="0"/>
          <w:sz w:val="32"/>
          <w:szCs w:val="32"/>
        </w:rPr>
        <w:t>组织开展人力资源和社会保障政策的综合性研究。组织起草人力资源和社会保障规章草案，承担有关重大决策事项、规范性文件、重大行政执法的合法性审查工作，负责单位法治建设、依法行政工作，承担相关行政执法监督、行政复议、行政诉讼等工作；牵头协调推进本系统“放管服”改革，承担审批服务便民化有关工作，集中承担县级有关审批服务事项的受理、审批等工作，推进纳入一体化政务服务平台；牵头组织人大代表建议、政协委员提案办理工作。</w:t>
      </w:r>
    </w:p>
    <w:p w14:paraId="20D9E702">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both"/>
        <w:rPr>
          <w:rFonts w:hint="default" w:ascii="Times New Roman" w:hAnsi="Times New Roman" w:eastAsia="仿宋_GB2312" w:cs="Times New Roman"/>
          <w:b w:val="0"/>
          <w:bCs w:val="0"/>
          <w:color w:val="000000"/>
          <w:kern w:val="0"/>
          <w:sz w:val="32"/>
          <w:szCs w:val="32"/>
        </w:rPr>
      </w:pPr>
      <w:r>
        <w:rPr>
          <w:rFonts w:hint="default" w:ascii="Times New Roman" w:hAnsi="Times New Roman" w:eastAsia="仿宋_GB2312" w:cs="Times New Roman"/>
          <w:b/>
          <w:bCs/>
          <w:color w:val="000000"/>
          <w:kern w:val="0"/>
          <w:sz w:val="32"/>
          <w:szCs w:val="32"/>
        </w:rPr>
        <w:t>社会保险股。</w:t>
      </w:r>
      <w:r>
        <w:rPr>
          <w:rFonts w:hint="default" w:ascii="Times New Roman" w:hAnsi="Times New Roman" w:eastAsia="仿宋_GB2312" w:cs="Times New Roman"/>
          <w:b w:val="0"/>
          <w:bCs w:val="0"/>
          <w:color w:val="000000"/>
          <w:kern w:val="0"/>
          <w:sz w:val="32"/>
          <w:szCs w:val="32"/>
        </w:rPr>
        <w:t>拟订人力资源和社会保障事业发展、信息化建设发展规划和年度计划并组织实施；会同有关部门编制相关</w:t>
      </w:r>
      <w:r>
        <w:rPr>
          <w:rFonts w:hint="eastAsia" w:eastAsia="仿宋_GB2312" w:cs="Times New Roman"/>
          <w:b w:val="0"/>
          <w:bCs w:val="0"/>
          <w:color w:val="000000"/>
          <w:kern w:val="0"/>
          <w:sz w:val="32"/>
          <w:szCs w:val="32"/>
          <w:lang w:eastAsia="zh-CN"/>
        </w:rPr>
        <w:t>社会保险基金预算</w:t>
      </w:r>
      <w:r>
        <w:rPr>
          <w:rFonts w:hint="default" w:ascii="Times New Roman" w:hAnsi="Times New Roman" w:eastAsia="仿宋_GB2312" w:cs="Times New Roman"/>
          <w:b w:val="0"/>
          <w:bCs w:val="0"/>
          <w:color w:val="000000"/>
          <w:kern w:val="0"/>
          <w:sz w:val="32"/>
          <w:szCs w:val="32"/>
        </w:rPr>
        <w:t>草案，贯彻落实相关社会保障资金</w:t>
      </w:r>
      <w:r>
        <w:rPr>
          <w:rFonts w:hint="eastAsia" w:ascii="Times New Roman" w:hAnsi="Times New Roman" w:eastAsia="仿宋_GB2312" w:cs="Times New Roman"/>
          <w:b w:val="0"/>
          <w:bCs w:val="0"/>
          <w:color w:val="000000"/>
          <w:kern w:val="0"/>
          <w:sz w:val="32"/>
          <w:szCs w:val="32"/>
          <w:lang w:eastAsia="zh-CN"/>
        </w:rPr>
        <w:t>（</w:t>
      </w:r>
      <w:r>
        <w:rPr>
          <w:rFonts w:hint="default" w:ascii="Times New Roman" w:hAnsi="Times New Roman" w:eastAsia="仿宋_GB2312" w:cs="Times New Roman"/>
          <w:b w:val="0"/>
          <w:bCs w:val="0"/>
          <w:color w:val="000000"/>
          <w:kern w:val="0"/>
          <w:sz w:val="32"/>
          <w:szCs w:val="32"/>
        </w:rPr>
        <w:t>基金</w:t>
      </w:r>
      <w:r>
        <w:rPr>
          <w:rFonts w:hint="eastAsia" w:ascii="Times New Roman" w:hAnsi="Times New Roman" w:eastAsia="仿宋_GB2312" w:cs="Times New Roman"/>
          <w:b w:val="0"/>
          <w:bCs w:val="0"/>
          <w:color w:val="000000"/>
          <w:kern w:val="0"/>
          <w:sz w:val="32"/>
          <w:szCs w:val="32"/>
          <w:lang w:eastAsia="zh-CN"/>
        </w:rPr>
        <w:t>）</w:t>
      </w:r>
      <w:r>
        <w:rPr>
          <w:rFonts w:hint="default" w:ascii="Times New Roman" w:hAnsi="Times New Roman" w:eastAsia="仿宋_GB2312" w:cs="Times New Roman"/>
          <w:b w:val="0"/>
          <w:bCs w:val="0"/>
          <w:color w:val="000000"/>
          <w:kern w:val="0"/>
          <w:sz w:val="32"/>
          <w:szCs w:val="32"/>
        </w:rPr>
        <w:t>财务管理制度，承担人力资源</w:t>
      </w:r>
      <w:r>
        <w:rPr>
          <w:rFonts w:hint="eastAsia" w:ascii="Times New Roman" w:hAnsi="Times New Roman" w:eastAsia="仿宋_GB2312" w:cs="Times New Roman"/>
          <w:b w:val="0"/>
          <w:bCs w:val="0"/>
          <w:color w:val="000000"/>
          <w:kern w:val="0"/>
          <w:sz w:val="32"/>
          <w:szCs w:val="32"/>
          <w:lang w:val="en-US" w:eastAsia="zh-CN"/>
        </w:rPr>
        <w:t>和</w:t>
      </w:r>
      <w:r>
        <w:rPr>
          <w:rFonts w:hint="default" w:ascii="Times New Roman" w:hAnsi="Times New Roman" w:eastAsia="仿宋_GB2312" w:cs="Times New Roman"/>
          <w:b w:val="0"/>
          <w:bCs w:val="0"/>
          <w:color w:val="000000"/>
          <w:kern w:val="0"/>
          <w:sz w:val="32"/>
          <w:szCs w:val="32"/>
        </w:rPr>
        <w:t>社会保障统计管理工作。</w:t>
      </w:r>
    </w:p>
    <w:p w14:paraId="0CBC5D06">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b/>
          <w:bCs/>
          <w:color w:val="000000"/>
          <w:kern w:val="0"/>
          <w:sz w:val="32"/>
          <w:szCs w:val="32"/>
        </w:rPr>
        <w:t>事业单位管理股。</w:t>
      </w:r>
      <w:r>
        <w:rPr>
          <w:rFonts w:hint="default" w:ascii="Times New Roman" w:hAnsi="Times New Roman" w:eastAsia="仿宋_GB2312" w:cs="Times New Roman"/>
          <w:color w:val="000000"/>
          <w:kern w:val="0"/>
          <w:sz w:val="32"/>
          <w:szCs w:val="32"/>
        </w:rPr>
        <w:t>组织推进深化职称制度改革，负责专业技术人员管理和继续教育，贯彻落实职业资格制度，承担高层次专业技术人才规划和培养工作，综合管理专业技术职称、专家工作；负责专业技术人员继续教育规定执行情况监督检查；负责各类专业技术人员资格</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水平</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考试的管理及资格证书的核准、审验工作。承接四川省专家服务中心的相关业务工作，服务全县专业技术人员。</w:t>
      </w:r>
    </w:p>
    <w:p w14:paraId="5C2345CD">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b/>
          <w:bCs/>
          <w:color w:val="000000"/>
          <w:kern w:val="0"/>
          <w:sz w:val="32"/>
          <w:szCs w:val="32"/>
        </w:rPr>
        <w:t>工资福利股。</w:t>
      </w:r>
      <w:r>
        <w:rPr>
          <w:rFonts w:hint="default" w:ascii="Times New Roman" w:hAnsi="Times New Roman" w:eastAsia="仿宋_GB2312" w:cs="Times New Roman"/>
          <w:color w:val="000000"/>
          <w:kern w:val="0"/>
          <w:sz w:val="32"/>
          <w:szCs w:val="32"/>
        </w:rPr>
        <w:t>组织实施事业单位工作人员和机关工勤人员的工资收入分配、福利、工龄计算、退休、退职政策以及离休费待遇政策；负责县属事业单位的工资基金管理工作，承担县属事业单位工作人员的工资总额管理；负责事业单位工作人员艰苦边远地区津贴、岗位津贴、高海拔折算工龄补贴工作；负责事业单位工资统计与综合分析工作。</w:t>
      </w:r>
    </w:p>
    <w:p w14:paraId="49A37B24">
      <w:pPr>
        <w:pStyle w:val="35"/>
        <w:keepNext w:val="0"/>
        <w:keepLines w:val="0"/>
        <w:pageBreakBefore w:val="0"/>
        <w:widowControl w:val="0"/>
        <w:suppressLineNumbers w:val="0"/>
        <w:kinsoku/>
        <w:wordWrap/>
        <w:overflowPunct/>
        <w:topLinePunct w:val="0"/>
        <w:autoSpaceDE w:val="0"/>
        <w:autoSpaceDN/>
        <w:bidi w:val="0"/>
        <w:snapToGrid w:val="0"/>
        <w:spacing w:afterAutospacing="0" w:line="576" w:lineRule="exact"/>
        <w:jc w:val="both"/>
      </w:pPr>
      <w:r>
        <w:rPr>
          <w:rFonts w:hint="default" w:ascii="Times New Roman" w:hAnsi="Times New Roman" w:eastAsia="仿宋_GB2312" w:cs="Times New Roman"/>
          <w:b/>
          <w:bCs/>
          <w:color w:val="000000"/>
          <w:kern w:val="0"/>
          <w:sz w:val="32"/>
          <w:szCs w:val="32"/>
        </w:rPr>
        <w:t>机关党委。</w:t>
      </w:r>
      <w:r>
        <w:rPr>
          <w:rFonts w:hint="default" w:ascii="Times New Roman" w:hAnsi="Times New Roman" w:eastAsia="仿宋_GB2312" w:cs="Times New Roman"/>
          <w:color w:val="000000"/>
          <w:kern w:val="0"/>
          <w:sz w:val="32"/>
          <w:szCs w:val="32"/>
        </w:rPr>
        <w:t>负责机关和所属事业单位党的建设、群团工作和意识形态工作。机关党委办事机构由县人力资源和社会保障局党组按照县委规定设置。</w:t>
      </w:r>
    </w:p>
    <w:p w14:paraId="2C222EB1">
      <w:pPr>
        <w:pStyle w:val="4"/>
        <w:jc w:val="center"/>
        <w:rPr>
          <w:rFonts w:ascii="Times New Roman" w:hAnsi="Times New Roman"/>
          <w:color w:val="auto"/>
          <w:highlight w:val="none"/>
        </w:rPr>
      </w:pPr>
      <w:bookmarkStart w:id="15" w:name="_Toc30093_WPSOffice_Level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3"/>
      <w:bookmarkEnd w:id="14"/>
      <w:bookmarkEnd w:id="15"/>
    </w:p>
    <w:p w14:paraId="4241AA7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77205"/>
      <w:bookmarkStart w:id="17" w:name="_Toc15396603"/>
      <w:bookmarkStart w:id="18" w:name="_Toc20657_WPSOffice_Level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6"/>
      <w:bookmarkEnd w:id="17"/>
      <w:bookmarkEnd w:id="18"/>
    </w:p>
    <w:p w14:paraId="52D70C1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365.89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955.59</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72.31</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eastAsia="zh-CN"/>
        </w:rPr>
        <w:t>是</w:t>
      </w:r>
      <w:r>
        <w:rPr>
          <w:rFonts w:hint="eastAsia" w:eastAsia="仿宋_GB2312" w:cs="仿宋_GB2312"/>
          <w:color w:val="auto"/>
          <w:sz w:val="32"/>
          <w:szCs w:val="32"/>
          <w:highlight w:val="none"/>
          <w:lang w:val="en-US" w:eastAsia="zh-CN"/>
        </w:rPr>
        <w:t>编外用工经费由各自用人单位支出，人社局不再统一支出。</w:t>
      </w:r>
    </w:p>
    <w:p w14:paraId="04122FB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9" w:name="_Toc15377206"/>
      <w:bookmarkStart w:id="20" w:name="_Toc15396604"/>
      <w:bookmarkStart w:id="21" w:name="_Toc3509_WPSOffice_Level2"/>
      <w:r>
        <w:rPr>
          <w:rFonts w:hint="eastAsia" w:ascii="Times New Roman" w:hAnsi="Times New Roman" w:eastAsia="黑体"/>
          <w:color w:val="auto"/>
          <w:sz w:val="32"/>
          <w:szCs w:val="32"/>
          <w:highlight w:val="none"/>
          <w:lang w:eastAsia="zh-CN"/>
        </w:rPr>
        <w:t>二、收入决算情况说明</w:t>
      </w:r>
      <w:bookmarkEnd w:id="19"/>
      <w:bookmarkEnd w:id="20"/>
      <w:bookmarkEnd w:id="21"/>
    </w:p>
    <w:p w14:paraId="57388CA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lang w:val="en-US" w:eastAsia="zh-CN"/>
        </w:rPr>
        <w:t>365.89</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365.89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w:t>
      </w:r>
    </w:p>
    <w:p w14:paraId="4416FAE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77207"/>
      <w:bookmarkStart w:id="23" w:name="_Toc3008_WPSOffice_Level2"/>
      <w:bookmarkStart w:id="24"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bookmarkEnd w:id="24"/>
    </w:p>
    <w:p w14:paraId="7DC2B110">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lang w:val="en-US" w:eastAsia="zh-CN"/>
        </w:rPr>
        <w:t>365.89</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314.</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85.92</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51.51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14.08</w:t>
      </w:r>
      <w:r>
        <w:rPr>
          <w:rFonts w:hint="eastAsia" w:ascii="仿宋_GB2312" w:hAnsi="仿宋_GB2312" w:eastAsia="仿宋_GB2312" w:cs="仿宋_GB2312"/>
          <w:color w:val="auto"/>
          <w:sz w:val="32"/>
          <w:szCs w:val="32"/>
          <w:highlight w:val="none"/>
          <w:lang w:eastAsia="zh-CN"/>
        </w:rPr>
        <w:t>%。</w:t>
      </w:r>
    </w:p>
    <w:p w14:paraId="7D567EA4">
      <w:pPr>
        <w:spacing w:line="600" w:lineRule="exact"/>
        <w:ind w:firstLine="640" w:firstLineChars="200"/>
        <w:outlineLvl w:val="1"/>
        <w:rPr>
          <w:rStyle w:val="29"/>
          <w:rFonts w:ascii="Times New Roman" w:hAnsi="Times New Roman" w:eastAsia="黑体"/>
          <w:b w:val="0"/>
          <w:color w:val="auto"/>
          <w:highlight w:val="none"/>
        </w:rPr>
      </w:pPr>
      <w:bookmarkStart w:id="25" w:name="_Toc15396606"/>
      <w:bookmarkStart w:id="26" w:name="_Toc18378_WPSOffice_Level2"/>
      <w:bookmarkStart w:id="27"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5"/>
      <w:bookmarkEnd w:id="26"/>
      <w:bookmarkEnd w:id="27"/>
    </w:p>
    <w:p w14:paraId="4DA70CF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lang w:val="en-US" w:eastAsia="zh-CN"/>
        </w:rPr>
        <w:t>365.89</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年度相比，财政拨款收入总计、支出总计各减少</w:t>
      </w:r>
      <w:r>
        <w:rPr>
          <w:rFonts w:hint="eastAsia" w:eastAsia="仿宋_GB2312" w:cs="仿宋_GB2312"/>
          <w:color w:val="auto"/>
          <w:sz w:val="32"/>
          <w:szCs w:val="32"/>
          <w:highlight w:val="none"/>
          <w:lang w:val="en-US" w:eastAsia="zh-CN"/>
        </w:rPr>
        <w:t>955.59</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72.31</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val="en-US" w:eastAsia="zh-CN"/>
        </w:rPr>
        <w:t>编外用工经费由各自用人单位支出，人社局不再统一支出。</w:t>
      </w:r>
    </w:p>
    <w:p w14:paraId="0AFF2851">
      <w:pPr>
        <w:spacing w:line="600" w:lineRule="exact"/>
        <w:ind w:firstLine="640" w:firstLineChars="200"/>
        <w:outlineLvl w:val="1"/>
        <w:rPr>
          <w:rStyle w:val="29"/>
          <w:rFonts w:ascii="Times New Roman" w:hAnsi="Times New Roman" w:eastAsia="黑体"/>
          <w:b w:val="0"/>
          <w:color w:val="auto"/>
          <w:highlight w:val="none"/>
        </w:rPr>
      </w:pPr>
      <w:bookmarkStart w:id="28" w:name="_Toc15377209"/>
      <w:bookmarkStart w:id="29" w:name="_Toc12504_WPSOffice_Level2"/>
      <w:bookmarkStart w:id="30"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8"/>
      <w:bookmarkEnd w:id="29"/>
      <w:bookmarkEnd w:id="30"/>
    </w:p>
    <w:p w14:paraId="4F5D5E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1"/>
    </w:p>
    <w:p w14:paraId="0BED921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365.89</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%。与2024年度相比，一般公共预算财政拨款支出减少</w:t>
      </w:r>
      <w:r>
        <w:rPr>
          <w:rFonts w:hint="eastAsia" w:eastAsia="仿宋_GB2312" w:cs="仿宋_GB2312"/>
          <w:color w:val="auto"/>
          <w:sz w:val="32"/>
          <w:szCs w:val="32"/>
          <w:highlight w:val="none"/>
          <w:lang w:val="en-US" w:eastAsia="zh-CN"/>
        </w:rPr>
        <w:t>955.59</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72.31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编外用工经费由各自用人单位支出，人社局不再统一支出。</w:t>
      </w:r>
    </w:p>
    <w:p w14:paraId="1A9F54D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2"/>
    </w:p>
    <w:p w14:paraId="64DEFA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lang w:val="en-US" w:eastAsia="zh-CN"/>
        </w:rPr>
        <w:t>365.89</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333.51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91.15</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13.22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3.61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19.15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5.23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8C1002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3"/>
    </w:p>
    <w:p w14:paraId="19D5CF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77213"/>
      <w:bookmarkStart w:id="35" w:name="_Toc15378460"/>
      <w:bookmarkStart w:id="36"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一般公共预算财政拨款支出决算数为</w:t>
      </w:r>
      <w:r>
        <w:rPr>
          <w:rFonts w:hint="eastAsia" w:ascii="仿宋_GB2312" w:hAnsi="仿宋_GB2312" w:eastAsia="仿宋_GB2312" w:cs="仿宋_GB2312"/>
          <w:sz w:val="32"/>
          <w:szCs w:val="32"/>
          <w:lang w:val="en-US" w:eastAsia="zh-CN"/>
        </w:rPr>
        <w:t>356.89</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4"/>
      <w:bookmarkEnd w:id="35"/>
      <w:bookmarkEnd w:id="36"/>
    </w:p>
    <w:p w14:paraId="5C0B41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1.社会保障和就业支出： 支出决算为</w:t>
      </w:r>
      <w:r>
        <w:rPr>
          <w:rFonts w:hint="eastAsia" w:eastAsia="仿宋_GB2312" w:cs="仿宋_GB2312"/>
          <w:color w:val="auto"/>
          <w:kern w:val="2"/>
          <w:sz w:val="32"/>
          <w:szCs w:val="32"/>
          <w:highlight w:val="none"/>
          <w:lang w:val="en-US" w:eastAsia="zh-CN" w:bidi="ar-SA"/>
        </w:rPr>
        <w:t>333.51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%，其中：2080101行政运行支出</w:t>
      </w:r>
      <w:r>
        <w:rPr>
          <w:rFonts w:hint="eastAsia" w:eastAsia="仿宋_GB2312" w:cs="仿宋_GB2312"/>
          <w:color w:val="auto"/>
          <w:kern w:val="2"/>
          <w:sz w:val="32"/>
          <w:szCs w:val="32"/>
          <w:highlight w:val="none"/>
          <w:lang w:val="en-US" w:eastAsia="zh-CN" w:bidi="ar-SA"/>
        </w:rPr>
        <w:t>246.36</w:t>
      </w:r>
      <w:r>
        <w:rPr>
          <w:rFonts w:hint="eastAsia" w:ascii="Times New Roman" w:hAnsi="Times New Roman" w:eastAsia="仿宋_GB2312" w:cs="仿宋_GB2312"/>
          <w:color w:val="auto"/>
          <w:kern w:val="2"/>
          <w:sz w:val="32"/>
          <w:szCs w:val="32"/>
          <w:highlight w:val="none"/>
          <w:lang w:val="en-US" w:eastAsia="zh-CN" w:bidi="ar-SA"/>
        </w:rPr>
        <w:t>万元，2080102一般行政管理事务支出</w:t>
      </w:r>
      <w:r>
        <w:rPr>
          <w:rFonts w:hint="eastAsia" w:eastAsia="仿宋_GB2312" w:cs="仿宋_GB2312"/>
          <w:color w:val="auto"/>
          <w:kern w:val="2"/>
          <w:sz w:val="32"/>
          <w:szCs w:val="32"/>
          <w:highlight w:val="none"/>
          <w:lang w:val="en-US" w:eastAsia="zh-CN" w:bidi="ar-SA"/>
        </w:rPr>
        <w:t>4.1</w:t>
      </w:r>
      <w:r>
        <w:rPr>
          <w:rFonts w:hint="eastAsia" w:ascii="Times New Roman" w:hAnsi="Times New Roman" w:eastAsia="仿宋_GB2312" w:cs="仿宋_GB2312"/>
          <w:color w:val="auto"/>
          <w:kern w:val="2"/>
          <w:sz w:val="32"/>
          <w:szCs w:val="32"/>
          <w:highlight w:val="none"/>
          <w:lang w:val="en-US" w:eastAsia="zh-CN" w:bidi="ar-SA"/>
        </w:rPr>
        <w:t>万元，2080108信息化建设支出</w:t>
      </w:r>
      <w:r>
        <w:rPr>
          <w:rFonts w:hint="eastAsia" w:eastAsia="仿宋_GB2312" w:cs="仿宋_GB2312"/>
          <w:color w:val="auto"/>
          <w:kern w:val="2"/>
          <w:sz w:val="32"/>
          <w:szCs w:val="32"/>
          <w:highlight w:val="none"/>
          <w:lang w:val="en-US" w:eastAsia="zh-CN" w:bidi="ar-SA"/>
        </w:rPr>
        <w:t>23.62</w:t>
      </w:r>
      <w:r>
        <w:rPr>
          <w:rFonts w:hint="eastAsia" w:ascii="Times New Roman" w:hAnsi="Times New Roman" w:eastAsia="仿宋_GB2312" w:cs="仿宋_GB2312"/>
          <w:color w:val="auto"/>
          <w:kern w:val="2"/>
          <w:sz w:val="32"/>
          <w:szCs w:val="32"/>
          <w:highlight w:val="none"/>
          <w:lang w:val="en-US" w:eastAsia="zh-CN" w:bidi="ar-SA"/>
        </w:rPr>
        <w:t>万元，2080109社会保险经办机构支出</w:t>
      </w: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万元，2080199其他人力资源和社会保障管理事务支出</w:t>
      </w:r>
      <w:r>
        <w:rPr>
          <w:rFonts w:hint="eastAsia" w:eastAsia="仿宋_GB2312" w:cs="仿宋_GB2312"/>
          <w:color w:val="auto"/>
          <w:kern w:val="2"/>
          <w:sz w:val="32"/>
          <w:szCs w:val="32"/>
          <w:highlight w:val="none"/>
          <w:lang w:val="en-US" w:eastAsia="zh-CN" w:bidi="ar-SA"/>
        </w:rPr>
        <w:t>3.79</w:t>
      </w:r>
      <w:r>
        <w:rPr>
          <w:rFonts w:hint="eastAsia" w:ascii="Times New Roman" w:hAnsi="Times New Roman" w:eastAsia="仿宋_GB2312" w:cs="仿宋_GB2312"/>
          <w:color w:val="auto"/>
          <w:kern w:val="2"/>
          <w:sz w:val="32"/>
          <w:szCs w:val="32"/>
          <w:highlight w:val="none"/>
          <w:lang w:val="en-US" w:eastAsia="zh-CN" w:bidi="ar-SA"/>
        </w:rPr>
        <w:t>万元，2080505机关事业单位基本养老保险缴费支出</w:t>
      </w:r>
      <w:r>
        <w:rPr>
          <w:rFonts w:hint="eastAsia" w:eastAsia="仿宋_GB2312" w:cs="仿宋_GB2312"/>
          <w:color w:val="auto"/>
          <w:kern w:val="2"/>
          <w:sz w:val="32"/>
          <w:szCs w:val="32"/>
          <w:highlight w:val="none"/>
          <w:lang w:val="en-US" w:eastAsia="zh-CN" w:bidi="ar-SA"/>
        </w:rPr>
        <w:t>23.76</w:t>
      </w:r>
      <w:r>
        <w:rPr>
          <w:rFonts w:hint="eastAsia" w:ascii="Times New Roman" w:hAnsi="Times New Roman" w:eastAsia="仿宋_GB2312" w:cs="仿宋_GB2312"/>
          <w:color w:val="auto"/>
          <w:kern w:val="2"/>
          <w:sz w:val="32"/>
          <w:szCs w:val="32"/>
          <w:highlight w:val="none"/>
          <w:lang w:val="en-US" w:eastAsia="zh-CN" w:bidi="ar-SA"/>
        </w:rPr>
        <w:t>万元，2080506机关事业单位职业年金缴费支出</w:t>
      </w:r>
      <w:r>
        <w:rPr>
          <w:rFonts w:hint="eastAsia" w:eastAsia="仿宋_GB2312" w:cs="仿宋_GB2312"/>
          <w:color w:val="auto"/>
          <w:kern w:val="2"/>
          <w:sz w:val="32"/>
          <w:szCs w:val="32"/>
          <w:highlight w:val="none"/>
          <w:lang w:val="en-US" w:eastAsia="zh-CN" w:bidi="ar-SA"/>
        </w:rPr>
        <w:t>11.88</w:t>
      </w:r>
      <w:r>
        <w:rPr>
          <w:rFonts w:hint="eastAsia" w:ascii="Times New Roman" w:hAnsi="Times New Roman" w:eastAsia="仿宋_GB2312" w:cs="仿宋_GB2312"/>
          <w:color w:val="auto"/>
          <w:kern w:val="2"/>
          <w:sz w:val="32"/>
          <w:szCs w:val="32"/>
          <w:highlight w:val="none"/>
          <w:lang w:val="en-US" w:eastAsia="zh-CN" w:bidi="ar-SA"/>
        </w:rPr>
        <w:t>万元。</w:t>
      </w:r>
    </w:p>
    <w:p w14:paraId="4733A0A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2.卫生健康支出：支出决算为</w:t>
      </w:r>
      <w:r>
        <w:rPr>
          <w:rFonts w:hint="eastAsia" w:eastAsia="仿宋_GB2312" w:cs="仿宋_GB2312"/>
          <w:color w:val="auto"/>
          <w:kern w:val="2"/>
          <w:sz w:val="32"/>
          <w:szCs w:val="32"/>
          <w:highlight w:val="none"/>
          <w:lang w:val="en-US" w:eastAsia="zh-CN" w:bidi="ar-SA"/>
        </w:rPr>
        <w:t>13.22</w:t>
      </w:r>
      <w:r>
        <w:rPr>
          <w:rFonts w:hint="eastAsia" w:ascii="Times New Roman" w:hAnsi="Times New Roman" w:eastAsia="仿宋_GB2312" w:cs="仿宋_GB2312"/>
          <w:color w:val="auto"/>
          <w:kern w:val="2"/>
          <w:sz w:val="32"/>
          <w:szCs w:val="32"/>
          <w:highlight w:val="none"/>
          <w:lang w:val="en-US" w:eastAsia="zh-CN" w:bidi="ar-SA"/>
        </w:rPr>
        <w:t>万元，完成预算100%。其中：2101101行政单位医疗支出</w:t>
      </w:r>
      <w:r>
        <w:rPr>
          <w:rFonts w:hint="eastAsia" w:eastAsia="仿宋_GB2312" w:cs="仿宋_GB2312"/>
          <w:color w:val="auto"/>
          <w:kern w:val="2"/>
          <w:sz w:val="32"/>
          <w:szCs w:val="32"/>
          <w:highlight w:val="none"/>
          <w:lang w:val="en-US" w:eastAsia="zh-CN" w:bidi="ar-SA"/>
        </w:rPr>
        <w:t>11.36</w:t>
      </w:r>
      <w:r>
        <w:rPr>
          <w:rFonts w:hint="eastAsia" w:ascii="Times New Roman" w:hAnsi="Times New Roman" w:eastAsia="仿宋_GB2312" w:cs="仿宋_GB2312"/>
          <w:color w:val="auto"/>
          <w:kern w:val="2"/>
          <w:sz w:val="32"/>
          <w:szCs w:val="32"/>
          <w:highlight w:val="none"/>
          <w:lang w:val="en-US" w:eastAsia="zh-CN" w:bidi="ar-SA"/>
        </w:rPr>
        <w:t>万元，2101103公务员医疗补助支出</w:t>
      </w:r>
      <w:r>
        <w:rPr>
          <w:rFonts w:hint="eastAsia" w:eastAsia="仿宋_GB2312" w:cs="仿宋_GB2312"/>
          <w:color w:val="auto"/>
          <w:kern w:val="2"/>
          <w:sz w:val="32"/>
          <w:szCs w:val="32"/>
          <w:highlight w:val="none"/>
          <w:lang w:val="en-US" w:eastAsia="zh-CN" w:bidi="ar-SA"/>
        </w:rPr>
        <w:t>1.86</w:t>
      </w:r>
      <w:r>
        <w:rPr>
          <w:rFonts w:hint="eastAsia" w:ascii="Times New Roman" w:hAnsi="Times New Roman" w:eastAsia="仿宋_GB2312" w:cs="仿宋_GB2312"/>
          <w:color w:val="auto"/>
          <w:kern w:val="2"/>
          <w:sz w:val="32"/>
          <w:szCs w:val="32"/>
          <w:highlight w:val="none"/>
          <w:lang w:val="en-US" w:eastAsia="zh-CN" w:bidi="ar-SA"/>
        </w:rPr>
        <w:t>万元。</w:t>
      </w:r>
    </w:p>
    <w:p w14:paraId="53F88F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3.住房保障支出：2210201住房公积金支出决算为</w:t>
      </w:r>
      <w:r>
        <w:rPr>
          <w:rFonts w:hint="eastAsia" w:eastAsia="仿宋_GB2312" w:cs="仿宋_GB2312"/>
          <w:color w:val="auto"/>
          <w:kern w:val="2"/>
          <w:sz w:val="32"/>
          <w:szCs w:val="32"/>
          <w:highlight w:val="none"/>
          <w:lang w:val="en-US" w:eastAsia="zh-CN" w:bidi="ar-SA"/>
        </w:rPr>
        <w:t>19.15</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5B885B7D">
      <w:pPr>
        <w:spacing w:line="600" w:lineRule="exact"/>
        <w:ind w:firstLine="640"/>
        <w:rPr>
          <w:rStyle w:val="29"/>
          <w:rFonts w:ascii="Times New Roman" w:hAnsi="Times New Roman"/>
          <w:color w:val="auto"/>
          <w:highlight w:val="none"/>
        </w:rPr>
      </w:pPr>
      <w:bookmarkStart w:id="37" w:name="_Toc15377214"/>
      <w:bookmarkStart w:id="38" w:name="_Toc15396608"/>
      <w:bookmarkStart w:id="39" w:name="_Toc7965_WPSOffice_Level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7"/>
      <w:bookmarkEnd w:id="38"/>
      <w:bookmarkEnd w:id="39"/>
      <w:r>
        <w:rPr>
          <w:rStyle w:val="29"/>
          <w:rFonts w:ascii="Times New Roman" w:hAnsi="Times New Roman" w:eastAsia="黑体"/>
          <w:b w:val="0"/>
          <w:color w:val="auto"/>
          <w:highlight w:val="none"/>
        </w:rPr>
        <w:tab/>
      </w:r>
    </w:p>
    <w:p w14:paraId="2D81BF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314.</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699A6A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286.71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元，主要包括：基本工资、津贴补贴、奖金、机关事业单位基本养老保险缴费、职业年金缴费、</w:t>
      </w:r>
      <w:r>
        <w:rPr>
          <w:rFonts w:hint="eastAsia" w:eastAsia="仿宋_GB2312" w:cs="仿宋_GB2312"/>
          <w:color w:val="auto"/>
          <w:kern w:val="2"/>
          <w:sz w:val="32"/>
          <w:szCs w:val="32"/>
          <w:highlight w:val="none"/>
          <w:lang w:val="en-US" w:eastAsia="zh-CN" w:bidi="ar-SA"/>
        </w:rPr>
        <w:t>职工基本医疗保险缴费、公务员医疗补助缴费、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其他社会保障缴费、住房公积金、</w:t>
      </w:r>
      <w:r>
        <w:rPr>
          <w:rFonts w:hint="eastAsia" w:eastAsia="仿宋_GB2312" w:cs="仿宋_GB2312"/>
          <w:color w:val="auto"/>
          <w:kern w:val="2"/>
          <w:sz w:val="32"/>
          <w:szCs w:val="32"/>
          <w:highlight w:val="none"/>
          <w:lang w:val="en-US" w:eastAsia="zh-CN" w:bidi="ar-SA"/>
        </w:rPr>
        <w:t>生活补助、奖励金</w:t>
      </w:r>
      <w:r>
        <w:rPr>
          <w:rFonts w:hint="eastAsia" w:ascii="Times New Roman" w:hAnsi="Times New Roman" w:eastAsia="仿宋_GB2312" w:cs="仿宋_GB2312"/>
          <w:color w:val="auto"/>
          <w:kern w:val="2"/>
          <w:sz w:val="32"/>
          <w:szCs w:val="32"/>
          <w:highlight w:val="none"/>
          <w:lang w:val="en-US" w:eastAsia="zh-CN" w:bidi="ar-SA"/>
        </w:rPr>
        <w:t>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27.67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元，主要包括：办公费、电费、邮电费、差旅费、工会经费、公务用车运行维护费。</w:t>
      </w:r>
    </w:p>
    <w:p w14:paraId="30EB884E">
      <w:pPr>
        <w:spacing w:line="600" w:lineRule="exact"/>
        <w:ind w:firstLine="640"/>
        <w:outlineLvl w:val="1"/>
        <w:rPr>
          <w:rStyle w:val="29"/>
          <w:rFonts w:ascii="Times New Roman" w:hAnsi="Times New Roman" w:eastAsia="黑体"/>
          <w:b w:val="0"/>
          <w:color w:val="auto"/>
          <w:highlight w:val="none"/>
        </w:rPr>
      </w:pPr>
      <w:bookmarkStart w:id="40" w:name="_Toc15377215"/>
      <w:bookmarkStart w:id="41" w:name="_Toc5429_WPSOffice_Level2"/>
      <w:bookmarkStart w:id="42"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0"/>
      <w:bookmarkEnd w:id="41"/>
      <w:bookmarkEnd w:id="42"/>
    </w:p>
    <w:p w14:paraId="746006F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3"/>
    </w:p>
    <w:p w14:paraId="0F8FED9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“三公”经费财政拨款支出决算为</w:t>
      </w:r>
      <w:r>
        <w:rPr>
          <w:rFonts w:hint="eastAsia" w:eastAsia="仿宋_GB2312" w:cs="仿宋_GB2312"/>
          <w:color w:val="auto"/>
          <w:kern w:val="2"/>
          <w:sz w:val="32"/>
          <w:szCs w:val="32"/>
          <w:highlight w:val="none"/>
          <w:lang w:val="en-US" w:eastAsia="zh-CN" w:bidi="ar-SA"/>
        </w:rPr>
        <w:t>9.08</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增加1.9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增加26.46</w:t>
      </w:r>
      <w:r>
        <w:rPr>
          <w:rFonts w:hint="eastAsia" w:ascii="Times New Roman" w:hAnsi="Times New Roman" w:eastAsia="仿宋_GB2312" w:cs="仿宋_GB2312"/>
          <w:color w:val="auto"/>
          <w:kern w:val="2"/>
          <w:sz w:val="32"/>
          <w:szCs w:val="32"/>
          <w:highlight w:val="none"/>
          <w:lang w:val="en-US" w:eastAsia="zh-CN" w:bidi="ar-SA"/>
        </w:rPr>
        <w:t>%。</w:t>
      </w:r>
    </w:p>
    <w:p w14:paraId="1AFBDBA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4"/>
    </w:p>
    <w:p w14:paraId="030ACEC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lang w:val="en-US" w:eastAsia="zh-CN"/>
        </w:rPr>
        <w:t>9.08</w:t>
      </w:r>
      <w:r>
        <w:rPr>
          <w:rFonts w:hint="eastAsia" w:ascii="仿宋_GB2312" w:hAnsi="仿宋_GB2312" w:eastAsia="仿宋_GB2312" w:cs="仿宋_GB2312"/>
          <w:color w:val="auto"/>
          <w:kern w:val="2"/>
          <w:sz w:val="32"/>
          <w:szCs w:val="32"/>
          <w:highlight w:val="none"/>
          <w:lang w:val="en-US" w:eastAsia="zh-CN" w:bidi="ar-SA"/>
        </w:rPr>
        <w:t>万元，占100%；公务接待费支出决算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593459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82379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9.08万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增加1.9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增加26.46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车辆运行维护费用增加。</w:t>
      </w:r>
    </w:p>
    <w:p w14:paraId="1205B7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p>
    <w:p w14:paraId="44021F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9.08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出差及下乡</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100DF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7A07025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220A8E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45" w:name="_Toc15377218"/>
      <w:bookmarkStart w:id="46" w:name="_Toc15396610"/>
    </w:p>
    <w:p w14:paraId="6ACBA1BC">
      <w:pPr>
        <w:spacing w:line="600" w:lineRule="exact"/>
        <w:ind w:firstLine="640"/>
        <w:outlineLvl w:val="1"/>
        <w:rPr>
          <w:rStyle w:val="29"/>
          <w:rFonts w:ascii="Times New Roman" w:hAnsi="Times New Roman" w:eastAsia="黑体"/>
          <w:color w:val="auto"/>
          <w:highlight w:val="none"/>
        </w:rPr>
      </w:pPr>
      <w:bookmarkStart w:id="47" w:name="_Toc30886_WPSOffice_Level2"/>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5"/>
      <w:bookmarkEnd w:id="46"/>
      <w:bookmarkEnd w:id="47"/>
    </w:p>
    <w:p w14:paraId="692FF7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p>
    <w:p w14:paraId="35AF399C">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8" w:name="_Toc9174_WPSOffice_Level2"/>
      <w:bookmarkStart w:id="49" w:name="_Toc15396611"/>
      <w:bookmarkStart w:id="50"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8"/>
      <w:bookmarkEnd w:id="49"/>
      <w:bookmarkEnd w:id="50"/>
    </w:p>
    <w:p w14:paraId="063542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D3CB13E">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51" w:name="_Toc15377221"/>
      <w:bookmarkStart w:id="52" w:name="_Toc15396612"/>
      <w:bookmarkStart w:id="53" w:name="_Toc28078_WPSOffice_Level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51"/>
      <w:bookmarkEnd w:id="52"/>
      <w:bookmarkEnd w:id="53"/>
    </w:p>
    <w:p w14:paraId="107838D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4" w:name="_Toc15377222"/>
      <w:r>
        <w:rPr>
          <w:rFonts w:hint="eastAsia" w:ascii="Times New Roman" w:hAnsi="Times New Roman" w:eastAsia="楷体_GB2312" w:cs="楷体_GB2312"/>
          <w:b/>
          <w:color w:val="auto"/>
          <w:sz w:val="32"/>
          <w:szCs w:val="32"/>
          <w:highlight w:val="none"/>
        </w:rPr>
        <w:t>（一）机关运行经费支出情况</w:t>
      </w:r>
      <w:bookmarkEnd w:id="54"/>
    </w:p>
    <w:p w14:paraId="28FC5A94">
      <w:p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阿坝州松潘县人力资源和社会保障局本级</w:t>
      </w:r>
      <w:r>
        <w:rPr>
          <w:rFonts w:hint="eastAsia" w:ascii="仿宋_GB2312" w:hAnsi="仿宋_GB2312" w:eastAsia="仿宋_GB2312" w:cs="仿宋_GB2312"/>
          <w:color w:val="auto"/>
          <w:kern w:val="2"/>
          <w:sz w:val="32"/>
          <w:szCs w:val="32"/>
          <w:highlight w:val="none"/>
          <w:lang w:val="en-US" w:eastAsia="zh-CN" w:bidi="ar-SA"/>
        </w:rPr>
        <w:t>机关运行经费支出27.67万元，比2024年度增加5.58万元，增加25.26%。主要原因是日常公用经费增加。</w:t>
      </w:r>
    </w:p>
    <w:p w14:paraId="524A48E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5" w:name="_Toc15377223"/>
      <w:r>
        <w:rPr>
          <w:rFonts w:hint="eastAsia" w:ascii="Times New Roman" w:hAnsi="Times New Roman" w:eastAsia="楷体_GB2312" w:cs="楷体_GB2312"/>
          <w:b/>
          <w:color w:val="auto"/>
          <w:sz w:val="32"/>
          <w:szCs w:val="32"/>
          <w:highlight w:val="none"/>
        </w:rPr>
        <w:t>（二）政府采购支出情况</w:t>
      </w:r>
      <w:bookmarkEnd w:id="55"/>
    </w:p>
    <w:p w14:paraId="0E9D95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阿坝州松潘县人力资源和社会保障局本级</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lang w:val="en-US" w:eastAsia="zh-CN"/>
        </w:rPr>
        <w:t>1.99</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lang w:val="en-US" w:eastAsia="zh-CN"/>
        </w:rPr>
        <w:t>1.99</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03C520F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6" w:name="_Toc15377224"/>
      <w:r>
        <w:rPr>
          <w:rFonts w:hint="eastAsia" w:ascii="Times New Roman" w:hAnsi="Times New Roman" w:eastAsia="楷体_GB2312" w:cs="楷体_GB2312"/>
          <w:b/>
          <w:color w:val="auto"/>
          <w:sz w:val="32"/>
          <w:szCs w:val="32"/>
          <w:highlight w:val="none"/>
        </w:rPr>
        <w:t>（三）国有资产占有使用情况</w:t>
      </w:r>
      <w:bookmarkEnd w:id="56"/>
    </w:p>
    <w:p w14:paraId="3E5EFF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阿坝州松潘县人力资源和社会保障局本级</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辆，其他用车主要是用于单位办公出差下乡。单价100万元（含）以上设备（不含车辆）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1D54038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3F255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w:t>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预算编制阶段，</w:t>
      </w:r>
      <w:r>
        <w:rPr>
          <w:rFonts w:hint="eastAsia" w:ascii="仿宋_GB2312" w:eastAsia="仿宋_GB2312"/>
          <w:sz w:val="32"/>
          <w:szCs w:val="32"/>
        </w:rPr>
        <w:t>组织对</w:t>
      </w:r>
      <w:r>
        <w:rPr>
          <w:rFonts w:hint="default" w:ascii="仿宋_GB2312" w:hAnsi="Times New Roman" w:eastAsia="仿宋_GB2312" w:cs="Times New Roman"/>
          <w:sz w:val="32"/>
          <w:szCs w:val="32"/>
          <w:lang w:val="en-US" w:eastAsia="zh-CN"/>
        </w:rPr>
        <w:t>社会保障和就业服务大厅工作经费，乡镇社保网络服务平台，律师代理费，人事考务费，档案信息化管理工作经费</w:t>
      </w:r>
      <w:r>
        <w:rPr>
          <w:rFonts w:hint="eastAsia" w:ascii="仿宋_GB2312" w:eastAsia="仿宋_GB2312" w:cs="Times New Roman"/>
          <w:sz w:val="32"/>
          <w:szCs w:val="32"/>
          <w:lang w:val="en-US" w:eastAsia="zh-CN"/>
        </w:rPr>
        <w:t>，“三支一扶”人员春节慰问金等</w:t>
      </w:r>
      <w:r>
        <w:rPr>
          <w:rFonts w:hint="eastAsia" w:ascii="仿宋_GB2312" w:eastAsia="仿宋_GB2312"/>
          <w:sz w:val="32"/>
          <w:szCs w:val="32"/>
          <w:lang w:val="en-US" w:eastAsia="zh-CN"/>
        </w:rPr>
        <w:t>6</w:t>
      </w:r>
      <w:r>
        <w:rPr>
          <w:rFonts w:hint="eastAsia" w:ascii="仿宋_GB2312" w:eastAsia="仿宋_GB2312"/>
          <w:sz w:val="32"/>
          <w:szCs w:val="32"/>
        </w:rPr>
        <w:t>个项目</w:t>
      </w:r>
      <w:r>
        <w:rPr>
          <w:rFonts w:hint="eastAsia" w:ascii="仿宋_GB2312" w:eastAsia="仿宋_GB2312"/>
          <w:sz w:val="32"/>
          <w:szCs w:val="32"/>
          <w:lang w:eastAsia="zh-CN"/>
        </w:rPr>
        <w:t>涉及资金</w:t>
      </w:r>
      <w:r>
        <w:rPr>
          <w:rFonts w:hint="eastAsia" w:ascii="仿宋_GB2312" w:eastAsia="仿宋_GB2312"/>
          <w:sz w:val="32"/>
          <w:szCs w:val="32"/>
          <w:lang w:val="en-US" w:eastAsia="zh-CN"/>
        </w:rPr>
        <w:t>51.51万元</w:t>
      </w:r>
      <w:r>
        <w:rPr>
          <w:rFonts w:hint="eastAsia" w:ascii="仿宋_GB2312" w:eastAsia="仿宋_GB2312"/>
          <w:sz w:val="32"/>
          <w:szCs w:val="32"/>
        </w:rPr>
        <w:t>开展了预算事前绩效评估，</w:t>
      </w:r>
      <w:r>
        <w:rPr>
          <w:rFonts w:hint="eastAsia" w:ascii="Times New Roman" w:hAnsi="Times New Roman" w:eastAsia="仿宋_GB2312" w:cs="仿宋_GB2312"/>
          <w:color w:val="auto"/>
          <w:kern w:val="2"/>
          <w:sz w:val="32"/>
          <w:szCs w:val="32"/>
          <w:highlight w:val="none"/>
          <w:lang w:val="en-US" w:eastAsia="zh-CN" w:bidi="ar-SA"/>
        </w:rPr>
        <w:t>对</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E014C5E">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7" w:name="_Toc15396613"/>
      <w:bookmarkStart w:id="58" w:name="_Toc15377225"/>
      <w:bookmarkStart w:id="59" w:name="_Toc14227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7"/>
      <w:bookmarkEnd w:id="58"/>
      <w:bookmarkEnd w:id="59"/>
    </w:p>
    <w:p w14:paraId="124CC358">
      <w:pPr>
        <w:spacing w:line="600" w:lineRule="exact"/>
        <w:jc w:val="left"/>
        <w:rPr>
          <w:rFonts w:ascii="Times New Roman" w:hAnsi="Times New Roman"/>
          <w:b/>
          <w:color w:val="auto"/>
          <w:sz w:val="44"/>
          <w:szCs w:val="44"/>
          <w:highlight w:val="none"/>
        </w:rPr>
      </w:pPr>
    </w:p>
    <w:p w14:paraId="7309D1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032F1C27">
      <w:pPr>
        <w:ind w:firstLine="640" w:firstLineChars="200"/>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仿宋_GB2312" w:eastAsia="仿宋_GB2312"/>
          <w:sz w:val="32"/>
          <w:szCs w:val="32"/>
        </w:rPr>
        <w:t>教育（类）</w:t>
      </w:r>
      <w:r>
        <w:rPr>
          <w:rFonts w:hint="eastAsia" w:ascii="仿宋_GB2312" w:eastAsia="仿宋_GB2312"/>
          <w:sz w:val="32"/>
          <w:szCs w:val="32"/>
          <w:lang w:val="en-US" w:eastAsia="zh-CN"/>
        </w:rPr>
        <w:t>205</w:t>
      </w:r>
      <w:r>
        <w:rPr>
          <w:rFonts w:hint="eastAsia" w:ascii="仿宋_GB2312" w:eastAsia="仿宋_GB2312"/>
          <w:sz w:val="32"/>
          <w:szCs w:val="32"/>
        </w:rPr>
        <w:t>（款）</w:t>
      </w:r>
      <w:r>
        <w:rPr>
          <w:rFonts w:hint="eastAsia" w:ascii="仿宋_GB2312" w:eastAsia="仿宋_GB2312"/>
          <w:sz w:val="32"/>
          <w:szCs w:val="32"/>
          <w:lang w:val="en-US" w:eastAsia="zh-CN"/>
        </w:rPr>
        <w:t>99</w:t>
      </w:r>
      <w:r>
        <w:rPr>
          <w:rFonts w:hint="eastAsia" w:ascii="仿宋_GB2312" w:eastAsia="仿宋_GB2312"/>
          <w:sz w:val="32"/>
          <w:szCs w:val="32"/>
        </w:rPr>
        <w:t>（项）</w:t>
      </w:r>
      <w:r>
        <w:rPr>
          <w:rFonts w:hint="eastAsia" w:ascii="仿宋_GB2312" w:eastAsia="仿宋_GB2312"/>
          <w:sz w:val="32"/>
          <w:szCs w:val="32"/>
          <w:lang w:val="en-US" w:eastAsia="zh-CN"/>
        </w:rPr>
        <w:t>99</w:t>
      </w:r>
      <w:r>
        <w:rPr>
          <w:rFonts w:hint="eastAsia" w:ascii="仿宋_GB2312" w:eastAsia="仿宋_GB2312"/>
          <w:sz w:val="32"/>
          <w:szCs w:val="32"/>
        </w:rPr>
        <w:t>：指</w:t>
      </w:r>
      <w:r>
        <w:rPr>
          <w:rFonts w:hint="eastAsia" w:ascii="仿宋_GB2312" w:eastAsia="仿宋_GB2312"/>
          <w:sz w:val="32"/>
          <w:szCs w:val="32"/>
          <w:lang w:eastAsia="zh-CN"/>
        </w:rPr>
        <w:t>其他教育支出</w:t>
      </w:r>
      <w:r>
        <w:rPr>
          <w:rFonts w:hint="eastAsia" w:ascii="仿宋_GB2312" w:eastAsia="仿宋_GB2312"/>
          <w:sz w:val="32"/>
          <w:szCs w:val="32"/>
        </w:rPr>
        <w:t>。</w:t>
      </w:r>
    </w:p>
    <w:p w14:paraId="72CFE2D8">
      <w:pPr>
        <w:spacing w:line="600" w:lineRule="exact"/>
        <w:ind w:firstLine="640" w:firstLineChars="200"/>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仿宋_GB2312" w:eastAsia="仿宋_GB2312"/>
          <w:sz w:val="32"/>
          <w:szCs w:val="32"/>
        </w:rPr>
        <w:t>社会保障和就业（类）</w:t>
      </w:r>
      <w:r>
        <w:rPr>
          <w:rFonts w:hint="eastAsia" w:ascii="仿宋_GB2312" w:eastAsia="仿宋_GB2312"/>
          <w:sz w:val="32"/>
          <w:szCs w:val="32"/>
          <w:lang w:val="en-US" w:eastAsia="zh-CN"/>
        </w:rPr>
        <w:t>208</w:t>
      </w:r>
      <w:r>
        <w:rPr>
          <w:rFonts w:hint="eastAsia" w:ascii="仿宋_GB2312" w:eastAsia="仿宋_GB2312"/>
          <w:sz w:val="32"/>
          <w:szCs w:val="32"/>
        </w:rPr>
        <w:t>（款）</w:t>
      </w:r>
      <w:r>
        <w:rPr>
          <w:rFonts w:hint="eastAsia" w:ascii="仿宋_GB2312" w:eastAsia="仿宋_GB2312"/>
          <w:sz w:val="32"/>
          <w:szCs w:val="32"/>
          <w:lang w:val="en-US" w:eastAsia="zh-CN"/>
        </w:rPr>
        <w:t>01</w:t>
      </w:r>
      <w:r>
        <w:rPr>
          <w:rFonts w:hint="eastAsia" w:ascii="仿宋_GB2312" w:eastAsia="仿宋_GB2312"/>
          <w:sz w:val="32"/>
          <w:szCs w:val="32"/>
        </w:rPr>
        <w:t>（项）</w:t>
      </w:r>
      <w:r>
        <w:rPr>
          <w:rFonts w:hint="eastAsia" w:ascii="仿宋_GB2312" w:eastAsia="仿宋_GB2312"/>
          <w:sz w:val="32"/>
          <w:szCs w:val="32"/>
          <w:lang w:val="en-US" w:eastAsia="zh-CN"/>
        </w:rPr>
        <w:t>01</w:t>
      </w:r>
      <w:r>
        <w:rPr>
          <w:rFonts w:hint="eastAsia" w:ascii="仿宋_GB2312" w:eastAsia="仿宋_GB2312"/>
          <w:sz w:val="32"/>
          <w:szCs w:val="32"/>
        </w:rPr>
        <w:t>指</w:t>
      </w:r>
      <w:r>
        <w:rPr>
          <w:rFonts w:hint="eastAsia" w:ascii="仿宋_GB2312" w:eastAsia="仿宋_GB2312"/>
          <w:sz w:val="32"/>
          <w:szCs w:val="32"/>
          <w:lang w:eastAsia="zh-CN"/>
        </w:rPr>
        <w:t>行政运行，</w:t>
      </w:r>
      <w:r>
        <w:rPr>
          <w:rFonts w:hint="eastAsia" w:ascii="仿宋_GB2312" w:eastAsia="仿宋_GB2312"/>
          <w:sz w:val="32"/>
          <w:szCs w:val="32"/>
        </w:rPr>
        <w:t>（类）</w:t>
      </w:r>
      <w:r>
        <w:rPr>
          <w:rStyle w:val="17"/>
          <w:rFonts w:hint="eastAsia" w:ascii="仿宋" w:hAnsi="仿宋" w:eastAsia="仿宋"/>
          <w:b w:val="0"/>
          <w:bCs/>
          <w:sz w:val="32"/>
          <w:szCs w:val="32"/>
          <w:lang w:val="en-US" w:eastAsia="zh-CN"/>
        </w:rPr>
        <w:t>208</w:t>
      </w:r>
      <w:r>
        <w:rPr>
          <w:rFonts w:hint="eastAsia" w:ascii="仿宋_GB2312" w:eastAsia="仿宋_GB2312"/>
          <w:sz w:val="32"/>
          <w:szCs w:val="32"/>
        </w:rPr>
        <w:t>（款）</w:t>
      </w:r>
      <w:r>
        <w:rPr>
          <w:rStyle w:val="17"/>
          <w:rFonts w:hint="eastAsia" w:ascii="仿宋" w:hAnsi="仿宋" w:eastAsia="仿宋"/>
          <w:b w:val="0"/>
          <w:bCs/>
          <w:sz w:val="32"/>
          <w:szCs w:val="32"/>
          <w:lang w:val="en-US" w:eastAsia="zh-CN"/>
        </w:rPr>
        <w:t>01</w:t>
      </w:r>
      <w:r>
        <w:rPr>
          <w:rFonts w:hint="eastAsia" w:ascii="仿宋_GB2312" w:eastAsia="仿宋_GB2312"/>
          <w:sz w:val="32"/>
          <w:szCs w:val="32"/>
        </w:rPr>
        <w:t>（项）</w:t>
      </w:r>
      <w:r>
        <w:rPr>
          <w:rStyle w:val="17"/>
          <w:rFonts w:hint="eastAsia" w:ascii="仿宋" w:hAnsi="仿宋" w:eastAsia="仿宋"/>
          <w:b w:val="0"/>
          <w:bCs/>
          <w:sz w:val="32"/>
          <w:szCs w:val="32"/>
          <w:lang w:val="en-US" w:eastAsia="zh-CN"/>
        </w:rPr>
        <w:t>02一般行政管理事务支出，</w:t>
      </w:r>
      <w:r>
        <w:rPr>
          <w:rFonts w:hint="eastAsia" w:ascii="仿宋_GB2312" w:eastAsia="仿宋_GB2312"/>
          <w:sz w:val="32"/>
          <w:szCs w:val="32"/>
        </w:rPr>
        <w:t>（类）</w:t>
      </w:r>
      <w:r>
        <w:rPr>
          <w:rStyle w:val="17"/>
          <w:rFonts w:hint="eastAsia" w:ascii="仿宋" w:hAnsi="仿宋" w:eastAsia="仿宋"/>
          <w:b w:val="0"/>
          <w:bCs/>
          <w:sz w:val="32"/>
          <w:szCs w:val="32"/>
          <w:lang w:val="en-US" w:eastAsia="zh-CN"/>
        </w:rPr>
        <w:t>208</w:t>
      </w:r>
      <w:r>
        <w:rPr>
          <w:rFonts w:hint="eastAsia" w:ascii="仿宋_GB2312" w:eastAsia="仿宋_GB2312"/>
          <w:sz w:val="32"/>
          <w:szCs w:val="32"/>
        </w:rPr>
        <w:t>（款）</w:t>
      </w:r>
      <w:r>
        <w:rPr>
          <w:rStyle w:val="17"/>
          <w:rFonts w:hint="eastAsia" w:ascii="仿宋" w:hAnsi="仿宋" w:eastAsia="仿宋"/>
          <w:b w:val="0"/>
          <w:bCs/>
          <w:sz w:val="32"/>
          <w:szCs w:val="32"/>
          <w:lang w:val="en-US" w:eastAsia="zh-CN"/>
        </w:rPr>
        <w:t>01</w:t>
      </w:r>
      <w:r>
        <w:rPr>
          <w:rFonts w:hint="eastAsia" w:ascii="仿宋_GB2312" w:eastAsia="仿宋_GB2312"/>
          <w:sz w:val="32"/>
          <w:szCs w:val="32"/>
        </w:rPr>
        <w:t>（项）</w:t>
      </w:r>
      <w:r>
        <w:rPr>
          <w:rStyle w:val="17"/>
          <w:rFonts w:hint="eastAsia" w:ascii="仿宋" w:hAnsi="仿宋" w:eastAsia="仿宋"/>
          <w:b w:val="0"/>
          <w:bCs/>
          <w:sz w:val="32"/>
          <w:szCs w:val="32"/>
          <w:lang w:val="en-US" w:eastAsia="zh-CN"/>
        </w:rPr>
        <w:t>08信息化建设支出，</w:t>
      </w:r>
      <w:r>
        <w:rPr>
          <w:rFonts w:hint="eastAsia" w:ascii="仿宋_GB2312" w:eastAsia="仿宋_GB2312"/>
          <w:sz w:val="32"/>
          <w:szCs w:val="32"/>
        </w:rPr>
        <w:t>（类）</w:t>
      </w:r>
      <w:r>
        <w:rPr>
          <w:rStyle w:val="17"/>
          <w:rFonts w:hint="eastAsia" w:ascii="仿宋" w:hAnsi="仿宋" w:eastAsia="仿宋"/>
          <w:b w:val="0"/>
          <w:bCs/>
          <w:sz w:val="32"/>
          <w:szCs w:val="32"/>
          <w:lang w:val="en-US" w:eastAsia="zh-CN"/>
        </w:rPr>
        <w:t>208</w:t>
      </w:r>
      <w:r>
        <w:rPr>
          <w:rFonts w:hint="eastAsia" w:ascii="仿宋_GB2312" w:eastAsia="仿宋_GB2312"/>
          <w:sz w:val="32"/>
          <w:szCs w:val="32"/>
        </w:rPr>
        <w:t>（款）</w:t>
      </w:r>
      <w:r>
        <w:rPr>
          <w:rStyle w:val="17"/>
          <w:rFonts w:hint="eastAsia" w:ascii="仿宋" w:hAnsi="仿宋" w:eastAsia="仿宋"/>
          <w:b w:val="0"/>
          <w:bCs/>
          <w:sz w:val="32"/>
          <w:szCs w:val="32"/>
          <w:lang w:val="en-US" w:eastAsia="zh-CN"/>
        </w:rPr>
        <w:t>01</w:t>
      </w:r>
      <w:r>
        <w:rPr>
          <w:rFonts w:hint="eastAsia" w:ascii="仿宋_GB2312" w:eastAsia="仿宋_GB2312"/>
          <w:sz w:val="32"/>
          <w:szCs w:val="32"/>
        </w:rPr>
        <w:t>（项）</w:t>
      </w:r>
      <w:r>
        <w:rPr>
          <w:rStyle w:val="17"/>
          <w:rFonts w:hint="eastAsia" w:ascii="仿宋" w:hAnsi="仿宋" w:eastAsia="仿宋"/>
          <w:b w:val="0"/>
          <w:bCs/>
          <w:sz w:val="32"/>
          <w:szCs w:val="32"/>
          <w:lang w:val="en-US" w:eastAsia="zh-CN"/>
        </w:rPr>
        <w:t>09社会保险经办机构支出，</w:t>
      </w:r>
      <w:r>
        <w:rPr>
          <w:rFonts w:hint="eastAsia" w:ascii="仿宋_GB2312" w:eastAsia="仿宋_GB2312"/>
          <w:sz w:val="32"/>
          <w:szCs w:val="32"/>
        </w:rPr>
        <w:t>（类）</w:t>
      </w:r>
      <w:r>
        <w:rPr>
          <w:rStyle w:val="17"/>
          <w:rFonts w:hint="eastAsia" w:ascii="仿宋" w:hAnsi="仿宋" w:eastAsia="仿宋"/>
          <w:b w:val="0"/>
          <w:bCs/>
          <w:sz w:val="32"/>
          <w:szCs w:val="32"/>
          <w:lang w:val="en-US" w:eastAsia="zh-CN"/>
        </w:rPr>
        <w:t>208</w:t>
      </w:r>
      <w:r>
        <w:rPr>
          <w:rFonts w:hint="eastAsia" w:ascii="仿宋_GB2312" w:eastAsia="仿宋_GB2312"/>
          <w:sz w:val="32"/>
          <w:szCs w:val="32"/>
        </w:rPr>
        <w:t>（款）</w:t>
      </w:r>
      <w:r>
        <w:rPr>
          <w:rStyle w:val="17"/>
          <w:rFonts w:hint="eastAsia" w:ascii="仿宋" w:hAnsi="仿宋" w:eastAsia="仿宋"/>
          <w:b w:val="0"/>
          <w:bCs/>
          <w:sz w:val="32"/>
          <w:szCs w:val="32"/>
          <w:lang w:val="en-US" w:eastAsia="zh-CN"/>
        </w:rPr>
        <w:t>01</w:t>
      </w:r>
      <w:r>
        <w:rPr>
          <w:rFonts w:hint="eastAsia" w:ascii="仿宋_GB2312" w:eastAsia="仿宋_GB2312"/>
          <w:sz w:val="32"/>
          <w:szCs w:val="32"/>
        </w:rPr>
        <w:t>（项）</w:t>
      </w:r>
      <w:r>
        <w:rPr>
          <w:rStyle w:val="17"/>
          <w:rFonts w:hint="eastAsia" w:ascii="仿宋" w:hAnsi="仿宋" w:eastAsia="仿宋"/>
          <w:b w:val="0"/>
          <w:bCs/>
          <w:sz w:val="32"/>
          <w:szCs w:val="32"/>
          <w:lang w:val="en-US" w:eastAsia="zh-CN"/>
        </w:rPr>
        <w:t>99其他人力资源和社会保障管理事务支出，</w:t>
      </w:r>
      <w:r>
        <w:rPr>
          <w:rFonts w:hint="eastAsia" w:ascii="仿宋_GB2312" w:eastAsia="仿宋_GB2312"/>
          <w:sz w:val="32"/>
          <w:szCs w:val="32"/>
        </w:rPr>
        <w:t>（类）</w:t>
      </w:r>
      <w:r>
        <w:rPr>
          <w:rStyle w:val="17"/>
          <w:rFonts w:hint="eastAsia" w:ascii="仿宋" w:hAnsi="仿宋" w:eastAsia="仿宋"/>
          <w:b w:val="0"/>
          <w:bCs/>
          <w:sz w:val="32"/>
          <w:szCs w:val="32"/>
          <w:lang w:val="en-US" w:eastAsia="zh-CN"/>
        </w:rPr>
        <w:t>208</w:t>
      </w:r>
      <w:r>
        <w:rPr>
          <w:rFonts w:hint="eastAsia" w:ascii="仿宋_GB2312" w:eastAsia="仿宋_GB2312"/>
          <w:sz w:val="32"/>
          <w:szCs w:val="32"/>
        </w:rPr>
        <w:t>（款）</w:t>
      </w:r>
      <w:r>
        <w:rPr>
          <w:rStyle w:val="17"/>
          <w:rFonts w:hint="eastAsia" w:ascii="仿宋" w:hAnsi="仿宋" w:eastAsia="仿宋"/>
          <w:b w:val="0"/>
          <w:bCs/>
          <w:sz w:val="32"/>
          <w:szCs w:val="32"/>
          <w:lang w:val="en-US" w:eastAsia="zh-CN"/>
        </w:rPr>
        <w:t>05</w:t>
      </w:r>
      <w:r>
        <w:rPr>
          <w:rFonts w:hint="eastAsia" w:ascii="仿宋_GB2312" w:eastAsia="仿宋_GB2312"/>
          <w:sz w:val="32"/>
          <w:szCs w:val="32"/>
        </w:rPr>
        <w:t>（项）</w:t>
      </w:r>
      <w:r>
        <w:rPr>
          <w:rStyle w:val="17"/>
          <w:rFonts w:hint="eastAsia" w:ascii="仿宋" w:hAnsi="仿宋" w:eastAsia="仿宋"/>
          <w:b w:val="0"/>
          <w:bCs/>
          <w:sz w:val="32"/>
          <w:szCs w:val="32"/>
          <w:lang w:val="en-US" w:eastAsia="zh-CN"/>
        </w:rPr>
        <w:t>05机关事业单位基本养老保险缴费支出，</w:t>
      </w:r>
      <w:r>
        <w:rPr>
          <w:rFonts w:hint="eastAsia" w:ascii="仿宋_GB2312" w:eastAsia="仿宋_GB2312"/>
          <w:sz w:val="32"/>
          <w:szCs w:val="32"/>
        </w:rPr>
        <w:t>（类）</w:t>
      </w:r>
      <w:r>
        <w:rPr>
          <w:rStyle w:val="17"/>
          <w:rFonts w:hint="eastAsia" w:ascii="仿宋" w:hAnsi="仿宋" w:eastAsia="仿宋"/>
          <w:b w:val="0"/>
          <w:bCs/>
          <w:sz w:val="32"/>
          <w:szCs w:val="32"/>
          <w:lang w:val="en-US" w:eastAsia="zh-CN"/>
        </w:rPr>
        <w:t>208</w:t>
      </w:r>
      <w:r>
        <w:rPr>
          <w:rFonts w:hint="eastAsia" w:ascii="仿宋_GB2312" w:eastAsia="仿宋_GB2312"/>
          <w:sz w:val="32"/>
          <w:szCs w:val="32"/>
        </w:rPr>
        <w:t>（款）</w:t>
      </w:r>
      <w:r>
        <w:rPr>
          <w:rStyle w:val="17"/>
          <w:rFonts w:hint="eastAsia" w:ascii="仿宋" w:hAnsi="仿宋" w:eastAsia="仿宋"/>
          <w:b w:val="0"/>
          <w:bCs/>
          <w:sz w:val="32"/>
          <w:szCs w:val="32"/>
          <w:lang w:val="en-US" w:eastAsia="zh-CN"/>
        </w:rPr>
        <w:t>05</w:t>
      </w:r>
      <w:r>
        <w:rPr>
          <w:rFonts w:hint="eastAsia" w:ascii="仿宋_GB2312" w:eastAsia="仿宋_GB2312"/>
          <w:sz w:val="32"/>
          <w:szCs w:val="32"/>
        </w:rPr>
        <w:t>（项）</w:t>
      </w:r>
      <w:r>
        <w:rPr>
          <w:rStyle w:val="17"/>
          <w:rFonts w:hint="eastAsia" w:ascii="仿宋" w:hAnsi="仿宋" w:eastAsia="仿宋"/>
          <w:b w:val="0"/>
          <w:bCs/>
          <w:sz w:val="32"/>
          <w:szCs w:val="32"/>
          <w:lang w:val="en-US" w:eastAsia="zh-CN"/>
        </w:rPr>
        <w:t>06机关事业单位职业年金缴费支出</w:t>
      </w:r>
      <w:r>
        <w:rPr>
          <w:rStyle w:val="17"/>
          <w:rFonts w:hint="eastAsia" w:ascii="仿宋" w:hAnsi="仿宋" w:eastAsia="仿宋"/>
          <w:b w:val="0"/>
          <w:bCs/>
          <w:sz w:val="32"/>
          <w:szCs w:val="32"/>
        </w:rPr>
        <w:t>。</w:t>
      </w:r>
    </w:p>
    <w:p w14:paraId="57596504">
      <w:pPr>
        <w:ind w:firstLine="640" w:firstLineChars="200"/>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4</w:t>
      </w:r>
      <w:r>
        <w:rPr>
          <w:rFonts w:ascii="仿宋_GB2312" w:eastAsia="仿宋_GB2312"/>
          <w:sz w:val="32"/>
          <w:szCs w:val="32"/>
        </w:rPr>
        <w:t>.</w:t>
      </w:r>
      <w:r>
        <w:rPr>
          <w:rFonts w:hint="eastAsia" w:ascii="仿宋_GB2312" w:eastAsia="仿宋_GB2312"/>
          <w:sz w:val="32"/>
          <w:szCs w:val="32"/>
        </w:rPr>
        <w:t>卫生健康（类）</w:t>
      </w:r>
      <w:r>
        <w:rPr>
          <w:rFonts w:hint="eastAsia" w:ascii="仿宋_GB2312" w:eastAsia="仿宋_GB2312"/>
          <w:sz w:val="32"/>
          <w:szCs w:val="32"/>
          <w:lang w:val="en-US" w:eastAsia="zh-CN"/>
        </w:rPr>
        <w:t>210</w:t>
      </w:r>
      <w:r>
        <w:rPr>
          <w:rFonts w:hint="eastAsia" w:ascii="仿宋_GB2312" w:eastAsia="仿宋_GB2312"/>
          <w:sz w:val="32"/>
          <w:szCs w:val="32"/>
        </w:rPr>
        <w:t>（款）</w:t>
      </w:r>
      <w:r>
        <w:rPr>
          <w:rFonts w:hint="eastAsia" w:ascii="仿宋_GB2312" w:eastAsia="仿宋_GB2312"/>
          <w:sz w:val="32"/>
          <w:szCs w:val="32"/>
          <w:lang w:val="en-US" w:eastAsia="zh-CN"/>
        </w:rPr>
        <w:t>11</w:t>
      </w:r>
      <w:r>
        <w:rPr>
          <w:rFonts w:hint="eastAsia" w:ascii="仿宋_GB2312" w:eastAsia="仿宋_GB2312"/>
          <w:sz w:val="32"/>
          <w:szCs w:val="32"/>
        </w:rPr>
        <w:t>（项）</w:t>
      </w:r>
      <w:r>
        <w:rPr>
          <w:rFonts w:hint="eastAsia" w:ascii="仿宋_GB2312" w:eastAsia="仿宋_GB2312"/>
          <w:sz w:val="32"/>
          <w:szCs w:val="32"/>
          <w:lang w:val="en-US" w:eastAsia="zh-CN"/>
        </w:rPr>
        <w:t>01</w:t>
      </w:r>
      <w:r>
        <w:rPr>
          <w:rFonts w:hint="eastAsia" w:ascii="仿宋_GB2312" w:eastAsia="仿宋_GB2312"/>
          <w:sz w:val="32"/>
          <w:szCs w:val="32"/>
        </w:rPr>
        <w:t>：指</w:t>
      </w:r>
      <w:r>
        <w:rPr>
          <w:rFonts w:hint="eastAsia" w:ascii="仿宋_GB2312" w:eastAsia="仿宋_GB2312"/>
          <w:sz w:val="32"/>
          <w:szCs w:val="32"/>
          <w:lang w:eastAsia="zh-CN"/>
        </w:rPr>
        <w:t>行政单位医疗，</w:t>
      </w:r>
      <w:r>
        <w:rPr>
          <w:rFonts w:hint="eastAsia" w:ascii="仿宋_GB2312" w:eastAsia="仿宋_GB2312"/>
          <w:sz w:val="32"/>
          <w:szCs w:val="32"/>
        </w:rPr>
        <w:t>（类）</w:t>
      </w:r>
      <w:r>
        <w:rPr>
          <w:rFonts w:hint="eastAsia" w:ascii="仿宋_GB2312" w:eastAsia="仿宋_GB2312"/>
          <w:sz w:val="32"/>
          <w:szCs w:val="32"/>
          <w:lang w:val="en-US" w:eastAsia="zh-CN"/>
        </w:rPr>
        <w:t>210</w:t>
      </w:r>
      <w:r>
        <w:rPr>
          <w:rFonts w:hint="eastAsia" w:ascii="仿宋_GB2312" w:eastAsia="仿宋_GB2312"/>
          <w:sz w:val="32"/>
          <w:szCs w:val="32"/>
        </w:rPr>
        <w:t>（款）</w:t>
      </w:r>
      <w:r>
        <w:rPr>
          <w:rFonts w:hint="eastAsia" w:ascii="仿宋_GB2312" w:eastAsia="仿宋_GB2312"/>
          <w:sz w:val="32"/>
          <w:szCs w:val="32"/>
          <w:lang w:val="en-US" w:eastAsia="zh-CN"/>
        </w:rPr>
        <w:t>11</w:t>
      </w:r>
      <w:r>
        <w:rPr>
          <w:rFonts w:hint="eastAsia" w:ascii="仿宋_GB2312" w:eastAsia="仿宋_GB2312"/>
          <w:sz w:val="32"/>
          <w:szCs w:val="32"/>
        </w:rPr>
        <w:t>（项）</w:t>
      </w:r>
      <w:r>
        <w:rPr>
          <w:rFonts w:hint="eastAsia" w:ascii="仿宋_GB2312" w:eastAsia="仿宋_GB2312"/>
          <w:sz w:val="32"/>
          <w:szCs w:val="32"/>
          <w:lang w:val="en-US" w:eastAsia="zh-CN"/>
        </w:rPr>
        <w:t>03指公务员医疗补助。</w:t>
      </w:r>
    </w:p>
    <w:p w14:paraId="7C5C14F9">
      <w:pPr>
        <w:ind w:firstLine="640" w:firstLineChars="200"/>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ascii="仿宋_GB2312" w:eastAsia="仿宋_GB2312"/>
          <w:sz w:val="32"/>
          <w:szCs w:val="32"/>
        </w:rPr>
        <w:t>住房保障（类）</w:t>
      </w:r>
      <w:r>
        <w:rPr>
          <w:rFonts w:hint="eastAsia" w:ascii="仿宋_GB2312" w:eastAsia="仿宋_GB2312"/>
          <w:sz w:val="32"/>
          <w:szCs w:val="32"/>
          <w:lang w:val="en-US" w:eastAsia="zh-CN"/>
        </w:rPr>
        <w:t>221</w:t>
      </w:r>
      <w:r>
        <w:rPr>
          <w:rFonts w:hint="eastAsia" w:ascii="仿宋_GB2312" w:eastAsia="仿宋_GB2312"/>
          <w:sz w:val="32"/>
          <w:szCs w:val="32"/>
        </w:rPr>
        <w:t>（款）</w:t>
      </w:r>
      <w:r>
        <w:rPr>
          <w:rFonts w:hint="eastAsia" w:ascii="仿宋_GB2312" w:eastAsia="仿宋_GB2312"/>
          <w:sz w:val="32"/>
          <w:szCs w:val="32"/>
          <w:lang w:val="en-US" w:eastAsia="zh-CN"/>
        </w:rPr>
        <w:t>02</w:t>
      </w:r>
      <w:r>
        <w:rPr>
          <w:rFonts w:hint="eastAsia" w:ascii="仿宋_GB2312" w:eastAsia="仿宋_GB2312"/>
          <w:sz w:val="32"/>
          <w:szCs w:val="32"/>
        </w:rPr>
        <w:t>（项）</w:t>
      </w:r>
      <w:r>
        <w:rPr>
          <w:rFonts w:hint="eastAsia" w:ascii="仿宋_GB2312" w:eastAsia="仿宋_GB2312"/>
          <w:sz w:val="32"/>
          <w:szCs w:val="32"/>
          <w:lang w:val="en-US" w:eastAsia="zh-CN"/>
        </w:rPr>
        <w:t>01</w:t>
      </w:r>
      <w:r>
        <w:rPr>
          <w:rFonts w:hint="eastAsia" w:ascii="仿宋_GB2312" w:eastAsia="仿宋_GB2312"/>
          <w:sz w:val="32"/>
          <w:szCs w:val="32"/>
        </w:rPr>
        <w:t>：指</w:t>
      </w:r>
      <w:r>
        <w:rPr>
          <w:rFonts w:hint="eastAsia" w:ascii="仿宋_GB2312" w:eastAsia="仿宋_GB2312"/>
          <w:sz w:val="32"/>
          <w:szCs w:val="32"/>
          <w:lang w:eastAsia="zh-CN"/>
        </w:rPr>
        <w:t>住房公积金</w:t>
      </w:r>
      <w:r>
        <w:rPr>
          <w:rFonts w:hint="eastAsia" w:ascii="仿宋_GB2312" w:eastAsia="仿宋_GB2312"/>
          <w:sz w:val="32"/>
          <w:szCs w:val="32"/>
        </w:rPr>
        <w:t>。</w:t>
      </w:r>
    </w:p>
    <w:p w14:paraId="6F7A14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6.基本支出：指为保障机构正常运转、完成日常工作任务而发生的人员支出和公用支出。</w:t>
      </w:r>
    </w:p>
    <w:p w14:paraId="22C8B8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0AB5B8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7422C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FC4EC78">
      <w:pPr>
        <w:widowControl/>
        <w:jc w:val="center"/>
        <w:rPr>
          <w:rFonts w:hint="eastAsia" w:ascii="Times New Roman" w:hAnsi="Times New Roman" w:eastAsia="仿宋"/>
          <w:b w:val="0"/>
          <w:color w:val="auto"/>
          <w:highlight w:val="none"/>
        </w:rPr>
      </w:pPr>
      <w:bookmarkStart w:id="60" w:name="_Toc15396618"/>
      <w:bookmarkStart w:id="61" w:name="_Toc20657_WPSOffice_Level1"/>
      <w:bookmarkStart w:id="62" w:name="_Toc15377226"/>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8"/>
          <w:rFonts w:hint="eastAsia" w:ascii="Times New Roman" w:hAnsi="Times New Roman" w:eastAsia="黑体"/>
          <w:b w:val="0"/>
          <w:color w:val="auto"/>
          <w:highlight w:val="none"/>
        </w:rPr>
        <w:t>部分 附表</w:t>
      </w:r>
      <w:bookmarkEnd w:id="60"/>
      <w:bookmarkEnd w:id="61"/>
      <w:bookmarkEnd w:id="62"/>
      <w:bookmarkStart w:id="63" w:name="_Toc15396619"/>
    </w:p>
    <w:p w14:paraId="3EA2B19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49BFB9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2586_WPSOffice_Level2"/>
      <w:r>
        <w:rPr>
          <w:rFonts w:hint="eastAsia" w:ascii="Times New Roman" w:hAnsi="Times New Roman" w:eastAsia="仿宋_GB2312" w:cs="仿宋_GB2312"/>
          <w:color w:val="auto"/>
          <w:sz w:val="32"/>
          <w:szCs w:val="32"/>
          <w:highlight w:val="none"/>
        </w:rPr>
        <w:t>一、收入支出决算总表</w:t>
      </w:r>
      <w:bookmarkEnd w:id="63"/>
      <w:bookmarkEnd w:id="64"/>
    </w:p>
    <w:p w14:paraId="5A8C005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0"/>
      <w:bookmarkStart w:id="66" w:name="_Toc29292_WPSOffice_Level2"/>
      <w:r>
        <w:rPr>
          <w:rFonts w:hint="eastAsia" w:ascii="Times New Roman" w:hAnsi="Times New Roman" w:eastAsia="仿宋_GB2312" w:cs="仿宋_GB2312"/>
          <w:color w:val="auto"/>
          <w:sz w:val="32"/>
          <w:szCs w:val="32"/>
          <w:highlight w:val="none"/>
        </w:rPr>
        <w:t>二、收入决算表</w:t>
      </w:r>
      <w:bookmarkEnd w:id="65"/>
      <w:bookmarkEnd w:id="66"/>
    </w:p>
    <w:p w14:paraId="70E2C43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1"/>
      <w:bookmarkStart w:id="68" w:name="_Toc15978_WPSOffice_Level2"/>
      <w:r>
        <w:rPr>
          <w:rFonts w:hint="eastAsia" w:ascii="Times New Roman" w:hAnsi="Times New Roman" w:eastAsia="仿宋_GB2312" w:cs="仿宋_GB2312"/>
          <w:color w:val="auto"/>
          <w:sz w:val="32"/>
          <w:szCs w:val="32"/>
          <w:highlight w:val="none"/>
        </w:rPr>
        <w:t>三、支出决算表</w:t>
      </w:r>
      <w:bookmarkEnd w:id="67"/>
      <w:bookmarkEnd w:id="68"/>
    </w:p>
    <w:p w14:paraId="01AE04B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21121_WPSOffice_Level2"/>
      <w:bookmarkStart w:id="70" w:name="_Toc15396622"/>
      <w:r>
        <w:rPr>
          <w:rFonts w:hint="eastAsia" w:ascii="Times New Roman" w:hAnsi="Times New Roman" w:eastAsia="仿宋_GB2312" w:cs="仿宋_GB2312"/>
          <w:color w:val="auto"/>
          <w:sz w:val="32"/>
          <w:szCs w:val="32"/>
          <w:highlight w:val="none"/>
        </w:rPr>
        <w:t>四、财政拨款收入支出决算总表</w:t>
      </w:r>
      <w:bookmarkEnd w:id="69"/>
      <w:bookmarkEnd w:id="70"/>
    </w:p>
    <w:p w14:paraId="331F88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22840_WPSOffice_Level2"/>
      <w:bookmarkStart w:id="72" w:name="_Toc15396623"/>
      <w:r>
        <w:rPr>
          <w:rFonts w:hint="eastAsia" w:ascii="Times New Roman" w:hAnsi="Times New Roman" w:eastAsia="仿宋_GB2312" w:cs="仿宋_GB2312"/>
          <w:color w:val="auto"/>
          <w:sz w:val="32"/>
          <w:szCs w:val="32"/>
          <w:highlight w:val="none"/>
        </w:rPr>
        <w:t>五、财政拨款支出决算明细表</w:t>
      </w:r>
      <w:bookmarkEnd w:id="71"/>
      <w:bookmarkEnd w:id="72"/>
      <w:bookmarkStart w:id="73" w:name="_Toc15396624"/>
    </w:p>
    <w:p w14:paraId="735A400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4990_WPSOffice_Level2"/>
      <w:r>
        <w:rPr>
          <w:rFonts w:hint="eastAsia" w:ascii="Times New Roman" w:hAnsi="Times New Roman" w:eastAsia="仿宋_GB2312" w:cs="仿宋_GB2312"/>
          <w:color w:val="auto"/>
          <w:sz w:val="32"/>
          <w:szCs w:val="32"/>
          <w:highlight w:val="none"/>
        </w:rPr>
        <w:t>六、一般公共预算财政拨款支出决算表</w:t>
      </w:r>
      <w:bookmarkEnd w:id="73"/>
      <w:bookmarkEnd w:id="74"/>
    </w:p>
    <w:p w14:paraId="6D45482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5"/>
      <w:bookmarkStart w:id="76" w:name="_Toc15055_WPSOffice_Level2"/>
      <w:r>
        <w:rPr>
          <w:rFonts w:hint="eastAsia" w:ascii="Times New Roman" w:hAnsi="Times New Roman" w:eastAsia="仿宋_GB2312" w:cs="仿宋_GB2312"/>
          <w:color w:val="auto"/>
          <w:sz w:val="32"/>
          <w:szCs w:val="32"/>
          <w:highlight w:val="none"/>
        </w:rPr>
        <w:t>七、一般公共预算财政拨款支出决算明细表</w:t>
      </w:r>
      <w:bookmarkEnd w:id="75"/>
      <w:bookmarkEnd w:id="76"/>
    </w:p>
    <w:p w14:paraId="11E5B47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6"/>
      <w:bookmarkStart w:id="78" w:name="_Toc32562_WPSOffice_Level2"/>
      <w:r>
        <w:rPr>
          <w:rFonts w:hint="eastAsia" w:ascii="Times New Roman" w:hAnsi="Times New Roman" w:eastAsia="仿宋_GB2312" w:cs="仿宋_GB2312"/>
          <w:color w:val="auto"/>
          <w:sz w:val="32"/>
          <w:szCs w:val="32"/>
          <w:highlight w:val="none"/>
        </w:rPr>
        <w:t>八、一般公共预算财政拨款基本支出决算表</w:t>
      </w:r>
      <w:bookmarkEnd w:id="77"/>
      <w:bookmarkEnd w:id="78"/>
    </w:p>
    <w:p w14:paraId="615A327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3274_WPSOffice_Level2"/>
      <w:bookmarkStart w:id="80" w:name="_Toc15396627"/>
      <w:r>
        <w:rPr>
          <w:rFonts w:hint="eastAsia" w:ascii="Times New Roman" w:hAnsi="Times New Roman" w:eastAsia="仿宋_GB2312" w:cs="仿宋_GB2312"/>
          <w:color w:val="auto"/>
          <w:sz w:val="32"/>
          <w:szCs w:val="32"/>
          <w:highlight w:val="none"/>
        </w:rPr>
        <w:t>九、一般公共预算财政拨款项目支出决算表</w:t>
      </w:r>
      <w:bookmarkEnd w:id="79"/>
      <w:bookmarkEnd w:id="80"/>
    </w:p>
    <w:p w14:paraId="1DD43DA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1" w:name="_Toc15396628"/>
      <w:bookmarkStart w:id="82" w:name="_Toc5421_WPSOffice_Level2"/>
      <w:r>
        <w:rPr>
          <w:rFonts w:hint="eastAsia" w:ascii="Times New Roman" w:hAnsi="Times New Roman" w:eastAsia="仿宋_GB2312" w:cs="仿宋_GB2312"/>
          <w:color w:val="auto"/>
          <w:sz w:val="32"/>
          <w:szCs w:val="32"/>
          <w:highlight w:val="none"/>
        </w:rPr>
        <w:t>十、</w:t>
      </w:r>
      <w:bookmarkEnd w:id="81"/>
      <w:r>
        <w:rPr>
          <w:rFonts w:hint="eastAsia" w:ascii="Times New Roman" w:hAnsi="Times New Roman" w:eastAsia="仿宋_GB2312" w:cs="仿宋_GB2312"/>
          <w:color w:val="auto"/>
          <w:sz w:val="32"/>
          <w:szCs w:val="32"/>
          <w:highlight w:val="none"/>
        </w:rPr>
        <w:t>政府性基金预算财政拨款收入支出决算表</w:t>
      </w:r>
      <w:bookmarkEnd w:id="82"/>
    </w:p>
    <w:p w14:paraId="1B5EB5B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9"/>
      <w:bookmarkStart w:id="84" w:name="_Toc25651_WPSOffice_Level2"/>
      <w:r>
        <w:rPr>
          <w:rFonts w:hint="eastAsia" w:ascii="Times New Roman" w:hAnsi="Times New Roman" w:eastAsia="仿宋_GB2312" w:cs="仿宋_GB2312"/>
          <w:color w:val="auto"/>
          <w:sz w:val="32"/>
          <w:szCs w:val="32"/>
          <w:highlight w:val="none"/>
        </w:rPr>
        <w:t>十一、</w:t>
      </w:r>
      <w:bookmarkEnd w:id="8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84"/>
    </w:p>
    <w:p w14:paraId="45A3182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30"/>
      <w:bookmarkStart w:id="86" w:name="_Toc2950_WPSOffice_Level2"/>
      <w:r>
        <w:rPr>
          <w:rFonts w:hint="eastAsia" w:ascii="Times New Roman" w:hAnsi="Times New Roman" w:eastAsia="仿宋_GB2312" w:cs="仿宋_GB2312"/>
          <w:color w:val="auto"/>
          <w:sz w:val="32"/>
          <w:szCs w:val="32"/>
          <w:highlight w:val="none"/>
        </w:rPr>
        <w:t>十二、</w:t>
      </w:r>
      <w:bookmarkEnd w:id="85"/>
      <w:r>
        <w:rPr>
          <w:rFonts w:hint="eastAsia" w:ascii="Times New Roman" w:hAnsi="Times New Roman" w:eastAsia="仿宋_GB2312" w:cs="仿宋_GB2312"/>
          <w:color w:val="auto"/>
          <w:sz w:val="32"/>
          <w:szCs w:val="32"/>
          <w:highlight w:val="none"/>
          <w:lang w:eastAsia="zh-CN"/>
        </w:rPr>
        <w:t>国有资本经营预算财政拨款支出决算表</w:t>
      </w:r>
      <w:bookmarkEnd w:id="86"/>
    </w:p>
    <w:p w14:paraId="7A33C50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7" w:name="_Toc15396631"/>
      <w:bookmarkStart w:id="88" w:name="_Toc12687_WPSOffice_Level2"/>
      <w:r>
        <w:rPr>
          <w:rFonts w:hint="eastAsia" w:ascii="Times New Roman" w:hAnsi="Times New Roman" w:eastAsia="仿宋_GB2312" w:cs="仿宋_GB2312"/>
          <w:color w:val="auto"/>
          <w:sz w:val="32"/>
          <w:szCs w:val="32"/>
          <w:highlight w:val="none"/>
        </w:rPr>
        <w:t>十三、</w:t>
      </w:r>
      <w:bookmarkEnd w:id="87"/>
      <w:r>
        <w:rPr>
          <w:rFonts w:hint="eastAsia" w:ascii="Times New Roman" w:hAnsi="Times New Roman" w:eastAsia="仿宋_GB2312" w:cs="仿宋_GB2312"/>
          <w:color w:val="auto"/>
          <w:sz w:val="32"/>
          <w:szCs w:val="32"/>
          <w:highlight w:val="none"/>
          <w:lang w:eastAsia="zh-CN"/>
        </w:rPr>
        <w:t>财政拨款“三公”经费支出决算表</w:t>
      </w:r>
      <w:bookmarkEnd w:id="88"/>
    </w:p>
    <w:p w14:paraId="697E635A">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C511CEB-68C9-472F-8F7B-E27209FC58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80C7B93-77F0-4412-91BE-67689C1F7D41}"/>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8F314D2E-3BFB-42B3-B815-F7B564BA5407}"/>
  </w:font>
  <w:font w:name="仿宋">
    <w:panose1 w:val="02010609060101010101"/>
    <w:charset w:val="86"/>
    <w:family w:val="modern"/>
    <w:pitch w:val="default"/>
    <w:sig w:usb0="800002BF" w:usb1="38CF7CFA" w:usb2="00000016" w:usb3="00000000" w:csb0="00040001" w:csb1="00000000"/>
    <w:embedRegular r:id="rId4" w:fontKey="{0A677221-97F0-4442-855E-0D8BABFAB79B}"/>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仿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10600010101010101"/>
    <w:charset w:val="86"/>
    <w:family w:val="script"/>
    <w:pitch w:val="default"/>
    <w:sig w:usb0="00000001" w:usb1="080E0000" w:usb2="00000000" w:usb3="00000000" w:csb0="00040000" w:csb1="00000000"/>
    <w:embedRegular r:id="rId5" w:fontKey="{BED47709-7439-45DC-92E1-5C0A434983B3}"/>
  </w:font>
  <w:font w:name="楷体_GB2312">
    <w:panose1 w:val="02010609030101010101"/>
    <w:charset w:val="86"/>
    <w:family w:val="auto"/>
    <w:pitch w:val="default"/>
    <w:sig w:usb0="00000001" w:usb1="080E0000" w:usb2="00000000" w:usb3="00000000" w:csb0="00040000" w:csb1="00000000"/>
    <w:embedRegular r:id="rId6" w:fontKey="{E9C5603E-6275-4966-8B9E-DB786E94DC9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543C5">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19650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19650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v:textbox>
            </v:shape>
          </w:pict>
        </mc:Fallback>
      </mc:AlternateContent>
    </w:r>
  </w:p>
  <w:p w14:paraId="0C03EBC3">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3F39C">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93EE88">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693EE88">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CAE5B">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4DCE76"/>
    <w:multiLevelType w:val="singleLevel"/>
    <w:tmpl w:val="A34DCE7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4434"/>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1C57C58"/>
    <w:rsid w:val="02FEBE30"/>
    <w:rsid w:val="03CD6DA2"/>
    <w:rsid w:val="04916F1E"/>
    <w:rsid w:val="051A63E9"/>
    <w:rsid w:val="05D113E4"/>
    <w:rsid w:val="061E35DE"/>
    <w:rsid w:val="06510065"/>
    <w:rsid w:val="066E0107"/>
    <w:rsid w:val="07996F6E"/>
    <w:rsid w:val="07DFD8BA"/>
    <w:rsid w:val="09867E8F"/>
    <w:rsid w:val="0A2032A3"/>
    <w:rsid w:val="0BBD654C"/>
    <w:rsid w:val="0C6C2B07"/>
    <w:rsid w:val="0CA8290A"/>
    <w:rsid w:val="0D35B1ED"/>
    <w:rsid w:val="0E254B6B"/>
    <w:rsid w:val="0EC251EF"/>
    <w:rsid w:val="0F98263C"/>
    <w:rsid w:val="0FF70C14"/>
    <w:rsid w:val="101860EC"/>
    <w:rsid w:val="101F47CC"/>
    <w:rsid w:val="10C055FF"/>
    <w:rsid w:val="10C57FD8"/>
    <w:rsid w:val="11694EBD"/>
    <w:rsid w:val="11772AA4"/>
    <w:rsid w:val="118107EC"/>
    <w:rsid w:val="12154678"/>
    <w:rsid w:val="12E24EE2"/>
    <w:rsid w:val="13111C18"/>
    <w:rsid w:val="13D50BC4"/>
    <w:rsid w:val="1416387F"/>
    <w:rsid w:val="14B17F78"/>
    <w:rsid w:val="165E0673"/>
    <w:rsid w:val="16B831D5"/>
    <w:rsid w:val="16BB723D"/>
    <w:rsid w:val="173A7D07"/>
    <w:rsid w:val="17A1197A"/>
    <w:rsid w:val="17E50567"/>
    <w:rsid w:val="186504BB"/>
    <w:rsid w:val="19A445FC"/>
    <w:rsid w:val="1BE8440E"/>
    <w:rsid w:val="1C746D66"/>
    <w:rsid w:val="1CAB1C45"/>
    <w:rsid w:val="1D155CEE"/>
    <w:rsid w:val="1D1638FE"/>
    <w:rsid w:val="1E312DEB"/>
    <w:rsid w:val="1E740ACF"/>
    <w:rsid w:val="1F585CFC"/>
    <w:rsid w:val="1FE00F84"/>
    <w:rsid w:val="1FF35744"/>
    <w:rsid w:val="1FF6BC77"/>
    <w:rsid w:val="2186353C"/>
    <w:rsid w:val="23860B96"/>
    <w:rsid w:val="240371BF"/>
    <w:rsid w:val="244F3473"/>
    <w:rsid w:val="24C97D99"/>
    <w:rsid w:val="251B135D"/>
    <w:rsid w:val="25A718F0"/>
    <w:rsid w:val="25BB59F6"/>
    <w:rsid w:val="260F557C"/>
    <w:rsid w:val="26304557"/>
    <w:rsid w:val="2685535F"/>
    <w:rsid w:val="26970054"/>
    <w:rsid w:val="26AC3DE3"/>
    <w:rsid w:val="26AE4C0D"/>
    <w:rsid w:val="281408E2"/>
    <w:rsid w:val="28C93353"/>
    <w:rsid w:val="29E15C3F"/>
    <w:rsid w:val="29FD04D3"/>
    <w:rsid w:val="2B9B5A9A"/>
    <w:rsid w:val="2BFF7BC6"/>
    <w:rsid w:val="2C8A61B5"/>
    <w:rsid w:val="2D380017"/>
    <w:rsid w:val="2DE3194E"/>
    <w:rsid w:val="2DF04E50"/>
    <w:rsid w:val="2E586DFA"/>
    <w:rsid w:val="2F040D46"/>
    <w:rsid w:val="2F0F7ECA"/>
    <w:rsid w:val="2F6B035B"/>
    <w:rsid w:val="2FAE5751"/>
    <w:rsid w:val="2FB1A395"/>
    <w:rsid w:val="2FD9A7D8"/>
    <w:rsid w:val="2FDBF714"/>
    <w:rsid w:val="30AB6865"/>
    <w:rsid w:val="3145057B"/>
    <w:rsid w:val="319307AA"/>
    <w:rsid w:val="319F7F4E"/>
    <w:rsid w:val="32BD1EF1"/>
    <w:rsid w:val="3304709D"/>
    <w:rsid w:val="33A773CB"/>
    <w:rsid w:val="349D6851"/>
    <w:rsid w:val="35311B07"/>
    <w:rsid w:val="36AA5135"/>
    <w:rsid w:val="36BE0DA7"/>
    <w:rsid w:val="376B6AA6"/>
    <w:rsid w:val="376D39B2"/>
    <w:rsid w:val="37E16F03"/>
    <w:rsid w:val="37F53A3B"/>
    <w:rsid w:val="389B6C89"/>
    <w:rsid w:val="38B26075"/>
    <w:rsid w:val="38D469F0"/>
    <w:rsid w:val="39627CCD"/>
    <w:rsid w:val="397BAF1F"/>
    <w:rsid w:val="3AB79AF3"/>
    <w:rsid w:val="3AE834C0"/>
    <w:rsid w:val="3B7EF35A"/>
    <w:rsid w:val="3B9FDB6C"/>
    <w:rsid w:val="3BF5BC2F"/>
    <w:rsid w:val="3CEBA265"/>
    <w:rsid w:val="3D98207C"/>
    <w:rsid w:val="3DB41227"/>
    <w:rsid w:val="3DEE7CF3"/>
    <w:rsid w:val="3DFE3415"/>
    <w:rsid w:val="3E740A63"/>
    <w:rsid w:val="3E78745D"/>
    <w:rsid w:val="3EE17838"/>
    <w:rsid w:val="3F55381A"/>
    <w:rsid w:val="3F7F7599"/>
    <w:rsid w:val="3FB2163C"/>
    <w:rsid w:val="3FF4CAE0"/>
    <w:rsid w:val="3FF7B227"/>
    <w:rsid w:val="40605F4E"/>
    <w:rsid w:val="41A30641"/>
    <w:rsid w:val="41B73F0C"/>
    <w:rsid w:val="438879E6"/>
    <w:rsid w:val="44E268DA"/>
    <w:rsid w:val="450D13D7"/>
    <w:rsid w:val="45506656"/>
    <w:rsid w:val="45CF63F4"/>
    <w:rsid w:val="47763E56"/>
    <w:rsid w:val="48334397"/>
    <w:rsid w:val="486A6C7A"/>
    <w:rsid w:val="487E7580"/>
    <w:rsid w:val="4A413CEB"/>
    <w:rsid w:val="4A627F82"/>
    <w:rsid w:val="4B0E749A"/>
    <w:rsid w:val="4B2477C4"/>
    <w:rsid w:val="4B4F25DA"/>
    <w:rsid w:val="4B9A058D"/>
    <w:rsid w:val="4BE068DB"/>
    <w:rsid w:val="4D577224"/>
    <w:rsid w:val="4DBF1CEB"/>
    <w:rsid w:val="4DF0007C"/>
    <w:rsid w:val="4E201BB8"/>
    <w:rsid w:val="4E33226F"/>
    <w:rsid w:val="4EAB630A"/>
    <w:rsid w:val="4ECE2238"/>
    <w:rsid w:val="4F833267"/>
    <w:rsid w:val="4FE9BD67"/>
    <w:rsid w:val="4FFB052F"/>
    <w:rsid w:val="5116641F"/>
    <w:rsid w:val="537E6D0A"/>
    <w:rsid w:val="53F74C96"/>
    <w:rsid w:val="55170BA8"/>
    <w:rsid w:val="553218C9"/>
    <w:rsid w:val="563E0603"/>
    <w:rsid w:val="567E1AA5"/>
    <w:rsid w:val="56DC307B"/>
    <w:rsid w:val="56E47B74"/>
    <w:rsid w:val="57175D52"/>
    <w:rsid w:val="57BD3DD4"/>
    <w:rsid w:val="58251931"/>
    <w:rsid w:val="5AF92295"/>
    <w:rsid w:val="5B250254"/>
    <w:rsid w:val="5BDD79E6"/>
    <w:rsid w:val="5BF561CA"/>
    <w:rsid w:val="5BFF5DFC"/>
    <w:rsid w:val="5CD71FC4"/>
    <w:rsid w:val="5D1F11B5"/>
    <w:rsid w:val="5D6643E3"/>
    <w:rsid w:val="5D695134"/>
    <w:rsid w:val="5DAE1B18"/>
    <w:rsid w:val="5DE7D9E5"/>
    <w:rsid w:val="5ECEC941"/>
    <w:rsid w:val="5FBF9FF3"/>
    <w:rsid w:val="5FCD4E2C"/>
    <w:rsid w:val="5FEF394A"/>
    <w:rsid w:val="5FF67715"/>
    <w:rsid w:val="615F3E66"/>
    <w:rsid w:val="6298444B"/>
    <w:rsid w:val="62BF3928"/>
    <w:rsid w:val="631F378B"/>
    <w:rsid w:val="63B3701E"/>
    <w:rsid w:val="647F5392"/>
    <w:rsid w:val="65E66580"/>
    <w:rsid w:val="664B1D71"/>
    <w:rsid w:val="664B4E8E"/>
    <w:rsid w:val="66570AA4"/>
    <w:rsid w:val="67277B67"/>
    <w:rsid w:val="675903DF"/>
    <w:rsid w:val="67AA3209"/>
    <w:rsid w:val="698D0931"/>
    <w:rsid w:val="6A7FE5F3"/>
    <w:rsid w:val="6B053271"/>
    <w:rsid w:val="6BDD78B3"/>
    <w:rsid w:val="6C4A05C8"/>
    <w:rsid w:val="6C8742B8"/>
    <w:rsid w:val="6DBF5E93"/>
    <w:rsid w:val="6DFF077E"/>
    <w:rsid w:val="6E714EF0"/>
    <w:rsid w:val="6E751A9E"/>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2760E32"/>
    <w:rsid w:val="727767A8"/>
    <w:rsid w:val="73160E6D"/>
    <w:rsid w:val="7332FE48"/>
    <w:rsid w:val="73693012"/>
    <w:rsid w:val="73986B83"/>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7E6050F"/>
    <w:rsid w:val="78140557"/>
    <w:rsid w:val="783E271A"/>
    <w:rsid w:val="78616DE9"/>
    <w:rsid w:val="78E875D7"/>
    <w:rsid w:val="79086DAD"/>
    <w:rsid w:val="79D7FD79"/>
    <w:rsid w:val="79EE5BA4"/>
    <w:rsid w:val="7A894339"/>
    <w:rsid w:val="7AD284E8"/>
    <w:rsid w:val="7AFF7572"/>
    <w:rsid w:val="7B6C7DFB"/>
    <w:rsid w:val="7BBFBED0"/>
    <w:rsid w:val="7BC3E394"/>
    <w:rsid w:val="7C1F3737"/>
    <w:rsid w:val="7C6241AE"/>
    <w:rsid w:val="7C70466F"/>
    <w:rsid w:val="7CBFC87B"/>
    <w:rsid w:val="7CFE0F48"/>
    <w:rsid w:val="7D272ABC"/>
    <w:rsid w:val="7D7EC23E"/>
    <w:rsid w:val="7E8ADEBF"/>
    <w:rsid w:val="7EE91D12"/>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7">
    <w:name w:val="Body Text"/>
    <w:basedOn w:val="1"/>
    <w:link w:val="25"/>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2"/>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7"/>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4"/>
    <w:qFormat/>
    <w:uiPriority w:val="9"/>
    <w:rPr>
      <w:rFonts w:ascii="Times New Roman" w:hAnsi="Times New Roman"/>
      <w:b/>
      <w:bCs/>
      <w:kern w:val="44"/>
      <w:sz w:val="44"/>
      <w:szCs w:val="44"/>
    </w:rPr>
  </w:style>
  <w:style w:type="character" w:customStyle="1" w:styleId="29">
    <w:name w:val="标题 2 Char"/>
    <w:basedOn w:val="16"/>
    <w:link w:val="5"/>
    <w:qFormat/>
    <w:uiPriority w:val="9"/>
    <w:rPr>
      <w:rFonts w:asciiTheme="majorHAnsi" w:hAnsiTheme="majorHAnsi" w:eastAsiaTheme="majorEastAsia" w:cstheme="majorBidi"/>
      <w:b/>
      <w:bCs/>
      <w:kern w:val="2"/>
      <w:sz w:val="32"/>
      <w:szCs w:val="32"/>
    </w:rPr>
  </w:style>
  <w:style w:type="paragraph" w:customStyle="1" w:styleId="30">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6"/>
    <w:qFormat/>
    <w:uiPriority w:val="9"/>
    <w:rPr>
      <w:rFonts w:ascii="Times New Roman" w:hAnsi="Times New Roman"/>
      <w:b/>
      <w:bCs/>
      <w:kern w:val="2"/>
      <w:sz w:val="32"/>
      <w:szCs w:val="32"/>
    </w:rPr>
  </w:style>
  <w:style w:type="paragraph" w:customStyle="1" w:styleId="33">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常用样式（方正仿宋简）"/>
    <w:basedOn w:val="1"/>
    <w:qFormat/>
    <w:uiPriority w:val="0"/>
    <w:pPr>
      <w:spacing w:before="0" w:beforeAutospacing="0" w:after="0" w:afterAutospacing="0" w:line="560" w:lineRule="exact"/>
      <w:ind w:left="0" w:right="0" w:firstLine="640" w:firstLineChars="200"/>
      <w:jc w:val="left"/>
    </w:pPr>
    <w:rPr>
      <w:rFonts w:hint="default" w:ascii="Times New Roman" w:hAnsi="Times New Roman" w:eastAsia="方正仿宋简体" w:cs="宋体"/>
      <w:kern w:val="0"/>
      <w:sz w:val="32"/>
      <w:szCs w:val="32"/>
      <w:lang w:val="en-US" w:eastAsia="zh-CN" w:bidi="ar"/>
    </w:rPr>
  </w:style>
  <w:style w:type="paragraph" w:customStyle="1" w:styleId="36">
    <w:name w:val="WPSOffice手动目录 1"/>
    <w:qFormat/>
    <w:uiPriority w:val="0"/>
    <w:pPr>
      <w:ind w:leftChars="0"/>
    </w:pPr>
    <w:rPr>
      <w:rFonts w:asciiTheme="minorHAnsi" w:hAnsiTheme="minorHAnsi" w:eastAsiaTheme="minorEastAsia" w:cstheme="minorBidi"/>
      <w:sz w:val="20"/>
      <w:szCs w:val="20"/>
    </w:rPr>
  </w:style>
  <w:style w:type="paragraph" w:customStyle="1" w:styleId="37">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68b6fd89-4b51-4ce3-8fea-fed17eaff814}"/>
        <w:style w:val=""/>
        <w:category>
          <w:name w:val="常规"/>
          <w:gallery w:val="placeholder"/>
        </w:category>
        <w:types>
          <w:type w:val="bbPlcHdr"/>
        </w:types>
        <w:behaviors>
          <w:behavior w:val="content"/>
        </w:behaviors>
        <w:description w:val=""/>
        <w:guid w:val="{68b6fd89-4b51-4ce3-8fea-fed17eaff814}"/>
      </w:docPartPr>
      <w:docPartBody>
        <w:p w14:paraId="5B2BD61F">
          <w:r>
            <w:rPr>
              <w:color w:val="808080"/>
            </w:rPr>
            <w:t>单击此处输入文字。</w:t>
          </w:r>
        </w:p>
      </w:docPartBody>
    </w:docPart>
    <w:docPart>
      <w:docPartPr>
        <w:name w:val="{141309fb-10fc-47b3-a4ea-76bf020d4326}"/>
        <w:style w:val=""/>
        <w:category>
          <w:name w:val="常规"/>
          <w:gallery w:val="placeholder"/>
        </w:category>
        <w:types>
          <w:type w:val="bbPlcHdr"/>
        </w:types>
        <w:behaviors>
          <w:behavior w:val="content"/>
        </w:behaviors>
        <w:description w:val=""/>
        <w:guid w:val="{141309fb-10fc-47b3-a4ea-76bf020d4326}"/>
      </w:docPartPr>
      <w:docPartBody>
        <w:p w14:paraId="69080451">
          <w:r>
            <w:rPr>
              <w:color w:val="808080"/>
            </w:rPr>
            <w:t>单击此处输入文字。</w:t>
          </w:r>
        </w:p>
      </w:docPartBody>
    </w:docPart>
    <w:docPart>
      <w:docPartPr>
        <w:name w:val="{f03d1696-7475-4e98-8ff1-ca0ce8d0cee0}"/>
        <w:style w:val=""/>
        <w:category>
          <w:name w:val="常规"/>
          <w:gallery w:val="placeholder"/>
        </w:category>
        <w:types>
          <w:type w:val="bbPlcHdr"/>
        </w:types>
        <w:behaviors>
          <w:behavior w:val="content"/>
        </w:behaviors>
        <w:description w:val=""/>
        <w:guid w:val="{f03d1696-7475-4e98-8ff1-ca0ce8d0cee0}"/>
      </w:docPartPr>
      <w:docPartBody>
        <w:p w14:paraId="2BAD5B10">
          <w:r>
            <w:rPr>
              <w:color w:val="808080"/>
            </w:rPr>
            <w:t>单击此处输入文字。</w:t>
          </w:r>
        </w:p>
      </w:docPartBody>
    </w:docPart>
    <w:docPart>
      <w:docPartPr>
        <w:name w:val="{c0f5f865-82f5-4942-988a-62c4695924a7}"/>
        <w:style w:val=""/>
        <w:category>
          <w:name w:val="常规"/>
          <w:gallery w:val="placeholder"/>
        </w:category>
        <w:types>
          <w:type w:val="bbPlcHdr"/>
        </w:types>
        <w:behaviors>
          <w:behavior w:val="content"/>
        </w:behaviors>
        <w:description w:val=""/>
        <w:guid w:val="{c0f5f865-82f5-4942-988a-62c4695924a7}"/>
      </w:docPartPr>
      <w:docPartBody>
        <w:p w14:paraId="67703BCC">
          <w:r>
            <w:rPr>
              <w:color w:val="808080"/>
            </w:rPr>
            <w:t>单击此处输入文字。</w:t>
          </w:r>
        </w:p>
      </w:docPartBody>
    </w:docPart>
    <w:docPart>
      <w:docPartPr>
        <w:name w:val="{3a1ce3c2-6dda-48a6-ba85-b20ee2e8382d}"/>
        <w:style w:val=""/>
        <w:category>
          <w:name w:val="常规"/>
          <w:gallery w:val="placeholder"/>
        </w:category>
        <w:types>
          <w:type w:val="bbPlcHdr"/>
        </w:types>
        <w:behaviors>
          <w:behavior w:val="content"/>
        </w:behaviors>
        <w:description w:val=""/>
        <w:guid w:val="{3a1ce3c2-6dda-48a6-ba85-b20ee2e8382d}"/>
      </w:docPartPr>
      <w:docPartBody>
        <w:p w14:paraId="423EA002">
          <w:r>
            <w:rPr>
              <w:color w:val="808080"/>
            </w:rPr>
            <w:t>单击此处输入文字。</w:t>
          </w:r>
        </w:p>
      </w:docPartBody>
    </w:docPart>
    <w:docPart>
      <w:docPartPr>
        <w:name w:val="{df355f67-313a-4c09-8d4b-02c813a366db}"/>
        <w:style w:val=""/>
        <w:category>
          <w:name w:val="常规"/>
          <w:gallery w:val="placeholder"/>
        </w:category>
        <w:types>
          <w:type w:val="bbPlcHdr"/>
        </w:types>
        <w:behaviors>
          <w:behavior w:val="content"/>
        </w:behaviors>
        <w:description w:val=""/>
        <w:guid w:val="{df355f67-313a-4c09-8d4b-02c813a366db}"/>
      </w:docPartPr>
      <w:docPartBody>
        <w:p w14:paraId="79234552">
          <w:r>
            <w:rPr>
              <w:color w:val="808080"/>
            </w:rPr>
            <w:t>单击此处输入文字。</w:t>
          </w:r>
        </w:p>
      </w:docPartBody>
    </w:docPart>
    <w:docPart>
      <w:docPartPr>
        <w:name w:val="{8d5146a0-3e0e-4405-99c1-e7a17d211386}"/>
        <w:style w:val=""/>
        <w:category>
          <w:name w:val="常规"/>
          <w:gallery w:val="placeholder"/>
        </w:category>
        <w:types>
          <w:type w:val="bbPlcHdr"/>
        </w:types>
        <w:behaviors>
          <w:behavior w:val="content"/>
        </w:behaviors>
        <w:description w:val=""/>
        <w:guid w:val="{8d5146a0-3e0e-4405-99c1-e7a17d211386}"/>
      </w:docPartPr>
      <w:docPartBody>
        <w:p w14:paraId="7074E684">
          <w:r>
            <w:rPr>
              <w:color w:val="808080"/>
            </w:rPr>
            <w:t>单击此处输入文字。</w:t>
          </w:r>
        </w:p>
      </w:docPartBody>
    </w:docPart>
    <w:docPart>
      <w:docPartPr>
        <w:name w:val="{3cd8c0c3-610e-4dc3-9bfe-6b663295f21a}"/>
        <w:style w:val=""/>
        <w:category>
          <w:name w:val="常规"/>
          <w:gallery w:val="placeholder"/>
        </w:category>
        <w:types>
          <w:type w:val="bbPlcHdr"/>
        </w:types>
        <w:behaviors>
          <w:behavior w:val="content"/>
        </w:behaviors>
        <w:description w:val=""/>
        <w:guid w:val="{3cd8c0c3-610e-4dc3-9bfe-6b663295f21a}"/>
      </w:docPartPr>
      <w:docPartBody>
        <w:p w14:paraId="56151111">
          <w:r>
            <w:rPr>
              <w:color w:val="808080"/>
            </w:rPr>
            <w:t>单击此处输入文字。</w:t>
          </w:r>
        </w:p>
      </w:docPartBody>
    </w:docPart>
    <w:docPart>
      <w:docPartPr>
        <w:name w:val="{397ef5f4-f584-4a4d-a28d-5803faa9746e}"/>
        <w:style w:val=""/>
        <w:category>
          <w:name w:val="常规"/>
          <w:gallery w:val="placeholder"/>
        </w:category>
        <w:types>
          <w:type w:val="bbPlcHdr"/>
        </w:types>
        <w:behaviors>
          <w:behavior w:val="content"/>
        </w:behaviors>
        <w:description w:val=""/>
        <w:guid w:val="{397ef5f4-f584-4a4d-a28d-5803faa9746e}"/>
      </w:docPartPr>
      <w:docPartBody>
        <w:p w14:paraId="3157A1D4">
          <w:r>
            <w:rPr>
              <w:color w:val="808080"/>
            </w:rPr>
            <w:t>单击此处输入文字。</w:t>
          </w:r>
        </w:p>
      </w:docPartBody>
    </w:docPart>
    <w:docPart>
      <w:docPartPr>
        <w:name w:val="{8f9e69d4-95c7-4adf-96a4-1fe9a0c4fc1f}"/>
        <w:style w:val=""/>
        <w:category>
          <w:name w:val="常规"/>
          <w:gallery w:val="placeholder"/>
        </w:category>
        <w:types>
          <w:type w:val="bbPlcHdr"/>
        </w:types>
        <w:behaviors>
          <w:behavior w:val="content"/>
        </w:behaviors>
        <w:description w:val=""/>
        <w:guid w:val="{8f9e69d4-95c7-4adf-96a4-1fe9a0c4fc1f}"/>
      </w:docPartPr>
      <w:docPartBody>
        <w:p w14:paraId="6F326AD2">
          <w:r>
            <w:rPr>
              <w:color w:val="808080"/>
            </w:rPr>
            <w:t>单击此处输入文字。</w:t>
          </w:r>
        </w:p>
      </w:docPartBody>
    </w:docPart>
    <w:docPart>
      <w:docPartPr>
        <w:name w:val="{7385d782-6233-49c8-89e8-5c986d65ba0d}"/>
        <w:style w:val=""/>
        <w:category>
          <w:name w:val="常规"/>
          <w:gallery w:val="placeholder"/>
        </w:category>
        <w:types>
          <w:type w:val="bbPlcHdr"/>
        </w:types>
        <w:behaviors>
          <w:behavior w:val="content"/>
        </w:behaviors>
        <w:description w:val=""/>
        <w:guid w:val="{7385d782-6233-49c8-89e8-5c986d65ba0d}"/>
      </w:docPartPr>
      <w:docPartBody>
        <w:p w14:paraId="6034F9F0">
          <w:r>
            <w:rPr>
              <w:color w:val="808080"/>
            </w:rPr>
            <w:t>单击此处输入文字。</w:t>
          </w:r>
        </w:p>
      </w:docPartBody>
    </w:docPart>
    <w:docPart>
      <w:docPartPr>
        <w:name w:val="{6f1ac6b6-c1b3-48eb-ada1-334f48716980}"/>
        <w:style w:val=""/>
        <w:category>
          <w:name w:val="常规"/>
          <w:gallery w:val="placeholder"/>
        </w:category>
        <w:types>
          <w:type w:val="bbPlcHdr"/>
        </w:types>
        <w:behaviors>
          <w:behavior w:val="content"/>
        </w:behaviors>
        <w:description w:val=""/>
        <w:guid w:val="{6f1ac6b6-c1b3-48eb-ada1-334f48716980}"/>
      </w:docPartPr>
      <w:docPartBody>
        <w:p w14:paraId="7B7A3A76">
          <w:r>
            <w:rPr>
              <w:color w:val="808080"/>
            </w:rPr>
            <w:t>单击此处输入文字。</w:t>
          </w:r>
        </w:p>
      </w:docPartBody>
    </w:docPart>
    <w:docPart>
      <w:docPartPr>
        <w:name w:val="{1d9149a1-f364-416b-9afe-6cb21550e3e0}"/>
        <w:style w:val=""/>
        <w:category>
          <w:name w:val="常规"/>
          <w:gallery w:val="placeholder"/>
        </w:category>
        <w:types>
          <w:type w:val="bbPlcHdr"/>
        </w:types>
        <w:behaviors>
          <w:behavior w:val="content"/>
        </w:behaviors>
        <w:description w:val=""/>
        <w:guid w:val="{1d9149a1-f364-416b-9afe-6cb21550e3e0}"/>
      </w:docPartPr>
      <w:docPartBody>
        <w:p w14:paraId="7E1D2D54">
          <w:r>
            <w:rPr>
              <w:color w:val="808080"/>
            </w:rPr>
            <w:t>单击此处输入文字。</w:t>
          </w:r>
        </w:p>
      </w:docPartBody>
    </w:docPart>
    <w:docPart>
      <w:docPartPr>
        <w:name w:val="{6c3964db-ba39-457f-a738-7f776f5749ce}"/>
        <w:style w:val=""/>
        <w:category>
          <w:name w:val="常规"/>
          <w:gallery w:val="placeholder"/>
        </w:category>
        <w:types>
          <w:type w:val="bbPlcHdr"/>
        </w:types>
        <w:behaviors>
          <w:behavior w:val="content"/>
        </w:behaviors>
        <w:description w:val=""/>
        <w:guid w:val="{6c3964db-ba39-457f-a738-7f776f5749ce}"/>
      </w:docPartPr>
      <w:docPartBody>
        <w:p w14:paraId="5172A503">
          <w:r>
            <w:rPr>
              <w:color w:val="808080"/>
            </w:rPr>
            <w:t>单击此处输入文字。</w:t>
          </w:r>
        </w:p>
      </w:docPartBody>
    </w:docPart>
    <w:docPart>
      <w:docPartPr>
        <w:name w:val="{ac10bf62-f4fd-4767-92eb-62dfa5881d52}"/>
        <w:style w:val=""/>
        <w:category>
          <w:name w:val="常规"/>
          <w:gallery w:val="placeholder"/>
        </w:category>
        <w:types>
          <w:type w:val="bbPlcHdr"/>
        </w:types>
        <w:behaviors>
          <w:behavior w:val="content"/>
        </w:behaviors>
        <w:description w:val=""/>
        <w:guid w:val="{ac10bf62-f4fd-4767-92eb-62dfa5881d52}"/>
      </w:docPartPr>
      <w:docPartBody>
        <w:p w14:paraId="4052F11E">
          <w:r>
            <w:rPr>
              <w:color w:val="808080"/>
            </w:rPr>
            <w:t>单击此处输入文字。</w:t>
          </w:r>
        </w:p>
      </w:docPartBody>
    </w:docPart>
    <w:docPart>
      <w:docPartPr>
        <w:name w:val="{2fd56b3b-681f-4391-978a-3dd0b5fcbf75}"/>
        <w:style w:val=""/>
        <w:category>
          <w:name w:val="常规"/>
          <w:gallery w:val="placeholder"/>
        </w:category>
        <w:types>
          <w:type w:val="bbPlcHdr"/>
        </w:types>
        <w:behaviors>
          <w:behavior w:val="content"/>
        </w:behaviors>
        <w:description w:val=""/>
        <w:guid w:val="{2fd56b3b-681f-4391-978a-3dd0b5fcbf75}"/>
      </w:docPartPr>
      <w:docPartBody>
        <w:p w14:paraId="3840F664">
          <w:r>
            <w:rPr>
              <w:color w:val="808080"/>
            </w:rPr>
            <w:t>单击此处输入文字。</w:t>
          </w:r>
        </w:p>
      </w:docPartBody>
    </w:docPart>
    <w:docPart>
      <w:docPartPr>
        <w:name w:val="{a8f054e8-1070-413b-b847-ec3bb9d75653}"/>
        <w:style w:val=""/>
        <w:category>
          <w:name w:val="常规"/>
          <w:gallery w:val="placeholder"/>
        </w:category>
        <w:types>
          <w:type w:val="bbPlcHdr"/>
        </w:types>
        <w:behaviors>
          <w:behavior w:val="content"/>
        </w:behaviors>
        <w:description w:val=""/>
        <w:guid w:val="{a8f054e8-1070-413b-b847-ec3bb9d75653}"/>
      </w:docPartPr>
      <w:docPartBody>
        <w:p w14:paraId="11DA5997">
          <w:r>
            <w:rPr>
              <w:color w:val="808080"/>
            </w:rPr>
            <w:t>单击此处输入文字。</w:t>
          </w:r>
        </w:p>
      </w:docPartBody>
    </w:docPart>
    <w:docPart>
      <w:docPartPr>
        <w:name w:val="{ee3ce641-1204-4d7a-b0f3-323d1e052109}"/>
        <w:style w:val=""/>
        <w:category>
          <w:name w:val="常规"/>
          <w:gallery w:val="placeholder"/>
        </w:category>
        <w:types>
          <w:type w:val="bbPlcHdr"/>
        </w:types>
        <w:behaviors>
          <w:behavior w:val="content"/>
        </w:behaviors>
        <w:description w:val=""/>
        <w:guid w:val="{ee3ce641-1204-4d7a-b0f3-323d1e052109}"/>
      </w:docPartPr>
      <w:docPartBody>
        <w:p w14:paraId="4E1EA8C1">
          <w:r>
            <w:rPr>
              <w:color w:val="808080"/>
            </w:rPr>
            <w:t>单击此处输入文字。</w:t>
          </w:r>
        </w:p>
      </w:docPartBody>
    </w:docPart>
    <w:docPart>
      <w:docPartPr>
        <w:name w:val="{3a93d0e9-79df-4644-a5da-173ffba0d8b2}"/>
        <w:style w:val=""/>
        <w:category>
          <w:name w:val="常规"/>
          <w:gallery w:val="placeholder"/>
        </w:category>
        <w:types>
          <w:type w:val="bbPlcHdr"/>
        </w:types>
        <w:behaviors>
          <w:behavior w:val="content"/>
        </w:behaviors>
        <w:description w:val=""/>
        <w:guid w:val="{3a93d0e9-79df-4644-a5da-173ffba0d8b2}"/>
      </w:docPartPr>
      <w:docPartBody>
        <w:p w14:paraId="46FF155D">
          <w:r>
            <w:rPr>
              <w:color w:val="808080"/>
            </w:rPr>
            <w:t>单击此处输入文字。</w:t>
          </w:r>
        </w:p>
      </w:docPartBody>
    </w:docPart>
    <w:docPart>
      <w:docPartPr>
        <w:name w:val="{bdba9d54-3adb-407a-a36b-78e79221f005}"/>
        <w:style w:val=""/>
        <w:category>
          <w:name w:val="常规"/>
          <w:gallery w:val="placeholder"/>
        </w:category>
        <w:types>
          <w:type w:val="bbPlcHdr"/>
        </w:types>
        <w:behaviors>
          <w:behavior w:val="content"/>
        </w:behaviors>
        <w:description w:val=""/>
        <w:guid w:val="{bdba9d54-3adb-407a-a36b-78e79221f005}"/>
      </w:docPartPr>
      <w:docPartBody>
        <w:p w14:paraId="04CBE50C">
          <w:r>
            <w:rPr>
              <w:color w:val="808080"/>
            </w:rPr>
            <w:t>单击此处输入文字。</w:t>
          </w:r>
        </w:p>
      </w:docPartBody>
    </w:docPart>
    <w:docPart>
      <w:docPartPr>
        <w:name w:val="{a377ac73-f54b-4654-8ea7-28f52e668410}"/>
        <w:style w:val=""/>
        <w:category>
          <w:name w:val="常规"/>
          <w:gallery w:val="placeholder"/>
        </w:category>
        <w:types>
          <w:type w:val="bbPlcHdr"/>
        </w:types>
        <w:behaviors>
          <w:behavior w:val="content"/>
        </w:behaviors>
        <w:description w:val=""/>
        <w:guid w:val="{a377ac73-f54b-4654-8ea7-28f52e668410}"/>
      </w:docPartPr>
      <w:docPartBody>
        <w:p w14:paraId="545E86D7">
          <w:r>
            <w:rPr>
              <w:color w:val="808080"/>
            </w:rPr>
            <w:t>单击此处输入文字。</w:t>
          </w:r>
        </w:p>
      </w:docPartBody>
    </w:docPart>
    <w:docPart>
      <w:docPartPr>
        <w:name w:val="{a5b57e06-626e-4781-a5ce-f2b4aa372d94}"/>
        <w:style w:val=""/>
        <w:category>
          <w:name w:val="常规"/>
          <w:gallery w:val="placeholder"/>
        </w:category>
        <w:types>
          <w:type w:val="bbPlcHdr"/>
        </w:types>
        <w:behaviors>
          <w:behavior w:val="content"/>
        </w:behaviors>
        <w:description w:val=""/>
        <w:guid w:val="{a5b57e06-626e-4781-a5ce-f2b4aa372d94}"/>
      </w:docPartPr>
      <w:docPartBody>
        <w:p w14:paraId="45CAE9B5">
          <w:r>
            <w:rPr>
              <w:color w:val="808080"/>
            </w:rPr>
            <w:t>单击此处输入文字。</w:t>
          </w:r>
        </w:p>
      </w:docPartBody>
    </w:docPart>
    <w:docPart>
      <w:docPartPr>
        <w:name w:val="{008c6c50-3751-4d46-a45d-3fb2d864921f}"/>
        <w:style w:val=""/>
        <w:category>
          <w:name w:val="常规"/>
          <w:gallery w:val="placeholder"/>
        </w:category>
        <w:types>
          <w:type w:val="bbPlcHdr"/>
        </w:types>
        <w:behaviors>
          <w:behavior w:val="content"/>
        </w:behaviors>
        <w:description w:val=""/>
        <w:guid w:val="{008c6c50-3751-4d46-a45d-3fb2d864921f}"/>
      </w:docPartPr>
      <w:docPartBody>
        <w:p w14:paraId="0F3BB3DD">
          <w:r>
            <w:rPr>
              <w:color w:val="808080"/>
            </w:rPr>
            <w:t>单击此处输入文字。</w:t>
          </w:r>
        </w:p>
      </w:docPartBody>
    </w:docPart>
    <w:docPart>
      <w:docPartPr>
        <w:name w:val="{fbc74b66-7492-42b1-ae4a-a0f74fa3da52}"/>
        <w:style w:val=""/>
        <w:category>
          <w:name w:val="常规"/>
          <w:gallery w:val="placeholder"/>
        </w:category>
        <w:types>
          <w:type w:val="bbPlcHdr"/>
        </w:types>
        <w:behaviors>
          <w:behavior w:val="content"/>
        </w:behaviors>
        <w:description w:val=""/>
        <w:guid w:val="{fbc74b66-7492-42b1-ae4a-a0f74fa3da52}"/>
      </w:docPartPr>
      <w:docPartBody>
        <w:p w14:paraId="148BE4C2">
          <w:r>
            <w:rPr>
              <w:color w:val="808080"/>
            </w:rPr>
            <w:t>单击此处输入文字。</w:t>
          </w:r>
        </w:p>
      </w:docPartBody>
    </w:docPart>
    <w:docPart>
      <w:docPartPr>
        <w:name w:val="{bc2d17c9-55cc-4d35-b9c0-6792c9c34bfb}"/>
        <w:style w:val=""/>
        <w:category>
          <w:name w:val="常规"/>
          <w:gallery w:val="placeholder"/>
        </w:category>
        <w:types>
          <w:type w:val="bbPlcHdr"/>
        </w:types>
        <w:behaviors>
          <w:behavior w:val="content"/>
        </w:behaviors>
        <w:description w:val=""/>
        <w:guid w:val="{bc2d17c9-55cc-4d35-b9c0-6792c9c34bfb}"/>
      </w:docPartPr>
      <w:docPartBody>
        <w:p w14:paraId="78D0319D">
          <w:r>
            <w:rPr>
              <w:color w:val="808080"/>
            </w:rPr>
            <w:t>单击此处输入文字。</w:t>
          </w:r>
        </w:p>
      </w:docPartBody>
    </w:docPart>
    <w:docPart>
      <w:docPartPr>
        <w:name w:val="{c7cd0ca8-4095-4d57-811d-6f83856fc302}"/>
        <w:style w:val=""/>
        <w:category>
          <w:name w:val="常规"/>
          <w:gallery w:val="placeholder"/>
        </w:category>
        <w:types>
          <w:type w:val="bbPlcHdr"/>
        </w:types>
        <w:behaviors>
          <w:behavior w:val="content"/>
        </w:behaviors>
        <w:description w:val=""/>
        <w:guid w:val="{c7cd0ca8-4095-4d57-811d-6f83856fc302}"/>
      </w:docPartPr>
      <w:docPartBody>
        <w:p w14:paraId="3F3007F9">
          <w:r>
            <w:rPr>
              <w:color w:val="808080"/>
            </w:rPr>
            <w:t>单击此处输入文字。</w:t>
          </w:r>
        </w:p>
      </w:docPartBody>
    </w:docPart>
    <w:docPart>
      <w:docPartPr>
        <w:name w:val="{1ebb7914-439d-450d-b371-a79eaf46f893}"/>
        <w:style w:val=""/>
        <w:category>
          <w:name w:val="常规"/>
          <w:gallery w:val="placeholder"/>
        </w:category>
        <w:types>
          <w:type w:val="bbPlcHdr"/>
        </w:types>
        <w:behaviors>
          <w:behavior w:val="content"/>
        </w:behaviors>
        <w:description w:val=""/>
        <w:guid w:val="{1ebb7914-439d-450d-b371-a79eaf46f893}"/>
      </w:docPartPr>
      <w:docPartBody>
        <w:p w14:paraId="0721B39E">
          <w:r>
            <w:rPr>
              <w:color w:val="808080"/>
            </w:rPr>
            <w:t>单击此处输入文字。</w:t>
          </w:r>
        </w:p>
      </w:docPartBody>
    </w:docPart>
    <w:docPart>
      <w:docPartPr>
        <w:name w:val="{b74f275b-22ca-43db-a1e4-84a48cd86988}"/>
        <w:style w:val=""/>
        <w:category>
          <w:name w:val="常规"/>
          <w:gallery w:val="placeholder"/>
        </w:category>
        <w:types>
          <w:type w:val="bbPlcHdr"/>
        </w:types>
        <w:behaviors>
          <w:behavior w:val="content"/>
        </w:behaviors>
        <w:description w:val=""/>
        <w:guid w:val="{b74f275b-22ca-43db-a1e4-84a48cd86988}"/>
      </w:docPartPr>
      <w:docPartBody>
        <w:p w14:paraId="4E42D233">
          <w:r>
            <w:rPr>
              <w:color w:val="808080"/>
            </w:rPr>
            <w:t>单击此处输入文字。</w:t>
          </w:r>
        </w:p>
      </w:docPartBody>
    </w:docPart>
    <w:docPart>
      <w:docPartPr>
        <w:name w:val="{5fe81ebf-1f85-4333-84ba-680177eca5b2}"/>
        <w:style w:val=""/>
        <w:category>
          <w:name w:val="常规"/>
          <w:gallery w:val="placeholder"/>
        </w:category>
        <w:types>
          <w:type w:val="bbPlcHdr"/>
        </w:types>
        <w:behaviors>
          <w:behavior w:val="content"/>
        </w:behaviors>
        <w:description w:val=""/>
        <w:guid w:val="{5fe81ebf-1f85-4333-84ba-680177eca5b2}"/>
      </w:docPartPr>
      <w:docPartBody>
        <w:p w14:paraId="652F691F">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f23667be-d20b-481a-983b-68e854b6ede3</errorID>
      <errorWord>社会保险基金预决算</errorWord>
      <group>L1_Political</group>
      <groupName>政治性问题</groupName>
      <ability>L2_Keyword</ability>
      <abilityName>固定表述</abilityName>
      <candidateList>
        <item>社会保险基金预算</item>
      </candidateList>
      <explain>词汇“社会保险基金预算”在特定场景下为固定表述形式，请确认此处的“社会保险基金预决算”是否存在不当。</explain>
      <paraID>40E56CBB</paraID>
      <start>113</start>
      <end>121</end>
      <status>modified</status>
      <modifiedWord>社会保险基金预算</modifiedWord>
      <trackRevisions>false</trackRevisions>
    </reviewItem>
    <reviewItem>
      <errorID>253cd45a-9eeb-4d0a-a42b-14f606761537</errorID>
      <errorWord>.</errorWord>
      <group>L1_Format</group>
      <groupName>格式问题</groupName>
      <ability>L2_HalfPunc_CN</ability>
      <abilityName>全半角问题</abilityName>
      <candidateList>
        <item>。</item>
      </candidateList>
      <explain>文本全半角错误。</explain>
      <paraID>31B1BC33</paraID>
      <start>19</start>
      <end>20</end>
      <status>modified</status>
      <modifiedWord>。</modifiedWord>
      <trackRevisions>false</trackRevisions>
    </reviewItem>
    <reviewItem>
      <errorID>aa4362d3-e37f-442b-bda7-e88485a5b6f2</errorID>
      <errorWord>社会保险基金预决算</errorWord>
      <group>L1_Political</group>
      <groupName>政治性问题</groupName>
      <ability>L2_Keyword</ability>
      <abilityName>固定表述</abilityName>
      <candidateList>
        <item>社会保险基金预算</item>
      </candidateList>
      <explain>词汇“社会保险基金预算”在特定场景下为固定表述形式，请确认此处的“社会保险基金预决算”是否存在不当。</explain>
      <paraID>20D9E702</paraID>
      <start>52</start>
      <end>60</end>
      <status>modified</status>
      <modifiedWord>社会保险基金预算</modifiedWord>
      <trackRevisions>false</trackRevisions>
    </reviewItem>
    <reviewItem>
      <errorID>243f0f7c-0e5c-4a5e-b962-8dbd6957e420</errorID>
      <errorWord>是始</errorWord>
      <group>L1_Word</group>
      <groupName>字词问题</groupName>
      <ability>L2_Typo</ability>
      <abilityName>字词错误</abilityName>
      <candidateList>
        <item>是</item>
      </candidateList>
      <explain/>
      <paraID>52D70C17</paraID>
      <start>68</start>
      <end>69</end>
      <status>modified</status>
      <modifiedWord>是</modifiedWord>
      <trackRevisions>false</trackRevisions>
    </reviewItem>
    <reviewItem>
      <errorID>963aa38c-440c-43af-b986-7400a22382c3</errorID>
      <errorWord>工用</errorWord>
      <group>L1_Word</group>
      <groupName>字词问题</groupName>
      <ability>L2_Typo</ability>
      <abilityName>字词错误</abilityName>
      <candidateList>
        <item>公用</item>
      </candidateList>
      <explain>存在发音相同字词的误用。</explain>
      <paraID>28FC5A94</paraID>
      <start>73</start>
      <end>75</end>
      <status>modified</status>
      <modifiedWord>公用</modifiedWord>
      <trackRevisions>false</trackRevisions>
    </reviewItem>
    <reviewItem>
      <errorID>64a147b0-d1e0-4953-9644-2e309ca27b01</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 3F25571</paraID>
      <start>82</start>
      <end>88</end>
      <status>modified</status>
      <modifiedWord>“三支一扶”</modifiedWord>
      <trackRevisions>false</trackRevisions>
    </reviewItem>
    <reviewItem>
      <errorID>b017ce6e-e0c3-48a4-832d-a75dee80404a</errorID>
      <errorWord>，</errorWord>
      <group>L1_Word</group>
      <groupName>字词问题</groupName>
      <ability>L2_Typo</ability>
      <abilityName>字词错误</abilityName>
      <candidateList>
        <item>，在</item>
      </candidateList>
      <explain/>
      <paraID> 3F25571</paraID>
      <start>135</start>
      <end>137</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d22397-974d-4739-bb49-61a0c3c41534}">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15</Pages>
  <Words>6153</Words>
  <Characters>6672</Characters>
  <Lines>61</Lines>
  <Paragraphs>17</Paragraphs>
  <TotalTime>59</TotalTime>
  <ScaleCrop>false</ScaleCrop>
  <LinksUpToDate>false</LinksUpToDate>
  <CharactersWithSpaces>6787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奕夕^_^</cp:lastModifiedBy>
  <cp:lastPrinted>2026-10-12T08:14:00Z</cp:lastPrinted>
  <dcterms:modified xsi:type="dcterms:W3CDTF">2026-10-13T08:10:18Z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EB1CEA85B62148D88543FBC39FE048A4_13</vt:lpwstr>
  </property>
  <property fmtid="{D5CDD505-2E9C-101B-9397-08002B2CF9AE}" pid="4" name="KSOTemplateDocerSaveRecord">
    <vt:lpwstr>eyJoZGlkIjoiNTU1MWNhN2ZmY2ZhZmY3ODhlYTg0MWU5OGMyY2QwZmUiLCJ1c2VySWQiOiI0MzQ2NTM0NzEifQ==</vt:lpwstr>
  </property>
</Properties>
</file>