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83AE4">
      <w:pPr>
        <w:pStyle w:val="6"/>
        <w:jc w:val="center"/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bookmarkStart w:id="0" w:name="_Toc15396597"/>
      <w:bookmarkStart w:id="1" w:name="_Toc15378441"/>
      <w:bookmarkStart w:id="2" w:name="_Toc15377425"/>
      <w:bookmarkStart w:id="3" w:name="_Toc15377193"/>
      <w:bookmarkStart w:id="4" w:name="_Toc15396475"/>
      <w:bookmarkStart w:id="5" w:name="_Toc15306267"/>
    </w:p>
    <w:p w14:paraId="79ED2779">
      <w:pPr>
        <w:pStyle w:val="6"/>
        <w:jc w:val="center"/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6A747D7B">
      <w:pPr>
        <w:pStyle w:val="6"/>
        <w:jc w:val="center"/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0AB7888E">
      <w:pPr>
        <w:pStyle w:val="6"/>
        <w:jc w:val="center"/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629A3B65">
      <w:pPr>
        <w:pStyle w:val="6"/>
        <w:jc w:val="center"/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bookmarkEnd w:id="0"/>
    <w:bookmarkEnd w:id="1"/>
    <w:bookmarkEnd w:id="2"/>
    <w:bookmarkEnd w:id="3"/>
    <w:bookmarkEnd w:id="4"/>
    <w:p w14:paraId="32E5A830">
      <w:pPr>
        <w:pStyle w:val="6"/>
        <w:jc w:val="center"/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bookmarkStart w:id="6" w:name="_Toc15396598"/>
      <w:bookmarkStart w:id="7" w:name="_Toc15377194"/>
      <w:bookmarkStart w:id="8" w:name="_Toc15377426"/>
      <w:bookmarkStart w:id="9" w:name="_Toc15396476"/>
      <w:bookmarkStart w:id="10" w:name="_Toc15378442"/>
      <w:r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202</w:t>
      </w:r>
      <w:r>
        <w:rPr>
          <w:rFonts w:hint="eastAsia" w:asci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年度</w:t>
      </w:r>
    </w:p>
    <w:p w14:paraId="5955F6AB">
      <w:pPr>
        <w:pStyle w:val="6"/>
        <w:jc w:val="center"/>
        <w:rPr>
          <w:rFonts w:hint="eastAsia" w:asci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四川省</w:t>
      </w:r>
      <w:bookmarkEnd w:id="5"/>
      <w:bookmarkStart w:id="11" w:name="_Toc15306268"/>
      <w:r>
        <w:rPr>
          <w:rFonts w:hint="eastAsia" w:asci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松潘县劳动人事争议仲裁院</w:t>
      </w:r>
    </w:p>
    <w:p w14:paraId="27DAAD15">
      <w:pPr>
        <w:pStyle w:val="6"/>
        <w:jc w:val="center"/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单位</w:t>
      </w:r>
      <w:r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决算</w:t>
      </w:r>
      <w:bookmarkEnd w:id="6"/>
      <w:bookmarkEnd w:id="7"/>
      <w:bookmarkEnd w:id="8"/>
      <w:bookmarkEnd w:id="9"/>
      <w:bookmarkEnd w:id="10"/>
      <w:bookmarkEnd w:id="11"/>
    </w:p>
    <w:p w14:paraId="10E9420D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720" w:firstLineChars="200"/>
        <w:jc w:val="left"/>
        <w:textAlignment w:val="auto"/>
        <w:rPr>
          <w:rFonts w:hint="eastAsia" w:ascii="Times New Roman" w:hAnsi="Times New Roman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方正小标宋简体"/>
          <w:color w:val="auto"/>
          <w:sz w:val="36"/>
          <w:szCs w:val="36"/>
          <w:highlight w:val="none"/>
        </w:rPr>
        <w:br w:type="page"/>
      </w:r>
    </w:p>
    <w:p w14:paraId="1F384AEE">
      <w:pPr>
        <w:widowControl/>
        <w:jc w:val="center"/>
        <w:rPr>
          <w:rFonts w:ascii="Times New Roman" w:hAnsi="Times New Roman" w:eastAsia="黑体"/>
          <w:color w:val="auto"/>
          <w:sz w:val="48"/>
          <w:szCs w:val="48"/>
          <w:highlight w:val="none"/>
        </w:rPr>
      </w:pPr>
      <w:r>
        <w:rPr>
          <w:rFonts w:hint="eastAsia" w:ascii="Times New Roman" w:hAnsi="Times New Roman" w:eastAsia="黑体"/>
          <w:color w:val="auto"/>
          <w:sz w:val="48"/>
          <w:szCs w:val="48"/>
          <w:highlight w:val="none"/>
        </w:rPr>
        <w:t>目录</w:t>
      </w:r>
    </w:p>
    <w:p w14:paraId="3AD5F9C9">
      <w:pPr>
        <w:widowControl/>
        <w:jc w:val="center"/>
        <w:rPr>
          <w:rFonts w:ascii="Times New Roman" w:hAnsi="Times New Roman" w:eastAsia="黑体" w:cstheme="minorBidi"/>
          <w:color w:val="auto"/>
          <w:sz w:val="28"/>
          <w:szCs w:val="28"/>
          <w:highlight w:val="none"/>
        </w:rPr>
      </w:pPr>
    </w:p>
    <w:p w14:paraId="21EA7E71">
      <w:pPr>
        <w:pStyle w:val="13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公开时间：20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10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13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日</w: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4378"/>
        <w:docPartObj>
          <w:docPartGallery w:val="Table of Contents"/>
          <w:docPartUnique/>
        </w:docPartObj>
      </w:sdtPr>
      <w:sdtEndPr>
        <w:rPr>
          <w:rFonts w:ascii="宋体" w:hAnsi="宋体" w:eastAsia="宋体" w:cs="Times New Roman"/>
          <w:kern w:val="2"/>
          <w:sz w:val="20"/>
          <w:szCs w:val="20"/>
          <w:lang w:val="en-US" w:eastAsia="zh-CN" w:bidi="ar-SA"/>
        </w:rPr>
      </w:sdtEndPr>
      <w:sdtContent>
        <w:p w14:paraId="2341CC6D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bookmarkStart w:id="12" w:name="_Toc9098_WPSOffice_Type2"/>
        </w:p>
        <w:p w14:paraId="0939A97D">
          <w:pPr>
            <w:pStyle w:val="38"/>
            <w:tabs>
              <w:tab w:val="right" w:leader="dot" w:pos="8306"/>
            </w:tabs>
          </w:pPr>
          <w:r>
            <w:rPr>
              <w:b/>
              <w:bCs/>
            </w:rPr>
            <w:fldChar w:fldCharType="begin"/>
          </w:r>
          <w:r>
            <w:instrText xml:space="preserve"> HYPERLINK \l _Toc15360_WPSOffice_Level1 </w:instrText>
          </w:r>
          <w:r>
            <w:rPr>
              <w:b/>
              <w:bCs/>
            </w:rPr>
            <w:fldChar w:fldCharType="separate"/>
          </w:r>
          <w:sdt>
            <w:sdtPr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id w:val="147453123"/>
              <w:placeholder>
                <w:docPart w:val="{c2127a6f-ebad-47ac-aa13-c4e48b92f65f}"/>
              </w:placeholder>
            </w:sdtPr>
            <w:sdtEndP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黑体" w:cs="黑体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第一部分  部门概况</w:t>
              </w:r>
            </w:sdtContent>
          </w:sdt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4</w:t>
          </w:r>
          <w:r>
            <w:rPr>
              <w:b/>
              <w:bCs/>
            </w:rPr>
            <w:fldChar w:fldCharType="end"/>
          </w:r>
        </w:p>
        <w:p w14:paraId="0B69C3D9">
          <w:pPr>
            <w:pStyle w:val="15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560" w:lineRule="exact"/>
            <w:ind w:left="0" w:leftChars="0" w:firstLine="640" w:firstLineChars="200"/>
            <w:jc w:val="left"/>
            <w:textAlignment w:val="auto"/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</w:pPr>
          <w:r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  <w:instrText xml:space="preserve"> HYPERLINK \l _Toc9098_WPSOffice_Level2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id w:val="147475411"/>
              <w:placeholder>
                <w:docPart w:val="{7cabe53f-de06-4c49-811a-43bf0948b10f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sz w:val="32"/>
                  <w:szCs w:val="32"/>
                  <w:highlight w:val="none"/>
                </w:rPr>
                <w:t>一、部门职责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  <w:tab/>
          </w:r>
          <w:r>
            <w:rPr>
              <w:rFonts w:hint="eastAsia" w:eastAsia="仿宋_GB2312" w:cs="仿宋_GB2312"/>
              <w:color w:val="auto"/>
              <w:sz w:val="32"/>
              <w:szCs w:val="32"/>
              <w:highlight w:val="none"/>
              <w:lang w:val="en-US" w:eastAsia="zh-CN"/>
            </w:rPr>
            <w:t>4</w:t>
          </w:r>
          <w:r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  <w:fldChar w:fldCharType="end"/>
          </w:r>
        </w:p>
        <w:p w14:paraId="57FD4514">
          <w:pPr>
            <w:pStyle w:val="15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560" w:lineRule="exact"/>
            <w:ind w:left="0" w:leftChars="0" w:firstLine="640" w:firstLineChars="200"/>
            <w:jc w:val="left"/>
            <w:textAlignment w:val="auto"/>
          </w:pPr>
          <w:r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  <w:instrText xml:space="preserve"> HYPERLINK \l _Toc16878_WPSOffice_Level2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id w:val="147475370"/>
              <w:placeholder>
                <w:docPart w:val="{fe742ce0-b2b4-4966-be41-9bd016b35a04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sz w:val="32"/>
                  <w:szCs w:val="32"/>
                  <w:highlight w:val="none"/>
                </w:rPr>
                <w:t>二、机构设置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  <w:tab/>
          </w:r>
          <w:r>
            <w:rPr>
              <w:rFonts w:hint="eastAsia" w:eastAsia="仿宋_GB2312" w:cs="仿宋_GB2312"/>
              <w:color w:val="auto"/>
              <w:sz w:val="32"/>
              <w:szCs w:val="32"/>
              <w:highlight w:val="none"/>
              <w:lang w:val="en-US" w:eastAsia="zh-CN"/>
            </w:rPr>
            <w:t>5</w:t>
          </w:r>
          <w:r>
            <w:rPr>
              <w:rFonts w:hint="eastAsia" w:ascii="Times New Roman" w:hAnsi="Times New Roman" w:eastAsia="仿宋_GB2312" w:cs="仿宋_GB2312"/>
              <w:color w:val="auto"/>
              <w:sz w:val="32"/>
              <w:szCs w:val="32"/>
              <w:highlight w:val="none"/>
            </w:rPr>
            <w:fldChar w:fldCharType="end"/>
          </w:r>
        </w:p>
        <w:p w14:paraId="6726C58E">
          <w:pPr>
            <w:pStyle w:val="38"/>
            <w:tabs>
              <w:tab w:val="right" w:leader="dot" w:pos="8306"/>
            </w:tabs>
          </w:pPr>
          <w:r>
            <w:rPr>
              <w:b/>
              <w:bCs/>
            </w:rPr>
            <w:fldChar w:fldCharType="begin"/>
          </w:r>
          <w:r>
            <w:instrText xml:space="preserve"> HYPERLINK \l _Toc9098_WPSOffice_Level1 </w:instrText>
          </w:r>
          <w:r>
            <w:rPr>
              <w:b/>
              <w:bCs/>
            </w:rPr>
            <w:fldChar w:fldCharType="separate"/>
          </w:r>
          <w:sdt>
            <w:sdtPr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id w:val="147476689"/>
              <w:placeholder>
                <w:docPart w:val="{f487852d-c2d4-4118-b0eb-d9f83ebb6bec}"/>
              </w:placeholder>
            </w:sdtPr>
            <w:sdtEndP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黑体" w:cs="黑体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第二部分  2025年度部门决算情况说明</w:t>
              </w:r>
            </w:sdtContent>
          </w:sdt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6</w:t>
          </w:r>
          <w:r>
            <w:rPr>
              <w:b/>
              <w:bCs/>
            </w:rPr>
            <w:fldChar w:fldCharType="end"/>
          </w:r>
        </w:p>
        <w:p w14:paraId="06E72B15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_Toc16900_WPSOffice_Level2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58023"/>
              <w:placeholder>
                <w:docPart w:val="{b6a45bec-58ad-4302-ad97-7e57e69268ae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一、收入支出决算总体情况说明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6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58D3712C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_Toc8302_WPSOffice_Level2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76816"/>
              <w:placeholder>
                <w:docPart w:val="{81a036ed-3245-447e-9bc7-e9e5d297baa2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二、收入决算情况说明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6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02FD857E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_Toc22493_WPSOffice_Level2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64740"/>
              <w:placeholder>
                <w:docPart w:val="{5bdc5fbd-0939-4219-aba9-f2ba16b7f9b7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三、支出决算情况说明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6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50B26614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_Toc11644_WPSOffice_Level2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55307"/>
              <w:placeholder>
                <w:docPart w:val="{d6889486-bf87-4f62-90bc-d42ac65c18c0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四、财政拨款收入支出决算总体情况说明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6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5A90B327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_Toc7435_WPSOffice_Level2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73534"/>
              <w:placeholder>
                <w:docPart w:val="{0146056d-b80a-4be8-8380-796159c2620f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五、一般公共预算财政拨款支出决算情况说明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6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55B3EB46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_Toc4228_WPSOffice_Level2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80642"/>
              <w:placeholder>
                <w:docPart w:val="{e29c27c4-fb44-4b97-b1ef-016d4790ef1c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六、一般公共预算财政拨款基本支出决算情况说明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7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741CBCCF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_Toc30042_WPSOffice_Level2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57775"/>
              <w:placeholder>
                <w:docPart w:val="{65415acf-11e0-4327-8032-8c58430c2632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七、财政拨款“三公”经费支出决算情况说明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8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59917947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_Toc14347_WPSOffice_Level2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54663"/>
              <w:placeholder>
                <w:docPart w:val="{44b52c38-3177-4bd3-aef2-9648bd6fabc8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八、政府性基金预算支出决算情况说明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9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6AEBC482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_Toc20365_WPSOffice_Level2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65781"/>
              <w:placeholder>
                <w:docPart w:val="{948704c5-0f26-4fbb-9b93-d50ea33d40a9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九、国有资本经营预算支出决算情况说明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9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68D0E6C2">
          <w:pPr>
            <w:pStyle w:val="39"/>
            <w:tabs>
              <w:tab w:val="right" w:leader="dot" w:pos="8306"/>
            </w:tabs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_Toc4276_WPSOffice_Level2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60955"/>
              <w:placeholder>
                <w:docPart w:val="{2c3ddb51-4eeb-4dff-9922-6a3b45f5a95c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十、其他重要事项的情况说明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9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39D6D98D">
          <w:pPr>
            <w:pStyle w:val="38"/>
            <w:tabs>
              <w:tab w:val="right" w:leader="dot" w:pos="8306"/>
            </w:tabs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_Toc16878_WPSOffice_Level1 </w:instrText>
          </w: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黑体" w:cs="黑体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68453"/>
              <w:placeholder>
                <w:docPart w:val="{305b8ffb-4f09-4a40-a213-1c5e253774ee}"/>
              </w:placeholder>
            </w:sdtPr>
            <w:sdtEndPr>
              <w:rPr>
                <w:rFonts w:hint="eastAsia" w:ascii="Times New Roman" w:hAnsi="Times New Roman" w:eastAsia="黑体" w:cs="黑体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黑体" w:cs="黑体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第三部分  名词解释</w:t>
              </w:r>
            </w:sdtContent>
          </w:sdt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0</w:t>
          </w:r>
        </w:p>
        <w:p w14:paraId="6C3ACCB8">
          <w:pPr>
            <w:pStyle w:val="38"/>
            <w:tabs>
              <w:tab w:val="right" w:leader="dot" w:pos="8306"/>
            </w:tabs>
          </w:pP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_Toc16900_WPSOffice_Level1 </w:instrText>
          </w: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黑体" w:cs="黑体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76838"/>
              <w:placeholder>
                <w:docPart w:val="{b7191897-8210-41f4-b8b8-0c4e24835c3d}"/>
              </w:placeholder>
            </w:sdtPr>
            <w:sdtEndPr>
              <w:rPr>
                <w:rFonts w:hint="eastAsia" w:ascii="Times New Roman" w:hAnsi="Times New Roman" w:eastAsia="黑体" w:cs="黑体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黑体" w:cs="黑体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第四部分 附表</w:t>
              </w:r>
            </w:sdtContent>
          </w:sdt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13" w:name="_Toc16900_WPSOffice_Level1Page"/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13"/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黑体" w:cs="黑体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192CB69C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_Toc747_WPSOffice_Level2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76699"/>
              <w:placeholder>
                <w:docPart w:val="{d028c6d8-f413-4d1c-b5ed-7989b47221c1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一、收入支出决算总表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14" w:name="_Toc747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14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5DF5C738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_Toc25902_WPSOffice_Level2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58727"/>
              <w:placeholder>
                <w:docPart w:val="{9c90006b-6a35-461c-85db-115900201d1a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二、收入决算表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15" w:name="_Toc25902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15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16785A4C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_Toc17888_WPSOffice_Level2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79762"/>
              <w:placeholder>
                <w:docPart w:val="{a725c726-cac8-4761-855f-5a9f17658491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三、支出决算表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16" w:name="_Toc17888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16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1F320381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_Toc14022_WPSOffice_Level2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68145"/>
              <w:placeholder>
                <w:docPart w:val="{19f59cb1-6828-4f92-90ef-611d1405ac8c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四、财政拨款收入支出决算总表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17" w:name="_Toc14022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17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0D115FF5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_Toc28365_WPSOffice_Level2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73602"/>
              <w:placeholder>
                <w:docPart w:val="{01738f07-f7a5-465b-9e91-c5829560bfc7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五、财政拨款支出决算明细表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18" w:name="_Toc28365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18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3C1FDA5A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_Toc7040_WPSOffice_Level2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81494"/>
              <w:placeholder>
                <w:docPart w:val="{4dbe78e3-1caf-4089-b944-bfcc41bb5168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六、一般公共预算财政拨款支出决算表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19" w:name="_Toc7040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19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79F3E91C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_Toc30787_WPSOffice_Level2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62099"/>
              <w:placeholder>
                <w:docPart w:val="{ef8d66b1-da36-4539-87db-4f5adb5abc78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七、一般公共预算财政拨款支出决算明细表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20" w:name="_Toc30787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20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5FD12B81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_Toc21972_WPSOffice_Level2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56453"/>
              <w:placeholder>
                <w:docPart w:val="{8bd6e93d-1714-409c-956b-1ec0f84f6310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八、一般公共预算财政拨款基本支出决算表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21" w:name="_Toc21972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21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68A9F811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_Toc19522_WPSOffice_Level2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73798"/>
              <w:placeholder>
                <w:docPart w:val="{0bdcb958-7785-448b-8e95-95dd928204f0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九、一般公共预算财政拨款项目支出决算表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22" w:name="_Toc19522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22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7F93FEF2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_Toc15242_WPSOffice_Level2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53132"/>
              <w:placeholder>
                <w:docPart w:val="{de382e81-a3a8-422f-89ae-b09cd2fa6a35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十、政府性基金预算财政拨款收入支出决算表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23" w:name="_Toc15242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23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2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38967DC0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_Toc13867_WPSOffice_Level2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70701"/>
              <w:placeholder>
                <w:docPart w:val="{3d5d9357-9b29-476f-877a-a01f2b47ca90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十一、国有资本经营预算财政拨款收入支出决算表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24" w:name="_Toc13867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24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2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69B97865">
          <w:pPr>
            <w:pStyle w:val="39"/>
            <w:tabs>
              <w:tab w:val="right" w:leader="dot" w:pos="8306"/>
            </w:tabs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_Toc27726_WPSOffice_Level2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51390"/>
              <w:placeholder>
                <w:docPart w:val="{41dfa29d-f795-4aac-a267-27107abe8c19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十二、国有资本经营预算财政拨款支出决算表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25" w:name="_Toc27726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25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2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</w:p>
        <w:p w14:paraId="7A7B767A">
          <w:pPr>
            <w:pStyle w:val="39"/>
            <w:tabs>
              <w:tab w:val="right" w:leader="dot" w:pos="8306"/>
            </w:tabs>
          </w:pP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instrText xml:space="preserve"> HYPERLINK \l _Toc6534_WPSOffice_Level2 </w:instrTex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separate"/>
          </w:r>
          <w:sdt>
            <w:sdt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id w:val="147463040"/>
              <w:placeholder>
                <w:docPart w:val="{30a27035-39a2-4bfc-a500-62615c1e7534}"/>
              </w:placeholder>
            </w:sdtPr>
            <w:sdtEndPr>
              <w:rPr>
                <w:rFonts w:hint="eastAsia" w:ascii="Times New Roman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sdtEndPr>
            <w:sdtContent>
              <w: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32"/>
                  <w:szCs w:val="32"/>
                  <w:highlight w:val="none"/>
                  <w:lang w:val="en-US" w:eastAsia="zh-CN" w:bidi="ar-SA"/>
                </w:rPr>
                <w:t>十三、财政拨款“三公”经费支出决算表</w:t>
              </w:r>
            </w:sdtContent>
          </w:sdt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ab/>
          </w:r>
          <w:bookmarkStart w:id="26" w:name="_Toc6534_WPSOffice_Level2Page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1</w:t>
          </w:r>
          <w:bookmarkEnd w:id="26"/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t>2</w:t>
          </w:r>
          <w:r>
            <w:rPr>
              <w:rFonts w:hint="eastAsia" w:ascii="Times New Roman" w:hAnsi="Times New Roman" w:eastAsia="仿宋_GB2312" w:cs="仿宋_GB2312"/>
              <w:color w:val="auto"/>
              <w:kern w:val="2"/>
              <w:sz w:val="32"/>
              <w:szCs w:val="32"/>
              <w:highlight w:val="none"/>
              <w:lang w:val="en-US" w:eastAsia="zh-CN" w:bidi="ar-SA"/>
            </w:rPr>
            <w:fldChar w:fldCharType="end"/>
          </w:r>
          <w:bookmarkEnd w:id="12"/>
        </w:p>
      </w:sdtContent>
    </w:sdt>
    <w:p w14:paraId="3D91BC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bCs/>
          <w:color w:val="auto"/>
          <w:kern w:val="44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b/>
          <w:color w:val="auto"/>
          <w:sz w:val="32"/>
          <w:szCs w:val="32"/>
          <w:highlight w:val="none"/>
        </w:rPr>
        <w:br w:type="page"/>
      </w:r>
    </w:p>
    <w:p w14:paraId="588E74DE">
      <w:pPr>
        <w:pStyle w:val="3"/>
        <w:jc w:val="center"/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bookmarkStart w:id="27" w:name="_Toc15360_WPSOffice_Level1"/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</w:rPr>
        <w:t>第一部分</w:t>
      </w: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</w:rPr>
        <w:t xml:space="preserve"> </w:t>
      </w:r>
      <w:r>
        <w:rPr>
          <w:rFonts w:hint="eastAsia" w:eastAsia="方正小标宋简体" w:cs="方正小标宋简体"/>
          <w:b w:val="0"/>
          <w:color w:val="auto"/>
          <w:highlight w:val="none"/>
          <w:lang w:eastAsia="zh-CN"/>
        </w:rPr>
        <w:t>部门</w:t>
      </w:r>
      <w:r>
        <w:rPr>
          <w:rStyle w:val="29"/>
          <w:rFonts w:hint="eastAsia" w:ascii="Times New Roman" w:hAnsi="Times New Roman" w:eastAsia="方正小标宋简体" w:cs="方正小标宋简体"/>
          <w:b w:val="0"/>
          <w:bCs w:val="0"/>
          <w:color w:val="auto"/>
          <w:highlight w:val="none"/>
        </w:rPr>
        <w:t>概况</w:t>
      </w:r>
      <w:bookmarkEnd w:id="27"/>
    </w:p>
    <w:p w14:paraId="01DAD12A">
      <w:pPr>
        <w:pStyle w:val="4"/>
        <w:numPr>
          <w:ilvl w:val="0"/>
          <w:numId w:val="1"/>
        </w:numPr>
        <w:rPr>
          <w:rFonts w:hint="eastAsia" w:ascii="Times New Roman" w:hAnsi="Times New Roman" w:eastAsia="黑体"/>
          <w:b w:val="0"/>
          <w:color w:val="auto"/>
          <w:highlight w:val="none"/>
          <w:lang w:eastAsia="zh-CN"/>
        </w:rPr>
      </w:pPr>
      <w:bookmarkStart w:id="28" w:name="_Toc9098_WPSOffice_Level2"/>
      <w:r>
        <w:rPr>
          <w:rFonts w:hint="eastAsia" w:ascii="Times New Roman" w:hAnsi="Times New Roman" w:eastAsia="黑体"/>
          <w:b w:val="0"/>
          <w:color w:val="auto"/>
          <w:highlight w:val="none"/>
          <w:lang w:eastAsia="zh-CN"/>
        </w:rPr>
        <w:t>部门职责</w:t>
      </w:r>
      <w:bookmarkEnd w:id="28"/>
    </w:p>
    <w:p w14:paraId="481739AD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统筹拟订和实施全县劳动、人事争议调解仲裁工作规划和相关规定，指导和协调全县劳动、人事争议调解仲裁工作，指导开展全县劳动、人事争议预防工作；</w:t>
      </w:r>
    </w:p>
    <w:p w14:paraId="614D4F4E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负责松潘县劳动人事争议仲裁院的日常工作，依法组织协调处理重大劳动、人事争议案件；</w:t>
      </w:r>
    </w:p>
    <w:p w14:paraId="795BB9D1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负责仲裁员的培训、考核工作，根据办案需要组成仲裁庭；</w:t>
      </w:r>
    </w:p>
    <w:p w14:paraId="75D697F8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接待有关劳动人事争议预防和处理方面的法律法规、政策咨询，对企业及其职工开展劳动人事争议预防和处理方面的法律法规、政策知识宣传和培训，指导全县境内的企业、个体经济组织、民办非企业单位、国家机关、事业单位、社会团体依法用工；</w:t>
      </w:r>
    </w:p>
    <w:p w14:paraId="612E923D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对全县劳动人事争议案件依法进行调解和仲裁；</w:t>
      </w:r>
    </w:p>
    <w:p w14:paraId="5A3221CE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6.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参与涉及劳动人事突发事件，群体、疑难及重大案件；</w:t>
      </w:r>
    </w:p>
    <w:p w14:paraId="157102D6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7.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负责管理劳动人事争议仲裁院的文书、档案、印鉴及全县劳动、人事争议处理情况的统计分析和上报工作；</w:t>
      </w:r>
    </w:p>
    <w:p w14:paraId="7867C272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8.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负责县属用人单位及省、州属驻我县单位劳动人事争议调解组织的业务指导；</w:t>
      </w:r>
    </w:p>
    <w:p w14:paraId="63BAAAB2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9.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指导辖区内企业劳动争议调解委员会开展工作；</w:t>
      </w:r>
    </w:p>
    <w:p w14:paraId="5312CEA8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10.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承担县委、县政府以及州、县人力资源和社会保障局交办的其他工作事项。</w:t>
      </w:r>
    </w:p>
    <w:p w14:paraId="24B19981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Style w:val="30"/>
          <w:rFonts w:ascii="Times New Roman" w:hAnsi="Times New Roman"/>
          <w:b w:val="0"/>
          <w:bCs w:val="0"/>
          <w:color w:val="auto"/>
          <w:highlight w:val="none"/>
        </w:rPr>
      </w:pPr>
      <w:bookmarkStart w:id="29" w:name="_Toc15396601"/>
      <w:bookmarkStart w:id="30" w:name="_Toc16878_WPSOffice_Level2"/>
      <w:bookmarkStart w:id="31" w:name="_Toc15377200"/>
      <w:r>
        <w:rPr>
          <w:rFonts w:hint="eastAsia" w:ascii="Times New Roman" w:hAnsi="Times New Roman" w:eastAsia="黑体"/>
          <w:b w:val="0"/>
          <w:color w:val="auto"/>
          <w:highlight w:val="none"/>
        </w:rPr>
        <w:t>二、机</w:t>
      </w:r>
      <w:r>
        <w:rPr>
          <w:rStyle w:val="30"/>
          <w:rFonts w:hint="eastAsia" w:ascii="Times New Roman" w:hAnsi="Times New Roman" w:eastAsia="黑体"/>
          <w:b w:val="0"/>
          <w:bCs w:val="0"/>
          <w:color w:val="auto"/>
          <w:highlight w:val="none"/>
        </w:rPr>
        <w:t>构设置</w:t>
      </w:r>
      <w:bookmarkEnd w:id="29"/>
      <w:bookmarkEnd w:id="30"/>
      <w:bookmarkEnd w:id="31"/>
    </w:p>
    <w:p w14:paraId="2172689E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32" w:name="_Toc15377204"/>
      <w:bookmarkStart w:id="33" w:name="_Toc15396602"/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我县劳动争议仲裁院设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个职能股室。</w:t>
      </w:r>
    </w:p>
    <w:p w14:paraId="6DAD9F26">
      <w:pPr>
        <w:spacing w:line="600" w:lineRule="exact"/>
        <w:ind w:firstLine="640"/>
        <w:rPr>
          <w:rFonts w:hint="default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（一）综合股</w:t>
      </w:r>
    </w:p>
    <w:p w14:paraId="667A1471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负责劳动争议案件登记、审查、受理和立案工作；</w:t>
      </w:r>
    </w:p>
    <w:p w14:paraId="734C755F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负责立案前的劳动争议案件的案前调解工作，做好调解记录；</w:t>
      </w:r>
    </w:p>
    <w:p w14:paraId="2477B229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负责对案件当事人进行劳动保障法律法规和政策的宣传；</w:t>
      </w:r>
    </w:p>
    <w:p w14:paraId="54A81708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负责松潘县劳动人事争议仲裁院内外协调、财务管理、信息、统计等日常事务和后勤服务工作；</w:t>
      </w:r>
    </w:p>
    <w:p w14:paraId="61DE23CC">
      <w:pPr>
        <w:spacing w:line="600" w:lineRule="exact"/>
        <w:ind w:firstLine="640"/>
        <w:rPr>
          <w:rFonts w:hint="default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（二）仲裁庭</w:t>
      </w:r>
    </w:p>
    <w:p w14:paraId="794D2B14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按照《劳动人事争议仲裁办案规则》要求，主要负责对劳动关系、劳动报酬、劳动保护、经济补偿等方面应当受理的劳动争议案件的审理工作；</w:t>
      </w:r>
    </w:p>
    <w:p w14:paraId="13D60FC9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按照《劳动人事争议仲裁办案规则》要求，主要负责对社会保险、工伤医疗费、培训、辞职、离职等方面应当受理的劳动争议案件的审理工作；</w:t>
      </w:r>
    </w:p>
    <w:p w14:paraId="3C6531F9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承担法律文书的校对、装订、送达、案卷材料的整理、归档和保管工作；</w:t>
      </w:r>
    </w:p>
    <w:p w14:paraId="73BEA18A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br w:type="page"/>
      </w:r>
    </w:p>
    <w:p w14:paraId="79F0E5F2">
      <w:pPr>
        <w:pStyle w:val="3"/>
        <w:jc w:val="center"/>
        <w:rPr>
          <w:rFonts w:ascii="Times New Roman" w:hAnsi="Times New Roman"/>
          <w:color w:val="auto"/>
          <w:highlight w:val="none"/>
        </w:rPr>
      </w:pPr>
      <w:bookmarkStart w:id="34" w:name="_Toc9098_WPSOffice_Level1"/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</w:rPr>
        <w:t>第二部分</w:t>
      </w: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</w:rPr>
        <w:t xml:space="preserve"> </w:t>
      </w: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  <w:lang w:val="en-US" w:eastAsia="zh-CN"/>
        </w:rPr>
        <w:t>202</w:t>
      </w:r>
      <w:r>
        <w:rPr>
          <w:rFonts w:hint="eastAsia" w:eastAsia="方正小标宋简体" w:cs="方正小标宋简体"/>
          <w:b w:val="0"/>
          <w:color w:val="auto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  <w:lang w:val="en-US" w:eastAsia="zh-CN"/>
        </w:rPr>
        <w:t>年度</w:t>
      </w: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</w:rPr>
        <w:t>部门决算情况说明</w:t>
      </w:r>
      <w:bookmarkEnd w:id="32"/>
      <w:bookmarkEnd w:id="33"/>
      <w:bookmarkEnd w:id="34"/>
    </w:p>
    <w:p w14:paraId="4A668841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</w:pPr>
      <w:bookmarkStart w:id="35" w:name="_Toc16900_WPSOffice_Level2"/>
      <w:bookmarkStart w:id="36" w:name="_Toc15396603"/>
      <w:bookmarkStart w:id="37" w:name="_Toc15377205"/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eastAsia="zh-CN"/>
        </w:rPr>
        <w:t>一、</w:t>
      </w: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收</w:t>
      </w:r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  <w:t>入支出决算总体情况说明</w:t>
      </w:r>
      <w:bookmarkEnd w:id="35"/>
      <w:bookmarkEnd w:id="36"/>
      <w:bookmarkEnd w:id="37"/>
    </w:p>
    <w:p w14:paraId="194AC005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年度收入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支出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总计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均为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208.46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万元。与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度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相比，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收入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支出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总计各增加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13.97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万元，增长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7.18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%。主要变动原因是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人员经费及公用经费增加。</w:t>
      </w:r>
    </w:p>
    <w:p w14:paraId="27C772FB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eastAsia="zh-CN"/>
        </w:rPr>
      </w:pPr>
      <w:bookmarkStart w:id="38" w:name="_Toc15396604"/>
      <w:bookmarkStart w:id="39" w:name="_Toc8302_WPSOffice_Level2"/>
      <w:bookmarkStart w:id="40" w:name="_Toc15377206"/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eastAsia="zh-CN"/>
        </w:rPr>
        <w:t>二、收入决算情况说明</w:t>
      </w:r>
      <w:bookmarkEnd w:id="38"/>
      <w:bookmarkEnd w:id="39"/>
      <w:bookmarkEnd w:id="40"/>
    </w:p>
    <w:p w14:paraId="68D4E464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outlineLvl w:val="1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年度本年收入合计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208.46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万元，其中：一般公共预算财政拨款收入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208.46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%</w:t>
      </w:r>
      <w:bookmarkStart w:id="108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bookmarkEnd w:id="108"/>
    </w:p>
    <w:p w14:paraId="50B8B966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</w:pPr>
      <w:bookmarkStart w:id="41" w:name="_Toc22493_WPSOffice_Level2"/>
      <w:bookmarkStart w:id="42" w:name="_Toc15377207"/>
      <w:bookmarkStart w:id="43" w:name="_Toc15396605"/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eastAsia="zh-CN"/>
        </w:rPr>
        <w:t>三、</w:t>
      </w: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支</w:t>
      </w:r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  <w:t>出决算情况说明</w:t>
      </w:r>
      <w:bookmarkEnd w:id="41"/>
      <w:bookmarkEnd w:id="42"/>
      <w:bookmarkEnd w:id="43"/>
    </w:p>
    <w:p w14:paraId="0B7D4168">
      <w:pPr>
        <w:ind w:firstLine="800" w:firstLineChars="250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年度本年支出合计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208.46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万元，其中：基本支出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208.46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%；项目支出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%；上缴上级支出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%；经营支出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%；对附属单位补助支出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065F1C3">
      <w:pPr>
        <w:spacing w:line="600" w:lineRule="exact"/>
        <w:ind w:firstLine="640" w:firstLineChars="200"/>
        <w:outlineLvl w:val="1"/>
        <w:rPr>
          <w:rStyle w:val="30"/>
          <w:rFonts w:ascii="Times New Roman" w:hAnsi="Times New Roman" w:eastAsia="黑体"/>
          <w:b w:val="0"/>
          <w:color w:val="auto"/>
          <w:highlight w:val="none"/>
        </w:rPr>
      </w:pPr>
      <w:bookmarkStart w:id="44" w:name="_Toc15377208"/>
      <w:bookmarkStart w:id="45" w:name="_Toc15396606"/>
      <w:bookmarkStart w:id="46" w:name="_Toc11644_WPSOffice_Level2"/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四、财</w:t>
      </w:r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  <w:t>政拨款收入支出决算总体情况说明</w:t>
      </w:r>
      <w:bookmarkEnd w:id="44"/>
      <w:bookmarkEnd w:id="45"/>
      <w:bookmarkEnd w:id="46"/>
    </w:p>
    <w:p w14:paraId="40B666FD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年度财政拨款收入、支出总计均为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208.46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万元。与202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年度相比，财政拨款收入总计、支出总计各增加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13.97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万元，增长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7.18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%。主要变动原因是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人员经费及公用经费增加。</w:t>
      </w:r>
    </w:p>
    <w:p w14:paraId="212A56D8">
      <w:pPr>
        <w:spacing w:line="600" w:lineRule="exact"/>
        <w:ind w:firstLine="640" w:firstLineChars="200"/>
        <w:outlineLvl w:val="1"/>
        <w:rPr>
          <w:rStyle w:val="30"/>
          <w:rFonts w:ascii="Times New Roman" w:hAnsi="Times New Roman" w:eastAsia="黑体"/>
          <w:b w:val="0"/>
          <w:color w:val="auto"/>
          <w:highlight w:val="none"/>
        </w:rPr>
      </w:pPr>
      <w:bookmarkStart w:id="47" w:name="_Toc15396607"/>
      <w:bookmarkStart w:id="48" w:name="_Toc15377209"/>
      <w:bookmarkStart w:id="49" w:name="_Toc7435_WPSOffice_Level2"/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五、</w:t>
      </w:r>
      <w:r>
        <w:rPr>
          <w:rFonts w:hint="eastAsia" w:ascii="Times New Roman" w:hAnsi="Times New Roman" w:eastAsia="黑体"/>
          <w:b/>
          <w:color w:val="auto"/>
          <w:sz w:val="32"/>
          <w:szCs w:val="32"/>
          <w:highlight w:val="none"/>
        </w:rPr>
        <w:t>一</w:t>
      </w:r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  <w:t>般公共预算财政拨款支出决算情况说明</w:t>
      </w:r>
      <w:bookmarkEnd w:id="47"/>
      <w:bookmarkEnd w:id="48"/>
      <w:bookmarkEnd w:id="49"/>
    </w:p>
    <w:p w14:paraId="382D7E34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</w:pPr>
      <w:bookmarkStart w:id="50" w:name="_Toc15377210"/>
      <w:r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  <w:t>（一）一般公共预算财政拨款支出决算总体情况</w:t>
      </w:r>
      <w:bookmarkEnd w:id="50"/>
    </w:p>
    <w:p w14:paraId="408CD57C"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2025年度一般公共预算财政拨款支出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208.46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%。与2024年度相比，一般公共预算财政拨款支出增加13.97万元，增长7.18%。主要变动原因是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人员经费及公用经费增加。</w:t>
      </w:r>
    </w:p>
    <w:p w14:paraId="381C955A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</w:pPr>
      <w:bookmarkStart w:id="51" w:name="_Toc15377211"/>
      <w:r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  <w:t>（二）一般公共预算财政拨款支出决算结构情况</w:t>
      </w:r>
      <w:bookmarkEnd w:id="51"/>
    </w:p>
    <w:p w14:paraId="06D454B1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年度一般公共预算财政拨款支出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208.46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，主要用于以下方面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社会保障和就业支出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181.87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87.24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%；卫生健康支出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10.89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5.22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%；住房保障支出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15.7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7.53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3E903B38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</w:pPr>
      <w:bookmarkStart w:id="52" w:name="_Toc15377212"/>
      <w:r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  <w:t>（三）一般公共预算财政拨款支出决算具体情况</w:t>
      </w:r>
      <w:bookmarkEnd w:id="52"/>
    </w:p>
    <w:p w14:paraId="02C36E2B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53" w:name="_Toc15378460"/>
      <w:bookmarkStart w:id="54" w:name="_Toc15377213"/>
      <w:bookmarkStart w:id="55" w:name="_Toc15377444"/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年度一般公共预算财政拨款支出决算数为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208.46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完成预算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100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%。其中：</w:t>
      </w:r>
      <w:bookmarkEnd w:id="53"/>
      <w:bookmarkEnd w:id="54"/>
      <w:bookmarkEnd w:id="55"/>
    </w:p>
    <w:p w14:paraId="28F22869">
      <w:pPr>
        <w:pStyle w:val="3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.社会保障和就业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支出：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支出决算为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181.87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万元，完成预算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100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%，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2080150事业运行153.82万元，</w:t>
      </w:r>
      <w:r>
        <w:rPr>
          <w:rStyle w:val="18"/>
          <w:rFonts w:hint="default" w:ascii="仿宋" w:hAnsi="仿宋" w:eastAsia="仿宋" w:cstheme="minorBidi"/>
          <w:b w:val="0"/>
          <w:bCs/>
          <w:sz w:val="32"/>
          <w:szCs w:val="32"/>
          <w:lang w:val="en-US" w:eastAsia="zh-CN"/>
        </w:rPr>
        <w:t>2080505</w:t>
      </w:r>
      <w:r>
        <w:rPr>
          <w:rStyle w:val="18"/>
          <w:rFonts w:hint="eastAsia" w:ascii="仿宋" w:hAnsi="仿宋" w:eastAsia="仿宋" w:cstheme="minorBidi"/>
          <w:b w:val="0"/>
          <w:bCs/>
          <w:sz w:val="32"/>
          <w:szCs w:val="32"/>
          <w:lang w:val="en-US" w:eastAsia="zh-CN"/>
        </w:rPr>
        <w:t>机关事业单位基本养老保险缴费支出18.7万元，</w:t>
      </w:r>
      <w:r>
        <w:rPr>
          <w:rStyle w:val="18"/>
          <w:rFonts w:hint="default" w:ascii="仿宋" w:hAnsi="仿宋" w:eastAsia="仿宋" w:cstheme="minorBidi"/>
          <w:b w:val="0"/>
          <w:bCs/>
          <w:sz w:val="32"/>
          <w:szCs w:val="32"/>
          <w:lang w:val="en-US" w:eastAsia="zh-CN"/>
        </w:rPr>
        <w:t>2080506</w:t>
      </w:r>
      <w:r>
        <w:rPr>
          <w:rStyle w:val="18"/>
          <w:rFonts w:hint="eastAsia" w:ascii="仿宋" w:hAnsi="仿宋" w:eastAsia="仿宋" w:cstheme="minorBidi"/>
          <w:b w:val="0"/>
          <w:bCs/>
          <w:sz w:val="32"/>
          <w:szCs w:val="32"/>
          <w:lang w:val="en-US" w:eastAsia="zh-CN"/>
        </w:rPr>
        <w:t>机关事业单位职业年金缴费支出9.35万元。</w:t>
      </w:r>
    </w:p>
    <w:p w14:paraId="50A8F6DF">
      <w:pPr>
        <w:spacing w:line="600" w:lineRule="exact"/>
        <w:ind w:firstLine="640" w:firstLineChars="200"/>
        <w:rPr>
          <w:rStyle w:val="18"/>
          <w:rFonts w:hint="eastAsia" w:ascii="仿宋" w:hAnsi="仿宋" w:eastAsia="仿宋"/>
          <w:b w:val="0"/>
          <w:bCs/>
          <w:sz w:val="32"/>
          <w:szCs w:val="32"/>
        </w:rPr>
      </w:pP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.卫生健康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支出：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支出决算为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10.89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万元，完成预算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100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%，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2101102事业单位医疗9.26万元，2101199其他行政事业单位医疗支出1.62万元</w:t>
      </w:r>
      <w:r>
        <w:rPr>
          <w:rStyle w:val="18"/>
          <w:rFonts w:hint="eastAsia" w:ascii="仿宋" w:hAnsi="仿宋" w:eastAsia="仿宋"/>
          <w:b w:val="0"/>
          <w:bCs/>
          <w:sz w:val="32"/>
          <w:szCs w:val="32"/>
        </w:rPr>
        <w:t>。</w:t>
      </w:r>
    </w:p>
    <w:p w14:paraId="46C2842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76" w:lineRule="exact"/>
        <w:ind w:left="0" w:right="0" w:firstLine="643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18"/>
          <w:rFonts w:hint="default" w:ascii="仿宋" w:hAnsi="仿宋" w:eastAsia="仿宋" w:cstheme="minorBidi"/>
          <w:bCs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住房保障支出</w:t>
      </w:r>
      <w:r>
        <w:rPr>
          <w:rStyle w:val="37"/>
          <w:rFonts w:hint="eastAsia" w:ascii="仿宋_GB2312" w:hAnsi="Times New Roman" w:eastAsia="仿宋_GB2312" w:cs="仿宋_GB2312"/>
          <w:b/>
          <w:bCs/>
          <w:kern w:val="0"/>
          <w:sz w:val="32"/>
          <w:szCs w:val="32"/>
          <w:shd w:val="clear" w:fill="FFFFFF"/>
        </w:rPr>
        <w:t>：</w:t>
      </w:r>
      <w:r>
        <w:rPr>
          <w:rStyle w:val="18"/>
          <w:rFonts w:hint="default" w:ascii="仿宋" w:hAnsi="仿宋" w:eastAsia="仿宋" w:cstheme="minorBidi"/>
          <w:b w:val="0"/>
          <w:bCs/>
          <w:sz w:val="32"/>
          <w:szCs w:val="32"/>
        </w:rPr>
        <w:t>2210201</w:t>
      </w:r>
      <w:r>
        <w:rPr>
          <w:rStyle w:val="18"/>
          <w:rFonts w:hint="eastAsia" w:ascii="仿宋" w:hAnsi="仿宋" w:eastAsia="仿宋" w:cstheme="minorBidi"/>
          <w:b w:val="0"/>
          <w:bCs/>
          <w:sz w:val="32"/>
          <w:szCs w:val="32"/>
        </w:rPr>
        <w:t>住房公积金：支出决算数为</w:t>
      </w:r>
      <w:r>
        <w:rPr>
          <w:rStyle w:val="18"/>
          <w:rFonts w:hint="eastAsia" w:ascii="仿宋" w:hAnsi="仿宋" w:eastAsia="仿宋" w:cstheme="minorBidi"/>
          <w:b w:val="0"/>
          <w:bCs/>
          <w:sz w:val="32"/>
          <w:szCs w:val="32"/>
          <w:lang w:val="en-US" w:eastAsia="zh-CN"/>
        </w:rPr>
        <w:t>15.7</w:t>
      </w:r>
      <w:r>
        <w:rPr>
          <w:rStyle w:val="18"/>
          <w:rFonts w:hint="eastAsia" w:ascii="仿宋" w:hAnsi="仿宋" w:eastAsia="仿宋" w:cstheme="minorBidi"/>
          <w:b w:val="0"/>
          <w:bCs/>
          <w:sz w:val="32"/>
          <w:szCs w:val="32"/>
        </w:rPr>
        <w:t>万元，完成预算</w:t>
      </w:r>
      <w:r>
        <w:rPr>
          <w:rStyle w:val="18"/>
          <w:rFonts w:hint="default" w:ascii="仿宋" w:hAnsi="仿宋" w:eastAsia="仿宋" w:cstheme="minorBidi"/>
          <w:b w:val="0"/>
          <w:bCs/>
          <w:sz w:val="32"/>
          <w:szCs w:val="32"/>
        </w:rPr>
        <w:t>100%</w:t>
      </w:r>
      <w:r>
        <w:rPr>
          <w:rStyle w:val="18"/>
          <w:rFonts w:hint="eastAsia" w:ascii="仿宋" w:hAnsi="仿宋" w:eastAsia="仿宋" w:cstheme="minorBidi"/>
          <w:b w:val="0"/>
          <w:bCs/>
          <w:sz w:val="32"/>
          <w:szCs w:val="32"/>
        </w:rPr>
        <w:t>。</w:t>
      </w:r>
    </w:p>
    <w:p w14:paraId="772A24A3">
      <w:pPr>
        <w:tabs>
          <w:tab w:val="right" w:pos="8306"/>
        </w:tabs>
        <w:spacing w:line="600" w:lineRule="exact"/>
        <w:ind w:firstLine="640"/>
        <w:outlineLvl w:val="1"/>
        <w:rPr>
          <w:rStyle w:val="30"/>
          <w:rFonts w:ascii="Times New Roman" w:hAnsi="Times New Roman"/>
          <w:color w:val="auto"/>
          <w:highlight w:val="none"/>
        </w:rPr>
      </w:pPr>
      <w:bookmarkStart w:id="56" w:name="_Toc15396608"/>
      <w:bookmarkStart w:id="57" w:name="_Toc15377214"/>
      <w:bookmarkStart w:id="58" w:name="_Toc4228_WPSOffice_Level2"/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六</w:t>
      </w:r>
      <w:r>
        <w:rPr>
          <w:rFonts w:hint="eastAsia" w:ascii="Times New Roman" w:hAnsi="Times New Roman" w:eastAsia="黑体"/>
          <w:b/>
          <w:color w:val="auto"/>
          <w:sz w:val="32"/>
          <w:szCs w:val="32"/>
          <w:highlight w:val="none"/>
        </w:rPr>
        <w:t>、一</w:t>
      </w:r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  <w:t>般公共预算财政拨款基本支出决算情况说明</w:t>
      </w:r>
      <w:bookmarkEnd w:id="56"/>
      <w:bookmarkEnd w:id="57"/>
      <w:bookmarkEnd w:id="58"/>
      <w:r>
        <w:rPr>
          <w:rStyle w:val="30"/>
          <w:rFonts w:ascii="Times New Roman" w:hAnsi="Times New Roman" w:eastAsia="黑体"/>
          <w:b w:val="0"/>
          <w:color w:val="auto"/>
          <w:highlight w:val="none"/>
        </w:rPr>
        <w:tab/>
      </w:r>
    </w:p>
    <w:p w14:paraId="52790865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年度一般公共预算财政拨款基本支出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208.46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元，其中：</w:t>
      </w:r>
    </w:p>
    <w:p w14:paraId="633A6060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人员经费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197.67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元，主要包括：基本工资、津贴补贴、奖金、绩效工资、机关事业单位基本养老保险缴费、职业年金缴费、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职工基本医疗保险缴费、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其他社会保障缴费、住房公积金、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医疗费、奖励金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等。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br w:type="textWrapping"/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　　公用经费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10.79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元，主要包括：办公费、差旅费、培训费、工会经费等。</w:t>
      </w:r>
    </w:p>
    <w:p w14:paraId="2548003D">
      <w:pPr>
        <w:spacing w:line="600" w:lineRule="exact"/>
        <w:ind w:firstLine="640"/>
        <w:outlineLvl w:val="1"/>
        <w:rPr>
          <w:rStyle w:val="30"/>
          <w:rFonts w:ascii="Times New Roman" w:hAnsi="Times New Roman" w:eastAsia="黑体"/>
          <w:b w:val="0"/>
          <w:color w:val="auto"/>
          <w:highlight w:val="none"/>
        </w:rPr>
      </w:pPr>
      <w:bookmarkStart w:id="59" w:name="_Toc15396609"/>
      <w:bookmarkStart w:id="60" w:name="_Toc15377215"/>
      <w:bookmarkStart w:id="61" w:name="_Toc30042_WPSOffice_Level2"/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七、</w:t>
      </w:r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  <w:t>财政拨款</w:t>
      </w:r>
      <w:r>
        <w:rPr>
          <w:rStyle w:val="30"/>
          <w:rFonts w:hint="eastAsia" w:ascii="Times New Roman" w:hAnsi="Times New Roman" w:eastAsia="黑体"/>
          <w:color w:val="auto"/>
          <w:highlight w:val="none"/>
        </w:rPr>
        <w:t>“</w:t>
      </w:r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  <w:t>三公”经费支出决算情况说明</w:t>
      </w:r>
      <w:bookmarkEnd w:id="59"/>
      <w:bookmarkEnd w:id="60"/>
      <w:bookmarkEnd w:id="61"/>
    </w:p>
    <w:p w14:paraId="2884DCDF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</w:pPr>
      <w:bookmarkStart w:id="62" w:name="_Toc15377216"/>
      <w:r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  <w:t>（一）“三公”经费财政拨款支出决算总体情况说明</w:t>
      </w:r>
      <w:bookmarkEnd w:id="62"/>
    </w:p>
    <w:p w14:paraId="704CF446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年度“三公”经费财政拨款支出决算为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万元，完成预算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%，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较上年度增加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万元，增长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%。决算数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与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预算数持平的主要原因是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未支出“三公”经费。</w:t>
      </w:r>
    </w:p>
    <w:p w14:paraId="19D23F90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</w:pPr>
      <w:bookmarkStart w:id="63" w:name="_Toc15377217"/>
      <w:r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  <w:t>（二）“三公”经费财政拨款支出决算具体情况说明</w:t>
      </w:r>
      <w:bookmarkEnd w:id="63"/>
    </w:p>
    <w:p w14:paraId="64A0DACA">
      <w:pPr>
        <w:spacing w:line="600" w:lineRule="exact"/>
        <w:ind w:firstLine="64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2025年度“三公”经费财政拨款支出决算中，因公出国（境）费支出决算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万元，占0%；公务用车购置及运行维护费支出决算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万元，占0%；公务接待费支出决算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万元，占0%。具体情况如下：</w:t>
      </w:r>
    </w:p>
    <w:p w14:paraId="7BA2107A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1.因公出国（境）经费支出</w:t>
      </w:r>
      <w:r>
        <w:rPr>
          <w:rFonts w:hint="eastAsia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万元，完成预算</w:t>
      </w:r>
      <w:r>
        <w:rPr>
          <w:rFonts w:hint="eastAsia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全年安排因公出国（境）团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次，出国（境）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。因公出国（境）支出决算比202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年增加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万元，增长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/减少0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</w:p>
    <w:p w14:paraId="589031BB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2.公务用车购置及运行维护费支出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0万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元</w:t>
      </w:r>
      <w:r>
        <w:rPr>
          <w:rFonts w:hint="eastAsia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完成预算</w:t>
      </w:r>
      <w:r>
        <w:rPr>
          <w:rFonts w:hint="eastAsia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公务用车购置及运行维护费支出决算比202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年度增加/减少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万元，增长/下降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</w:p>
    <w:p w14:paraId="3CF9AA93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其中：公务用车购置支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万元。全年按规定更新购置公务用车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辆，其中：轿车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辆、金额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万元，越野车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辆、金额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万元，载客汽车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辆、金额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万元。截至202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年12月31日，单位共有公务用车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辆，其中：轿车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辆、越野车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辆、载客汽车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辆。公务用车运行维护费支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72112392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3.公务接待费支出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0万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元，完成预算</w:t>
      </w:r>
      <w:r>
        <w:rPr>
          <w:rFonts w:hint="eastAsia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公务接待费支出决算比202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年度增加/减少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万元，增长/下降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其中：</w:t>
      </w:r>
    </w:p>
    <w:p w14:paraId="0DAD91EF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国内公务接待支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元，国内公务接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待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批次，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人次（不包括陪同人员），共计支出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1DA158F4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外事接待支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万元。外事接待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批次，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人次（不包括陪同人员），共计支出0万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元。</w:t>
      </w:r>
      <w:bookmarkStart w:id="64" w:name="_Toc15377218"/>
      <w:bookmarkStart w:id="65" w:name="_Toc15396610"/>
    </w:p>
    <w:p w14:paraId="1E036578">
      <w:pPr>
        <w:spacing w:line="600" w:lineRule="exact"/>
        <w:ind w:firstLine="640"/>
        <w:outlineLvl w:val="1"/>
        <w:rPr>
          <w:rStyle w:val="30"/>
          <w:rFonts w:ascii="Times New Roman" w:hAnsi="Times New Roman" w:eastAsia="黑体"/>
          <w:color w:val="auto"/>
          <w:highlight w:val="none"/>
        </w:rPr>
      </w:pPr>
      <w:bookmarkStart w:id="66" w:name="_Toc14347_WPSOffice_Level2"/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八、</w:t>
      </w:r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  <w:t>政府性基金预算支出决算情况说明</w:t>
      </w:r>
      <w:bookmarkEnd w:id="64"/>
      <w:bookmarkEnd w:id="65"/>
      <w:bookmarkEnd w:id="66"/>
    </w:p>
    <w:p w14:paraId="7DF10E64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2025年度政府性基金预算财政拨款支出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。与202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年度相比，政府性基金预算财政拨款支出增加/减少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万元，增长/下降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5D4A478C">
      <w:pPr>
        <w:numPr>
          <w:ilvl w:val="0"/>
          <w:numId w:val="0"/>
        </w:numPr>
        <w:spacing w:line="600" w:lineRule="exact"/>
        <w:ind w:left="630" w:leftChars="0"/>
        <w:outlineLvl w:val="1"/>
        <w:rPr>
          <w:rStyle w:val="30"/>
          <w:rFonts w:ascii="Times New Roman" w:hAnsi="Times New Roman" w:eastAsia="黑体"/>
          <w:b w:val="0"/>
          <w:color w:val="auto"/>
          <w:highlight w:val="none"/>
        </w:rPr>
      </w:pPr>
      <w:bookmarkStart w:id="67" w:name="_Toc15396611"/>
      <w:bookmarkStart w:id="68" w:name="_Toc20365_WPSOffice_Level2"/>
      <w:bookmarkStart w:id="69" w:name="_Toc15377219"/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  <w:lang w:eastAsia="zh-CN"/>
        </w:rPr>
        <w:t>九、</w:t>
      </w:r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  <w:t>国有资本经营预算支出决算情况说明</w:t>
      </w:r>
      <w:bookmarkEnd w:id="67"/>
      <w:bookmarkEnd w:id="68"/>
      <w:bookmarkEnd w:id="69"/>
    </w:p>
    <w:p w14:paraId="5E349F31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年度国有资本经营预算财政拨款支出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。与202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年度相比，国有资本经营预算财政拨款支出增加/减少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万元，增长/下降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</w:p>
    <w:p w14:paraId="6369B5C6">
      <w:pPr>
        <w:numPr>
          <w:ilvl w:val="0"/>
          <w:numId w:val="0"/>
        </w:numPr>
        <w:spacing w:line="600" w:lineRule="exact"/>
        <w:ind w:left="630" w:leftChars="0"/>
        <w:outlineLvl w:val="1"/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</w:pPr>
      <w:bookmarkStart w:id="70" w:name="_Toc15396612"/>
      <w:bookmarkStart w:id="71" w:name="_Toc4276_WPSOffice_Level2"/>
      <w:bookmarkStart w:id="72" w:name="_Toc15377221"/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  <w:lang w:eastAsia="zh-CN"/>
        </w:rPr>
        <w:t>十、</w:t>
      </w:r>
      <w:r>
        <w:rPr>
          <w:rStyle w:val="30"/>
          <w:rFonts w:hint="eastAsia" w:ascii="Times New Roman" w:hAnsi="Times New Roman" w:eastAsia="黑体"/>
          <w:b w:val="0"/>
          <w:color w:val="auto"/>
          <w:highlight w:val="none"/>
        </w:rPr>
        <w:t>其他重要事项的情况说明</w:t>
      </w:r>
      <w:bookmarkEnd w:id="70"/>
      <w:bookmarkEnd w:id="71"/>
      <w:bookmarkEnd w:id="72"/>
    </w:p>
    <w:p w14:paraId="01BCFEC1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</w:pPr>
      <w:bookmarkStart w:id="73" w:name="_Toc15377222"/>
      <w:r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  <w:t>（一）机关运行经费支出情况</w:t>
      </w:r>
      <w:bookmarkEnd w:id="73"/>
    </w:p>
    <w:p w14:paraId="48F427C3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阿坝州松潘县劳动人事争议仲裁院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机关运行经费支出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元，比202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年度增加/减少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万元，与202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年度决算数持平。</w:t>
      </w:r>
    </w:p>
    <w:p w14:paraId="3BD44C39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</w:pPr>
      <w:bookmarkStart w:id="74" w:name="_Toc15377223"/>
      <w:r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  <w:t>（二）政府采购支出情况</w:t>
      </w:r>
      <w:bookmarkEnd w:id="74"/>
    </w:p>
    <w:p w14:paraId="5CCB034D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2025年度，</w:t>
      </w:r>
      <w:r>
        <w:rPr>
          <w:rFonts w:hint="eastAsia" w:ascii="仿宋_GB2312" w:hAnsi="仿宋_GB2312" w:eastAsia="仿宋_GB2312" w:cs="仿宋_GB2312"/>
          <w:sz w:val="32"/>
          <w:szCs w:val="32"/>
        </w:rPr>
        <w:t>阿坝州松潘县劳动人事争议仲裁院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政府采购支出总额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万元，其中：政府采购货物支出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万元、政府采购工程支出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万元、政府采购服务支出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万元。授予中小企业合同金额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万元，占政府采购支出总额的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%，其中：授予小微企业合同金额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万元，占政府采购支出总额的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</w:p>
    <w:p w14:paraId="250FB534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</w:pPr>
      <w:bookmarkStart w:id="75" w:name="_Toc15377224"/>
      <w:r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  <w:t>（三）国有资产占有使用情况</w:t>
      </w:r>
      <w:bookmarkEnd w:id="75"/>
    </w:p>
    <w:p w14:paraId="0E6BF5CE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截至2025年12月31日，</w:t>
      </w:r>
      <w:r>
        <w:rPr>
          <w:rFonts w:hint="eastAsia" w:ascii="仿宋_GB2312" w:hAnsi="仿宋_GB2312" w:eastAsia="仿宋_GB2312" w:cs="仿宋_GB2312"/>
          <w:sz w:val="32"/>
          <w:szCs w:val="32"/>
        </w:rPr>
        <w:t>阿坝州松潘县劳动人事争议仲裁院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共有车辆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辆，其中：主要负责人用车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辆、机要通信用车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辆、应急保障用车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辆、其他用车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辆，其他用车。单价100万元（含）以上设备（不含车辆）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台（套）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61A941E6">
      <w:pPr>
        <w:spacing w:line="600" w:lineRule="exact"/>
        <w:ind w:firstLine="643" w:firstLineChars="200"/>
        <w:outlineLvl w:val="2"/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楷体_GB2312"/>
          <w:b/>
          <w:color w:val="auto"/>
          <w:sz w:val="32"/>
          <w:szCs w:val="32"/>
          <w:highlight w:val="none"/>
        </w:rPr>
        <w:t>（四）预算绩效管理情况</w:t>
      </w:r>
    </w:p>
    <w:p w14:paraId="3C878B4A">
      <w:pPr>
        <w:spacing w:line="600" w:lineRule="exact"/>
        <w:ind w:firstLine="640"/>
        <w:rPr>
          <w:rFonts w:hint="eastAsia"/>
          <w:lang w:val="en-US" w:eastAsia="zh-CN"/>
        </w:rPr>
      </w:pP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本单位在2025年度无项目。</w:t>
      </w:r>
    </w:p>
    <w:p w14:paraId="138C2DC1">
      <w:pPr>
        <w:numPr>
          <w:ilvl w:val="0"/>
          <w:numId w:val="0"/>
        </w:numPr>
        <w:spacing w:line="600" w:lineRule="exact"/>
        <w:jc w:val="center"/>
        <w:outlineLvl w:val="0"/>
        <w:rPr>
          <w:rFonts w:ascii="Times New Roman" w:hAnsi="Times New Roman"/>
          <w:b/>
          <w:color w:val="auto"/>
          <w:sz w:val="44"/>
          <w:szCs w:val="44"/>
          <w:highlight w:val="none"/>
        </w:rPr>
      </w:pPr>
      <w:bookmarkStart w:id="76" w:name="_Toc15377225"/>
      <w:bookmarkStart w:id="77" w:name="_Toc16878_WPSOffice_Level1"/>
      <w:bookmarkStart w:id="78" w:name="_Toc15396613"/>
      <w:r>
        <w:rPr>
          <w:rFonts w:hint="eastAsia" w:ascii="Times New Roman" w:hAnsi="Times New Roman" w:eastAsia="黑体"/>
          <w:color w:val="auto"/>
          <w:sz w:val="44"/>
          <w:szCs w:val="44"/>
          <w:highlight w:val="none"/>
        </w:rPr>
        <w:t>第</w:t>
      </w:r>
      <w:r>
        <w:rPr>
          <w:rFonts w:hint="eastAsia" w:eastAsia="黑体"/>
          <w:color w:val="auto"/>
          <w:sz w:val="44"/>
          <w:szCs w:val="44"/>
          <w:highlight w:val="none"/>
          <w:lang w:eastAsia="zh-CN"/>
        </w:rPr>
        <w:t>三</w:t>
      </w:r>
      <w:r>
        <w:rPr>
          <w:rFonts w:hint="eastAsia" w:ascii="Times New Roman" w:hAnsi="Times New Roman" w:eastAsia="黑体"/>
          <w:color w:val="auto"/>
          <w:sz w:val="44"/>
          <w:szCs w:val="44"/>
          <w:highlight w:val="none"/>
        </w:rPr>
        <w:t>部分</w:t>
      </w:r>
      <w:r>
        <w:rPr>
          <w:rFonts w:hint="eastAsia" w:ascii="Times New Roman" w:hAnsi="Times New Roman" w:eastAsia="黑体"/>
          <w:color w:val="auto"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eastAsia="黑体"/>
          <w:color w:val="auto"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/>
          <w:color w:val="auto"/>
          <w:sz w:val="44"/>
          <w:szCs w:val="44"/>
          <w:highlight w:val="none"/>
        </w:rPr>
        <w:t>名词解释</w:t>
      </w:r>
      <w:bookmarkEnd w:id="76"/>
      <w:bookmarkEnd w:id="77"/>
      <w:bookmarkEnd w:id="78"/>
    </w:p>
    <w:p w14:paraId="3B44DD90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1.财政拨款收入：指单位从同级财政部门取得的财政预算资金。</w:t>
      </w:r>
    </w:p>
    <w:p w14:paraId="7BFFA8ED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.社会保障和就业（类）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208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（款）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01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（项）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指事业运行，（类）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208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（款）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（项）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是指机关事业单位基本养老保险缴费，（类）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208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（款）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（项）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机关事业单位职业年金缴费。</w:t>
      </w:r>
    </w:p>
    <w:p w14:paraId="5FEA80A0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.卫生健康（类）210（款）11（项）02指事业单位医疗，（类）210（款）11（项）99支其他行政事业单位医疗支出。</w:t>
      </w:r>
    </w:p>
    <w:p w14:paraId="7D568F1A">
      <w:pPr>
        <w:spacing w:line="600" w:lineRule="exact"/>
        <w:ind w:firstLine="640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.住房保障（类）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221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（款）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02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（项）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01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：指住房公积金。</w:t>
      </w:r>
    </w:p>
    <w:p w14:paraId="51CBE11B"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.基本支出：指为保障机构正常运转、完成日常工作任务而发生的人员支出和公用支出。</w:t>
      </w:r>
    </w:p>
    <w:p w14:paraId="452A94B4">
      <w:pPr>
        <w:spacing w:line="600" w:lineRule="exact"/>
        <w:ind w:firstLine="640"/>
        <w:rPr>
          <w:rFonts w:hint="eastAsia" w:ascii="Times New Roman" w:hAnsi="Times New Roman" w:eastAsia="黑体" w:cs="黑体"/>
          <w:color w:val="FF0000"/>
          <w:sz w:val="32"/>
          <w:szCs w:val="32"/>
          <w:highlight w:val="none"/>
        </w:rPr>
      </w:pP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“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三公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”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经费：指部门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等支出；公务接待费反映单位按规定开支的各类公务接待（含外宾接待）支出。</w:t>
      </w:r>
      <w:bookmarkStart w:id="79" w:name="_Toc15377226"/>
    </w:p>
    <w:p w14:paraId="35B4EDD5">
      <w:pPr>
        <w:widowControl/>
        <w:jc w:val="center"/>
        <w:rPr>
          <w:rFonts w:hint="eastAsia" w:ascii="Times New Roman" w:hAnsi="Times New Roman" w:eastAsia="仿宋"/>
          <w:b w:val="0"/>
          <w:color w:val="auto"/>
          <w:highlight w:val="none"/>
        </w:rPr>
      </w:pPr>
      <w:bookmarkStart w:id="80" w:name="_Toc15396618"/>
      <w:bookmarkStart w:id="81" w:name="_Toc16900_WPSOffice_Level1"/>
      <w:r>
        <w:rPr>
          <w:rFonts w:hint="eastAsia" w:ascii="Times New Roman" w:hAnsi="Times New Roman" w:eastAsia="黑体"/>
          <w:color w:val="auto"/>
          <w:sz w:val="44"/>
          <w:szCs w:val="44"/>
          <w:highlight w:val="none"/>
        </w:rPr>
        <w:t>第</w:t>
      </w:r>
      <w:r>
        <w:rPr>
          <w:rFonts w:hint="eastAsia" w:eastAsia="黑体"/>
          <w:color w:val="auto"/>
          <w:sz w:val="44"/>
          <w:szCs w:val="44"/>
          <w:highlight w:val="none"/>
          <w:lang w:eastAsia="zh-CN"/>
        </w:rPr>
        <w:t>四</w:t>
      </w:r>
      <w:r>
        <w:rPr>
          <w:rStyle w:val="29"/>
          <w:rFonts w:hint="eastAsia" w:ascii="Times New Roman" w:hAnsi="Times New Roman" w:eastAsia="黑体"/>
          <w:b w:val="0"/>
          <w:color w:val="auto"/>
          <w:highlight w:val="none"/>
        </w:rPr>
        <w:t>部分 附表</w:t>
      </w:r>
      <w:bookmarkEnd w:id="79"/>
      <w:bookmarkEnd w:id="80"/>
      <w:bookmarkEnd w:id="81"/>
      <w:bookmarkStart w:id="82" w:name="_Toc15396619"/>
    </w:p>
    <w:p w14:paraId="2CD19F1B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</w:p>
    <w:p w14:paraId="30F94F9F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83" w:name="_Toc747_WPSOffice_Level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一、收入支出决算总表</w:t>
      </w:r>
      <w:bookmarkEnd w:id="82"/>
      <w:bookmarkEnd w:id="83"/>
    </w:p>
    <w:p w14:paraId="248CC266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84" w:name="_Toc15396620"/>
      <w:bookmarkStart w:id="85" w:name="_Toc25902_WPSOffice_Level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二、收入决算表</w:t>
      </w:r>
      <w:bookmarkEnd w:id="84"/>
      <w:bookmarkEnd w:id="85"/>
    </w:p>
    <w:p w14:paraId="7DEB6534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86" w:name="_Toc15396621"/>
      <w:bookmarkStart w:id="87" w:name="_Toc17888_WPSOffice_Level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三、支出决算表</w:t>
      </w:r>
      <w:bookmarkEnd w:id="86"/>
      <w:bookmarkEnd w:id="87"/>
    </w:p>
    <w:p w14:paraId="728328FD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88" w:name="_Toc14022_WPSOffice_Level2"/>
      <w:bookmarkStart w:id="89" w:name="_Toc1539662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四、财政拨款收入支出决算总表</w:t>
      </w:r>
      <w:bookmarkEnd w:id="88"/>
      <w:bookmarkEnd w:id="89"/>
    </w:p>
    <w:p w14:paraId="158D062B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90" w:name="_Toc28365_WPSOffice_Level2"/>
      <w:bookmarkStart w:id="91" w:name="_Toc15396623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五、财政拨款支出决算明细表</w:t>
      </w:r>
      <w:bookmarkEnd w:id="90"/>
      <w:bookmarkEnd w:id="91"/>
      <w:bookmarkStart w:id="92" w:name="_Toc15396624"/>
    </w:p>
    <w:p w14:paraId="2A0FB2A0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93" w:name="_Toc7040_WPSOffice_Level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六、一般公共预算财政拨款支出决算表</w:t>
      </w:r>
      <w:bookmarkEnd w:id="92"/>
      <w:bookmarkEnd w:id="93"/>
    </w:p>
    <w:p w14:paraId="1D56CB97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94" w:name="_Toc15396625"/>
      <w:bookmarkStart w:id="95" w:name="_Toc30787_WPSOffice_Level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七、一般公共预算财政拨款支出决算明细表</w:t>
      </w:r>
      <w:bookmarkEnd w:id="94"/>
      <w:bookmarkEnd w:id="95"/>
    </w:p>
    <w:p w14:paraId="5499473A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96" w:name="_Toc21972_WPSOffice_Level2"/>
      <w:bookmarkStart w:id="97" w:name="_Toc15396626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八、一般公共预算财政拨款基本支出决算表</w:t>
      </w:r>
      <w:bookmarkEnd w:id="96"/>
      <w:bookmarkEnd w:id="97"/>
    </w:p>
    <w:p w14:paraId="26AD4905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98" w:name="_Toc15396627"/>
      <w:bookmarkStart w:id="99" w:name="_Toc19522_WPSOffice_Level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九、一般公共预算财政拨款项目支出决算表</w:t>
      </w:r>
      <w:bookmarkEnd w:id="98"/>
      <w:bookmarkEnd w:id="99"/>
    </w:p>
    <w:p w14:paraId="25C7971E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100" w:name="_Toc15396628"/>
      <w:bookmarkStart w:id="101" w:name="_Toc15242_WPSOffice_Level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十、</w:t>
      </w:r>
      <w:bookmarkEnd w:id="100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政府性基金预算财政拨款收入支出决算表</w:t>
      </w:r>
      <w:bookmarkEnd w:id="101"/>
    </w:p>
    <w:p w14:paraId="489442B2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102" w:name="_Toc15396629"/>
      <w:bookmarkStart w:id="103" w:name="_Toc13867_WPSOffice_Level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十一、</w:t>
      </w:r>
      <w:bookmarkEnd w:id="10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国有资本经营预算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财政拨款收入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支出决算表</w:t>
      </w:r>
      <w:bookmarkEnd w:id="103"/>
    </w:p>
    <w:p w14:paraId="238BEC07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104" w:name="_Toc15396630"/>
      <w:bookmarkStart w:id="105" w:name="_Toc27726_WPSOffice_Level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十二、</w:t>
      </w:r>
      <w:bookmarkEnd w:id="104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国有资本经营预算财政拨款支出决算表</w:t>
      </w:r>
      <w:bookmarkEnd w:id="105"/>
    </w:p>
    <w:p w14:paraId="692553EB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</w:pPr>
      <w:bookmarkStart w:id="106" w:name="_Toc15396631"/>
      <w:bookmarkStart w:id="107" w:name="_Toc6534_WPSOffice_Level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十三、</w:t>
      </w:r>
      <w:bookmarkEnd w:id="106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财政拨款“三公”经费支出决算表</w:t>
      </w:r>
      <w:bookmarkEnd w:id="107"/>
    </w:p>
    <w:p w14:paraId="0211F385">
      <w:pPr>
        <w:rPr>
          <w:rFonts w:hint="eastAsia" w:ascii="Times New Roman" w:hAnsi="Times New Roman"/>
          <w:lang w:eastAsia="zh-CN"/>
        </w:rPr>
      </w:pPr>
    </w:p>
    <w:sectPr>
      <w:footerReference r:id="rId5" w:type="first"/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8B4B49-795C-42C1-B0A0-412F5B869C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531221E-B0B0-4D22-B34A-64538CBA0AE5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41A4F5A-A0FD-495F-930C-A4B5F4EBEF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BC2B7A7-0187-432F-A5F8-9DC9A7E6C826}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A2DF7C49-3028-4F87-9EB7-F097BD57B00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8269143A-7A0B-4AC9-A939-20A925BA7D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80BDC">
    <w:pPr>
      <w:pStyle w:val="11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81CF6B"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81CF6B"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- 2 -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E584DB7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DA06E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A055B3"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A055B3"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6A893"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62B6A9"/>
    <w:multiLevelType w:val="singleLevel"/>
    <w:tmpl w:val="F262B6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1C"/>
    <w:rsid w:val="000222C6"/>
    <w:rsid w:val="0002549F"/>
    <w:rsid w:val="000468DB"/>
    <w:rsid w:val="0006487A"/>
    <w:rsid w:val="00065F8F"/>
    <w:rsid w:val="00070A43"/>
    <w:rsid w:val="000768F2"/>
    <w:rsid w:val="0009184B"/>
    <w:rsid w:val="00094236"/>
    <w:rsid w:val="0009593C"/>
    <w:rsid w:val="00097322"/>
    <w:rsid w:val="000A6A92"/>
    <w:rsid w:val="000B047F"/>
    <w:rsid w:val="000B5923"/>
    <w:rsid w:val="000B5A48"/>
    <w:rsid w:val="000B6FF3"/>
    <w:rsid w:val="000C3467"/>
    <w:rsid w:val="000C3CA6"/>
    <w:rsid w:val="000D1267"/>
    <w:rsid w:val="000D1D50"/>
    <w:rsid w:val="000D5782"/>
    <w:rsid w:val="000E6613"/>
    <w:rsid w:val="000E7119"/>
    <w:rsid w:val="00114E9B"/>
    <w:rsid w:val="00142216"/>
    <w:rsid w:val="00144D6A"/>
    <w:rsid w:val="0014729F"/>
    <w:rsid w:val="00157BAB"/>
    <w:rsid w:val="001654D1"/>
    <w:rsid w:val="00174518"/>
    <w:rsid w:val="0018106D"/>
    <w:rsid w:val="001877A7"/>
    <w:rsid w:val="00191536"/>
    <w:rsid w:val="00196687"/>
    <w:rsid w:val="001C0962"/>
    <w:rsid w:val="001D7531"/>
    <w:rsid w:val="001E737D"/>
    <w:rsid w:val="001F0592"/>
    <w:rsid w:val="001F7506"/>
    <w:rsid w:val="002006CD"/>
    <w:rsid w:val="00202B36"/>
    <w:rsid w:val="00204B7A"/>
    <w:rsid w:val="00204CDE"/>
    <w:rsid w:val="0021101A"/>
    <w:rsid w:val="00220536"/>
    <w:rsid w:val="00235629"/>
    <w:rsid w:val="00260C38"/>
    <w:rsid w:val="002616C0"/>
    <w:rsid w:val="00265372"/>
    <w:rsid w:val="002662AA"/>
    <w:rsid w:val="00280496"/>
    <w:rsid w:val="00294DC9"/>
    <w:rsid w:val="00295495"/>
    <w:rsid w:val="002A31DE"/>
    <w:rsid w:val="002B2613"/>
    <w:rsid w:val="002D6D05"/>
    <w:rsid w:val="002F1818"/>
    <w:rsid w:val="002F567B"/>
    <w:rsid w:val="003216A9"/>
    <w:rsid w:val="00335A74"/>
    <w:rsid w:val="0036561B"/>
    <w:rsid w:val="0037013F"/>
    <w:rsid w:val="00380C92"/>
    <w:rsid w:val="003A484F"/>
    <w:rsid w:val="003A4883"/>
    <w:rsid w:val="003B0BE0"/>
    <w:rsid w:val="003B0C1B"/>
    <w:rsid w:val="003B688C"/>
    <w:rsid w:val="003C0291"/>
    <w:rsid w:val="003C39AE"/>
    <w:rsid w:val="003C7B60"/>
    <w:rsid w:val="003D0C0F"/>
    <w:rsid w:val="003D1FB2"/>
    <w:rsid w:val="003D66DA"/>
    <w:rsid w:val="003E1310"/>
    <w:rsid w:val="003E6F55"/>
    <w:rsid w:val="00406254"/>
    <w:rsid w:val="004223DE"/>
    <w:rsid w:val="00434489"/>
    <w:rsid w:val="00437085"/>
    <w:rsid w:val="00443880"/>
    <w:rsid w:val="004464F4"/>
    <w:rsid w:val="00471401"/>
    <w:rsid w:val="00473F31"/>
    <w:rsid w:val="0048263A"/>
    <w:rsid w:val="00487E5D"/>
    <w:rsid w:val="004A711F"/>
    <w:rsid w:val="004B199D"/>
    <w:rsid w:val="004B4690"/>
    <w:rsid w:val="004E0A2D"/>
    <w:rsid w:val="004E206B"/>
    <w:rsid w:val="004E6DF7"/>
    <w:rsid w:val="004F0FBD"/>
    <w:rsid w:val="00505A47"/>
    <w:rsid w:val="00512FDA"/>
    <w:rsid w:val="00520DA0"/>
    <w:rsid w:val="005664BB"/>
    <w:rsid w:val="00566FFA"/>
    <w:rsid w:val="0057481D"/>
    <w:rsid w:val="0058486E"/>
    <w:rsid w:val="00585B33"/>
    <w:rsid w:val="0059014D"/>
    <w:rsid w:val="005B5C64"/>
    <w:rsid w:val="005C5337"/>
    <w:rsid w:val="005C6BD0"/>
    <w:rsid w:val="005D1C8B"/>
    <w:rsid w:val="005D468D"/>
    <w:rsid w:val="005D5CED"/>
    <w:rsid w:val="005F1A4C"/>
    <w:rsid w:val="00605688"/>
    <w:rsid w:val="006070AF"/>
    <w:rsid w:val="00607E6C"/>
    <w:rsid w:val="006101B1"/>
    <w:rsid w:val="00614E44"/>
    <w:rsid w:val="0062270A"/>
    <w:rsid w:val="00622830"/>
    <w:rsid w:val="00623DA0"/>
    <w:rsid w:val="00630AEF"/>
    <w:rsid w:val="006325F8"/>
    <w:rsid w:val="00633463"/>
    <w:rsid w:val="00634C9A"/>
    <w:rsid w:val="006440E4"/>
    <w:rsid w:val="0066343B"/>
    <w:rsid w:val="00664777"/>
    <w:rsid w:val="006748A4"/>
    <w:rsid w:val="00681A31"/>
    <w:rsid w:val="00683E73"/>
    <w:rsid w:val="006A3141"/>
    <w:rsid w:val="006A5E34"/>
    <w:rsid w:val="006B2422"/>
    <w:rsid w:val="006B2B9A"/>
    <w:rsid w:val="006C1937"/>
    <w:rsid w:val="006F020C"/>
    <w:rsid w:val="007127B7"/>
    <w:rsid w:val="0071798E"/>
    <w:rsid w:val="007416B6"/>
    <w:rsid w:val="00746F48"/>
    <w:rsid w:val="0075404D"/>
    <w:rsid w:val="0076182A"/>
    <w:rsid w:val="00767B7E"/>
    <w:rsid w:val="007770C3"/>
    <w:rsid w:val="00784D24"/>
    <w:rsid w:val="00785FBA"/>
    <w:rsid w:val="00786E4A"/>
    <w:rsid w:val="007875EB"/>
    <w:rsid w:val="0079426B"/>
    <w:rsid w:val="007D1682"/>
    <w:rsid w:val="007D312A"/>
    <w:rsid w:val="007D3F19"/>
    <w:rsid w:val="007E23B0"/>
    <w:rsid w:val="007E23E5"/>
    <w:rsid w:val="007F1991"/>
    <w:rsid w:val="007F2C2F"/>
    <w:rsid w:val="007F55FC"/>
    <w:rsid w:val="007F5665"/>
    <w:rsid w:val="00800112"/>
    <w:rsid w:val="00813348"/>
    <w:rsid w:val="008253BB"/>
    <w:rsid w:val="0083706E"/>
    <w:rsid w:val="008408F6"/>
    <w:rsid w:val="008423A5"/>
    <w:rsid w:val="00850625"/>
    <w:rsid w:val="00853718"/>
    <w:rsid w:val="00855221"/>
    <w:rsid w:val="00860645"/>
    <w:rsid w:val="00871F71"/>
    <w:rsid w:val="00872FD8"/>
    <w:rsid w:val="00885AF4"/>
    <w:rsid w:val="008939CD"/>
    <w:rsid w:val="008B768C"/>
    <w:rsid w:val="008C4DB1"/>
    <w:rsid w:val="008C4EAF"/>
    <w:rsid w:val="008C5176"/>
    <w:rsid w:val="008C7FD0"/>
    <w:rsid w:val="008E1DE7"/>
    <w:rsid w:val="008E707C"/>
    <w:rsid w:val="00900B08"/>
    <w:rsid w:val="00902155"/>
    <w:rsid w:val="00902FA3"/>
    <w:rsid w:val="00923564"/>
    <w:rsid w:val="0092392E"/>
    <w:rsid w:val="009315F9"/>
    <w:rsid w:val="00933499"/>
    <w:rsid w:val="00935C98"/>
    <w:rsid w:val="00946945"/>
    <w:rsid w:val="00951248"/>
    <w:rsid w:val="0095152F"/>
    <w:rsid w:val="00954C49"/>
    <w:rsid w:val="00955E37"/>
    <w:rsid w:val="0097099F"/>
    <w:rsid w:val="00971997"/>
    <w:rsid w:val="00971FFC"/>
    <w:rsid w:val="0098660A"/>
    <w:rsid w:val="009931C3"/>
    <w:rsid w:val="009B2C43"/>
    <w:rsid w:val="009B4EAE"/>
    <w:rsid w:val="009B7573"/>
    <w:rsid w:val="009C22F4"/>
    <w:rsid w:val="009C2A4B"/>
    <w:rsid w:val="009C2E98"/>
    <w:rsid w:val="009D3447"/>
    <w:rsid w:val="009D4711"/>
    <w:rsid w:val="009F1185"/>
    <w:rsid w:val="009F18CD"/>
    <w:rsid w:val="009F2A13"/>
    <w:rsid w:val="009F7527"/>
    <w:rsid w:val="00A04EB0"/>
    <w:rsid w:val="00A13CC1"/>
    <w:rsid w:val="00A16847"/>
    <w:rsid w:val="00A237D8"/>
    <w:rsid w:val="00A268C4"/>
    <w:rsid w:val="00A307CD"/>
    <w:rsid w:val="00A331C8"/>
    <w:rsid w:val="00A40A00"/>
    <w:rsid w:val="00A4142F"/>
    <w:rsid w:val="00A422EB"/>
    <w:rsid w:val="00A45BB7"/>
    <w:rsid w:val="00A56DF2"/>
    <w:rsid w:val="00A56E6E"/>
    <w:rsid w:val="00A67AB5"/>
    <w:rsid w:val="00A733B2"/>
    <w:rsid w:val="00A741C2"/>
    <w:rsid w:val="00A91760"/>
    <w:rsid w:val="00A93B00"/>
    <w:rsid w:val="00A93C21"/>
    <w:rsid w:val="00AB64C9"/>
    <w:rsid w:val="00AC3C6A"/>
    <w:rsid w:val="00AD5620"/>
    <w:rsid w:val="00AD656B"/>
    <w:rsid w:val="00AD7C1B"/>
    <w:rsid w:val="00AE16BA"/>
    <w:rsid w:val="00AE1EBE"/>
    <w:rsid w:val="00B03C9D"/>
    <w:rsid w:val="00B060AE"/>
    <w:rsid w:val="00B10517"/>
    <w:rsid w:val="00B14E76"/>
    <w:rsid w:val="00B161B8"/>
    <w:rsid w:val="00B2048C"/>
    <w:rsid w:val="00B310B9"/>
    <w:rsid w:val="00B35F3F"/>
    <w:rsid w:val="00B36CBB"/>
    <w:rsid w:val="00B425E0"/>
    <w:rsid w:val="00B440AA"/>
    <w:rsid w:val="00B44B70"/>
    <w:rsid w:val="00B53C56"/>
    <w:rsid w:val="00B57DAF"/>
    <w:rsid w:val="00B77EA6"/>
    <w:rsid w:val="00B81598"/>
    <w:rsid w:val="00B841F1"/>
    <w:rsid w:val="00B944D6"/>
    <w:rsid w:val="00BB4DF0"/>
    <w:rsid w:val="00BC289F"/>
    <w:rsid w:val="00BC2D50"/>
    <w:rsid w:val="00BC5361"/>
    <w:rsid w:val="00BC5460"/>
    <w:rsid w:val="00BC6B50"/>
    <w:rsid w:val="00BD0E25"/>
    <w:rsid w:val="00BF5BD6"/>
    <w:rsid w:val="00C03E31"/>
    <w:rsid w:val="00C33E72"/>
    <w:rsid w:val="00C354B2"/>
    <w:rsid w:val="00C35554"/>
    <w:rsid w:val="00C42709"/>
    <w:rsid w:val="00C533CC"/>
    <w:rsid w:val="00C5751C"/>
    <w:rsid w:val="00C61BFC"/>
    <w:rsid w:val="00C62B85"/>
    <w:rsid w:val="00C65438"/>
    <w:rsid w:val="00C87FD8"/>
    <w:rsid w:val="00C91381"/>
    <w:rsid w:val="00C91CBB"/>
    <w:rsid w:val="00CB4E70"/>
    <w:rsid w:val="00CC09B6"/>
    <w:rsid w:val="00CC666F"/>
    <w:rsid w:val="00CD1E3F"/>
    <w:rsid w:val="00CE44F6"/>
    <w:rsid w:val="00CE49DA"/>
    <w:rsid w:val="00CE7B61"/>
    <w:rsid w:val="00D00095"/>
    <w:rsid w:val="00D114F0"/>
    <w:rsid w:val="00D20620"/>
    <w:rsid w:val="00D254F7"/>
    <w:rsid w:val="00D26091"/>
    <w:rsid w:val="00D2685C"/>
    <w:rsid w:val="00D34E7C"/>
    <w:rsid w:val="00D35489"/>
    <w:rsid w:val="00D36AFE"/>
    <w:rsid w:val="00D51276"/>
    <w:rsid w:val="00D7035F"/>
    <w:rsid w:val="00DA634F"/>
    <w:rsid w:val="00DA65AC"/>
    <w:rsid w:val="00DB1913"/>
    <w:rsid w:val="00DC410D"/>
    <w:rsid w:val="00DC5A81"/>
    <w:rsid w:val="00DC68CA"/>
    <w:rsid w:val="00DC7CBA"/>
    <w:rsid w:val="00DD73B7"/>
    <w:rsid w:val="00DF28BC"/>
    <w:rsid w:val="00DF34B9"/>
    <w:rsid w:val="00E01053"/>
    <w:rsid w:val="00E07ACF"/>
    <w:rsid w:val="00E331A1"/>
    <w:rsid w:val="00E33202"/>
    <w:rsid w:val="00E336A9"/>
    <w:rsid w:val="00E472B1"/>
    <w:rsid w:val="00E50624"/>
    <w:rsid w:val="00E54633"/>
    <w:rsid w:val="00E568DF"/>
    <w:rsid w:val="00E64269"/>
    <w:rsid w:val="00E82267"/>
    <w:rsid w:val="00E853CE"/>
    <w:rsid w:val="00E867B6"/>
    <w:rsid w:val="00EA010F"/>
    <w:rsid w:val="00ED1B63"/>
    <w:rsid w:val="00ED3C1F"/>
    <w:rsid w:val="00ED4085"/>
    <w:rsid w:val="00ED420E"/>
    <w:rsid w:val="00ED6FBE"/>
    <w:rsid w:val="00EE2F57"/>
    <w:rsid w:val="00EF4C34"/>
    <w:rsid w:val="00EF77C6"/>
    <w:rsid w:val="00F05438"/>
    <w:rsid w:val="00F1361C"/>
    <w:rsid w:val="00F156F0"/>
    <w:rsid w:val="00F160C7"/>
    <w:rsid w:val="00F2408F"/>
    <w:rsid w:val="00F240E9"/>
    <w:rsid w:val="00F36D8F"/>
    <w:rsid w:val="00F417B1"/>
    <w:rsid w:val="00F45853"/>
    <w:rsid w:val="00F602DF"/>
    <w:rsid w:val="00F754A1"/>
    <w:rsid w:val="00F81FD9"/>
    <w:rsid w:val="00F841AA"/>
    <w:rsid w:val="00F84A94"/>
    <w:rsid w:val="00F87E96"/>
    <w:rsid w:val="00FA23E8"/>
    <w:rsid w:val="00FD3CC1"/>
    <w:rsid w:val="00FF1E02"/>
    <w:rsid w:val="00FF30B4"/>
    <w:rsid w:val="012A5EC2"/>
    <w:rsid w:val="0142528C"/>
    <w:rsid w:val="015975B8"/>
    <w:rsid w:val="02FEBE30"/>
    <w:rsid w:val="039F3CD2"/>
    <w:rsid w:val="04916F1E"/>
    <w:rsid w:val="04C1141D"/>
    <w:rsid w:val="04E73EB7"/>
    <w:rsid w:val="059042A6"/>
    <w:rsid w:val="061E35DE"/>
    <w:rsid w:val="066E0107"/>
    <w:rsid w:val="06B44A5C"/>
    <w:rsid w:val="06B84284"/>
    <w:rsid w:val="07996F6E"/>
    <w:rsid w:val="07DFD8BA"/>
    <w:rsid w:val="09867E8F"/>
    <w:rsid w:val="0A2032A3"/>
    <w:rsid w:val="0A9C0C7B"/>
    <w:rsid w:val="0CA8290A"/>
    <w:rsid w:val="0CF73079"/>
    <w:rsid w:val="0D35B1ED"/>
    <w:rsid w:val="0D691DC2"/>
    <w:rsid w:val="0E254B6B"/>
    <w:rsid w:val="0F98263C"/>
    <w:rsid w:val="101860EC"/>
    <w:rsid w:val="101F47CC"/>
    <w:rsid w:val="104E01C6"/>
    <w:rsid w:val="108C7C79"/>
    <w:rsid w:val="10C055FF"/>
    <w:rsid w:val="11435FFB"/>
    <w:rsid w:val="11694EBD"/>
    <w:rsid w:val="11772AA4"/>
    <w:rsid w:val="118107EC"/>
    <w:rsid w:val="11D0540F"/>
    <w:rsid w:val="12E24EE2"/>
    <w:rsid w:val="13D50BC4"/>
    <w:rsid w:val="13F8484D"/>
    <w:rsid w:val="14B17F78"/>
    <w:rsid w:val="16317B42"/>
    <w:rsid w:val="165E0673"/>
    <w:rsid w:val="16B831D5"/>
    <w:rsid w:val="16BB723D"/>
    <w:rsid w:val="177B667E"/>
    <w:rsid w:val="17E50567"/>
    <w:rsid w:val="186504BB"/>
    <w:rsid w:val="18BE3DF4"/>
    <w:rsid w:val="19A445FC"/>
    <w:rsid w:val="1A737582"/>
    <w:rsid w:val="1BE8440E"/>
    <w:rsid w:val="1C0C734F"/>
    <w:rsid w:val="1C1848F0"/>
    <w:rsid w:val="1C2714EB"/>
    <w:rsid w:val="1C5B61CE"/>
    <w:rsid w:val="1CBB48D2"/>
    <w:rsid w:val="1D155CEE"/>
    <w:rsid w:val="1D1638FE"/>
    <w:rsid w:val="1D1874C6"/>
    <w:rsid w:val="1DBE3074"/>
    <w:rsid w:val="1E312DEB"/>
    <w:rsid w:val="1E740ACF"/>
    <w:rsid w:val="1F5B1A92"/>
    <w:rsid w:val="1F937B7B"/>
    <w:rsid w:val="1FF35744"/>
    <w:rsid w:val="1FF6BC77"/>
    <w:rsid w:val="201D744F"/>
    <w:rsid w:val="203D4A4F"/>
    <w:rsid w:val="20A61FD1"/>
    <w:rsid w:val="2186353C"/>
    <w:rsid w:val="23802D1A"/>
    <w:rsid w:val="23860B96"/>
    <w:rsid w:val="23BF2B3E"/>
    <w:rsid w:val="240371BF"/>
    <w:rsid w:val="244F3473"/>
    <w:rsid w:val="24C32043"/>
    <w:rsid w:val="24C97D99"/>
    <w:rsid w:val="25A718F0"/>
    <w:rsid w:val="25BB59F6"/>
    <w:rsid w:val="25F70121"/>
    <w:rsid w:val="260F557C"/>
    <w:rsid w:val="26970054"/>
    <w:rsid w:val="281408E2"/>
    <w:rsid w:val="285B2FA2"/>
    <w:rsid w:val="29AE52FD"/>
    <w:rsid w:val="29FD04D3"/>
    <w:rsid w:val="2A041A37"/>
    <w:rsid w:val="2BFF7BC6"/>
    <w:rsid w:val="2C8A61B5"/>
    <w:rsid w:val="2C9C6A95"/>
    <w:rsid w:val="2D0233E8"/>
    <w:rsid w:val="2DAA05D8"/>
    <w:rsid w:val="2DB956A8"/>
    <w:rsid w:val="2DF04E50"/>
    <w:rsid w:val="2E586DFA"/>
    <w:rsid w:val="2F040D46"/>
    <w:rsid w:val="2F4800A8"/>
    <w:rsid w:val="2F6B035B"/>
    <w:rsid w:val="2FAE5751"/>
    <w:rsid w:val="2FB1A395"/>
    <w:rsid w:val="2FD9A7D8"/>
    <w:rsid w:val="2FDBF714"/>
    <w:rsid w:val="303F5FE5"/>
    <w:rsid w:val="30AB6865"/>
    <w:rsid w:val="3125348D"/>
    <w:rsid w:val="319F7F4E"/>
    <w:rsid w:val="32BD1EF1"/>
    <w:rsid w:val="3304709D"/>
    <w:rsid w:val="33A773CB"/>
    <w:rsid w:val="349D6851"/>
    <w:rsid w:val="36AA5135"/>
    <w:rsid w:val="36BE0DA7"/>
    <w:rsid w:val="376B6AA6"/>
    <w:rsid w:val="376D39B2"/>
    <w:rsid w:val="37E16F03"/>
    <w:rsid w:val="37F53A3B"/>
    <w:rsid w:val="389B6C89"/>
    <w:rsid w:val="38D469F0"/>
    <w:rsid w:val="39627CCD"/>
    <w:rsid w:val="397BAF1F"/>
    <w:rsid w:val="399224CF"/>
    <w:rsid w:val="3A09294F"/>
    <w:rsid w:val="3A221C0D"/>
    <w:rsid w:val="3A377FB0"/>
    <w:rsid w:val="3AB79AF3"/>
    <w:rsid w:val="3AE42370"/>
    <w:rsid w:val="3AE834C0"/>
    <w:rsid w:val="3B7EF35A"/>
    <w:rsid w:val="3B9FDB6C"/>
    <w:rsid w:val="3BDB311E"/>
    <w:rsid w:val="3BE23E05"/>
    <w:rsid w:val="3BF5BC2F"/>
    <w:rsid w:val="3CEBA265"/>
    <w:rsid w:val="3D5B34B4"/>
    <w:rsid w:val="3D98207C"/>
    <w:rsid w:val="3DEE7CF3"/>
    <w:rsid w:val="3E740A63"/>
    <w:rsid w:val="3E78745D"/>
    <w:rsid w:val="3EE17838"/>
    <w:rsid w:val="3F1F6EF3"/>
    <w:rsid w:val="3F3F2DF6"/>
    <w:rsid w:val="3F55381A"/>
    <w:rsid w:val="3F7F7599"/>
    <w:rsid w:val="3FAF0275"/>
    <w:rsid w:val="3FF4CAE0"/>
    <w:rsid w:val="3FF7B227"/>
    <w:rsid w:val="40BE10EF"/>
    <w:rsid w:val="436815B4"/>
    <w:rsid w:val="43B932B4"/>
    <w:rsid w:val="44156A82"/>
    <w:rsid w:val="44AB0C40"/>
    <w:rsid w:val="44E268DA"/>
    <w:rsid w:val="450D13D7"/>
    <w:rsid w:val="45506656"/>
    <w:rsid w:val="46D3288E"/>
    <w:rsid w:val="47335CBD"/>
    <w:rsid w:val="486A6C7A"/>
    <w:rsid w:val="48C22822"/>
    <w:rsid w:val="4A627F82"/>
    <w:rsid w:val="4AEF31DB"/>
    <w:rsid w:val="4B0E749A"/>
    <w:rsid w:val="4B2477C4"/>
    <w:rsid w:val="4B4F25DA"/>
    <w:rsid w:val="4BAE1F75"/>
    <w:rsid w:val="4BE068DB"/>
    <w:rsid w:val="4C213543"/>
    <w:rsid w:val="4D577224"/>
    <w:rsid w:val="4DBF1CEB"/>
    <w:rsid w:val="4DF0007C"/>
    <w:rsid w:val="4EA328D4"/>
    <w:rsid w:val="4EAB630A"/>
    <w:rsid w:val="4ECE2238"/>
    <w:rsid w:val="4F833267"/>
    <w:rsid w:val="4FE9BD67"/>
    <w:rsid w:val="4FFB052F"/>
    <w:rsid w:val="51192D00"/>
    <w:rsid w:val="51486CF2"/>
    <w:rsid w:val="51826AF2"/>
    <w:rsid w:val="52FF460D"/>
    <w:rsid w:val="536C5936"/>
    <w:rsid w:val="537E650B"/>
    <w:rsid w:val="537E6D0A"/>
    <w:rsid w:val="53F74C96"/>
    <w:rsid w:val="55170BA8"/>
    <w:rsid w:val="553218C9"/>
    <w:rsid w:val="564377C2"/>
    <w:rsid w:val="567E1AA5"/>
    <w:rsid w:val="56E47B74"/>
    <w:rsid w:val="570D4BA8"/>
    <w:rsid w:val="57175D52"/>
    <w:rsid w:val="575D674A"/>
    <w:rsid w:val="57BD3DD4"/>
    <w:rsid w:val="58705336"/>
    <w:rsid w:val="58723B4C"/>
    <w:rsid w:val="594958FC"/>
    <w:rsid w:val="5AF92295"/>
    <w:rsid w:val="5B250254"/>
    <w:rsid w:val="5BDA7A14"/>
    <w:rsid w:val="5BDD79E6"/>
    <w:rsid w:val="5BF561CA"/>
    <w:rsid w:val="5BFF5DFC"/>
    <w:rsid w:val="5CD71FC4"/>
    <w:rsid w:val="5D0F5772"/>
    <w:rsid w:val="5D1F11B5"/>
    <w:rsid w:val="5D695134"/>
    <w:rsid w:val="5DAE1B18"/>
    <w:rsid w:val="5DE7D9E5"/>
    <w:rsid w:val="5E2B1EC1"/>
    <w:rsid w:val="5E506D57"/>
    <w:rsid w:val="5EA241E7"/>
    <w:rsid w:val="5ECEC941"/>
    <w:rsid w:val="5F913D91"/>
    <w:rsid w:val="5FBF9FF3"/>
    <w:rsid w:val="5FCD4E2C"/>
    <w:rsid w:val="5FEF394A"/>
    <w:rsid w:val="5FF67715"/>
    <w:rsid w:val="60791104"/>
    <w:rsid w:val="609F0244"/>
    <w:rsid w:val="60B3046E"/>
    <w:rsid w:val="61774294"/>
    <w:rsid w:val="61783A61"/>
    <w:rsid w:val="62BF3928"/>
    <w:rsid w:val="62EB2733"/>
    <w:rsid w:val="63B3701E"/>
    <w:rsid w:val="647F5392"/>
    <w:rsid w:val="65E66580"/>
    <w:rsid w:val="65EB0F01"/>
    <w:rsid w:val="664B1D71"/>
    <w:rsid w:val="664B4E8E"/>
    <w:rsid w:val="66D40D39"/>
    <w:rsid w:val="67277B67"/>
    <w:rsid w:val="67AA3209"/>
    <w:rsid w:val="67D81EF7"/>
    <w:rsid w:val="68362F26"/>
    <w:rsid w:val="698D0931"/>
    <w:rsid w:val="69FD4892"/>
    <w:rsid w:val="6A193BDE"/>
    <w:rsid w:val="6A7FE5F3"/>
    <w:rsid w:val="6B053271"/>
    <w:rsid w:val="6BAC3806"/>
    <w:rsid w:val="6BB50CB8"/>
    <w:rsid w:val="6BDD78B3"/>
    <w:rsid w:val="6C0866F6"/>
    <w:rsid w:val="6C4A05C8"/>
    <w:rsid w:val="6C8742B8"/>
    <w:rsid w:val="6DBF5E93"/>
    <w:rsid w:val="6DFF077E"/>
    <w:rsid w:val="6E714EF0"/>
    <w:rsid w:val="6E7E3605"/>
    <w:rsid w:val="6E7FDCC7"/>
    <w:rsid w:val="6ED6A62E"/>
    <w:rsid w:val="6EE00B15"/>
    <w:rsid w:val="6F6FB3EB"/>
    <w:rsid w:val="6F8731EA"/>
    <w:rsid w:val="6FCE6052"/>
    <w:rsid w:val="6FD57C00"/>
    <w:rsid w:val="6FEFFFD8"/>
    <w:rsid w:val="6FF5CC65"/>
    <w:rsid w:val="6FFB47EC"/>
    <w:rsid w:val="6FFF034A"/>
    <w:rsid w:val="70484440"/>
    <w:rsid w:val="706310CF"/>
    <w:rsid w:val="712A28F1"/>
    <w:rsid w:val="715C0E4B"/>
    <w:rsid w:val="71992E7C"/>
    <w:rsid w:val="71E008BB"/>
    <w:rsid w:val="72233669"/>
    <w:rsid w:val="72593EED"/>
    <w:rsid w:val="72734D90"/>
    <w:rsid w:val="73160E6D"/>
    <w:rsid w:val="7332FE48"/>
    <w:rsid w:val="73AB61DA"/>
    <w:rsid w:val="73AD73D5"/>
    <w:rsid w:val="73B6EB34"/>
    <w:rsid w:val="73FA497D"/>
    <w:rsid w:val="744731E5"/>
    <w:rsid w:val="74BBD01D"/>
    <w:rsid w:val="74ED5379"/>
    <w:rsid w:val="75DEEEC2"/>
    <w:rsid w:val="75E32345"/>
    <w:rsid w:val="76E3355F"/>
    <w:rsid w:val="76FF5125"/>
    <w:rsid w:val="7748444B"/>
    <w:rsid w:val="774E68CA"/>
    <w:rsid w:val="776F6FFA"/>
    <w:rsid w:val="778769C8"/>
    <w:rsid w:val="77A75DCA"/>
    <w:rsid w:val="77DC22F5"/>
    <w:rsid w:val="783E271A"/>
    <w:rsid w:val="78616DE9"/>
    <w:rsid w:val="787B7274"/>
    <w:rsid w:val="78E875D7"/>
    <w:rsid w:val="78FA6D4A"/>
    <w:rsid w:val="79086DAD"/>
    <w:rsid w:val="79951A4F"/>
    <w:rsid w:val="79D7FD79"/>
    <w:rsid w:val="79EE5BA4"/>
    <w:rsid w:val="7A894339"/>
    <w:rsid w:val="7AD284E8"/>
    <w:rsid w:val="7AFF7572"/>
    <w:rsid w:val="7B6C7DFB"/>
    <w:rsid w:val="7B6E445A"/>
    <w:rsid w:val="7BBFBED0"/>
    <w:rsid w:val="7BC3E394"/>
    <w:rsid w:val="7BCD617E"/>
    <w:rsid w:val="7C1F3737"/>
    <w:rsid w:val="7C686CC3"/>
    <w:rsid w:val="7CBFC87B"/>
    <w:rsid w:val="7CEE01A0"/>
    <w:rsid w:val="7CF02E0A"/>
    <w:rsid w:val="7CFE0F48"/>
    <w:rsid w:val="7D272ABC"/>
    <w:rsid w:val="7D7EC23E"/>
    <w:rsid w:val="7D9D501E"/>
    <w:rsid w:val="7DB66B51"/>
    <w:rsid w:val="7DC1799E"/>
    <w:rsid w:val="7E8ADEBF"/>
    <w:rsid w:val="7EEF11D3"/>
    <w:rsid w:val="7EFE4840"/>
    <w:rsid w:val="7F0971A6"/>
    <w:rsid w:val="7F1D62E7"/>
    <w:rsid w:val="7F3F679B"/>
    <w:rsid w:val="7F4FC4EF"/>
    <w:rsid w:val="7F5E4D54"/>
    <w:rsid w:val="7F6E0135"/>
    <w:rsid w:val="7F79F205"/>
    <w:rsid w:val="7FA30C79"/>
    <w:rsid w:val="7FA79C44"/>
    <w:rsid w:val="7FAF8ABF"/>
    <w:rsid w:val="7FB7269E"/>
    <w:rsid w:val="7FC96657"/>
    <w:rsid w:val="7FDA9588"/>
    <w:rsid w:val="7FDF220F"/>
    <w:rsid w:val="7FEDC5F7"/>
    <w:rsid w:val="7FEDD9DE"/>
    <w:rsid w:val="7FF5890D"/>
    <w:rsid w:val="7FF93490"/>
    <w:rsid w:val="99FF2014"/>
    <w:rsid w:val="A6DD0D7F"/>
    <w:rsid w:val="ACFF4FBB"/>
    <w:rsid w:val="ADC6F725"/>
    <w:rsid w:val="B7CF06AB"/>
    <w:rsid w:val="B7CFA926"/>
    <w:rsid w:val="B7F8786B"/>
    <w:rsid w:val="BABB6AA1"/>
    <w:rsid w:val="BB2F4199"/>
    <w:rsid w:val="BCFFB442"/>
    <w:rsid w:val="BD079C78"/>
    <w:rsid w:val="BD733540"/>
    <w:rsid w:val="BF3735D5"/>
    <w:rsid w:val="BF7F09AC"/>
    <w:rsid w:val="BFD475C3"/>
    <w:rsid w:val="BFDE5EA6"/>
    <w:rsid w:val="CF6FC6F3"/>
    <w:rsid w:val="CFD3D3D7"/>
    <w:rsid w:val="CFDF1009"/>
    <w:rsid w:val="D7D7B16A"/>
    <w:rsid w:val="D8D6DB89"/>
    <w:rsid w:val="DB6F4CAB"/>
    <w:rsid w:val="DB777682"/>
    <w:rsid w:val="DD1FB521"/>
    <w:rsid w:val="DEFBFEAE"/>
    <w:rsid w:val="DF1F3B80"/>
    <w:rsid w:val="DF6F9789"/>
    <w:rsid w:val="DFE9BE81"/>
    <w:rsid w:val="DFFFA9E8"/>
    <w:rsid w:val="E5F4E9DC"/>
    <w:rsid w:val="E70FE695"/>
    <w:rsid w:val="EB2E368B"/>
    <w:rsid w:val="ECFED1BC"/>
    <w:rsid w:val="ED1D69BB"/>
    <w:rsid w:val="ED7FD312"/>
    <w:rsid w:val="EF2E1AC6"/>
    <w:rsid w:val="EF53993F"/>
    <w:rsid w:val="EF6FD633"/>
    <w:rsid w:val="EFBFB2F4"/>
    <w:rsid w:val="EFBFFA21"/>
    <w:rsid w:val="F2BEBCB8"/>
    <w:rsid w:val="F36FB518"/>
    <w:rsid w:val="F3DE1A04"/>
    <w:rsid w:val="F3F722E5"/>
    <w:rsid w:val="F4FBCD07"/>
    <w:rsid w:val="FA5F1E70"/>
    <w:rsid w:val="FA5FDB97"/>
    <w:rsid w:val="FB7F486A"/>
    <w:rsid w:val="FBFF5B2E"/>
    <w:rsid w:val="FD7FFE2B"/>
    <w:rsid w:val="FDEE196B"/>
    <w:rsid w:val="FDFE6575"/>
    <w:rsid w:val="FEDFDDC2"/>
    <w:rsid w:val="FEED32F6"/>
    <w:rsid w:val="FEF781DD"/>
    <w:rsid w:val="FF3F7E3F"/>
    <w:rsid w:val="FFBA12D7"/>
    <w:rsid w:val="FFCBD314"/>
    <w:rsid w:val="FFDFF91C"/>
    <w:rsid w:val="FFDFFAEE"/>
    <w:rsid w:val="FFEF6777"/>
    <w:rsid w:val="FFF9B57B"/>
    <w:rsid w:val="FFFD61D9"/>
    <w:rsid w:val="FFFD8F59"/>
    <w:rsid w:val="FFFF2BB1"/>
    <w:rsid w:val="FFFFB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spacing w:before="0" w:beforeAutospacing="0" w:after="0" w:afterAutospacing="0"/>
      <w:ind w:left="0" w:leftChars="200" w:right="0" w:hanging="200" w:hangingChars="20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Body Text"/>
    <w:basedOn w:val="1"/>
    <w:link w:val="26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7">
    <w:name w:val="Body Text Indent"/>
    <w:basedOn w:val="1"/>
    <w:next w:val="8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8">
    <w:name w:val="Body Text First Indent 2"/>
    <w:basedOn w:val="7"/>
    <w:unhideWhenUsed/>
    <w:qFormat/>
    <w:uiPriority w:val="99"/>
    <w:pPr>
      <w:ind w:firstLine="420" w:firstLineChars="200"/>
    </w:pPr>
  </w:style>
  <w:style w:type="paragraph" w:styleId="9">
    <w:name w:val="toc 3"/>
    <w:basedOn w:val="1"/>
    <w:next w:val="1"/>
    <w:unhideWhenUsed/>
    <w:qFormat/>
    <w:uiPriority w:val="39"/>
    <w:pPr>
      <w:tabs>
        <w:tab w:val="right" w:leader="dot" w:pos="8296"/>
      </w:tabs>
      <w:ind w:left="840" w:leftChars="400"/>
    </w:pPr>
  </w:style>
  <w:style w:type="paragraph" w:styleId="10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12">
    <w:name w:val="header"/>
    <w:basedOn w:val="1"/>
    <w:link w:val="2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3">
    <w:name w:val="toc 1"/>
    <w:basedOn w:val="1"/>
    <w:next w:val="1"/>
    <w:unhideWhenUsed/>
    <w:qFormat/>
    <w:uiPriority w:val="39"/>
    <w:pPr>
      <w:tabs>
        <w:tab w:val="right" w:leader="dot" w:pos="8296"/>
      </w:tabs>
      <w:spacing w:before="93"/>
      <w:jc w:val="center"/>
    </w:pPr>
    <w:rPr>
      <w:rFonts w:ascii="仿宋" w:hAnsi="仿宋" w:eastAsia="仿宋"/>
      <w:sz w:val="28"/>
      <w:szCs w:val="28"/>
    </w:rPr>
  </w:style>
  <w:style w:type="paragraph" w:styleId="14">
    <w:name w:val="footnote text"/>
    <w:basedOn w:val="1"/>
    <w:next w:val="8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5">
    <w:name w:val="toc 2"/>
    <w:basedOn w:val="1"/>
    <w:next w:val="1"/>
    <w:unhideWhenUsed/>
    <w:qFormat/>
    <w:uiPriority w:val="39"/>
    <w:pPr>
      <w:tabs>
        <w:tab w:val="right" w:leader="dot" w:pos="8296"/>
      </w:tabs>
      <w:ind w:left="420" w:leftChars="200"/>
    </w:pPr>
  </w:style>
  <w:style w:type="character" w:styleId="18">
    <w:name w:val="Strong"/>
    <w:basedOn w:val="17"/>
    <w:qFormat/>
    <w:uiPriority w:val="99"/>
    <w:rPr>
      <w:b/>
    </w:rPr>
  </w:style>
  <w:style w:type="character" w:styleId="19">
    <w:name w:val="Hyperlink"/>
    <w:basedOn w:val="1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character" w:customStyle="1" w:styleId="21">
    <w:name w:val="Header Char"/>
    <w:basedOn w:val="17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2">
    <w:name w:val="页眉 Char"/>
    <w:link w:val="12"/>
    <w:semiHidden/>
    <w:qFormat/>
    <w:locked/>
    <w:uiPriority w:val="99"/>
    <w:rPr>
      <w:sz w:val="18"/>
    </w:rPr>
  </w:style>
  <w:style w:type="character" w:customStyle="1" w:styleId="23">
    <w:name w:val="Footer Char"/>
    <w:basedOn w:val="17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4">
    <w:name w:val="页脚 Char"/>
    <w:link w:val="11"/>
    <w:qFormat/>
    <w:locked/>
    <w:uiPriority w:val="99"/>
    <w:rPr>
      <w:sz w:val="18"/>
    </w:rPr>
  </w:style>
  <w:style w:type="character" w:customStyle="1" w:styleId="25">
    <w:name w:val="Body Text Char"/>
    <w:basedOn w:val="17"/>
    <w:semiHidden/>
    <w:qFormat/>
    <w:uiPriority w:val="99"/>
    <w:rPr>
      <w:rFonts w:ascii="Times New Roman" w:hAnsi="Times New Roman"/>
      <w:szCs w:val="24"/>
    </w:rPr>
  </w:style>
  <w:style w:type="character" w:customStyle="1" w:styleId="26">
    <w:name w:val="正文文本 Char"/>
    <w:link w:val="6"/>
    <w:qFormat/>
    <w:locked/>
    <w:uiPriority w:val="99"/>
    <w:rPr>
      <w:rFonts w:ascii="仿宋_GB2312" w:hAnsi="Times New Roman" w:eastAsia="仿宋_GB2312"/>
      <w:sz w:val="24"/>
    </w:rPr>
  </w:style>
  <w:style w:type="paragraph" w:customStyle="1" w:styleId="27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character" w:customStyle="1" w:styleId="29">
    <w:name w:val="标题 1 Char"/>
    <w:basedOn w:val="17"/>
    <w:link w:val="3"/>
    <w:qFormat/>
    <w:uiPriority w:val="9"/>
    <w:rPr>
      <w:rFonts w:ascii="Times New Roman" w:hAnsi="Times New Roman"/>
      <w:b/>
      <w:bCs/>
      <w:kern w:val="44"/>
      <w:sz w:val="44"/>
      <w:szCs w:val="44"/>
    </w:rPr>
  </w:style>
  <w:style w:type="character" w:customStyle="1" w:styleId="30">
    <w:name w:val="标题 2 Char"/>
    <w:basedOn w:val="17"/>
    <w:link w:val="4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31">
    <w:name w:val="TOC 标题1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2">
    <w:name w:val="批注框文本 Char"/>
    <w:basedOn w:val="17"/>
    <w:link w:val="10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33">
    <w:name w:val="标题 3 Char"/>
    <w:basedOn w:val="17"/>
    <w:link w:val="5"/>
    <w:qFormat/>
    <w:uiPriority w:val="9"/>
    <w:rPr>
      <w:rFonts w:ascii="Times New Roman" w:hAnsi="Times New Roman"/>
      <w:b/>
      <w:bCs/>
      <w:kern w:val="2"/>
      <w:sz w:val="32"/>
      <w:szCs w:val="32"/>
    </w:rPr>
  </w:style>
  <w:style w:type="paragraph" w:customStyle="1" w:styleId="34">
    <w:name w:val="TOC Heading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paragraph" w:customStyle="1" w:styleId="35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  <w:style w:type="paragraph" w:customStyle="1" w:styleId="36">
    <w:name w:val="普通(网站) Char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37">
    <w:name w:val="16"/>
    <w:basedOn w:val="17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38">
    <w:name w:val="WPSOffice手动目录 1"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39">
    <w:name w:val="WPSOffice手动目录 2"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glossaryDocument" Target="glossary/document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c2127a6f-ebad-47ac-aa13-c4e48b92f65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2127a6f-ebad-47ac-aa13-c4e48b92f65f}"/>
      </w:docPartPr>
      <w:docPartBody>
        <w:p w14:paraId="0411A9C8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cabe53f-de06-4c49-811a-43bf0948b10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cabe53f-de06-4c49-811a-43bf0948b10f}"/>
      </w:docPartPr>
      <w:docPartBody>
        <w:p w14:paraId="54AE878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e742ce0-b2b4-4966-be41-9bd016b35a0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e742ce0-b2b4-4966-be41-9bd016b35a04}"/>
      </w:docPartPr>
      <w:docPartBody>
        <w:p w14:paraId="6E0C24E2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487852d-c2d4-4118-b0eb-d9f83ebb6be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487852d-c2d4-4118-b0eb-d9f83ebb6bec}"/>
      </w:docPartPr>
      <w:docPartBody>
        <w:p w14:paraId="0BAD2C61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6a45bec-58ad-4302-ad97-7e57e69268a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6a45bec-58ad-4302-ad97-7e57e69268ae}"/>
      </w:docPartPr>
      <w:docPartBody>
        <w:p w14:paraId="5A17227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1a036ed-3245-447e-9bc7-e9e5d297baa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1a036ed-3245-447e-9bc7-e9e5d297baa2}"/>
      </w:docPartPr>
      <w:docPartBody>
        <w:p w14:paraId="2018952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bdc5fbd-0939-4219-aba9-f2ba16b7f9b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bdc5fbd-0939-4219-aba9-f2ba16b7f9b7}"/>
      </w:docPartPr>
      <w:docPartBody>
        <w:p w14:paraId="241DCF8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6889486-bf87-4f62-90bc-d42ac65c18c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6889486-bf87-4f62-90bc-d42ac65c18c0}"/>
      </w:docPartPr>
      <w:docPartBody>
        <w:p w14:paraId="728CCDE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146056d-b80a-4be8-8380-796159c2620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146056d-b80a-4be8-8380-796159c2620f}"/>
      </w:docPartPr>
      <w:docPartBody>
        <w:p w14:paraId="5F98289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29c27c4-fb44-4b97-b1ef-016d4790ef1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29c27c4-fb44-4b97-b1ef-016d4790ef1c}"/>
      </w:docPartPr>
      <w:docPartBody>
        <w:p w14:paraId="30A0950B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5415acf-11e0-4327-8032-8c58430c263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5415acf-11e0-4327-8032-8c58430c2632}"/>
      </w:docPartPr>
      <w:docPartBody>
        <w:p w14:paraId="6277A472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4b52c38-3177-4bd3-aef2-9648bd6fabc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4b52c38-3177-4bd3-aef2-9648bd6fabc8}"/>
      </w:docPartPr>
      <w:docPartBody>
        <w:p w14:paraId="63356DA8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48704c5-0f26-4fbb-9b93-d50ea33d40a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48704c5-0f26-4fbb-9b93-d50ea33d40a9}"/>
      </w:docPartPr>
      <w:docPartBody>
        <w:p w14:paraId="7A9A1A99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c3ddb51-4eeb-4dff-9922-6a3b45f5a95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c3ddb51-4eeb-4dff-9922-6a3b45f5a95c}"/>
      </w:docPartPr>
      <w:docPartBody>
        <w:p w14:paraId="37D70F9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05b8ffb-4f09-4a40-a213-1c5e253774e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05b8ffb-4f09-4a40-a213-1c5e253774ee}"/>
      </w:docPartPr>
      <w:docPartBody>
        <w:p w14:paraId="1C51CC80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7191897-8210-41f4-b8b8-0c4e24835c3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7191897-8210-41f4-b8b8-0c4e24835c3d}"/>
      </w:docPartPr>
      <w:docPartBody>
        <w:p w14:paraId="73C45C69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028c6d8-f413-4d1c-b5ed-7989b47221c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28c6d8-f413-4d1c-b5ed-7989b47221c1}"/>
      </w:docPartPr>
      <w:docPartBody>
        <w:p w14:paraId="6074A1B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c90006b-6a35-461c-85db-115900201d1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90006b-6a35-461c-85db-115900201d1a}"/>
      </w:docPartPr>
      <w:docPartBody>
        <w:p w14:paraId="7085277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725c726-cac8-4761-855f-5a9f1765849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725c726-cac8-4761-855f-5a9f17658491}"/>
      </w:docPartPr>
      <w:docPartBody>
        <w:p w14:paraId="07ACDE1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9f59cb1-6828-4f92-90ef-611d1405ac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9f59cb1-6828-4f92-90ef-611d1405ac8c}"/>
      </w:docPartPr>
      <w:docPartBody>
        <w:p w14:paraId="404C5F7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1738f07-f7a5-465b-9e91-c5829560bfc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1738f07-f7a5-465b-9e91-c5829560bfc7}"/>
      </w:docPartPr>
      <w:docPartBody>
        <w:p w14:paraId="75D63F49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dbe78e3-1caf-4089-b944-bfcc41bb516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dbe78e3-1caf-4089-b944-bfcc41bb5168}"/>
      </w:docPartPr>
      <w:docPartBody>
        <w:p w14:paraId="6383ED99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f8d66b1-da36-4539-87db-4f5adb5abc7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f8d66b1-da36-4539-87db-4f5adb5abc78}"/>
      </w:docPartPr>
      <w:docPartBody>
        <w:p w14:paraId="708376F2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bd6e93d-1714-409c-956b-1ec0f84f631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bd6e93d-1714-409c-956b-1ec0f84f6310}"/>
      </w:docPartPr>
      <w:docPartBody>
        <w:p w14:paraId="7B6656D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bdcb958-7785-448b-8e95-95dd928204f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bdcb958-7785-448b-8e95-95dd928204f0}"/>
      </w:docPartPr>
      <w:docPartBody>
        <w:p w14:paraId="1FB4A2F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e382e81-a3a8-422f-89ae-b09cd2fa6a3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e382e81-a3a8-422f-89ae-b09cd2fa6a35}"/>
      </w:docPartPr>
      <w:docPartBody>
        <w:p w14:paraId="4200050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d5d9357-9b29-476f-877a-a01f2b47ca9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d5d9357-9b29-476f-877a-a01f2b47ca90}"/>
      </w:docPartPr>
      <w:docPartBody>
        <w:p w14:paraId="04C3772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1dfa29d-f795-4aac-a267-27107abe8c1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1dfa29d-f795-4aac-a267-27107abe8c19}"/>
      </w:docPartPr>
      <w:docPartBody>
        <w:p w14:paraId="1CE2DA9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0a27035-39a2-4bfc-a500-62615c1e753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0a27035-39a2-4bfc-a500-62615c1e7534}"/>
      </w:docPartPr>
      <w:docPartBody>
        <w:p w14:paraId="6B74FB4B"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e6935a06-503e-4cfe-8bd2-94ce0c6f4034</errorID>
      <errorWord>；。</errorWord>
      <group>L1_Punc</group>
      <groupName>标点问题</groupName>
      <ability>L2_Punc_CN</ability>
      <abilityName>标点符号问题</abilityName>
      <candidateList>
        <item>；</item>
      </candidateList>
      <explain/>
      <paraID>68D4E464</paraID>
      <start>50</start>
      <end>51</end>
      <status>modified</status>
      <modifiedWord>；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99951e-750d-40d1-ae13-488d82bf3c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四川省财政厅</Company>
  <Pages>12</Pages>
  <Words>3895</Words>
  <Characters>4280</Characters>
  <Lines>61</Lines>
  <Paragraphs>17</Paragraphs>
  <TotalTime>14</TotalTime>
  <ScaleCrop>false</ScaleCrop>
  <LinksUpToDate>false</LinksUpToDate>
  <CharactersWithSpaces>4387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2020-08-09T09:49:00Z</dcterms:created>
  <dc:creator>曹颖</dc:creator>
  <cp:lastModifiedBy>奕夕^_^</cp:lastModifiedBy>
  <cp:lastPrinted>2025-08-06T17:34:00Z</cp:lastPrinted>
  <dcterms:modified xsi:type="dcterms:W3CDTF">2026-10-13T08:10:49Z</dcterms:modified>
  <dc:title>四川省***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24357126E4D6468E8710A664B541F54E_13</vt:lpwstr>
  </property>
  <property fmtid="{D5CDD505-2E9C-101B-9397-08002B2CF9AE}" pid="4" name="KSOTemplateDocerSaveRecord">
    <vt:lpwstr>eyJoZGlkIjoiNTU1MWNhN2ZmY2ZhZmY3ODhlYTg0MWU5OGMyY2QwZmUiLCJ1c2VySWQiOiI0MzQ2NTM0NzEifQ==</vt:lpwstr>
  </property>
</Properties>
</file>