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7"/>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7425"/>
      <w:bookmarkStart w:id="1" w:name="_Toc15396597"/>
      <w:bookmarkStart w:id="2" w:name="_Toc15377193"/>
      <w:bookmarkStart w:id="3" w:name="_Toc15378441"/>
      <w:bookmarkStart w:id="4" w:name="_Toc15396475"/>
      <w:bookmarkStart w:id="5" w:name="_Toc15306267"/>
    </w:p>
    <w:bookmarkEnd w:id="0"/>
    <w:bookmarkEnd w:id="1"/>
    <w:bookmarkEnd w:id="2"/>
    <w:bookmarkEnd w:id="3"/>
    <w:bookmarkEnd w:id="4"/>
    <w:p w14:paraId="5A1B5A4C">
      <w:pPr>
        <w:pStyle w:val="7"/>
        <w:jc w:val="center"/>
        <w:rPr>
          <w:rFonts w:hint="eastAsia" w:ascii="Times New Roman" w:eastAsia="方正小标宋简体" w:cs="Times New Roman"/>
          <w:color w:val="auto"/>
          <w:kern w:val="2"/>
          <w:sz w:val="44"/>
          <w:szCs w:val="44"/>
          <w:highlight w:val="none"/>
          <w:lang w:val="en-US" w:eastAsia="zh-CN" w:bidi="ar-SA"/>
        </w:rPr>
      </w:pPr>
      <w:bookmarkStart w:id="6" w:name="_Toc15378442"/>
      <w:bookmarkStart w:id="7" w:name="_Toc15396598"/>
      <w:bookmarkStart w:id="8" w:name="_Toc15377194"/>
      <w:bookmarkStart w:id="9" w:name="_Toc15377426"/>
      <w:bookmarkStart w:id="10" w:name="_Toc15396476"/>
    </w:p>
    <w:p w14:paraId="18C43FBC">
      <w:pPr>
        <w:pStyle w:val="7"/>
        <w:jc w:val="center"/>
        <w:rPr>
          <w:rFonts w:hint="eastAsia" w:ascii="Times New Roman" w:eastAsia="方正小标宋简体" w:cs="Times New Roman"/>
          <w:color w:val="auto"/>
          <w:kern w:val="2"/>
          <w:sz w:val="44"/>
          <w:szCs w:val="44"/>
          <w:highlight w:val="none"/>
          <w:lang w:val="en-US" w:eastAsia="zh-CN" w:bidi="ar-SA"/>
        </w:rPr>
      </w:pPr>
    </w:p>
    <w:p w14:paraId="1406F1C2">
      <w:pPr>
        <w:pStyle w:val="7"/>
        <w:jc w:val="center"/>
        <w:rPr>
          <w:rFonts w:hint="eastAsia" w:ascii="Times New Roman" w:eastAsia="方正小标宋简体" w:cs="Times New Roman"/>
          <w:color w:val="auto"/>
          <w:kern w:val="2"/>
          <w:sz w:val="44"/>
          <w:szCs w:val="44"/>
          <w:highlight w:val="none"/>
          <w:lang w:val="en-US" w:eastAsia="zh-CN" w:bidi="ar-SA"/>
        </w:rPr>
      </w:pPr>
    </w:p>
    <w:p w14:paraId="27FDAB87">
      <w:pPr>
        <w:pStyle w:val="7"/>
        <w:jc w:val="center"/>
        <w:rPr>
          <w:rFonts w:hint="eastAsia" w:ascii="Times New Roman" w:eastAsia="方正小标宋简体" w:cs="Times New Roman"/>
          <w:color w:val="auto"/>
          <w:kern w:val="2"/>
          <w:sz w:val="44"/>
          <w:szCs w:val="44"/>
          <w:highlight w:val="none"/>
          <w:lang w:val="en-US" w:eastAsia="zh-CN" w:bidi="ar-SA"/>
        </w:rPr>
      </w:pPr>
    </w:p>
    <w:p w14:paraId="39D0D6EC">
      <w:pPr>
        <w:pStyle w:val="7"/>
        <w:jc w:val="center"/>
        <w:rPr>
          <w:rFonts w:hint="eastAsia" w:ascii="Times New Roman" w:eastAsia="方正小标宋简体" w:cs="Times New Roman"/>
          <w:color w:val="auto"/>
          <w:kern w:val="2"/>
          <w:sz w:val="44"/>
          <w:szCs w:val="44"/>
          <w:highlight w:val="none"/>
          <w:lang w:val="en-US" w:eastAsia="zh-CN" w:bidi="ar-SA"/>
        </w:rPr>
      </w:pPr>
    </w:p>
    <w:p w14:paraId="7CAA7D8F">
      <w:pPr>
        <w:pStyle w:val="7"/>
        <w:jc w:val="center"/>
        <w:rPr>
          <w:rFonts w:hint="eastAsia" w:ascii="Times New Roman" w:eastAsia="方正小标宋简体" w:cs="Times New Roman"/>
          <w:color w:val="auto"/>
          <w:kern w:val="2"/>
          <w:sz w:val="44"/>
          <w:szCs w:val="44"/>
          <w:highlight w:val="none"/>
          <w:lang w:val="en-US" w:eastAsia="zh-CN" w:bidi="ar-SA"/>
        </w:rPr>
      </w:pPr>
    </w:p>
    <w:p w14:paraId="2000DFA4">
      <w:pPr>
        <w:pStyle w:val="7"/>
        <w:jc w:val="center"/>
        <w:rPr>
          <w:rFonts w:hint="eastAsia" w:ascii="Times New Roman" w:eastAsia="方正小标宋简体" w:cs="Times New Roman"/>
          <w:color w:val="auto"/>
          <w:kern w:val="2"/>
          <w:sz w:val="44"/>
          <w:szCs w:val="44"/>
          <w:highlight w:val="none"/>
          <w:lang w:val="en-US" w:eastAsia="zh-CN" w:bidi="ar-SA"/>
        </w:rPr>
      </w:pPr>
    </w:p>
    <w:p w14:paraId="63E8B00A">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2025年度松潘县</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司法局</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公开</w:t>
      </w:r>
    </w:p>
    <w:p w14:paraId="3E75F0BE">
      <w:pPr>
        <w:widowControl/>
        <w:jc w:val="center"/>
        <w:rPr>
          <w:rFonts w:hint="eastAsia" w:ascii="Times New Roman" w:hAnsi="Times New Roman" w:eastAsia="黑体"/>
          <w:color w:val="auto"/>
          <w:sz w:val="48"/>
          <w:szCs w:val="48"/>
          <w:highlight w:val="none"/>
        </w:rPr>
      </w:pPr>
    </w:p>
    <w:p w14:paraId="31FAC3AA">
      <w:pPr>
        <w:widowControl/>
        <w:jc w:val="center"/>
        <w:rPr>
          <w:rFonts w:hint="eastAsia" w:ascii="Times New Roman" w:hAnsi="Times New Roman" w:eastAsia="黑体"/>
          <w:color w:val="auto"/>
          <w:sz w:val="48"/>
          <w:szCs w:val="48"/>
          <w:highlight w:val="none"/>
        </w:rPr>
      </w:pPr>
    </w:p>
    <w:p w14:paraId="3C337A6F">
      <w:pPr>
        <w:widowControl/>
        <w:jc w:val="center"/>
        <w:rPr>
          <w:rFonts w:hint="eastAsia" w:ascii="Times New Roman" w:hAnsi="Times New Roman" w:eastAsia="黑体"/>
          <w:color w:val="auto"/>
          <w:sz w:val="48"/>
          <w:szCs w:val="48"/>
          <w:highlight w:val="none"/>
        </w:rPr>
      </w:pPr>
    </w:p>
    <w:p w14:paraId="728BD285">
      <w:pPr>
        <w:widowControl/>
        <w:jc w:val="center"/>
        <w:rPr>
          <w:rFonts w:hint="eastAsia" w:ascii="Times New Roman" w:hAnsi="Times New Roman" w:eastAsia="黑体"/>
          <w:color w:val="auto"/>
          <w:sz w:val="48"/>
          <w:szCs w:val="48"/>
          <w:highlight w:val="none"/>
        </w:rPr>
      </w:pPr>
    </w:p>
    <w:p w14:paraId="39228661">
      <w:pPr>
        <w:widowControl/>
        <w:jc w:val="center"/>
        <w:rPr>
          <w:rFonts w:hint="eastAsia" w:ascii="Times New Roman" w:hAnsi="Times New Roman" w:eastAsia="黑体"/>
          <w:color w:val="auto"/>
          <w:sz w:val="48"/>
          <w:szCs w:val="48"/>
          <w:highlight w:val="none"/>
        </w:rPr>
      </w:pPr>
    </w:p>
    <w:p w14:paraId="450A2280">
      <w:pPr>
        <w:widowControl/>
        <w:jc w:val="center"/>
        <w:rPr>
          <w:rFonts w:hint="eastAsia" w:ascii="Times New Roman" w:hAnsi="Times New Roman" w:eastAsia="黑体"/>
          <w:color w:val="auto"/>
          <w:sz w:val="48"/>
          <w:szCs w:val="48"/>
          <w:highlight w:val="none"/>
        </w:rPr>
      </w:pPr>
    </w:p>
    <w:p w14:paraId="5F8AD4FD">
      <w:pPr>
        <w:widowControl/>
        <w:jc w:val="center"/>
        <w:rPr>
          <w:rFonts w:hint="eastAsia" w:ascii="Times New Roman" w:hAnsi="Times New Roman" w:eastAsia="黑体"/>
          <w:color w:val="auto"/>
          <w:sz w:val="48"/>
          <w:szCs w:val="48"/>
          <w:highlight w:val="none"/>
        </w:rPr>
      </w:pPr>
    </w:p>
    <w:p w14:paraId="71250DF3">
      <w:pPr>
        <w:widowControl/>
        <w:jc w:val="center"/>
        <w:rPr>
          <w:rFonts w:hint="eastAsia" w:ascii="Times New Roman" w:hAnsi="Times New Roman" w:eastAsia="黑体"/>
          <w:color w:val="auto"/>
          <w:sz w:val="48"/>
          <w:szCs w:val="48"/>
          <w:highlight w:val="none"/>
        </w:rPr>
      </w:pPr>
    </w:p>
    <w:p w14:paraId="23707B1D">
      <w:pPr>
        <w:widowControl/>
        <w:jc w:val="center"/>
        <w:rPr>
          <w:rFonts w:hint="eastAsia" w:ascii="Times New Roman" w:hAnsi="Times New Roman" w:eastAsia="黑体"/>
          <w:color w:val="auto"/>
          <w:sz w:val="48"/>
          <w:szCs w:val="48"/>
          <w:highlight w:val="none"/>
        </w:rPr>
      </w:pPr>
    </w:p>
    <w:p w14:paraId="08F5A6EA">
      <w:pPr>
        <w:widowControl/>
        <w:jc w:val="center"/>
        <w:rPr>
          <w:rFonts w:hint="eastAsia" w:ascii="Times New Roman" w:hAnsi="Times New Roman" w:eastAsia="黑体"/>
          <w:color w:val="auto"/>
          <w:sz w:val="48"/>
          <w:szCs w:val="48"/>
          <w:highlight w:val="none"/>
        </w:rPr>
      </w:pPr>
    </w:p>
    <w:p w14:paraId="6646D3C4">
      <w:pPr>
        <w:widowControl/>
        <w:jc w:val="both"/>
        <w:rPr>
          <w:rFonts w:hint="eastAsia" w:ascii="Times New Roman" w:hAnsi="Times New Roman" w:eastAsia="黑体"/>
          <w:color w:val="auto"/>
          <w:sz w:val="48"/>
          <w:szCs w:val="48"/>
          <w:highlight w:val="none"/>
        </w:rPr>
      </w:pPr>
    </w:p>
    <w:p w14:paraId="7C2A6B91">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0FA556FB">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3566C182">
      <w:pPr>
        <w:pStyle w:val="12"/>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942896798"/>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49C304AE">
          <w:pPr>
            <w:spacing w:before="0" w:beforeLines="0" w:after="0" w:afterLines="0" w:line="240" w:lineRule="auto"/>
            <w:ind w:left="0" w:leftChars="0" w:right="0" w:rightChars="0" w:firstLine="0" w:firstLineChars="0"/>
            <w:jc w:val="center"/>
          </w:pPr>
          <w:bookmarkStart w:id="12" w:name="_Toc15396599"/>
          <w:bookmarkStart w:id="13" w:name="_Toc15377196"/>
        </w:p>
        <w:p w14:paraId="7B4E3610">
          <w:pPr>
            <w:pStyle w:val="12"/>
            <w:tabs>
              <w:tab w:val="right" w:leader="dot" w:pos="8306"/>
              <w:tab w:val="clear" w:pos="8296"/>
            </w:tabs>
          </w:pPr>
          <w:r>
            <w:fldChar w:fldCharType="begin"/>
          </w:r>
          <w:r>
            <w:instrText xml:space="preserve">TOC \o "1-3" \h \u </w:instrText>
          </w:r>
          <w:r>
            <w:fldChar w:fldCharType="separate"/>
          </w:r>
          <w:r>
            <w:fldChar w:fldCharType="begin"/>
          </w:r>
          <w:r>
            <w:instrText xml:space="preserve"> HYPERLINK \l _Toc1008023602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_Toc1008023602 \h </w:instrText>
          </w:r>
          <w:r>
            <w:fldChar w:fldCharType="separate"/>
          </w:r>
          <w:r>
            <w:t>1</w:t>
          </w:r>
          <w:r>
            <w:fldChar w:fldCharType="end"/>
          </w:r>
          <w:r>
            <w:fldChar w:fldCharType="end"/>
          </w:r>
        </w:p>
        <w:p w14:paraId="67036978">
          <w:pPr>
            <w:pStyle w:val="14"/>
            <w:tabs>
              <w:tab w:val="right" w:leader="dot" w:pos="8306"/>
              <w:tab w:val="clear" w:pos="8296"/>
            </w:tabs>
          </w:pPr>
          <w:r>
            <w:fldChar w:fldCharType="begin"/>
          </w:r>
          <w:r>
            <w:instrText xml:space="preserve"> HYPERLINK \l _Toc1801851234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_Toc1801851234 \h </w:instrText>
          </w:r>
          <w:r>
            <w:fldChar w:fldCharType="separate"/>
          </w:r>
          <w:r>
            <w:t>1</w:t>
          </w:r>
          <w:r>
            <w:fldChar w:fldCharType="end"/>
          </w:r>
          <w:r>
            <w:fldChar w:fldCharType="end"/>
          </w:r>
        </w:p>
        <w:p w14:paraId="6E8D50ED">
          <w:pPr>
            <w:pStyle w:val="14"/>
            <w:tabs>
              <w:tab w:val="right" w:leader="dot" w:pos="8306"/>
              <w:tab w:val="clear" w:pos="8296"/>
            </w:tabs>
          </w:pPr>
          <w:r>
            <w:fldChar w:fldCharType="begin"/>
          </w:r>
          <w:r>
            <w:instrText xml:space="preserve"> HYPERLINK \l _Toc781672713 </w:instrText>
          </w:r>
          <w:r>
            <w:fldChar w:fldCharType="separate"/>
          </w:r>
          <w:r>
            <w:rPr>
              <w:rFonts w:hint="eastAsia" w:ascii="Times New Roman" w:hAnsi="Times New Roman" w:eastAsia="仿宋_GB2312" w:cs="Times New Roman"/>
              <w:i w:val="0"/>
              <w:caps w:val="0"/>
              <w:smallCaps w:val="0"/>
              <w:spacing w:val="0"/>
              <w:kern w:val="0"/>
              <w:szCs w:val="32"/>
              <w:shd w:val="clear" w:fill="FFFFFF"/>
              <w:lang w:val="en-US" w:eastAsia="zh-CN"/>
            </w:rPr>
            <w:t xml:space="preserve">二、 </w:t>
          </w:r>
          <w:r>
            <w:rPr>
              <w:rFonts w:hint="eastAsia" w:ascii="Times New Roman" w:hAnsi="Times New Roman" w:eastAsia="黑体"/>
              <w:highlight w:val="none"/>
            </w:rPr>
            <w:t>机</w:t>
          </w:r>
          <w:r>
            <w:rPr>
              <w:rFonts w:hint="eastAsia" w:ascii="Times New Roman" w:hAnsi="Times New Roman" w:eastAsia="黑体"/>
              <w:bCs w:val="0"/>
              <w:highlight w:val="none"/>
            </w:rPr>
            <w:t>构设置</w:t>
          </w:r>
          <w:r>
            <w:tab/>
          </w:r>
          <w:r>
            <w:fldChar w:fldCharType="begin"/>
          </w:r>
          <w:r>
            <w:instrText xml:space="preserve"> PAGEREF _Toc781672713 \h </w:instrText>
          </w:r>
          <w:r>
            <w:fldChar w:fldCharType="separate"/>
          </w:r>
          <w:r>
            <w:t>2</w:t>
          </w:r>
          <w:r>
            <w:fldChar w:fldCharType="end"/>
          </w:r>
          <w:r>
            <w:fldChar w:fldCharType="end"/>
          </w:r>
        </w:p>
        <w:p w14:paraId="5BE283F6">
          <w:pPr>
            <w:pStyle w:val="12"/>
            <w:tabs>
              <w:tab w:val="right" w:leader="dot" w:pos="8306"/>
              <w:tab w:val="clear" w:pos="8296"/>
            </w:tabs>
          </w:pPr>
          <w:r>
            <w:fldChar w:fldCharType="begin"/>
          </w:r>
          <w:r>
            <w:instrText xml:space="preserve"> HYPERLINK \l _Toc684143864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_Toc684143864 \h </w:instrText>
          </w:r>
          <w:r>
            <w:fldChar w:fldCharType="separate"/>
          </w:r>
          <w:r>
            <w:t>6</w:t>
          </w:r>
          <w:r>
            <w:fldChar w:fldCharType="end"/>
          </w:r>
          <w:r>
            <w:fldChar w:fldCharType="end"/>
          </w:r>
        </w:p>
        <w:p w14:paraId="3BCD4682">
          <w:pPr>
            <w:pStyle w:val="14"/>
            <w:tabs>
              <w:tab w:val="right" w:leader="dot" w:pos="8306"/>
              <w:tab w:val="clear" w:pos="8296"/>
            </w:tabs>
          </w:pPr>
          <w:r>
            <w:fldChar w:fldCharType="begin"/>
          </w:r>
          <w:r>
            <w:instrText xml:space="preserve"> HYPERLINK \l _Toc1410272042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_Toc1410272042 \h </w:instrText>
          </w:r>
          <w:r>
            <w:fldChar w:fldCharType="separate"/>
          </w:r>
          <w:r>
            <w:t>6</w:t>
          </w:r>
          <w:r>
            <w:fldChar w:fldCharType="end"/>
          </w:r>
          <w:r>
            <w:fldChar w:fldCharType="end"/>
          </w:r>
        </w:p>
        <w:p w14:paraId="660835C5">
          <w:pPr>
            <w:pStyle w:val="14"/>
            <w:tabs>
              <w:tab w:val="right" w:leader="dot" w:pos="8306"/>
              <w:tab w:val="clear" w:pos="8296"/>
            </w:tabs>
          </w:pPr>
          <w:r>
            <w:fldChar w:fldCharType="begin"/>
          </w:r>
          <w:r>
            <w:instrText xml:space="preserve"> HYPERLINK \l _Toc236564003 </w:instrText>
          </w:r>
          <w:r>
            <w:fldChar w:fldCharType="separate"/>
          </w:r>
          <w:r>
            <w:rPr>
              <w:rFonts w:hint="eastAsia" w:eastAsia="仿宋_GB2312" w:cs="仿宋_GB2312"/>
              <w:szCs w:val="32"/>
              <w:highlight w:val="none"/>
              <w:lang w:eastAsia="zh-CN"/>
            </w:rPr>
            <w:t>2025年度</w:t>
          </w:r>
          <w:r>
            <w:rPr>
              <w:rFonts w:hint="eastAsia" w:ascii="Times New Roman" w:hAnsi="Times New Roman" w:eastAsia="仿宋_GB2312" w:cs="仿宋_GB2312"/>
              <w:szCs w:val="32"/>
              <w:highlight w:val="none"/>
              <w:lang w:eastAsia="zh-CN"/>
            </w:rPr>
            <w:t>收入</w:t>
          </w:r>
          <w:r>
            <w:rPr>
              <w:rFonts w:hint="eastAsia" w:ascii="Times New Roman" w:hAnsi="Times New Roman" w:eastAsia="仿宋_GB2312" w:cs="仿宋_GB2312"/>
              <w:szCs w:val="32"/>
              <w:highlight w:val="none"/>
            </w:rPr>
            <w:t>、</w:t>
          </w:r>
          <w:r>
            <w:rPr>
              <w:rFonts w:hint="eastAsia" w:ascii="Times New Roman" w:hAnsi="Times New Roman" w:eastAsia="仿宋_GB2312" w:cs="仿宋_GB2312"/>
              <w:szCs w:val="32"/>
              <w:highlight w:val="none"/>
              <w:lang w:eastAsia="zh-CN"/>
            </w:rPr>
            <w:t>支出</w:t>
          </w:r>
          <w:r>
            <w:rPr>
              <w:rFonts w:hint="eastAsia" w:ascii="Times New Roman" w:hAnsi="Times New Roman" w:eastAsia="仿宋_GB2312" w:cs="仿宋_GB2312"/>
              <w:szCs w:val="32"/>
              <w:highlight w:val="none"/>
            </w:rPr>
            <w:t>总计</w:t>
          </w:r>
          <w:r>
            <w:rPr>
              <w:rFonts w:hint="eastAsia" w:ascii="Times New Roman" w:hAnsi="Times New Roman" w:eastAsia="仿宋_GB2312" w:cs="仿宋_GB2312"/>
              <w:szCs w:val="32"/>
              <w:highlight w:val="none"/>
              <w:lang w:eastAsia="zh-CN"/>
            </w:rPr>
            <w:t>均为</w:t>
          </w:r>
          <w:r>
            <w:rPr>
              <w:rFonts w:hint="eastAsia" w:eastAsia="仿宋_GB2312" w:cs="仿宋_GB2312"/>
              <w:szCs w:val="32"/>
              <w:highlight w:val="none"/>
              <w:lang w:val="en-US" w:eastAsia="zh-CN"/>
            </w:rPr>
            <w:t>1301.39</w:t>
          </w:r>
          <w:r>
            <w:rPr>
              <w:rFonts w:hint="eastAsia" w:ascii="Times New Roman" w:hAnsi="Times New Roman" w:eastAsia="仿宋_GB2312" w:cs="仿宋_GB2312"/>
              <w:szCs w:val="32"/>
              <w:highlight w:val="none"/>
            </w:rPr>
            <w:t>万元。与</w:t>
          </w:r>
          <w:r>
            <w:rPr>
              <w:rFonts w:hint="eastAsia" w:eastAsia="仿宋_GB2312" w:cs="仿宋_GB2312"/>
              <w:szCs w:val="32"/>
              <w:highlight w:val="none"/>
              <w:lang w:eastAsia="zh-CN"/>
            </w:rPr>
            <w:t>上</w:t>
          </w:r>
          <w:r>
            <w:rPr>
              <w:rFonts w:hint="eastAsia" w:ascii="Times New Roman" w:hAnsi="Times New Roman" w:eastAsia="仿宋_GB2312" w:cs="仿宋_GB2312"/>
              <w:szCs w:val="32"/>
              <w:highlight w:val="none"/>
            </w:rPr>
            <w:t>年</w:t>
          </w:r>
          <w:r>
            <w:rPr>
              <w:rFonts w:hint="eastAsia" w:ascii="Times New Roman" w:hAnsi="Times New Roman" w:eastAsia="仿宋_GB2312" w:cs="仿宋_GB2312"/>
              <w:szCs w:val="32"/>
              <w:highlight w:val="none"/>
              <w:lang w:eastAsia="zh-CN"/>
            </w:rPr>
            <w:t>度</w:t>
          </w:r>
          <w:r>
            <w:rPr>
              <w:rFonts w:hint="eastAsia" w:ascii="Times New Roman" w:hAnsi="Times New Roman" w:eastAsia="仿宋_GB2312" w:cs="仿宋_GB2312"/>
              <w:szCs w:val="32"/>
              <w:highlight w:val="none"/>
            </w:rPr>
            <w:t>相比，</w:t>
          </w:r>
          <w:r>
            <w:rPr>
              <w:rFonts w:hint="eastAsia" w:ascii="Times New Roman" w:hAnsi="Times New Roman" w:eastAsia="仿宋_GB2312" w:cs="仿宋_GB2312"/>
              <w:szCs w:val="32"/>
              <w:highlight w:val="none"/>
              <w:lang w:eastAsia="zh-CN"/>
            </w:rPr>
            <w:t>收入</w:t>
          </w:r>
          <w:r>
            <w:rPr>
              <w:rFonts w:hint="eastAsia" w:ascii="Times New Roman" w:hAnsi="Times New Roman" w:eastAsia="仿宋_GB2312" w:cs="仿宋_GB2312"/>
              <w:szCs w:val="32"/>
              <w:highlight w:val="none"/>
            </w:rPr>
            <w:t>总计各增加</w:t>
          </w:r>
          <w:r>
            <w:rPr>
              <w:rFonts w:hint="eastAsia" w:eastAsia="仿宋_GB2312" w:cs="仿宋_GB2312"/>
              <w:szCs w:val="32"/>
              <w:highlight w:val="none"/>
              <w:lang w:val="en-US" w:eastAsia="zh-CN"/>
            </w:rPr>
            <w:t>75.62</w:t>
          </w:r>
          <w:r>
            <w:rPr>
              <w:rFonts w:hint="eastAsia" w:ascii="Times New Roman" w:hAnsi="Times New Roman" w:eastAsia="仿宋_GB2312" w:cs="仿宋_GB2312"/>
              <w:szCs w:val="32"/>
              <w:highlight w:val="none"/>
            </w:rPr>
            <w:t>万元，增长</w:t>
          </w:r>
          <w:r>
            <w:rPr>
              <w:rFonts w:hint="eastAsia" w:eastAsia="仿宋_GB2312" w:cs="仿宋_GB2312"/>
              <w:szCs w:val="32"/>
              <w:highlight w:val="none"/>
              <w:lang w:val="en-US" w:eastAsia="zh-CN"/>
            </w:rPr>
            <w:t>6.2</w:t>
          </w:r>
          <w:r>
            <w:rPr>
              <w:rFonts w:hint="eastAsia" w:ascii="Times New Roman" w:hAnsi="Times New Roman" w:eastAsia="仿宋_GB2312" w:cs="仿宋_GB2312"/>
              <w:szCs w:val="32"/>
              <w:highlight w:val="none"/>
            </w:rPr>
            <w:t>%。主要变动原因</w:t>
          </w:r>
          <w:r>
            <w:rPr>
              <w:rFonts w:hint="eastAsia" w:eastAsia="仿宋_GB2312" w:cs="仿宋_GB2312"/>
              <w:szCs w:val="32"/>
              <w:highlight w:val="none"/>
              <w:lang w:eastAsia="zh-CN"/>
            </w:rPr>
            <w:t>为保障重点业务、基层运转，本级财政提高经费保障标准以及导致收入增加。</w:t>
          </w:r>
          <w:r>
            <w:tab/>
          </w:r>
          <w:r>
            <w:fldChar w:fldCharType="begin"/>
          </w:r>
          <w:r>
            <w:instrText xml:space="preserve"> PAGEREF _Toc236564003 \h </w:instrText>
          </w:r>
          <w:r>
            <w:fldChar w:fldCharType="separate"/>
          </w:r>
          <w:r>
            <w:t>6</w:t>
          </w:r>
          <w:r>
            <w:fldChar w:fldCharType="end"/>
          </w:r>
          <w:r>
            <w:fldChar w:fldCharType="end"/>
          </w:r>
        </w:p>
        <w:p w14:paraId="101C7BAA">
          <w:pPr>
            <w:pStyle w:val="14"/>
            <w:tabs>
              <w:tab w:val="right" w:leader="dot" w:pos="8306"/>
              <w:tab w:val="clear" w:pos="8296"/>
            </w:tabs>
          </w:pPr>
          <w:r>
            <w:fldChar w:fldCharType="begin"/>
          </w:r>
          <w:r>
            <w:instrText xml:space="preserve"> HYPERLINK \l _Toc1750519780 </w:instrText>
          </w:r>
          <w:r>
            <w:fldChar w:fldCharType="separate"/>
          </w:r>
          <w:r>
            <w:rPr>
              <w:rFonts w:hint="eastAsia" w:ascii="Times New Roman" w:hAnsi="Times New Roman" w:eastAsia="仿宋_GB2312" w:cs="仿宋_GB2312"/>
              <w:szCs w:val="32"/>
              <w:highlight w:val="none"/>
            </w:rPr>
            <w:t>图1：</w:t>
          </w:r>
          <w:r>
            <w:rPr>
              <w:rFonts w:hint="eastAsia" w:ascii="Times New Roman" w:hAnsi="Times New Roman" w:eastAsia="仿宋_GB2312" w:cs="仿宋_GB2312"/>
              <w:szCs w:val="32"/>
              <w:highlight w:val="none"/>
              <w:lang w:eastAsia="zh-CN"/>
            </w:rPr>
            <w:t>收入</w:t>
          </w:r>
          <w:r>
            <w:rPr>
              <w:rFonts w:hint="eastAsia" w:ascii="Times New Roman" w:hAnsi="Times New Roman" w:eastAsia="仿宋_GB2312" w:cs="仿宋_GB2312"/>
              <w:szCs w:val="32"/>
              <w:highlight w:val="none"/>
            </w:rPr>
            <w:t>、</w:t>
          </w:r>
          <w:r>
            <w:rPr>
              <w:rFonts w:hint="eastAsia" w:ascii="Times New Roman" w:hAnsi="Times New Roman" w:eastAsia="仿宋_GB2312" w:cs="仿宋_GB2312"/>
              <w:szCs w:val="32"/>
              <w:highlight w:val="none"/>
              <w:lang w:eastAsia="zh-CN"/>
            </w:rPr>
            <w:t>支出</w:t>
          </w:r>
          <w:r>
            <w:rPr>
              <w:rFonts w:hint="eastAsia" w:ascii="Times New Roman" w:hAnsi="Times New Roman" w:eastAsia="仿宋_GB2312" w:cs="仿宋_GB2312"/>
              <w:szCs w:val="32"/>
              <w:highlight w:val="none"/>
            </w:rPr>
            <w:t>决算总计变动情况图</w:t>
          </w:r>
          <w:r>
            <w:tab/>
          </w:r>
          <w:r>
            <w:fldChar w:fldCharType="begin"/>
          </w:r>
          <w:r>
            <w:instrText xml:space="preserve"> PAGEREF _Toc1750519780 \h </w:instrText>
          </w:r>
          <w:r>
            <w:fldChar w:fldCharType="separate"/>
          </w:r>
          <w:r>
            <w:t>7</w:t>
          </w:r>
          <w:r>
            <w:fldChar w:fldCharType="end"/>
          </w:r>
          <w:r>
            <w:fldChar w:fldCharType="end"/>
          </w:r>
        </w:p>
        <w:p w14:paraId="18A69B86">
          <w:pPr>
            <w:pStyle w:val="14"/>
            <w:tabs>
              <w:tab w:val="right" w:leader="dot" w:pos="8306"/>
              <w:tab w:val="clear" w:pos="8296"/>
            </w:tabs>
          </w:pPr>
          <w:r>
            <w:fldChar w:fldCharType="begin"/>
          </w:r>
          <w:r>
            <w:instrText xml:space="preserve"> HYPERLINK \l _Toc1684330597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_Toc1684330597 \h </w:instrText>
          </w:r>
          <w:r>
            <w:fldChar w:fldCharType="separate"/>
          </w:r>
          <w:r>
            <w:t>7</w:t>
          </w:r>
          <w:r>
            <w:fldChar w:fldCharType="end"/>
          </w:r>
          <w:r>
            <w:fldChar w:fldCharType="end"/>
          </w:r>
        </w:p>
        <w:p w14:paraId="6C547189">
          <w:pPr>
            <w:pStyle w:val="14"/>
            <w:tabs>
              <w:tab w:val="right" w:leader="dot" w:pos="8306"/>
              <w:tab w:val="clear" w:pos="8296"/>
            </w:tabs>
          </w:pPr>
          <w:r>
            <w:fldChar w:fldCharType="begin"/>
          </w:r>
          <w:r>
            <w:instrText xml:space="preserve"> HYPERLINK \l _Toc876190609 </w:instrText>
          </w:r>
          <w:r>
            <w:fldChar w:fldCharType="separate"/>
          </w:r>
          <w:r>
            <w:rPr>
              <w:rFonts w:hint="eastAsia" w:eastAsia="仿宋_GB2312" w:cs="仿宋_GB2312"/>
              <w:szCs w:val="32"/>
              <w:highlight w:val="none"/>
              <w:lang w:eastAsia="zh-CN"/>
            </w:rPr>
            <w:t>2025年度</w:t>
          </w:r>
          <w:r>
            <w:rPr>
              <w:rFonts w:hint="eastAsia" w:ascii="Times New Roman" w:hAnsi="Times New Roman" w:eastAsia="仿宋_GB2312" w:cs="仿宋_GB2312"/>
              <w:szCs w:val="32"/>
              <w:highlight w:val="none"/>
              <w:lang w:eastAsia="zh-CN"/>
            </w:rPr>
            <w:t>本年收入合计</w:t>
          </w:r>
          <w:r>
            <w:rPr>
              <w:rFonts w:hint="eastAsia" w:eastAsia="仿宋_GB2312" w:cs="仿宋_GB2312"/>
              <w:szCs w:val="32"/>
              <w:highlight w:val="none"/>
              <w:lang w:val="en-US" w:eastAsia="zh-CN"/>
            </w:rPr>
            <w:t>1301.39</w:t>
          </w:r>
          <w:r>
            <w:rPr>
              <w:rFonts w:hint="eastAsia" w:ascii="Times New Roman" w:hAnsi="Times New Roman" w:eastAsia="仿宋_GB2312" w:cs="仿宋_GB2312"/>
              <w:szCs w:val="32"/>
              <w:highlight w:val="none"/>
              <w:lang w:eastAsia="zh-CN"/>
            </w:rPr>
            <w:t>万元，其中：一般公共预算财政拨款收入</w:t>
          </w:r>
          <w:r>
            <w:rPr>
              <w:rFonts w:hint="eastAsia" w:eastAsia="仿宋_GB2312" w:cs="仿宋_GB2312"/>
              <w:szCs w:val="32"/>
              <w:highlight w:val="none"/>
              <w:lang w:val="en-US" w:eastAsia="zh-CN"/>
            </w:rPr>
            <w:t>1301.39</w:t>
          </w:r>
          <w:r>
            <w:rPr>
              <w:rFonts w:hint="eastAsia" w:ascii="Times New Roman" w:hAnsi="Times New Roman" w:eastAsia="仿宋_GB2312" w:cs="仿宋_GB2312"/>
              <w:szCs w:val="32"/>
              <w:highlight w:val="none"/>
              <w:lang w:eastAsia="zh-CN"/>
            </w:rPr>
            <w:t>万元，占</w:t>
          </w:r>
          <w:r>
            <w:rPr>
              <w:rFonts w:hint="eastAsia" w:eastAsia="仿宋_GB2312" w:cs="仿宋_GB2312"/>
              <w:szCs w:val="32"/>
              <w:highlight w:val="none"/>
              <w:lang w:val="en-US" w:eastAsia="zh-CN"/>
            </w:rPr>
            <w:t>100</w:t>
          </w:r>
          <w:r>
            <w:rPr>
              <w:rFonts w:hint="eastAsia" w:ascii="Times New Roman" w:hAnsi="Times New Roman" w:eastAsia="仿宋_GB2312" w:cs="仿宋_GB2312"/>
              <w:szCs w:val="32"/>
              <w:highlight w:val="none"/>
              <w:lang w:eastAsia="zh-CN"/>
            </w:rPr>
            <w:t>%</w:t>
          </w:r>
          <w:r>
            <w:rPr>
              <w:rFonts w:hint="eastAsia" w:eastAsia="仿宋_GB2312" w:cs="仿宋_GB2312"/>
              <w:szCs w:val="32"/>
              <w:highlight w:val="none"/>
              <w:lang w:eastAsia="zh-CN"/>
            </w:rPr>
            <w:t>。</w:t>
          </w:r>
          <w:r>
            <w:tab/>
          </w:r>
          <w:r>
            <w:fldChar w:fldCharType="begin"/>
          </w:r>
          <w:r>
            <w:instrText xml:space="preserve"> PAGEREF _Toc876190609 \h </w:instrText>
          </w:r>
          <w:r>
            <w:fldChar w:fldCharType="separate"/>
          </w:r>
          <w:r>
            <w:t>7</w:t>
          </w:r>
          <w:r>
            <w:fldChar w:fldCharType="end"/>
          </w:r>
          <w:r>
            <w:fldChar w:fldCharType="end"/>
          </w:r>
        </w:p>
        <w:p w14:paraId="7349F249">
          <w:pPr>
            <w:pStyle w:val="14"/>
            <w:tabs>
              <w:tab w:val="right" w:leader="dot" w:pos="8306"/>
              <w:tab w:val="clear" w:pos="8296"/>
            </w:tabs>
          </w:pPr>
          <w:r>
            <w:fldChar w:fldCharType="begin"/>
          </w:r>
          <w:r>
            <w:instrText xml:space="preserve"> HYPERLINK \l _Toc716677772 </w:instrText>
          </w:r>
          <w:r>
            <w:fldChar w:fldCharType="separate"/>
          </w:r>
          <w:r>
            <w:rPr>
              <w:rFonts w:hint="eastAsia" w:ascii="Times New Roman" w:hAnsi="Times New Roman" w:eastAsia="仿宋_GB2312" w:cs="仿宋_GB2312"/>
              <w:szCs w:val="32"/>
              <w:highlight w:val="none"/>
              <w:lang w:eastAsia="zh-CN"/>
            </w:rPr>
            <w:t>图2：收入决算结构图</w:t>
          </w:r>
          <w:r>
            <w:tab/>
          </w:r>
          <w:r>
            <w:fldChar w:fldCharType="begin"/>
          </w:r>
          <w:r>
            <w:instrText xml:space="preserve"> PAGEREF _Toc716677772 \h </w:instrText>
          </w:r>
          <w:r>
            <w:fldChar w:fldCharType="separate"/>
          </w:r>
          <w:r>
            <w:t>7</w:t>
          </w:r>
          <w:r>
            <w:fldChar w:fldCharType="end"/>
          </w:r>
          <w:r>
            <w:fldChar w:fldCharType="end"/>
          </w:r>
        </w:p>
        <w:p w14:paraId="30DE5817">
          <w:pPr>
            <w:pStyle w:val="14"/>
            <w:tabs>
              <w:tab w:val="right" w:leader="dot" w:pos="8306"/>
              <w:tab w:val="clear" w:pos="8296"/>
            </w:tabs>
          </w:pPr>
          <w:r>
            <w:fldChar w:fldCharType="begin"/>
          </w:r>
          <w:r>
            <w:instrText xml:space="preserve"> HYPERLINK \l _Toc1780294347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_Toc1780294347 \h </w:instrText>
          </w:r>
          <w:r>
            <w:fldChar w:fldCharType="separate"/>
          </w:r>
          <w:r>
            <w:t>7</w:t>
          </w:r>
          <w:r>
            <w:fldChar w:fldCharType="end"/>
          </w:r>
          <w:r>
            <w:fldChar w:fldCharType="end"/>
          </w:r>
        </w:p>
        <w:p w14:paraId="62AF5E50">
          <w:pPr>
            <w:pStyle w:val="14"/>
            <w:tabs>
              <w:tab w:val="right" w:leader="dot" w:pos="8306"/>
              <w:tab w:val="clear" w:pos="8296"/>
            </w:tabs>
          </w:pPr>
          <w:r>
            <w:fldChar w:fldCharType="begin"/>
          </w:r>
          <w:r>
            <w:instrText xml:space="preserve"> HYPERLINK \l _Toc68221436 </w:instrText>
          </w:r>
          <w:r>
            <w:fldChar w:fldCharType="separate"/>
          </w:r>
          <w:r>
            <w:rPr>
              <w:rFonts w:hint="eastAsia" w:eastAsia="仿宋_GB2312" w:cs="仿宋_GB2312"/>
              <w:szCs w:val="32"/>
              <w:highlight w:val="none"/>
              <w:lang w:eastAsia="zh-CN"/>
            </w:rPr>
            <w:t>2025年度</w:t>
          </w:r>
          <w:r>
            <w:rPr>
              <w:rFonts w:hint="eastAsia" w:ascii="Times New Roman" w:hAnsi="Times New Roman" w:eastAsia="仿宋_GB2312" w:cs="仿宋_GB2312"/>
              <w:szCs w:val="32"/>
              <w:highlight w:val="none"/>
              <w:lang w:eastAsia="zh-CN"/>
            </w:rPr>
            <w:t>本年支出合计</w:t>
          </w:r>
          <w:r>
            <w:rPr>
              <w:rFonts w:hint="eastAsia" w:eastAsia="仿宋_GB2312" w:cs="仿宋_GB2312"/>
              <w:szCs w:val="32"/>
              <w:highlight w:val="none"/>
              <w:lang w:val="en-US" w:eastAsia="zh-CN"/>
            </w:rPr>
            <w:t>1301.39</w:t>
          </w:r>
          <w:r>
            <w:rPr>
              <w:rFonts w:hint="eastAsia" w:ascii="Times New Roman" w:hAnsi="Times New Roman" w:eastAsia="仿宋_GB2312" w:cs="仿宋_GB2312"/>
              <w:szCs w:val="32"/>
              <w:highlight w:val="none"/>
              <w:lang w:eastAsia="zh-CN"/>
            </w:rPr>
            <w:t>万元，其中：基本支出</w:t>
          </w:r>
          <w:r>
            <w:rPr>
              <w:rFonts w:hint="eastAsia" w:eastAsia="仿宋_GB2312" w:cs="仿宋_GB2312"/>
              <w:szCs w:val="32"/>
              <w:highlight w:val="none"/>
              <w:lang w:val="en-US" w:eastAsia="zh-CN"/>
            </w:rPr>
            <w:t>1070.64</w:t>
          </w:r>
          <w:r>
            <w:rPr>
              <w:rFonts w:hint="eastAsia" w:ascii="Times New Roman" w:hAnsi="Times New Roman" w:eastAsia="仿宋_GB2312" w:cs="仿宋_GB2312"/>
              <w:szCs w:val="32"/>
              <w:highlight w:val="none"/>
              <w:lang w:eastAsia="zh-CN"/>
            </w:rPr>
            <w:t>万元，占</w:t>
          </w:r>
          <w:r>
            <w:rPr>
              <w:rFonts w:hint="eastAsia" w:eastAsia="仿宋_GB2312" w:cs="仿宋_GB2312"/>
              <w:szCs w:val="32"/>
              <w:highlight w:val="none"/>
              <w:lang w:val="en-US" w:eastAsia="zh-CN"/>
            </w:rPr>
            <w:t>82.3</w:t>
          </w:r>
          <w:r>
            <w:rPr>
              <w:rFonts w:hint="eastAsia" w:ascii="Times New Roman" w:hAnsi="Times New Roman" w:eastAsia="仿宋_GB2312" w:cs="仿宋_GB2312"/>
              <w:szCs w:val="32"/>
              <w:highlight w:val="none"/>
              <w:lang w:eastAsia="zh-CN"/>
            </w:rPr>
            <w:t>%；项目支出</w:t>
          </w:r>
          <w:r>
            <w:rPr>
              <w:rFonts w:hint="eastAsia" w:eastAsia="仿宋_GB2312" w:cs="仿宋_GB2312"/>
              <w:szCs w:val="32"/>
              <w:highlight w:val="none"/>
              <w:lang w:val="en-US" w:eastAsia="zh-CN"/>
            </w:rPr>
            <w:t>230.75</w:t>
          </w:r>
          <w:r>
            <w:rPr>
              <w:rFonts w:hint="eastAsia" w:ascii="Times New Roman" w:hAnsi="Times New Roman" w:eastAsia="仿宋_GB2312" w:cs="仿宋_GB2312"/>
              <w:szCs w:val="32"/>
              <w:highlight w:val="none"/>
              <w:lang w:eastAsia="zh-CN"/>
            </w:rPr>
            <w:t>万元，占</w:t>
          </w:r>
          <w:r>
            <w:rPr>
              <w:rFonts w:hint="eastAsia" w:eastAsia="仿宋_GB2312" w:cs="仿宋_GB2312"/>
              <w:szCs w:val="32"/>
              <w:highlight w:val="none"/>
              <w:lang w:val="en-US" w:eastAsia="zh-CN"/>
            </w:rPr>
            <w:t>17.7</w:t>
          </w:r>
          <w:r>
            <w:rPr>
              <w:rFonts w:hint="eastAsia" w:ascii="Times New Roman" w:hAnsi="Times New Roman" w:eastAsia="仿宋_GB2312" w:cs="仿宋_GB2312"/>
              <w:szCs w:val="32"/>
              <w:highlight w:val="none"/>
              <w:lang w:eastAsia="zh-CN"/>
            </w:rPr>
            <w:t>%</w:t>
          </w:r>
          <w:r>
            <w:rPr>
              <w:rFonts w:hint="eastAsia" w:eastAsia="仿宋_GB2312" w:cs="仿宋_GB2312"/>
              <w:szCs w:val="32"/>
              <w:highlight w:val="none"/>
              <w:lang w:eastAsia="zh-CN"/>
            </w:rPr>
            <w:t>。</w:t>
          </w:r>
          <w:r>
            <w:tab/>
          </w:r>
          <w:r>
            <w:fldChar w:fldCharType="begin"/>
          </w:r>
          <w:r>
            <w:instrText xml:space="preserve"> PAGEREF _Toc68221436 \h </w:instrText>
          </w:r>
          <w:r>
            <w:fldChar w:fldCharType="separate"/>
          </w:r>
          <w:r>
            <w:t>7</w:t>
          </w:r>
          <w:r>
            <w:fldChar w:fldCharType="end"/>
          </w:r>
          <w:r>
            <w:fldChar w:fldCharType="end"/>
          </w:r>
        </w:p>
        <w:p w14:paraId="62DC8AB4">
          <w:pPr>
            <w:pStyle w:val="14"/>
            <w:tabs>
              <w:tab w:val="right" w:leader="dot" w:pos="8306"/>
              <w:tab w:val="clear" w:pos="8296"/>
            </w:tabs>
          </w:pPr>
          <w:r>
            <w:fldChar w:fldCharType="begin"/>
          </w:r>
          <w:r>
            <w:instrText xml:space="preserve"> HYPERLINK \l _Toc636647595 </w:instrText>
          </w:r>
          <w:r>
            <w:fldChar w:fldCharType="separate"/>
          </w:r>
          <w:r>
            <w:rPr>
              <w:rFonts w:hint="eastAsia" w:ascii="Times New Roman" w:hAnsi="Times New Roman" w:eastAsia="仿宋_GB2312" w:cs="仿宋_GB2312"/>
              <w:szCs w:val="32"/>
              <w:highlight w:val="none"/>
              <w:lang w:eastAsia="zh-CN"/>
            </w:rPr>
            <w:t>图3：支出决算结构图</w:t>
          </w:r>
          <w:r>
            <w:tab/>
          </w:r>
          <w:r>
            <w:fldChar w:fldCharType="begin"/>
          </w:r>
          <w:r>
            <w:instrText xml:space="preserve"> PAGEREF _Toc636647595 \h </w:instrText>
          </w:r>
          <w:r>
            <w:fldChar w:fldCharType="separate"/>
          </w:r>
          <w:r>
            <w:t>8</w:t>
          </w:r>
          <w:r>
            <w:fldChar w:fldCharType="end"/>
          </w:r>
          <w:r>
            <w:fldChar w:fldCharType="end"/>
          </w:r>
        </w:p>
        <w:p w14:paraId="3D25AB03">
          <w:pPr>
            <w:pStyle w:val="14"/>
            <w:tabs>
              <w:tab w:val="right" w:leader="dot" w:pos="8306"/>
              <w:tab w:val="clear" w:pos="8296"/>
            </w:tabs>
          </w:pPr>
          <w:r>
            <w:fldChar w:fldCharType="begin"/>
          </w:r>
          <w:r>
            <w:instrText xml:space="preserve"> HYPERLINK \l _Toc856557164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_Toc856557164 \h </w:instrText>
          </w:r>
          <w:r>
            <w:fldChar w:fldCharType="separate"/>
          </w:r>
          <w:r>
            <w:t>8</w:t>
          </w:r>
          <w:r>
            <w:fldChar w:fldCharType="end"/>
          </w:r>
          <w:r>
            <w:fldChar w:fldCharType="end"/>
          </w:r>
        </w:p>
        <w:p w14:paraId="7412DFB8">
          <w:pPr>
            <w:pStyle w:val="14"/>
            <w:tabs>
              <w:tab w:val="right" w:leader="dot" w:pos="8306"/>
              <w:tab w:val="clear" w:pos="8296"/>
            </w:tabs>
          </w:pPr>
          <w:r>
            <w:fldChar w:fldCharType="begin"/>
          </w:r>
          <w:r>
            <w:instrText xml:space="preserve"> HYPERLINK \l _Toc547641327 </w:instrText>
          </w:r>
          <w:r>
            <w:fldChar w:fldCharType="separate"/>
          </w:r>
          <w:r>
            <w:rPr>
              <w:rFonts w:hint="eastAsia" w:ascii="Times New Roman" w:hAnsi="Times New Roman" w:eastAsia="黑体"/>
              <w:szCs w:val="32"/>
              <w:highlight w:val="none"/>
            </w:rPr>
            <w:t>五、一般公共预算财政拨款支出决算情况说明</w:t>
          </w:r>
          <w:r>
            <w:tab/>
          </w:r>
          <w:r>
            <w:fldChar w:fldCharType="begin"/>
          </w:r>
          <w:r>
            <w:instrText xml:space="preserve"> PAGEREF _Toc547641327 \h </w:instrText>
          </w:r>
          <w:r>
            <w:fldChar w:fldCharType="separate"/>
          </w:r>
          <w:r>
            <w:t>8</w:t>
          </w:r>
          <w:r>
            <w:fldChar w:fldCharType="end"/>
          </w:r>
          <w:r>
            <w:fldChar w:fldCharType="end"/>
          </w:r>
        </w:p>
        <w:p w14:paraId="1CFFC2EF">
          <w:pPr>
            <w:pStyle w:val="14"/>
            <w:tabs>
              <w:tab w:val="right" w:leader="dot" w:pos="8306"/>
              <w:tab w:val="clear" w:pos="8296"/>
            </w:tabs>
          </w:pPr>
          <w:r>
            <w:fldChar w:fldCharType="begin"/>
          </w:r>
          <w:r>
            <w:instrText xml:space="preserve"> HYPERLINK \l _Toc2084894724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_Toc2084894724 \h </w:instrText>
          </w:r>
          <w:r>
            <w:fldChar w:fldCharType="separate"/>
          </w:r>
          <w:r>
            <w:t>10</w:t>
          </w:r>
          <w:r>
            <w:fldChar w:fldCharType="end"/>
          </w:r>
          <w:r>
            <w:fldChar w:fldCharType="end"/>
          </w:r>
        </w:p>
        <w:p w14:paraId="747E92B5">
          <w:pPr>
            <w:pStyle w:val="14"/>
            <w:tabs>
              <w:tab w:val="right" w:leader="dot" w:pos="8306"/>
              <w:tab w:val="clear" w:pos="8296"/>
            </w:tabs>
          </w:pPr>
          <w:r>
            <w:fldChar w:fldCharType="begin"/>
          </w:r>
          <w:r>
            <w:instrText xml:space="preserve"> HYPERLINK \l _Toc2036172474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_Toc2036172474 \h </w:instrText>
          </w:r>
          <w:r>
            <w:fldChar w:fldCharType="separate"/>
          </w:r>
          <w:r>
            <w:t>11</w:t>
          </w:r>
          <w:r>
            <w:fldChar w:fldCharType="end"/>
          </w:r>
          <w:r>
            <w:fldChar w:fldCharType="end"/>
          </w:r>
        </w:p>
        <w:p w14:paraId="7B4AE9B6">
          <w:pPr>
            <w:pStyle w:val="8"/>
            <w:tabs>
              <w:tab w:val="right" w:leader="dot" w:pos="8306"/>
              <w:tab w:val="clear" w:pos="8296"/>
            </w:tabs>
          </w:pPr>
          <w:r>
            <w:fldChar w:fldCharType="begin"/>
          </w:r>
          <w:r>
            <w:instrText xml:space="preserve"> HYPERLINK \l _Toc1733138644 </w:instrText>
          </w:r>
          <w: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_Toc1733138644 \h </w:instrText>
          </w:r>
          <w:r>
            <w:fldChar w:fldCharType="separate"/>
          </w:r>
          <w:r>
            <w:t>11</w:t>
          </w:r>
          <w:r>
            <w:fldChar w:fldCharType="end"/>
          </w:r>
          <w:r>
            <w:fldChar w:fldCharType="end"/>
          </w:r>
        </w:p>
        <w:p w14:paraId="4E4D534A">
          <w:pPr>
            <w:pStyle w:val="8"/>
            <w:tabs>
              <w:tab w:val="right" w:leader="dot" w:pos="8306"/>
              <w:tab w:val="clear" w:pos="8296"/>
            </w:tabs>
          </w:pPr>
          <w:r>
            <w:fldChar w:fldCharType="begin"/>
          </w:r>
          <w:r>
            <w:instrText xml:space="preserve"> HYPERLINK \l _Toc443052315 </w:instrText>
          </w:r>
          <w: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_Toc443052315 \h </w:instrText>
          </w:r>
          <w:r>
            <w:fldChar w:fldCharType="separate"/>
          </w:r>
          <w:r>
            <w:t>11</w:t>
          </w:r>
          <w:r>
            <w:fldChar w:fldCharType="end"/>
          </w:r>
          <w:r>
            <w:fldChar w:fldCharType="end"/>
          </w:r>
        </w:p>
        <w:p w14:paraId="598E2E1F">
          <w:pPr>
            <w:pStyle w:val="14"/>
            <w:tabs>
              <w:tab w:val="right" w:leader="dot" w:pos="8306"/>
              <w:tab w:val="clear" w:pos="8296"/>
            </w:tabs>
          </w:pPr>
          <w:r>
            <w:fldChar w:fldCharType="begin"/>
          </w:r>
          <w:r>
            <w:instrText xml:space="preserve"> HYPERLINK \l _Toc771543389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_Toc771543389 \h </w:instrText>
          </w:r>
          <w:r>
            <w:fldChar w:fldCharType="separate"/>
          </w:r>
          <w:r>
            <w:t>12</w:t>
          </w:r>
          <w:r>
            <w:fldChar w:fldCharType="end"/>
          </w:r>
          <w:r>
            <w:fldChar w:fldCharType="end"/>
          </w:r>
        </w:p>
        <w:p w14:paraId="32CB89E1">
          <w:pPr>
            <w:pStyle w:val="14"/>
            <w:tabs>
              <w:tab w:val="right" w:leader="dot" w:pos="8306"/>
              <w:tab w:val="clear" w:pos="8296"/>
            </w:tabs>
          </w:pPr>
          <w:r>
            <w:fldChar w:fldCharType="begin"/>
          </w:r>
          <w:r>
            <w:instrText xml:space="preserve"> HYPERLINK \l _Toc1723409586 </w:instrText>
          </w:r>
          <w:r>
            <w:fldChar w:fldCharType="separate"/>
          </w:r>
          <w:r>
            <w:rPr>
              <w:rFonts w:hint="eastAsia" w:eastAsia="仿宋_GB2312" w:cs="仿宋_GB2312"/>
              <w:kern w:val="2"/>
              <w:szCs w:val="32"/>
              <w:highlight w:val="none"/>
              <w:lang w:val="en-US" w:eastAsia="zh-CN" w:bidi="ar-SA"/>
            </w:rPr>
            <w:t>2025年度无</w:t>
          </w:r>
          <w:r>
            <w:rPr>
              <w:rFonts w:hint="eastAsia" w:ascii="Times New Roman" w:hAnsi="Times New Roman" w:eastAsia="仿宋_GB2312" w:cs="仿宋_GB2312"/>
              <w:kern w:val="2"/>
              <w:szCs w:val="32"/>
              <w:highlight w:val="none"/>
              <w:lang w:val="en-US" w:eastAsia="zh-CN" w:bidi="ar-SA"/>
            </w:rPr>
            <w:t>政府性基金预算财政拨款支出</w:t>
          </w:r>
          <w:r>
            <w:rPr>
              <w:rFonts w:hint="eastAsia" w:eastAsia="仿宋_GB2312" w:cs="仿宋_GB2312"/>
              <w:kern w:val="2"/>
              <w:szCs w:val="32"/>
              <w:highlight w:val="none"/>
              <w:lang w:val="en-US" w:eastAsia="zh-CN" w:bidi="ar-SA"/>
            </w:rPr>
            <w:t>。</w:t>
          </w:r>
          <w:r>
            <w:tab/>
          </w:r>
          <w:r>
            <w:fldChar w:fldCharType="begin"/>
          </w:r>
          <w:r>
            <w:instrText xml:space="preserve"> PAGEREF _Toc1723409586 \h </w:instrText>
          </w:r>
          <w:r>
            <w:fldChar w:fldCharType="separate"/>
          </w:r>
          <w:r>
            <w:t>12</w:t>
          </w:r>
          <w:r>
            <w:fldChar w:fldCharType="end"/>
          </w:r>
          <w:r>
            <w:fldChar w:fldCharType="end"/>
          </w:r>
        </w:p>
        <w:p w14:paraId="4F6C9DE2">
          <w:pPr>
            <w:pStyle w:val="14"/>
            <w:tabs>
              <w:tab w:val="right" w:leader="dot" w:pos="8306"/>
              <w:tab w:val="clear" w:pos="8296"/>
            </w:tabs>
          </w:pPr>
          <w:r>
            <w:fldChar w:fldCharType="begin"/>
          </w:r>
          <w:r>
            <w:instrText xml:space="preserve"> HYPERLINK \l _Toc220032819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_Toc220032819 \h </w:instrText>
          </w:r>
          <w:r>
            <w:fldChar w:fldCharType="separate"/>
          </w:r>
          <w:r>
            <w:t>12</w:t>
          </w:r>
          <w:r>
            <w:fldChar w:fldCharType="end"/>
          </w:r>
          <w:r>
            <w:fldChar w:fldCharType="end"/>
          </w:r>
        </w:p>
        <w:p w14:paraId="43D01E28">
          <w:pPr>
            <w:pStyle w:val="14"/>
            <w:tabs>
              <w:tab w:val="right" w:leader="dot" w:pos="8306"/>
              <w:tab w:val="clear" w:pos="8296"/>
            </w:tabs>
          </w:pPr>
          <w:r>
            <w:fldChar w:fldCharType="begin"/>
          </w:r>
          <w:r>
            <w:instrText xml:space="preserve"> HYPERLINK \l _Toc1584425332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_Toc1584425332 \h </w:instrText>
          </w:r>
          <w:r>
            <w:fldChar w:fldCharType="separate"/>
          </w:r>
          <w:r>
            <w:t>12</w:t>
          </w:r>
          <w:r>
            <w:fldChar w:fldCharType="end"/>
          </w:r>
          <w:r>
            <w:fldChar w:fldCharType="end"/>
          </w:r>
        </w:p>
        <w:p w14:paraId="4D0E63AF">
          <w:pPr>
            <w:pStyle w:val="8"/>
            <w:tabs>
              <w:tab w:val="right" w:leader="dot" w:pos="8306"/>
              <w:tab w:val="clear" w:pos="8296"/>
            </w:tabs>
          </w:pPr>
          <w:r>
            <w:fldChar w:fldCharType="begin"/>
          </w:r>
          <w:r>
            <w:instrText xml:space="preserve"> HYPERLINK \l _Toc1233337124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_Toc1233337124 \h </w:instrText>
          </w:r>
          <w:r>
            <w:fldChar w:fldCharType="separate"/>
          </w:r>
          <w:r>
            <w:t>12</w:t>
          </w:r>
          <w:r>
            <w:fldChar w:fldCharType="end"/>
          </w:r>
          <w:r>
            <w:fldChar w:fldCharType="end"/>
          </w:r>
        </w:p>
        <w:p w14:paraId="479FDB97">
          <w:pPr>
            <w:pStyle w:val="8"/>
            <w:tabs>
              <w:tab w:val="right" w:leader="dot" w:pos="8306"/>
              <w:tab w:val="clear" w:pos="8296"/>
            </w:tabs>
          </w:pPr>
          <w:r>
            <w:fldChar w:fldCharType="begin"/>
          </w:r>
          <w:r>
            <w:instrText xml:space="preserve"> HYPERLINK \l _Toc39213524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_Toc39213524 \h </w:instrText>
          </w:r>
          <w:r>
            <w:fldChar w:fldCharType="separate"/>
          </w:r>
          <w:r>
            <w:t>13</w:t>
          </w:r>
          <w:r>
            <w:fldChar w:fldCharType="end"/>
          </w:r>
          <w:r>
            <w:fldChar w:fldCharType="end"/>
          </w:r>
        </w:p>
        <w:p w14:paraId="7E4574DD">
          <w:pPr>
            <w:pStyle w:val="8"/>
            <w:tabs>
              <w:tab w:val="right" w:leader="dot" w:pos="8306"/>
              <w:tab w:val="clear" w:pos="8296"/>
            </w:tabs>
          </w:pPr>
          <w:r>
            <w:fldChar w:fldCharType="begin"/>
          </w:r>
          <w:r>
            <w:instrText xml:space="preserve"> HYPERLINK \l _Toc258982100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_Toc258982100 \h </w:instrText>
          </w:r>
          <w:r>
            <w:fldChar w:fldCharType="separate"/>
          </w:r>
          <w:r>
            <w:t>13</w:t>
          </w:r>
          <w:r>
            <w:fldChar w:fldCharType="end"/>
          </w:r>
          <w:r>
            <w:fldChar w:fldCharType="end"/>
          </w:r>
        </w:p>
        <w:p w14:paraId="6BDEFC8F">
          <w:pPr>
            <w:pStyle w:val="12"/>
            <w:tabs>
              <w:tab w:val="right" w:leader="dot" w:pos="8306"/>
              <w:tab w:val="clear" w:pos="8296"/>
            </w:tabs>
          </w:pPr>
          <w:r>
            <w:fldChar w:fldCharType="begin"/>
          </w:r>
          <w:r>
            <w:instrText xml:space="preserve"> HYPERLINK \l _Toc948055867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_Toc948055867 \h </w:instrText>
          </w:r>
          <w:r>
            <w:fldChar w:fldCharType="separate"/>
          </w:r>
          <w:r>
            <w:t>13</w:t>
          </w:r>
          <w:r>
            <w:fldChar w:fldCharType="end"/>
          </w:r>
          <w:r>
            <w:fldChar w:fldCharType="end"/>
          </w:r>
        </w:p>
        <w:p w14:paraId="066C8D4C">
          <w:r>
            <w:fldChar w:fldCharType="end"/>
          </w:r>
        </w:p>
      </w:sdtContent>
    </w:sdt>
    <w:p w14:paraId="0C38A6D8"/>
    <w:p w14:paraId="7A595A01">
      <w:pPr>
        <w:pStyle w:val="4"/>
        <w:jc w:val="center"/>
        <w:rPr>
          <w:rFonts w:hint="eastAsia" w:ascii="Times New Roman" w:hAnsi="Times New Roman" w:eastAsia="方正小标宋简体" w:cs="方正小标宋简体"/>
          <w:b w:val="0"/>
          <w:color w:val="auto"/>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223282B0">
      <w:pPr>
        <w:pStyle w:val="4"/>
        <w:jc w:val="center"/>
        <w:rPr>
          <w:rFonts w:ascii="Times New Roman" w:hAnsi="Times New Roman" w:eastAsia="黑体"/>
          <w:color w:val="auto"/>
          <w:sz w:val="32"/>
          <w:szCs w:val="32"/>
          <w:highlight w:val="none"/>
        </w:rPr>
      </w:pPr>
      <w:bookmarkStart w:id="14" w:name="_Toc1008023602"/>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bookmarkEnd w:id="14"/>
    </w:p>
    <w:p w14:paraId="38B18226">
      <w:pPr>
        <w:pStyle w:val="5"/>
        <w:numPr>
          <w:ilvl w:val="0"/>
          <w:numId w:val="1"/>
        </w:numPr>
        <w:rPr>
          <w:rFonts w:hint="eastAsia" w:ascii="Times New Roman" w:hAnsi="Times New Roman" w:eastAsia="黑体"/>
          <w:b w:val="0"/>
          <w:color w:val="auto"/>
          <w:highlight w:val="none"/>
          <w:lang w:eastAsia="zh-CN"/>
        </w:rPr>
      </w:pPr>
      <w:bookmarkStart w:id="15" w:name="_Toc1801851234"/>
      <w:r>
        <w:rPr>
          <w:rFonts w:hint="eastAsia" w:ascii="Times New Roman" w:hAnsi="Times New Roman" w:eastAsia="黑体"/>
          <w:b w:val="0"/>
          <w:color w:val="auto"/>
          <w:highlight w:val="none"/>
          <w:lang w:eastAsia="zh-CN"/>
        </w:rPr>
        <w:t>部门职责</w:t>
      </w:r>
      <w:bookmarkEnd w:id="15"/>
    </w:p>
    <w:p w14:paraId="57F2BB48">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firstLine="640" w:firstLineChars="200"/>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（1）承担依法治县重大问题的政策研究，协调有关方面提出全面依法治县规划建议，负责有关重大决策部署督察工作。</w:t>
      </w:r>
    </w:p>
    <w:p w14:paraId="5B012364">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（2）负责县政府规范性文件、重大行政决策发布前的合法性审查；承办县政府规范性文件的报送备案工作；负责各乡（镇）人民政府和县人民政府各部门规范性文件审查工作；组织开展县政府规范性文件清理。</w:t>
      </w:r>
    </w:p>
    <w:p w14:paraId="4017F7BB">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3）指导监督县级政府各部门及各乡（镇）人民政府依法行政工作；负责综合协调、监督检查行政执法，推进严格规范公正文明执法；指导监督全县行政复议、行政应诉和行政赔偿工作，承办向县政府申请的行政复议、行政赔偿案件，代理县政府行政应诉案件；负责全县行政执法主体、人员资格审查和行政执法证、监督检查证的审核管理及人员培训工作。</w:t>
      </w:r>
    </w:p>
    <w:p w14:paraId="79A4A451">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4）承担统筹规划法治社会建设的责任。负责拟订法治宣传教育规划，组织实施普法宣传工作，组织对外法治宣传。推动人民参与和促进法治建设；指导依法治理和法治创建工作。指导调解工作；负责并开展人民监督员的选任管理工作及人民陪审员选任工作；持续推进司法所规范化建设；将安全生产、职业健康、环境保护法律法规纳入公民普法教育重要内容并会同有关部门开展宣传普及，做好职责范围内的安全生产工作。</w:t>
      </w:r>
    </w:p>
    <w:p w14:paraId="1E81F60D">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 xml:space="preserve">  </w:t>
      </w:r>
      <w:r>
        <w:rPr>
          <w:rFonts w:hint="eastAsia" w:eastAsia="仿宋_GB2312" w:cs="Times New Roman"/>
          <w:i w:val="0"/>
          <w:caps w:val="0"/>
          <w:smallCaps w:val="0"/>
          <w:color w:val="000000"/>
          <w:spacing w:val="0"/>
          <w:kern w:val="0"/>
          <w:sz w:val="32"/>
          <w:szCs w:val="32"/>
          <w:shd w:val="clear" w:color="auto" w:fill="FFFFFF"/>
          <w:lang w:val="en-US" w:eastAsia="zh-CN" w:bidi="ar-SA"/>
        </w:rPr>
        <w:t xml:space="preserve">  </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（5）指导管理社区矫正工作；指导刑满释放回归人员安置帮教工作；对社区戒毒和社区康复工作提供指导、支持和协助。</w:t>
      </w:r>
    </w:p>
    <w:p w14:paraId="096127E6">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（6）负责拟订全县公共法律服务体系建设规划并实施，统筹和布局全县法律服务资源；指导监督律师、法律援助、司法鉴定、公证和基层法律服务管理工作。</w:t>
      </w:r>
    </w:p>
    <w:p w14:paraId="51A692D5">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（7）负责本系统财务、装备、设施、场所、服装和警车管理和后勤保障工作。</w:t>
      </w:r>
    </w:p>
    <w:p w14:paraId="5727E6A8">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（8）规划、协调、指导法治人才队伍建设相关工作，负责全县司法行政队伍建设。</w:t>
      </w:r>
    </w:p>
    <w:p w14:paraId="16B4D639">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contextualSpacing/>
        <w:jc w:val="left"/>
        <w:textAlignment w:val="auto"/>
        <w:outlineLvl w:val="9"/>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（9）负责本系统的行政审批工作；负责全县法律服务工作。</w:t>
      </w:r>
    </w:p>
    <w:p w14:paraId="169C33C1">
      <w:pPr>
        <w:keepNext w:val="0"/>
        <w:keepLines w:val="0"/>
        <w:pageBreakBefore w:val="0"/>
        <w:widowControl/>
        <w:numPr>
          <w:ilvl w:val="0"/>
          <w:numId w:val="0"/>
        </w:numPr>
        <w:kinsoku/>
        <w:wordWrap/>
        <w:overflowPunct/>
        <w:topLinePunct w:val="0"/>
        <w:autoSpaceDE/>
        <w:autoSpaceDN/>
        <w:bidi w:val="0"/>
        <w:adjustRightInd w:val="0"/>
        <w:snapToGrid w:val="0"/>
        <w:spacing w:line="540" w:lineRule="exact"/>
        <w:ind w:leftChars="0" w:firstLine="640" w:firstLineChars="200"/>
        <w:contextualSpacing/>
        <w:jc w:val="left"/>
        <w:textAlignment w:val="auto"/>
        <w:outlineLvl w:val="9"/>
        <w:rPr>
          <w:rFonts w:hint="eastAsia"/>
          <w:lang w:eastAsia="zh-CN"/>
        </w:rPr>
      </w:pP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bidi="ar-SA"/>
        </w:rPr>
        <w:t>（10）完成县委、县政府交办的其他任务。</w:t>
      </w:r>
    </w:p>
    <w:p w14:paraId="0AB179C5">
      <w:pPr>
        <w:pStyle w:val="5"/>
        <w:numPr>
          <w:ilvl w:val="0"/>
          <w:numId w:val="1"/>
        </w:numPr>
        <w:ind w:left="0" w:leftChars="0" w:firstLine="0" w:firstLineChars="0"/>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pPr>
      <w:bookmarkStart w:id="16" w:name="_Toc15377200"/>
      <w:bookmarkStart w:id="17" w:name="_Toc781672713"/>
      <w:bookmarkStart w:id="18" w:name="_Toc15396601"/>
      <w:r>
        <w:rPr>
          <w:rFonts w:hint="eastAsia" w:ascii="Times New Roman" w:hAnsi="Times New Roman" w:eastAsia="黑体"/>
          <w:b w:val="0"/>
          <w:color w:val="auto"/>
          <w:highlight w:val="none"/>
        </w:rPr>
        <w:t>机</w:t>
      </w:r>
      <w:r>
        <w:rPr>
          <w:rStyle w:val="29"/>
          <w:rFonts w:hint="eastAsia" w:ascii="Times New Roman" w:hAnsi="Times New Roman" w:eastAsia="黑体"/>
          <w:b w:val="0"/>
          <w:bCs w:val="0"/>
          <w:color w:val="auto"/>
          <w:highlight w:val="none"/>
        </w:rPr>
        <w:t>构设置</w:t>
      </w:r>
      <w:bookmarkEnd w:id="16"/>
      <w:bookmarkEnd w:id="17"/>
      <w:bookmarkEnd w:id="18"/>
    </w:p>
    <w:p w14:paraId="7542BAC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pPr>
      <w:r>
        <w:rPr>
          <w:rFonts w:hint="eastAsia" w:ascii="Times New Roman" w:hAnsi="Times New Roman" w:eastAsia="仿宋_GB2312" w:cs="Times New Roman"/>
          <w:b/>
          <w:bCs/>
          <w:i w:val="0"/>
          <w:caps w:val="0"/>
          <w:smallCaps w:val="0"/>
          <w:color w:val="000000"/>
          <w:spacing w:val="0"/>
          <w:kern w:val="0"/>
          <w:sz w:val="32"/>
          <w:szCs w:val="32"/>
          <w:shd w:val="clear" w:color="auto" w:fill="FFFFFF"/>
          <w:lang w:val="en-US" w:eastAsia="zh-CN"/>
        </w:rPr>
        <w:t>办公室。</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负责</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处理局机关日常政务和事务；负责本机关文电、会务、接待、机要、档案、保密、信访、绩效管理、信息宣传、政务公开、政府信息公开等工作；承担综合公文的起草审核、史志年鉴编纂等工作；指导推进全县司法行政系统科技与信息化建设工作；负责本机关网络信息安全工作；制定、编制司法行政工作中长期规划、工作计划；负责局机关重大政务活动和上级交办工作的协调、督办；承办本系统应急事件组织协调工作；负责财务、司法所预决算、国有资产、装备、服装和警车等后勤保障管理工作；负责本机关安全生产、环境保护、综治维稳等相关工作</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p>
    <w:p w14:paraId="65F1583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ascii="Times New Roman" w:hAnsi="Times New Roman" w:eastAsia="仿宋_GB2312" w:cs="Times New Roman"/>
          <w:i w:val="0"/>
          <w:caps w:val="0"/>
          <w:smallCaps w:val="0"/>
          <w:color w:val="000000"/>
          <w:spacing w:val="0"/>
          <w:kern w:val="0"/>
          <w:sz w:val="32"/>
          <w:szCs w:val="32"/>
          <w:shd w:val="clear" w:color="auto" w:fill="FFFFFF"/>
          <w:lang w:val="en-US" w:eastAsia="zh-CN"/>
        </w:rPr>
      </w:pPr>
      <w:r>
        <w:rPr>
          <w:rFonts w:hint="eastAsia" w:ascii="Times New Roman" w:hAnsi="Times New Roman" w:eastAsia="仿宋_GB2312" w:cs="Times New Roman"/>
          <w:b/>
          <w:bCs/>
          <w:i w:val="0"/>
          <w:caps w:val="0"/>
          <w:smallCaps w:val="0"/>
          <w:color w:val="000000"/>
          <w:spacing w:val="0"/>
          <w:kern w:val="0"/>
          <w:sz w:val="32"/>
          <w:szCs w:val="32"/>
          <w:shd w:val="clear" w:color="auto" w:fill="FFFFFF"/>
          <w:lang w:val="en-US" w:eastAsia="zh-CN"/>
        </w:rPr>
        <w:t>合法性审查和行政执法协调监督股。</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负责县政府规范性文件、重大行政决策发布前的合法性审查；承办县政府规范性文件的报送备案工作；负责各乡（镇）人民政府和县政府各部门规范性文件审查工作；组织开展县政府规范性文件清理；负责本系统规范性文件的审查、备案工作。负责行政执法人员、监督人员的资格和证件管理，推进严格规范公正文明执法；协调各乡（镇）、各部门在执法中产生的重大矛盾和争议；办理有关行政执法投诉举报案件；负责行政执法人员、监督人员的资格审查、证件管理及培训工作；承担本机关政务服务事项的清理和纳入电子政务平台工作，推进行政权力依法规范运行。监督协调全县行政复议、行政诉讼、行政赔偿工作；办理向县政府申请的行政复议案件和因之引发的行政诉讼案件；办理向县政府申请行政赔偿的案件；办理县司法局参与的行政复议案件、行政诉讼案件和向县司法局申请的行政赔偿案件。</w:t>
      </w:r>
    </w:p>
    <w:p w14:paraId="76B98E2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ascii="Times New Roman" w:hAnsi="Times New Roman" w:eastAsia="仿宋_GB2312" w:cs="Times New Roman"/>
          <w:i w:val="0"/>
          <w:caps w:val="0"/>
          <w:smallCaps w:val="0"/>
          <w:color w:val="auto"/>
          <w:spacing w:val="0"/>
          <w:kern w:val="0"/>
          <w:sz w:val="32"/>
          <w:szCs w:val="32"/>
          <w:shd w:val="clear" w:color="auto" w:fill="FFFFFF"/>
          <w:lang w:val="en-US" w:eastAsia="zh-CN"/>
        </w:rPr>
      </w:pPr>
      <w:r>
        <w:rPr>
          <w:rFonts w:hint="eastAsia" w:ascii="Times New Roman" w:hAnsi="Times New Roman" w:eastAsia="仿宋_GB2312" w:cs="Times New Roman"/>
          <w:b/>
          <w:bCs/>
          <w:i w:val="0"/>
          <w:caps w:val="0"/>
          <w:smallCaps w:val="0"/>
          <w:color w:val="000000"/>
          <w:spacing w:val="0"/>
          <w:kern w:val="0"/>
          <w:sz w:val="32"/>
          <w:szCs w:val="32"/>
          <w:shd w:val="clear" w:color="auto" w:fill="FFFFFF"/>
          <w:lang w:val="en-US" w:eastAsia="zh-CN"/>
        </w:rPr>
        <w:t>行政复议和应诉股。</w:t>
      </w:r>
      <w:r>
        <w:rPr>
          <w:rFonts w:hint="default" w:ascii="Times New Roman" w:hAnsi="Times New Roman" w:eastAsia="仿宋_GB2312" w:cs="Times New Roman"/>
          <w:sz w:val="32"/>
          <w:szCs w:val="32"/>
        </w:rPr>
        <w:t>承担县政府行政复议办公室日常工作，承担县政府行政复议委员会办公室日常工作；负责综合文稿、行政复议、行政诉讼、行政赔偿案件登记移送、统计分析、档案管理等工作；负责县政府行政复议、应诉法律服务购买、考核管理等工作；办理对县级部门行政行为不服的行政复议案件，以及由此引发的行政应诉案件；办理对县级部门派出机构、管理机构以及其他有关</w:t>
      </w:r>
      <w:bookmarkStart w:id="97" w:name="_GoBack"/>
      <w:r>
        <w:rPr>
          <w:rFonts w:hint="eastAsia" w:eastAsia="仿宋_GB2312" w:cs="Times New Roman"/>
          <w:sz w:val="32"/>
          <w:szCs w:val="32"/>
          <w:lang w:eastAsia="zh-CN"/>
        </w:rPr>
        <w:t>法律法规</w:t>
      </w:r>
      <w:bookmarkEnd w:id="97"/>
      <w:r>
        <w:rPr>
          <w:rFonts w:hint="default" w:ascii="Times New Roman" w:hAnsi="Times New Roman" w:eastAsia="仿宋_GB2312" w:cs="Times New Roman"/>
          <w:sz w:val="32"/>
          <w:szCs w:val="32"/>
        </w:rPr>
        <w:t>授权的组织行政行为不服的行政复议案件以及由此引发的行政应诉案件；负责对县级部门复议与应诉指导、监督工作；负责府院联席等对外综合协调工作。负责行政复议与应诉相关制度建设；负责全县行政复议信息化、规范化建设工作，负责全国行政复议与应诉工作平台管理；承办向县政府申请的行政赔偿案件以及因之引发的行政应诉案件；代理县政府行政应诉案件。</w:t>
      </w:r>
    </w:p>
    <w:p w14:paraId="0300B09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ascii="Times New Roman" w:hAnsi="Times New Roman" w:eastAsia="仿宋_GB2312" w:cs="Times New Roman"/>
          <w:i w:val="0"/>
          <w:caps w:val="0"/>
          <w:smallCaps w:val="0"/>
          <w:color w:val="000000"/>
          <w:spacing w:val="0"/>
          <w:kern w:val="0"/>
          <w:sz w:val="32"/>
          <w:szCs w:val="32"/>
          <w:shd w:val="clear" w:color="auto" w:fill="FFFFFF"/>
          <w:lang w:val="en-US" w:eastAsia="zh-CN"/>
        </w:rPr>
      </w:pPr>
      <w:r>
        <w:rPr>
          <w:rFonts w:hint="eastAsia" w:ascii="Times New Roman" w:hAnsi="Times New Roman" w:eastAsia="仿宋_GB2312" w:cs="Times New Roman"/>
          <w:b/>
          <w:bCs/>
          <w:i w:val="0"/>
          <w:caps w:val="0"/>
          <w:smallCaps w:val="0"/>
          <w:color w:val="auto"/>
          <w:spacing w:val="0"/>
          <w:kern w:val="0"/>
          <w:sz w:val="32"/>
          <w:szCs w:val="32"/>
          <w:shd w:val="clear" w:color="auto" w:fill="FFFFFF"/>
          <w:lang w:val="en-US" w:eastAsia="zh-CN"/>
        </w:rPr>
        <w:t>人民参与和促进法治股（社区矫正执法大队）。</w:t>
      </w:r>
      <w:r>
        <w:rPr>
          <w:rFonts w:hint="eastAsia" w:ascii="Times New Roman" w:hAnsi="Times New Roman" w:eastAsia="仿宋_GB2312" w:cs="Times New Roman"/>
          <w:i w:val="0"/>
          <w:caps w:val="0"/>
          <w:smallCaps w:val="0"/>
          <w:color w:val="auto"/>
          <w:spacing w:val="0"/>
          <w:kern w:val="0"/>
          <w:sz w:val="32"/>
          <w:szCs w:val="32"/>
          <w:shd w:val="clear" w:color="auto" w:fill="FFFFFF"/>
          <w:lang w:val="en-US" w:eastAsia="zh-CN"/>
        </w:rPr>
        <w:t>负责对17个司法所的管理、监督和业务指导；指导、监督、管理人民调解工作；负责司法鉴定宣传工作；拟订保障人民群</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众参与、促进、监督法治建设的制度措施；指导人民团体、群众自治组织和社会组织参与、支持法治社会建设工作；指导人民调解、行政调解和行业性专业性调解工作，加强涉及环境保护纠纷协调。负责社区矫正</w:t>
      </w:r>
      <w:r>
        <w:rPr>
          <w:rFonts w:hint="eastAsia" w:eastAsia="仿宋_GB2312" w:cs="Times New Roman"/>
          <w:i w:val="0"/>
          <w:caps w:val="0"/>
          <w:smallCaps w:val="0"/>
          <w:color w:val="000000"/>
          <w:spacing w:val="0"/>
          <w:kern w:val="0"/>
          <w:sz w:val="32"/>
          <w:szCs w:val="32"/>
          <w:shd w:val="clear" w:color="auto" w:fill="FFFFFF"/>
          <w:lang w:val="en-US" w:eastAsia="zh-CN"/>
        </w:rPr>
        <w:t>法律法规</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规章和政策的执行工作；监督管理对社区矫正对象的刑罚执行、管理教育和帮扶工作；指导社会力量和志愿者参与社区矫正工作；指导刑满释放回归人员的安置帮教工作；对社区戒毒和社区康复工作提供指导、支持和协助工作。开展人民监督员及人民陪审员选任管理工作，推进司法所规范化建设等工作。</w:t>
      </w:r>
    </w:p>
    <w:p w14:paraId="50A30E9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ascii="Times New Roman" w:hAnsi="Times New Roman" w:eastAsia="仿宋_GB2312" w:cs="Times New Roman"/>
          <w:i w:val="0"/>
          <w:caps w:val="0"/>
          <w:smallCaps w:val="0"/>
          <w:color w:val="000000"/>
          <w:spacing w:val="0"/>
          <w:kern w:val="0"/>
          <w:sz w:val="32"/>
          <w:szCs w:val="32"/>
          <w:shd w:val="clear" w:color="auto" w:fill="FFFFFF"/>
          <w:lang w:val="en-US" w:eastAsia="zh-CN"/>
        </w:rPr>
      </w:pPr>
      <w:r>
        <w:rPr>
          <w:rFonts w:hint="eastAsia" w:ascii="Times New Roman" w:hAnsi="Times New Roman" w:eastAsia="仿宋_GB2312" w:cs="Times New Roman"/>
          <w:b/>
          <w:bCs/>
          <w:i w:val="0"/>
          <w:caps w:val="0"/>
          <w:smallCaps w:val="0"/>
          <w:color w:val="000000"/>
          <w:spacing w:val="0"/>
          <w:kern w:val="0"/>
          <w:sz w:val="32"/>
          <w:szCs w:val="32"/>
          <w:shd w:val="clear" w:color="auto" w:fill="FFFFFF"/>
          <w:lang w:val="en-US" w:eastAsia="zh-CN"/>
        </w:rPr>
        <w:t>普法与依法治理股</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负责拟订法治宣传教育规划并组织实施；指导监督各乡（镇）、各部门“谁执法谁普法”的普法责任制落实工作，推进全民普法，协助县政府常务会议会前学法工作；指导监督国家工作人员学法用法工作；统筹指导各乡（镇）、各部门、各行业依法治理和“三项”法治创建工作，组织对外法治宣传工作；指导社会主义法治文化建设。</w:t>
      </w:r>
    </w:p>
    <w:p w14:paraId="6604820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ascii="Times New Roman" w:hAnsi="Times New Roman" w:eastAsia="仿宋_GB2312" w:cs="Times New Roman"/>
          <w:i w:val="0"/>
          <w:caps w:val="0"/>
          <w:smallCaps w:val="0"/>
          <w:color w:val="000000"/>
          <w:spacing w:val="0"/>
          <w:kern w:val="0"/>
          <w:sz w:val="32"/>
          <w:szCs w:val="32"/>
          <w:shd w:val="clear" w:color="auto" w:fill="FFFFFF"/>
          <w:lang w:val="en-US" w:eastAsia="zh-CN"/>
        </w:rPr>
      </w:pPr>
      <w:r>
        <w:rPr>
          <w:rFonts w:hint="eastAsia" w:ascii="Times New Roman" w:hAnsi="Times New Roman" w:eastAsia="仿宋_GB2312" w:cs="Times New Roman"/>
          <w:b/>
          <w:bCs/>
          <w:i w:val="0"/>
          <w:caps w:val="0"/>
          <w:smallCaps w:val="0"/>
          <w:color w:val="auto"/>
          <w:spacing w:val="0"/>
          <w:kern w:val="0"/>
          <w:sz w:val="32"/>
          <w:szCs w:val="32"/>
          <w:shd w:val="clear" w:color="auto" w:fill="FFFFFF"/>
          <w:lang w:val="en-US" w:eastAsia="zh-CN"/>
        </w:rPr>
        <w:t>公共法律服务管理股</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负责规划、推进公共法律服务体系和平台建设工作，指导监督律师、律师事务所、基层法律服务、公证员、公证处等相关法律服务工作。贯彻落实法律援助工作的相关法律法规及政策，制定法律援助工作规划，负责法律援助工作的管理、指导和监督。</w:t>
      </w:r>
    </w:p>
    <w:p w14:paraId="7F84751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hint="eastAsia" w:ascii="楷体_GB2312" w:hAnsi="Times New Roman" w:eastAsia="楷体_GB2312" w:cs="楷体_GB2312"/>
          <w:b/>
          <w:bCs w:val="0"/>
          <w:i w:val="0"/>
          <w:caps w:val="0"/>
          <w:smallCaps w:val="0"/>
          <w:color w:val="000000"/>
          <w:spacing w:val="0"/>
          <w:sz w:val="32"/>
          <w:szCs w:val="32"/>
          <w:shd w:val="clear" w:color="auto" w:fill="FFFFFF"/>
          <w:lang w:eastAsia="zh-CN"/>
        </w:rPr>
      </w:pPr>
      <w:r>
        <w:rPr>
          <w:rFonts w:hint="eastAsia" w:ascii="Times New Roman" w:hAnsi="Times New Roman" w:eastAsia="仿宋_GB2312" w:cs="Times New Roman"/>
          <w:b/>
          <w:bCs/>
          <w:i w:val="0"/>
          <w:caps w:val="0"/>
          <w:smallCaps w:val="0"/>
          <w:color w:val="000000"/>
          <w:spacing w:val="0"/>
          <w:kern w:val="0"/>
          <w:sz w:val="32"/>
          <w:szCs w:val="32"/>
          <w:shd w:val="clear" w:color="auto" w:fill="FFFFFF"/>
          <w:lang w:val="en-US" w:eastAsia="zh-CN"/>
        </w:rPr>
        <w:t>政工室</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。负责本机关党的建设、班子队伍建设、党风廉政建设、意识形态、精神文明建设、文化建设和干部教育培训、任免、监督、表彰和退休人员管理的相关工作。</w:t>
      </w:r>
    </w:p>
    <w:p w14:paraId="074C681E">
      <w:pPr>
        <w:keepNext w:val="0"/>
        <w:keepLines w:val="0"/>
        <w:pageBreakBefore w:val="0"/>
        <w:widowControl w:val="0"/>
        <w:kinsoku/>
        <w:wordWrap/>
        <w:overflowPunct/>
        <w:topLinePunct w:val="0"/>
        <w:autoSpaceDE/>
        <w:autoSpaceDN/>
        <w:bidi w:val="0"/>
        <w:adjustRightInd/>
        <w:snapToGrid/>
        <w:spacing w:line="540" w:lineRule="exact"/>
        <w:ind w:leftChars="0" w:firstLine="643" w:firstLineChars="200"/>
        <w:textAlignment w:val="auto"/>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pPr>
      <w:r>
        <w:rPr>
          <w:rFonts w:hint="eastAsia" w:ascii="Times New Roman" w:hAnsi="Times New Roman" w:eastAsia="仿宋_GB2312" w:cs="Times New Roman"/>
          <w:b/>
          <w:bCs/>
          <w:i w:val="0"/>
          <w:caps w:val="0"/>
          <w:smallCaps w:val="0"/>
          <w:color w:val="000000"/>
          <w:spacing w:val="0"/>
          <w:kern w:val="0"/>
          <w:sz w:val="32"/>
          <w:szCs w:val="32"/>
          <w:shd w:val="clear" w:color="auto" w:fill="FFFFFF"/>
          <w:lang w:val="en-US" w:eastAsia="zh-CN"/>
        </w:rPr>
        <w:t>松潘县法律援助中心</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负责组织、指导、协调全县法律工作者全面履行法律援助工作义务；受理、审查和批准法律援助申请，组织、指派法律援助案件；指导、检查法律援助人员办理具体法律援助事项，确保办案质量；协助公共法律服务股开展业务培训；法律援助案件的登记、统计、卷宗审查和收集管理工作；管理并发放法律援助案件经费；法律援助办案机构信息化建设，提高工作效率；法律援助报表统计上报工作及工作信息反馈工作。</w:t>
      </w:r>
    </w:p>
    <w:p w14:paraId="52CA6EB8">
      <w:pPr>
        <w:pageBreakBefore w:val="0"/>
        <w:widowControl w:val="0"/>
        <w:numPr>
          <w:ilvl w:val="0"/>
          <w:numId w:val="0"/>
        </w:numPr>
        <w:kinsoku/>
        <w:wordWrap/>
        <w:overflowPunct/>
        <w:topLinePunct w:val="0"/>
        <w:autoSpaceDE/>
        <w:autoSpaceDN/>
        <w:bidi w:val="0"/>
        <w:adjustRightInd/>
        <w:snapToGrid/>
        <w:ind w:leftChars="0" w:firstLine="643" w:firstLineChars="200"/>
        <w:textAlignment w:val="auto"/>
      </w:pPr>
      <w:r>
        <w:rPr>
          <w:rFonts w:hint="eastAsia" w:ascii="Times New Roman" w:hAnsi="Times New Roman" w:eastAsia="仿宋_GB2312" w:cs="Times New Roman"/>
          <w:b/>
          <w:bCs/>
          <w:i w:val="0"/>
          <w:caps w:val="0"/>
          <w:smallCaps w:val="0"/>
          <w:color w:val="000000"/>
          <w:spacing w:val="0"/>
          <w:kern w:val="0"/>
          <w:sz w:val="32"/>
          <w:szCs w:val="32"/>
          <w:shd w:val="clear" w:color="auto" w:fill="FFFFFF"/>
          <w:lang w:val="en-US" w:eastAsia="zh-CN"/>
        </w:rPr>
        <w:t>松潘县社区矫正中心</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受人民法院、人民检察院、公安机关、监狱的委托，提出对适用社区矫正的评估意见</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接收社区矫正对象和社区矫正法律文书</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建立社区矫正对象执行档案</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审批社区矫正对象进入特定场所、外出、变更居住地的申请</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组织开展集中教育、心理矫正、社区服务，协调有关部门和单位落实帮扶措施</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定期督促暂予监外执行罪犯按规定进行病情复查，定期组织暂予监外执行罪犯进行病情诊断、妊娠检查和生活不能自理鉴别</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对社区矫正对象给予表扬、警告，提出给予治安管理处罚建议，提出撤销缓刑、假释、收监执行建议，提出脱管不计入矫正期限建议，提出减刑建议</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对违反有关监督管理规定的社区矫正对象实施制止、惩戒、收监等措施</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组织查找或者追查漏管、脱管的社区矫正对象</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及时将人民法院裁定撤销缓刑的罪犯，送交监狱或者看守所</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解除对社区矫正对象的社区矫正</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default" w:ascii="Times New Roman" w:hAnsi="Times New Roman" w:eastAsia="仿宋_GB2312" w:cs="Times New Roman"/>
          <w:i w:val="0"/>
          <w:caps w:val="0"/>
          <w:smallCaps w:val="0"/>
          <w:color w:val="000000"/>
          <w:spacing w:val="0"/>
          <w:kern w:val="0"/>
          <w:sz w:val="32"/>
          <w:szCs w:val="32"/>
          <w:shd w:val="clear" w:color="auto" w:fill="FFFFFF"/>
          <w:lang w:val="en-US" w:eastAsia="zh-CN"/>
        </w:rPr>
        <w:t>其他依法应当履行的职责</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p>
    <w:p w14:paraId="16527B05">
      <w:pPr>
        <w:pStyle w:val="4"/>
        <w:jc w:val="center"/>
        <w:rPr>
          <w:rFonts w:ascii="Times New Roman" w:hAnsi="Times New Roman"/>
          <w:color w:val="auto"/>
          <w:highlight w:val="none"/>
        </w:rPr>
      </w:pPr>
      <w:bookmarkStart w:id="19" w:name="_Toc15377204"/>
      <w:bookmarkStart w:id="20" w:name="_Toc684143864"/>
      <w:bookmarkStart w:id="2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9"/>
      <w:bookmarkEnd w:id="20"/>
      <w:bookmarkEnd w:id="21"/>
    </w:p>
    <w:p w14:paraId="7E5CD00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410272042"/>
      <w:bookmarkStart w:id="23" w:name="_Toc15396603"/>
      <w:bookmarkStart w:id="24"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2"/>
      <w:bookmarkEnd w:id="23"/>
      <w:bookmarkEnd w:id="24"/>
    </w:p>
    <w:p w14:paraId="24372EF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bookmarkStart w:id="25" w:name="_Toc236564003"/>
      <w:r>
        <w:drawing>
          <wp:anchor distT="0" distB="0" distL="114300" distR="114300" simplePos="0" relativeHeight="251659264" behindDoc="0" locked="0" layoutInCell="1" allowOverlap="1">
            <wp:simplePos x="0" y="0"/>
            <wp:positionH relativeFrom="column">
              <wp:posOffset>4445</wp:posOffset>
            </wp:positionH>
            <wp:positionV relativeFrom="paragraph">
              <wp:posOffset>1748790</wp:posOffset>
            </wp:positionV>
            <wp:extent cx="5311775" cy="2639060"/>
            <wp:effectExtent l="4445" t="4445" r="17780" b="23495"/>
            <wp:wrapTopAndBottom/>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1301.39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75.62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6.2</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eastAsia="zh-CN"/>
        </w:rPr>
        <w:t>为保障重点业务、基层运转，本级财政提高经费保障标准以及导致收入增加。</w:t>
      </w:r>
      <w:bookmarkEnd w:id="25"/>
    </w:p>
    <w:p w14:paraId="1DB8ED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26" w:name="_Toc1750519780"/>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bookmarkEnd w:id="26"/>
    </w:p>
    <w:p w14:paraId="595D00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7" w:name="_Toc1684330597"/>
      <w:bookmarkStart w:id="28" w:name="_Toc15396604"/>
      <w:bookmarkStart w:id="29" w:name="_Toc15377206"/>
      <w:r>
        <w:rPr>
          <w:rFonts w:hint="eastAsia" w:ascii="Times New Roman" w:hAnsi="Times New Roman" w:eastAsia="黑体"/>
          <w:color w:val="auto"/>
          <w:sz w:val="32"/>
          <w:szCs w:val="32"/>
          <w:highlight w:val="none"/>
          <w:lang w:eastAsia="zh-CN"/>
        </w:rPr>
        <w:t>二、收入决算情况说明</w:t>
      </w:r>
      <w:bookmarkEnd w:id="27"/>
      <w:bookmarkEnd w:id="28"/>
      <w:bookmarkEnd w:id="29"/>
    </w:p>
    <w:p w14:paraId="59D3FDB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0" w:name="_Toc876190609"/>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1301.39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1301.39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30"/>
    </w:p>
    <w:p w14:paraId="2C4920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1" w:name="_Toc716677772"/>
      <w:r>
        <w:rPr>
          <w:rFonts w:hint="eastAsia" w:ascii="Times New Roman" w:hAnsi="Times New Roman" w:eastAsia="仿宋_GB2312" w:cs="仿宋_GB2312"/>
          <w:color w:val="auto"/>
          <w:sz w:val="32"/>
          <w:szCs w:val="32"/>
          <w:highlight w:val="none"/>
          <w:lang w:eastAsia="zh-CN"/>
        </w:rPr>
        <w:t>图2：收入决算结构图</w:t>
      </w:r>
      <w:r>
        <w:drawing>
          <wp:anchor distT="0" distB="0" distL="114300" distR="114300" simplePos="0" relativeHeight="251660288" behindDoc="0" locked="0" layoutInCell="1" allowOverlap="1">
            <wp:simplePos x="0" y="0"/>
            <wp:positionH relativeFrom="column">
              <wp:posOffset>-24130</wp:posOffset>
            </wp:positionH>
            <wp:positionV relativeFrom="paragraph">
              <wp:posOffset>42545</wp:posOffset>
            </wp:positionV>
            <wp:extent cx="5301615" cy="2705100"/>
            <wp:effectExtent l="4445" t="4445" r="8890" b="14605"/>
            <wp:wrapTopAndBottom/>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End w:id="31"/>
    </w:p>
    <w:p w14:paraId="5C129DB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2" w:name="_Toc15396605"/>
      <w:bookmarkStart w:id="33" w:name="_Toc15377207"/>
      <w:bookmarkStart w:id="34" w:name="_Toc178029434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2"/>
      <w:bookmarkEnd w:id="33"/>
      <w:bookmarkEnd w:id="34"/>
    </w:p>
    <w:p w14:paraId="06C2CBA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bookmarkStart w:id="35" w:name="_Toc68221436"/>
      <w:r>
        <w:drawing>
          <wp:anchor distT="0" distB="0" distL="114300" distR="114300" simplePos="0" relativeHeight="251661312" behindDoc="0" locked="0" layoutInCell="1" allowOverlap="1">
            <wp:simplePos x="0" y="0"/>
            <wp:positionH relativeFrom="column">
              <wp:posOffset>23495</wp:posOffset>
            </wp:positionH>
            <wp:positionV relativeFrom="paragraph">
              <wp:posOffset>1167765</wp:posOffset>
            </wp:positionV>
            <wp:extent cx="5255260" cy="2505075"/>
            <wp:effectExtent l="4445" t="4445" r="17145" b="5080"/>
            <wp:wrapTopAndBottom/>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1301.39</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1070.64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82.3</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230.75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17.7</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35"/>
    </w:p>
    <w:p w14:paraId="7B01C7A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6" w:name="_Toc636647595"/>
      <w:r>
        <w:rPr>
          <w:rFonts w:hint="eastAsia" w:ascii="Times New Roman" w:hAnsi="Times New Roman" w:eastAsia="仿宋_GB2312" w:cs="仿宋_GB2312"/>
          <w:color w:val="auto"/>
          <w:sz w:val="32"/>
          <w:szCs w:val="32"/>
          <w:highlight w:val="none"/>
          <w:lang w:eastAsia="zh-CN"/>
        </w:rPr>
        <w:t>图3：支出决算结构图</w:t>
      </w:r>
      <w:bookmarkEnd w:id="36"/>
    </w:p>
    <w:p w14:paraId="5E4D6293">
      <w:pPr>
        <w:spacing w:line="600" w:lineRule="exact"/>
        <w:ind w:firstLine="640" w:firstLineChars="200"/>
        <w:outlineLvl w:val="1"/>
        <w:rPr>
          <w:rStyle w:val="29"/>
          <w:rFonts w:ascii="Times New Roman" w:hAnsi="Times New Roman" w:eastAsia="黑体"/>
          <w:b w:val="0"/>
          <w:color w:val="auto"/>
          <w:highlight w:val="none"/>
        </w:rPr>
      </w:pPr>
      <w:bookmarkStart w:id="37" w:name="_Toc15377208"/>
      <w:bookmarkStart w:id="38" w:name="_Toc856557164"/>
      <w:bookmarkStart w:id="3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7"/>
      <w:bookmarkEnd w:id="38"/>
      <w:bookmarkEnd w:id="39"/>
    </w:p>
    <w:p w14:paraId="206AF085">
      <w:pPr>
        <w:spacing w:line="600" w:lineRule="exact"/>
        <w:ind w:firstLine="640" w:firstLineChars="20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1301.39</w:t>
      </w:r>
      <w:r>
        <w:rPr>
          <w:rFonts w:hint="eastAsia" w:ascii="Times New Roman" w:hAnsi="Times New Roman" w:eastAsia="仿宋_GB2312" w:cs="仿宋_GB2312"/>
          <w:color w:val="auto"/>
          <w:kern w:val="2"/>
          <w:sz w:val="32"/>
          <w:szCs w:val="32"/>
          <w:highlight w:val="none"/>
          <w:lang w:val="en-US" w:eastAsia="zh-CN" w:bidi="ar-SA"/>
        </w:rPr>
        <w:t>万元。</w:t>
      </w:r>
      <w:bookmarkStart w:id="40" w:name="_Toc15396607"/>
      <w:bookmarkStart w:id="41" w:name="_Toc15377209"/>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财</w:t>
      </w:r>
      <w:r>
        <w:rPr>
          <w:rFonts w:hint="eastAsia" w:ascii="仿宋" w:hAnsi="仿宋" w:eastAsia="仿宋"/>
          <w:color w:val="auto"/>
          <w:sz w:val="32"/>
          <w:szCs w:val="32"/>
          <w:highlight w:val="none"/>
        </w:rPr>
        <w:t>政拨款收</w:t>
      </w:r>
      <w:r>
        <w:rPr>
          <w:rFonts w:hint="eastAsia" w:ascii="仿宋" w:hAnsi="仿宋" w:eastAsia="仿宋"/>
          <w:color w:val="auto"/>
          <w:sz w:val="32"/>
          <w:szCs w:val="32"/>
          <w:highlight w:val="none"/>
          <w:lang w:val="en-US" w:eastAsia="zh-CN"/>
        </w:rPr>
        <w:t>入</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75.62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6.2</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w:t>
      </w:r>
      <w:r>
        <w:rPr>
          <w:rFonts w:hint="eastAsia" w:eastAsia="仿宋_GB2312" w:cs="仿宋_GB2312"/>
          <w:color w:val="auto"/>
          <w:sz w:val="32"/>
          <w:szCs w:val="32"/>
          <w:highlight w:val="none"/>
          <w:lang w:eastAsia="zh-CN"/>
        </w:rPr>
        <w:t>为保障重点业务、基层运转，本级财政提高经费保障标准导致收入增加；财</w:t>
      </w:r>
      <w:r>
        <w:rPr>
          <w:rFonts w:hint="eastAsia" w:ascii="仿宋" w:hAnsi="仿宋" w:eastAsia="仿宋"/>
          <w:color w:val="auto"/>
          <w:sz w:val="32"/>
          <w:szCs w:val="32"/>
          <w:highlight w:val="none"/>
        </w:rPr>
        <w:t>政拨款</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75.62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6.2</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w:t>
      </w:r>
      <w:r>
        <w:rPr>
          <w:rFonts w:hint="eastAsia" w:ascii="仿宋" w:hAnsi="仿宋" w:eastAsia="仿宋"/>
          <w:color w:val="auto"/>
          <w:sz w:val="32"/>
          <w:szCs w:val="32"/>
          <w:highlight w:val="none"/>
          <w:lang w:eastAsia="zh-CN"/>
        </w:rPr>
        <w:t>为</w:t>
      </w:r>
      <w:r>
        <w:rPr>
          <w:rFonts w:hint="eastAsia" w:eastAsia="仿宋_GB2312" w:cs="仿宋_GB2312"/>
          <w:color w:val="auto"/>
          <w:sz w:val="32"/>
          <w:szCs w:val="32"/>
          <w:highlight w:val="none"/>
          <w:lang w:eastAsia="zh-CN"/>
        </w:rPr>
        <w:t>保障重点业务、基层运转，本级财政提高经费保障标准导致支出增加。</w:t>
      </w:r>
    </w:p>
    <w:p w14:paraId="63A8A1F9">
      <w:pPr>
        <w:pStyle w:val="2"/>
        <w:ind w:left="415" w:leftChars="0" w:hanging="415" w:hangingChars="198"/>
        <w:rPr>
          <w:rFonts w:hint="eastAsia" w:eastAsia="仿宋_GB2312" w:cs="仿宋_GB2312"/>
          <w:color w:val="auto"/>
          <w:sz w:val="32"/>
          <w:szCs w:val="32"/>
          <w:highlight w:val="none"/>
          <w:lang w:eastAsia="zh-CN"/>
        </w:rPr>
      </w:pPr>
      <w:r>
        <w:drawing>
          <wp:inline distT="0" distB="0" distL="114300" distR="114300">
            <wp:extent cx="5349875" cy="2771775"/>
            <wp:effectExtent l="4445" t="4445" r="17780" b="508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7143B3">
      <w:pPr>
        <w:pStyle w:val="2"/>
        <w:ind w:left="0" w:leftChars="0" w:firstLine="640" w:firstLineChars="20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lang w:val="en-US" w:eastAsia="zh-CN"/>
        </w:rPr>
        <w:t xml:space="preserve"> </w:t>
      </w:r>
    </w:p>
    <w:p w14:paraId="291C7DE9">
      <w:pPr>
        <w:pStyle w:val="5"/>
        <w:bidi w:val="0"/>
        <w:rPr>
          <w:rFonts w:hint="eastAsia"/>
        </w:rPr>
      </w:pPr>
      <w:bookmarkStart w:id="42" w:name="_Toc547641327"/>
      <w:r>
        <w:rPr>
          <w:rFonts w:hint="eastAsia"/>
        </w:rPr>
        <w:t>五、一般公共预算财政拨款支出决算情况说明</w:t>
      </w:r>
      <w:bookmarkEnd w:id="40"/>
      <w:bookmarkEnd w:id="41"/>
      <w:bookmarkEnd w:id="42"/>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0"/>
      <w:bookmarkStart w:id="44" w:name="_Toc585412018"/>
      <w:r>
        <w:rPr>
          <w:rFonts w:hint="eastAsia" w:ascii="Times New Roman" w:hAnsi="Times New Roman" w:eastAsia="楷体_GB2312" w:cs="楷体_GB2312"/>
          <w:b/>
          <w:color w:val="auto"/>
          <w:sz w:val="32"/>
          <w:szCs w:val="32"/>
          <w:highlight w:val="none"/>
        </w:rPr>
        <w:t>（一）一般公共预算财政拨款支出决算总体情况</w:t>
      </w:r>
      <w:bookmarkEnd w:id="43"/>
      <w:bookmarkEnd w:id="44"/>
    </w:p>
    <w:p w14:paraId="00513647">
      <w:pPr>
        <w:spacing w:line="600" w:lineRule="exact"/>
        <w:ind w:firstLine="640" w:firstLineChars="20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1301.39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75.62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w:t>
      </w:r>
      <w:bookmarkStart w:id="45" w:name="_Toc15377211"/>
      <w:r>
        <w:rPr>
          <w:rFonts w:hint="eastAsia" w:ascii="仿宋" w:hAnsi="仿宋" w:eastAsia="仿宋"/>
          <w:color w:val="auto"/>
          <w:sz w:val="32"/>
          <w:szCs w:val="32"/>
          <w:highlight w:val="none"/>
          <w:lang w:eastAsia="zh-CN"/>
        </w:rPr>
        <w:t>为</w:t>
      </w:r>
      <w:r>
        <w:rPr>
          <w:rFonts w:hint="eastAsia" w:eastAsia="仿宋_GB2312" w:cs="仿宋_GB2312"/>
          <w:color w:val="auto"/>
          <w:sz w:val="32"/>
          <w:szCs w:val="32"/>
          <w:highlight w:val="none"/>
          <w:lang w:eastAsia="zh-CN"/>
        </w:rPr>
        <w:t>保障重点业务、基层运转，本级财政提高经费保障标准导致支出增加。</w:t>
      </w:r>
    </w:p>
    <w:p w14:paraId="52927453">
      <w:pPr>
        <w:pStyle w:val="2"/>
        <w:ind w:left="416" w:leftChars="-95" w:hanging="615" w:hangingChars="293"/>
        <w:rPr>
          <w:rFonts w:hint="eastAsia" w:eastAsia="仿宋_GB2312" w:cs="仿宋_GB2312"/>
          <w:color w:val="auto"/>
          <w:sz w:val="32"/>
          <w:szCs w:val="32"/>
          <w:highlight w:val="none"/>
          <w:lang w:eastAsia="zh-CN"/>
        </w:rPr>
      </w:pPr>
      <w:r>
        <w:drawing>
          <wp:inline distT="0" distB="0" distL="114300" distR="114300">
            <wp:extent cx="5235575" cy="2723515"/>
            <wp:effectExtent l="4445" t="4445" r="17780" b="15240"/>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9E2C75">
      <w:pPr>
        <w:pStyle w:val="2"/>
        <w:ind w:left="0" w:leftChars="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727F067A">
      <w:pPr>
        <w:pStyle w:val="2"/>
        <w:ind w:left="0" w:leftChars="0" w:firstLine="643"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45"/>
    </w:p>
    <w:p w14:paraId="165705E4">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bookmarkStart w:id="46" w:name="_Toc494041556"/>
      <w:bookmarkStart w:id="47" w:name="_Toc12944696"/>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1301.39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1031.09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152.58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45.12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72.61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w:t>
      </w:r>
      <w:r>
        <w:rPr>
          <w:rFonts w:hint="eastAsia" w:ascii="Times New Roman" w:hAnsi="Times New Roman" w:eastAsia="仿宋_GB2312" w:cs="仿宋_GB2312"/>
          <w:color w:val="auto"/>
          <w:kern w:val="2"/>
          <w:sz w:val="32"/>
          <w:szCs w:val="32"/>
          <w:highlight w:val="none"/>
          <w:lang w:val="en-US" w:eastAsia="zh-CN" w:bidi="ar-SA"/>
        </w:rPr>
        <w:t>%</w:t>
      </w:r>
      <w:bookmarkStart w:id="48" w:name="_Toc15377212"/>
      <w:r>
        <w:rPr>
          <w:rFonts w:hint="eastAsia" w:eastAsia="仿宋_GB2312" w:cs="仿宋_GB2312"/>
          <w:color w:val="auto"/>
          <w:kern w:val="2"/>
          <w:sz w:val="32"/>
          <w:szCs w:val="32"/>
          <w:highlight w:val="none"/>
          <w:lang w:val="en-US" w:eastAsia="zh-CN" w:bidi="ar-SA"/>
        </w:rPr>
        <w:t>。</w:t>
      </w:r>
      <w:bookmarkEnd w:id="46"/>
      <w:bookmarkEnd w:id="47"/>
    </w:p>
    <w:p w14:paraId="49C6298D">
      <w:pPr>
        <w:pStyle w:val="2"/>
        <w:ind w:left="420" w:leftChars="0" w:hanging="420" w:hangingChars="200"/>
        <w:rPr>
          <w:rFonts w:hint="eastAsia" w:eastAsia="仿宋_GB2312" w:cs="仿宋_GB2312"/>
          <w:color w:val="auto"/>
          <w:kern w:val="2"/>
          <w:sz w:val="32"/>
          <w:szCs w:val="32"/>
          <w:highlight w:val="none"/>
          <w:lang w:val="en-US" w:eastAsia="zh-CN" w:bidi="ar-SA"/>
        </w:rPr>
      </w:pPr>
      <w:r>
        <w:drawing>
          <wp:inline distT="0" distB="0" distL="114300" distR="114300">
            <wp:extent cx="5397500" cy="2685415"/>
            <wp:effectExtent l="4445" t="4445" r="8255" b="1524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F27BE1">
      <w:pPr>
        <w:pStyle w:val="2"/>
        <w:ind w:left="0" w:leftChars="0"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798158507"/>
      <w:r>
        <w:rPr>
          <w:rFonts w:hint="eastAsia" w:ascii="Times New Roman" w:hAnsi="Times New Roman" w:eastAsia="楷体_GB2312" w:cs="楷体_GB2312"/>
          <w:b/>
          <w:color w:val="auto"/>
          <w:sz w:val="32"/>
          <w:szCs w:val="32"/>
          <w:highlight w:val="none"/>
        </w:rPr>
        <w:t>（三）一般公共预算财政拨款支出决算具体情况</w:t>
      </w:r>
      <w:bookmarkEnd w:id="48"/>
      <w:bookmarkEnd w:id="49"/>
    </w:p>
    <w:p w14:paraId="23C611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0" w:name="_Toc15378460"/>
      <w:bookmarkStart w:id="51" w:name="_Toc15377213"/>
      <w:bookmarkStart w:id="52"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1301.39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50"/>
      <w:bookmarkEnd w:id="51"/>
      <w:bookmarkEnd w:id="52"/>
    </w:p>
    <w:p w14:paraId="3615C16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.204－公共安全支出：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1031.09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。其中2040601－行政运行支出800.34万元；2040606－律师管理支出24.95万元；2040607－公共法律服务支出4.43万元；2040610－社区矫正支出19.41万元；2049999－其他公共安全支出181.96万元。</w:t>
      </w:r>
    </w:p>
    <w:p w14:paraId="37B56BF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152.58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其中2080505－机关事业单位基本养老保险缴费支出80.65万元；2080506－机关事业单位职业年金缴费支出71.93万元。</w:t>
      </w:r>
    </w:p>
    <w:p w14:paraId="3D68C87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45.12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2101101－行政单位医疗38.52万元；2101103－公务员医疗补助6.6万元。</w:t>
      </w:r>
    </w:p>
    <w:p w14:paraId="4647D3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4.221－住房保障支出：支出决算为72.61万元，完成预算100%，2210201－住房公积金72.61万元。</w:t>
      </w:r>
    </w:p>
    <w:p w14:paraId="581A80FF">
      <w:pPr>
        <w:tabs>
          <w:tab w:val="right" w:pos="8306"/>
        </w:tabs>
        <w:spacing w:line="600" w:lineRule="exact"/>
        <w:ind w:firstLine="640"/>
        <w:outlineLvl w:val="1"/>
        <w:rPr>
          <w:rStyle w:val="29"/>
          <w:rFonts w:ascii="Times New Roman" w:hAnsi="Times New Roman"/>
          <w:color w:val="auto"/>
          <w:highlight w:val="none"/>
        </w:rPr>
      </w:pPr>
      <w:bookmarkStart w:id="53" w:name="_Toc15396608"/>
      <w:bookmarkStart w:id="54" w:name="_Toc15377214"/>
      <w:bookmarkStart w:id="55" w:name="_Toc208489472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53"/>
      <w:bookmarkEnd w:id="54"/>
      <w:bookmarkEnd w:id="55"/>
      <w:r>
        <w:rPr>
          <w:rStyle w:val="29"/>
          <w:rFonts w:ascii="Times New Roman" w:hAnsi="Times New Roman" w:eastAsia="黑体"/>
          <w:b w:val="0"/>
          <w:color w:val="auto"/>
          <w:highlight w:val="none"/>
        </w:rPr>
        <w:tab/>
      </w:r>
    </w:p>
    <w:p w14:paraId="0F7ED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1070.64</w:t>
      </w:r>
      <w:r>
        <w:rPr>
          <w:rFonts w:hint="eastAsia" w:ascii="Times New Roman" w:hAnsi="Times New Roman" w:eastAsia="仿宋_GB2312" w:cs="仿宋_GB2312"/>
          <w:color w:val="auto"/>
          <w:kern w:val="2"/>
          <w:sz w:val="32"/>
          <w:szCs w:val="32"/>
          <w:highlight w:val="none"/>
          <w:lang w:val="en-US" w:eastAsia="zh-CN" w:bidi="ar-SA"/>
        </w:rPr>
        <w:t>万元，其中：</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990.13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80.51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5F8E462">
      <w:pPr>
        <w:spacing w:line="600" w:lineRule="exact"/>
        <w:ind w:firstLine="640"/>
        <w:outlineLvl w:val="1"/>
        <w:rPr>
          <w:rStyle w:val="29"/>
          <w:rFonts w:ascii="Times New Roman" w:hAnsi="Times New Roman" w:eastAsia="黑体"/>
          <w:b w:val="0"/>
          <w:color w:val="auto"/>
          <w:highlight w:val="none"/>
        </w:rPr>
      </w:pPr>
      <w:bookmarkStart w:id="56" w:name="_Toc15377215"/>
      <w:bookmarkStart w:id="57" w:name="_Toc15396609"/>
      <w:bookmarkStart w:id="58" w:name="_Toc2036172474"/>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56"/>
      <w:bookmarkEnd w:id="57"/>
      <w:bookmarkEnd w:id="58"/>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16"/>
      <w:bookmarkStart w:id="60" w:name="_Toc1733138644"/>
      <w:r>
        <w:rPr>
          <w:rFonts w:hint="eastAsia" w:ascii="Times New Roman" w:hAnsi="Times New Roman" w:eastAsia="楷体_GB2312" w:cs="楷体_GB2312"/>
          <w:b/>
          <w:color w:val="auto"/>
          <w:sz w:val="32"/>
          <w:szCs w:val="32"/>
          <w:highlight w:val="none"/>
        </w:rPr>
        <w:t>（一）财政拨款“三公”经费支出决算总体情况说明</w:t>
      </w:r>
      <w:bookmarkEnd w:id="59"/>
      <w:bookmarkEnd w:id="60"/>
    </w:p>
    <w:p w14:paraId="14C659F2">
      <w:pPr>
        <w:spacing w:line="600" w:lineRule="exact"/>
        <w:ind w:firstLine="640"/>
        <w:rPr>
          <w:rFonts w:hint="eastAsia" w:ascii="Times New Roman" w:hAnsi="Times New Roman" w:eastAsia="仿宋"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6.81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58.1</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减少0.99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减少12.7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仿宋" w:hAnsi="仿宋" w:eastAsia="仿宋"/>
          <w:color w:val="auto"/>
          <w:sz w:val="32"/>
          <w:szCs w:val="32"/>
          <w:highlight w:val="none"/>
        </w:rPr>
        <w:t>决算数小于预算数的主要原因是本年度厉行节约，减少费用支出</w:t>
      </w:r>
      <w:r>
        <w:rPr>
          <w:rFonts w:hint="eastAsia" w:ascii="仿宋" w:hAnsi="仿宋" w:eastAsia="仿宋"/>
          <w:color w:val="auto"/>
          <w:sz w:val="32"/>
          <w:szCs w:val="32"/>
          <w:highlight w:val="none"/>
          <w:lang w:eastAsia="zh-CN"/>
        </w:rPr>
        <w:t>。</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443052315"/>
      <w:bookmarkStart w:id="62"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1"/>
      <w:bookmarkEnd w:id="62"/>
    </w:p>
    <w:p w14:paraId="14DB7E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6.72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98.7</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p>
    <w:p w14:paraId="08E02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39EFB6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6.72</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98.68</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1.08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auto"/>
          <w:sz w:val="32"/>
          <w:szCs w:val="32"/>
          <w:highlight w:val="none"/>
        </w:rPr>
        <w:t>本年度厉行节约，减少费用支出</w:t>
      </w:r>
      <w:r>
        <w:rPr>
          <w:rFonts w:hint="eastAsia" w:ascii="仿宋" w:hAnsi="仿宋" w:eastAsia="仿宋"/>
          <w:color w:val="auto"/>
          <w:sz w:val="32"/>
          <w:szCs w:val="32"/>
          <w:highlight w:val="none"/>
          <w:lang w:eastAsia="zh-CN"/>
        </w:rPr>
        <w:t>。</w:t>
      </w:r>
    </w:p>
    <w:p w14:paraId="0FAAC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14:paraId="30829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6.72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单位工作开展</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79DC2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0.09</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0.09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协助州局</w:t>
      </w:r>
      <w:r>
        <w:rPr>
          <w:rFonts w:hint="eastAsia" w:ascii="Times New Roman" w:hAnsi="Times New Roman" w:eastAsia="仿宋_GB2312" w:cs="仿宋_GB2312"/>
          <w:color w:val="auto"/>
          <w:kern w:val="2"/>
          <w:sz w:val="32"/>
          <w:szCs w:val="32"/>
          <w:highlight w:val="none"/>
          <w:lang w:val="en-US" w:eastAsia="zh-CN" w:bidi="ar-SA"/>
        </w:rPr>
        <w:t>开展</w:t>
      </w:r>
      <w:r>
        <w:rPr>
          <w:rFonts w:hint="eastAsia" w:eastAsia="仿宋_GB2312" w:cs="仿宋_GB2312"/>
          <w:color w:val="auto"/>
          <w:kern w:val="2"/>
          <w:sz w:val="32"/>
          <w:szCs w:val="32"/>
          <w:highlight w:val="none"/>
          <w:lang w:val="en-US" w:eastAsia="zh-CN" w:bidi="ar-SA"/>
        </w:rPr>
        <w:t>省立法调研工作</w:t>
      </w:r>
      <w:r>
        <w:rPr>
          <w:rFonts w:hint="eastAsia" w:ascii="Times New Roman" w:hAnsi="Times New Roman" w:eastAsia="仿宋_GB2312" w:cs="仿宋_GB2312"/>
          <w:color w:val="auto"/>
          <w:kern w:val="2"/>
          <w:sz w:val="32"/>
          <w:szCs w:val="32"/>
          <w:highlight w:val="none"/>
          <w:lang w:val="en-US" w:eastAsia="zh-CN" w:bidi="ar-SA"/>
        </w:rPr>
        <w:t>开支的用餐费等。国内公务接待</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人次，共计支出</w:t>
      </w:r>
      <w:r>
        <w:rPr>
          <w:rFonts w:hint="eastAsia" w:eastAsia="仿宋_GB2312" w:cs="仿宋_GB2312"/>
          <w:color w:val="auto"/>
          <w:kern w:val="2"/>
          <w:sz w:val="32"/>
          <w:szCs w:val="32"/>
          <w:highlight w:val="none"/>
          <w:lang w:val="en-US" w:eastAsia="zh-CN" w:bidi="ar-SA"/>
        </w:rPr>
        <w:t>0.09</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省立法调研组来松开展《四川省〈中华人民共和国农村土地承包法〉实施办法（修订）》立法调研工作</w:t>
      </w:r>
      <w:r>
        <w:rPr>
          <w:rFonts w:hint="eastAsia" w:ascii="Times New Roman" w:hAnsi="Times New Roman" w:eastAsia="仿宋_GB2312" w:cs="仿宋_GB2312"/>
          <w:color w:val="auto"/>
          <w:kern w:val="2"/>
          <w:sz w:val="32"/>
          <w:szCs w:val="32"/>
          <w:highlight w:val="none"/>
          <w:lang w:val="en-US" w:eastAsia="zh-CN" w:bidi="ar-SA"/>
        </w:rPr>
        <w:t>开支的用餐费等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63" w:name="_Toc15377218"/>
      <w:bookmarkStart w:id="64" w:name="_Toc15396610"/>
      <w:r>
        <w:rPr>
          <w:rFonts w:hint="eastAsia" w:eastAsia="仿宋_GB2312" w:cs="仿宋_GB2312"/>
          <w:color w:val="auto"/>
          <w:kern w:val="2"/>
          <w:sz w:val="32"/>
          <w:szCs w:val="32"/>
          <w:highlight w:val="none"/>
          <w:lang w:val="en-US" w:eastAsia="zh-CN" w:bidi="ar-SA"/>
        </w:rPr>
        <w:t>。</w:t>
      </w:r>
    </w:p>
    <w:p w14:paraId="6F9E1414">
      <w:pPr>
        <w:spacing w:line="600" w:lineRule="exact"/>
        <w:ind w:firstLine="640"/>
        <w:outlineLvl w:val="1"/>
        <w:rPr>
          <w:rStyle w:val="29"/>
          <w:rFonts w:ascii="Times New Roman" w:hAnsi="Times New Roman" w:eastAsia="黑体"/>
          <w:color w:val="auto"/>
          <w:highlight w:val="none"/>
        </w:rPr>
      </w:pPr>
      <w:bookmarkStart w:id="65" w:name="_Toc771543389"/>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63"/>
      <w:bookmarkEnd w:id="64"/>
      <w:bookmarkEnd w:id="65"/>
    </w:p>
    <w:p w14:paraId="7F1C564E">
      <w:pPr>
        <w:numPr>
          <w:ilvl w:val="0"/>
          <w:numId w:val="0"/>
        </w:numPr>
        <w:spacing w:line="600" w:lineRule="exact"/>
        <w:ind w:left="630" w:leftChars="0"/>
        <w:outlineLvl w:val="1"/>
        <w:rPr>
          <w:rFonts w:hint="eastAsia" w:eastAsia="仿宋_GB2312" w:cs="仿宋_GB2312"/>
          <w:color w:val="auto"/>
          <w:kern w:val="2"/>
          <w:sz w:val="32"/>
          <w:szCs w:val="32"/>
          <w:highlight w:val="none"/>
          <w:lang w:val="en-US" w:eastAsia="zh-CN" w:bidi="ar-SA"/>
        </w:rPr>
      </w:pPr>
      <w:bookmarkStart w:id="66" w:name="_Toc1723409586"/>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bookmarkStart w:id="67" w:name="_Toc15396611"/>
      <w:bookmarkStart w:id="68" w:name="_Toc15377219"/>
      <w:r>
        <w:rPr>
          <w:rFonts w:hint="eastAsia" w:eastAsia="仿宋_GB2312" w:cs="仿宋_GB2312"/>
          <w:color w:val="auto"/>
          <w:kern w:val="2"/>
          <w:sz w:val="32"/>
          <w:szCs w:val="32"/>
          <w:highlight w:val="none"/>
          <w:lang w:val="en-US" w:eastAsia="zh-CN" w:bidi="ar-SA"/>
        </w:rPr>
        <w:t>。</w:t>
      </w:r>
      <w:bookmarkEnd w:id="66"/>
    </w:p>
    <w:p w14:paraId="2923FD2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69" w:name="_Toc2200328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67"/>
      <w:bookmarkEnd w:id="68"/>
      <w:bookmarkEnd w:id="69"/>
    </w:p>
    <w:p w14:paraId="4415A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2025年度无</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w:t>
      </w:r>
    </w:p>
    <w:p w14:paraId="6AA6DDE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70" w:name="_Toc15396612"/>
      <w:bookmarkStart w:id="71" w:name="_Toc1584425332"/>
      <w:bookmarkStart w:id="72"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70"/>
      <w:bookmarkEnd w:id="71"/>
      <w:bookmarkEnd w:id="72"/>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22"/>
      <w:bookmarkStart w:id="74" w:name="_Toc1233337124"/>
      <w:r>
        <w:rPr>
          <w:rFonts w:hint="eastAsia" w:ascii="Times New Roman" w:hAnsi="Times New Roman" w:eastAsia="楷体_GB2312" w:cs="楷体_GB2312"/>
          <w:b/>
          <w:color w:val="auto"/>
          <w:sz w:val="32"/>
          <w:szCs w:val="32"/>
          <w:highlight w:val="none"/>
        </w:rPr>
        <w:t>（一）机关运行经费支出情况</w:t>
      </w:r>
      <w:bookmarkEnd w:id="73"/>
      <w:bookmarkEnd w:id="74"/>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松潘县司法局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80.51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27.78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52.68</w:t>
      </w:r>
      <w:r>
        <w:rPr>
          <w:rFonts w:hint="eastAsia" w:ascii="Times New Roman" w:hAnsi="Times New Roman" w:eastAsia="仿宋_GB2312" w:cs="仿宋_GB2312"/>
          <w:color w:val="auto"/>
          <w:kern w:val="2"/>
          <w:sz w:val="32"/>
          <w:szCs w:val="32"/>
          <w:highlight w:val="none"/>
          <w:lang w:val="en-US" w:eastAsia="zh-CN" w:bidi="ar-SA"/>
        </w:rPr>
        <w:t>%。主要原因是本年履职任务增多，日常办公、公务出行、设施运维等运转保障支出有所增加</w:t>
      </w:r>
      <w:r>
        <w:rPr>
          <w:rFonts w:hint="eastAsia" w:eastAsia="仿宋_GB2312" w:cs="仿宋_GB2312"/>
          <w:color w:val="auto"/>
          <w:kern w:val="2"/>
          <w:sz w:val="32"/>
          <w:szCs w:val="32"/>
          <w:highlight w:val="none"/>
          <w:lang w:val="en-US" w:eastAsia="zh-CN" w:bidi="ar-SA"/>
        </w:rPr>
        <w:t>，且上年支出基数较低所致，经费开支均严格遵守财经纪律，规范合规。</w:t>
      </w:r>
    </w:p>
    <w:p w14:paraId="3FD89F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39213524"/>
      <w:bookmarkStart w:id="76" w:name="_Toc15377223"/>
      <w:r>
        <w:rPr>
          <w:rFonts w:hint="eastAsia" w:ascii="Times New Roman" w:hAnsi="Times New Roman" w:eastAsia="楷体_GB2312" w:cs="楷体_GB2312"/>
          <w:b/>
          <w:color w:val="auto"/>
          <w:sz w:val="32"/>
          <w:szCs w:val="32"/>
          <w:highlight w:val="none"/>
        </w:rPr>
        <w:t>（二）政府采购支出情况</w:t>
      </w:r>
      <w:bookmarkEnd w:id="75"/>
      <w:bookmarkEnd w:id="76"/>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松潘县司法局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19.8</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17.92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政府采购服务支出</w:t>
      </w:r>
      <w:r>
        <w:rPr>
          <w:rFonts w:hint="eastAsia" w:eastAsia="仿宋_GB2312" w:cs="仿宋_GB2312"/>
          <w:color w:val="auto"/>
          <w:kern w:val="2"/>
          <w:sz w:val="32"/>
          <w:szCs w:val="32"/>
          <w:highlight w:val="none"/>
          <w:lang w:val="en-US" w:eastAsia="zh-CN" w:bidi="ar-SA"/>
        </w:rPr>
        <w:t>1.88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车辆维修维护、购买保险及设备采购</w:t>
      </w:r>
      <w:r>
        <w:rPr>
          <w:rFonts w:hint="eastAsia" w:ascii="Times New Roman" w:hAnsi="Times New Roman" w:eastAsia="仿宋_GB2312" w:cs="仿宋_GB2312"/>
          <w:color w:val="auto"/>
          <w:kern w:val="2"/>
          <w:sz w:val="32"/>
          <w:szCs w:val="32"/>
          <w:highlight w:val="none"/>
          <w:lang w:val="en-US" w:eastAsia="zh-CN" w:bidi="ar-SA"/>
        </w:rPr>
        <w:t>。</w:t>
      </w:r>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258982100"/>
      <w:bookmarkStart w:id="78" w:name="_Toc15377224"/>
      <w:r>
        <w:rPr>
          <w:rFonts w:hint="eastAsia" w:ascii="Times New Roman" w:hAnsi="Times New Roman" w:eastAsia="楷体_GB2312" w:cs="楷体_GB2312"/>
          <w:b/>
          <w:color w:val="auto"/>
          <w:sz w:val="32"/>
          <w:szCs w:val="32"/>
          <w:highlight w:val="none"/>
        </w:rPr>
        <w:t>（三）国有资产占有使用情况</w:t>
      </w:r>
      <w:bookmarkEnd w:id="77"/>
      <w:bookmarkEnd w:id="78"/>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松潘县司法局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辆，其中：执法执勤用车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9" w:name="_Toc948055867"/>
      <w:bookmarkStart w:id="80" w:name="_Toc15396613"/>
      <w:bookmarkStart w:id="81"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9"/>
      <w:bookmarkEnd w:id="80"/>
      <w:bookmarkEnd w:id="81"/>
    </w:p>
    <w:p w14:paraId="0C359775">
      <w:pPr>
        <w:spacing w:line="600" w:lineRule="exact"/>
        <w:jc w:val="left"/>
        <w:rPr>
          <w:rFonts w:ascii="Times New Roman" w:hAnsi="Times New Roman"/>
          <w:b/>
          <w:color w:val="auto"/>
          <w:sz w:val="44"/>
          <w:szCs w:val="44"/>
          <w:highlight w:val="none"/>
        </w:rPr>
      </w:pPr>
    </w:p>
    <w:p w14:paraId="2C2822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3E07B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hint="eastAsia" w:eastAsia="仿宋_GB2312" w:cs="仿宋_GB2312"/>
          <w:color w:val="auto"/>
          <w:kern w:val="2"/>
          <w:sz w:val="32"/>
          <w:szCs w:val="32"/>
          <w:highlight w:val="none"/>
          <w:lang w:val="en-US" w:eastAsia="zh-CN" w:bidi="ar-SA"/>
        </w:rPr>
        <w:t>发展和改革事务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其他发展与改革事务支出</w:t>
      </w:r>
      <w:r>
        <w:rPr>
          <w:rFonts w:hint="eastAsia" w:ascii="Times New Roman" w:hAnsi="Times New Roman" w:eastAsia="仿宋_GB2312" w:cs="仿宋_GB2312"/>
          <w:color w:val="auto"/>
          <w:kern w:val="2"/>
          <w:sz w:val="32"/>
          <w:szCs w:val="32"/>
          <w:highlight w:val="none"/>
          <w:lang w:val="en-US" w:eastAsia="zh-CN" w:bidi="ar-SA"/>
        </w:rPr>
        <w:t>（项）：指……</w:t>
      </w:r>
    </w:p>
    <w:p w14:paraId="57BBE1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3147F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9D7A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2BF914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8BD7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D447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5386C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1E66A2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A841F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52F77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01C16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51A34A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FE96B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357B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0C3D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1BD2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46AED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A672A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24CBD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B0F0E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3D91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2CD6D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958725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537547D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82" w:name="_Toc15377226"/>
      <w:bookmarkStart w:id="83" w:name="_Toc15396618"/>
    </w:p>
    <w:p w14:paraId="649A3BD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82"/>
      <w:bookmarkEnd w:id="83"/>
      <w:bookmarkStart w:id="84" w:name="_Toc15396619"/>
    </w:p>
    <w:p w14:paraId="333B7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4"/>
    </w:p>
    <w:p w14:paraId="6B7554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0"/>
      <w:r>
        <w:rPr>
          <w:rFonts w:hint="eastAsia" w:ascii="Times New Roman" w:hAnsi="Times New Roman" w:eastAsia="仿宋_GB2312" w:cs="仿宋_GB2312"/>
          <w:color w:val="auto"/>
          <w:sz w:val="32"/>
          <w:szCs w:val="32"/>
          <w:highlight w:val="none"/>
        </w:rPr>
        <w:t>二、收入决算表</w:t>
      </w:r>
      <w:bookmarkEnd w:id="85"/>
    </w:p>
    <w:p w14:paraId="26A8A9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1"/>
      <w:r>
        <w:rPr>
          <w:rFonts w:hint="eastAsia" w:ascii="Times New Roman" w:hAnsi="Times New Roman" w:eastAsia="仿宋_GB2312" w:cs="仿宋_GB2312"/>
          <w:color w:val="auto"/>
          <w:sz w:val="32"/>
          <w:szCs w:val="32"/>
          <w:highlight w:val="none"/>
        </w:rPr>
        <w:t>三、支出决算表</w:t>
      </w:r>
      <w:bookmarkEnd w:id="86"/>
    </w:p>
    <w:p w14:paraId="62688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2"/>
      <w:r>
        <w:rPr>
          <w:rFonts w:hint="eastAsia" w:ascii="Times New Roman" w:hAnsi="Times New Roman" w:eastAsia="仿宋_GB2312" w:cs="仿宋_GB2312"/>
          <w:color w:val="auto"/>
          <w:sz w:val="32"/>
          <w:szCs w:val="32"/>
          <w:highlight w:val="none"/>
        </w:rPr>
        <w:t>四、财政拨款收入支出决算总表</w:t>
      </w:r>
      <w:bookmarkEnd w:id="87"/>
    </w:p>
    <w:p w14:paraId="06D9E5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3"/>
      <w:r>
        <w:rPr>
          <w:rFonts w:hint="eastAsia" w:ascii="Times New Roman" w:hAnsi="Times New Roman" w:eastAsia="仿宋_GB2312" w:cs="仿宋_GB2312"/>
          <w:color w:val="auto"/>
          <w:sz w:val="32"/>
          <w:szCs w:val="32"/>
          <w:highlight w:val="none"/>
        </w:rPr>
        <w:t>五、财政拨款支出决算明细表</w:t>
      </w:r>
      <w:bookmarkEnd w:id="88"/>
      <w:bookmarkStart w:id="89"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9"/>
    </w:p>
    <w:p w14:paraId="6D6A8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5"/>
      <w:r>
        <w:rPr>
          <w:rFonts w:hint="eastAsia" w:ascii="Times New Roman" w:hAnsi="Times New Roman" w:eastAsia="仿宋_GB2312" w:cs="仿宋_GB2312"/>
          <w:color w:val="auto"/>
          <w:sz w:val="32"/>
          <w:szCs w:val="32"/>
          <w:highlight w:val="none"/>
        </w:rPr>
        <w:t>七、一般公共预算财政拨款支出决算明细表</w:t>
      </w:r>
      <w:bookmarkEnd w:id="90"/>
    </w:p>
    <w:p w14:paraId="1657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6"/>
      <w:r>
        <w:rPr>
          <w:rFonts w:hint="eastAsia" w:ascii="Times New Roman" w:hAnsi="Times New Roman" w:eastAsia="仿宋_GB2312" w:cs="仿宋_GB2312"/>
          <w:color w:val="auto"/>
          <w:sz w:val="32"/>
          <w:szCs w:val="32"/>
          <w:highlight w:val="none"/>
        </w:rPr>
        <w:t>八、一般公共预算财政拨款基本支出决算表</w:t>
      </w:r>
      <w:bookmarkEnd w:id="91"/>
    </w:p>
    <w:p w14:paraId="7F89FC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7"/>
      <w:r>
        <w:rPr>
          <w:rFonts w:hint="eastAsia" w:ascii="Times New Roman" w:hAnsi="Times New Roman" w:eastAsia="仿宋_GB2312" w:cs="仿宋_GB2312"/>
          <w:color w:val="auto"/>
          <w:sz w:val="32"/>
          <w:szCs w:val="32"/>
          <w:highlight w:val="none"/>
        </w:rPr>
        <w:t>九、一般公共预算财政拨款项目支出决算表</w:t>
      </w:r>
      <w:bookmarkEnd w:id="92"/>
    </w:p>
    <w:p w14:paraId="3B942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8"/>
      <w:r>
        <w:rPr>
          <w:rFonts w:hint="eastAsia" w:ascii="Times New Roman" w:hAnsi="Times New Roman" w:eastAsia="仿宋_GB2312" w:cs="仿宋_GB2312"/>
          <w:color w:val="auto"/>
          <w:sz w:val="32"/>
          <w:szCs w:val="32"/>
          <w:highlight w:val="none"/>
        </w:rPr>
        <w:t>十、</w:t>
      </w:r>
      <w:bookmarkEnd w:id="93"/>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9"/>
      <w:r>
        <w:rPr>
          <w:rFonts w:hint="eastAsia" w:ascii="Times New Roman" w:hAnsi="Times New Roman" w:eastAsia="仿宋_GB2312" w:cs="仿宋_GB2312"/>
          <w:color w:val="auto"/>
          <w:sz w:val="32"/>
          <w:szCs w:val="32"/>
          <w:highlight w:val="none"/>
        </w:rPr>
        <w:t>十一、</w:t>
      </w:r>
      <w:bookmarkEnd w:id="9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30"/>
      <w:r>
        <w:rPr>
          <w:rFonts w:hint="eastAsia" w:ascii="Times New Roman" w:hAnsi="Times New Roman" w:eastAsia="仿宋_GB2312" w:cs="仿宋_GB2312"/>
          <w:color w:val="auto"/>
          <w:sz w:val="32"/>
          <w:szCs w:val="32"/>
          <w:highlight w:val="none"/>
        </w:rPr>
        <w:t>十二、</w:t>
      </w:r>
      <w:bookmarkEnd w:id="95"/>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6" w:name="_Toc15396631"/>
      <w:r>
        <w:rPr>
          <w:rFonts w:hint="eastAsia" w:ascii="Times New Roman" w:hAnsi="Times New Roman" w:eastAsia="仿宋_GB2312" w:cs="仿宋_GB2312"/>
          <w:color w:val="auto"/>
          <w:sz w:val="32"/>
          <w:szCs w:val="32"/>
          <w:highlight w:val="none"/>
        </w:rPr>
        <w:t>十三、</w:t>
      </w:r>
      <w:bookmarkEnd w:id="96"/>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CF9791-9338-4C98-979B-492DC10905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1744AFB-94D2-4591-96DE-8471DF28C442}"/>
  </w:font>
  <w:font w:name="仿宋">
    <w:panose1 w:val="02010609060101010101"/>
    <w:charset w:val="86"/>
    <w:family w:val="modern"/>
    <w:pitch w:val="default"/>
    <w:sig w:usb0="800002BF" w:usb1="38CF7CFA" w:usb2="00000016" w:usb3="00000000" w:csb0="00040001" w:csb1="00000000"/>
    <w:embedRegular r:id="rId3" w:fontKey="{E8376D88-9B96-4469-86A4-C2242DBCAAC4}"/>
  </w:font>
  <w:font w:name="??">
    <w:altName w:val="FFont-Family"/>
    <w:panose1 w:val="00000000000000000000"/>
    <w:charset w:val="00"/>
    <w:family w:val="roman"/>
    <w:pitch w:val="default"/>
    <w:sig w:usb0="00000000" w:usb1="00000000" w:usb2="00000000" w:usb3="00000000" w:csb0="00000000" w:csb1="00000000"/>
  </w:font>
  <w:font w:name="国标仿宋">
    <w:altName w:val="仿宋"/>
    <w:panose1 w:val="02000500000000000000"/>
    <w:charset w:val="86"/>
    <w:family w:val="auto"/>
    <w:pitch w:val="default"/>
    <w:sig w:usb0="00000000" w:usb1="00000000" w:usb2="00000016" w:usb3="00000000" w:csb0="00060007" w:csb1="00000000"/>
  </w:font>
  <w:font w:name="方正小标宋简体">
    <w:panose1 w:val="02010600010101010101"/>
    <w:charset w:val="86"/>
    <w:family w:val="script"/>
    <w:pitch w:val="default"/>
    <w:sig w:usb0="00000001" w:usb1="080E0000" w:usb2="00000000" w:usb3="00000000" w:csb0="00040000" w:csb1="00000000"/>
    <w:embedRegular r:id="rId4" w:fontKey="{D53194CC-EB85-4274-811D-D8506D371AA9}"/>
  </w:font>
  <w:font w:name="楷体_GB2312">
    <w:panose1 w:val="02010609030101010101"/>
    <w:charset w:val="86"/>
    <w:family w:val="auto"/>
    <w:pitch w:val="default"/>
    <w:sig w:usb0="00000001" w:usb1="080E0000" w:usb2="00000000" w:usb3="00000000" w:csb0="00040000" w:csb1="00000000"/>
    <w:embedRegular r:id="rId5" w:fontKey="{8133F131-012D-46D4-BBFE-278D3D7F1A36}"/>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0"/>
      <w:jc w:val="center"/>
    </w:pPr>
  </w:p>
  <w:p w14:paraId="667E39E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51F64">
    <w:pPr>
      <w:pStyle w:val="10"/>
      <w:jc w:val="center"/>
    </w:pPr>
  </w:p>
  <w:p w14:paraId="09E4F3B9">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19091">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DF616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8DF6160">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3020D55B">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37032"/>
    <w:multiLevelType w:val="singleLevel"/>
    <w:tmpl w:val="FFB3703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6CF9B2C"/>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2FFFA2D3"/>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EFFC463"/>
    <w:rsid w:val="3FD67F6C"/>
    <w:rsid w:val="3FF4CAE0"/>
    <w:rsid w:val="3FF7B227"/>
    <w:rsid w:val="40E54C45"/>
    <w:rsid w:val="43A407DF"/>
    <w:rsid w:val="44515BEA"/>
    <w:rsid w:val="44E268DA"/>
    <w:rsid w:val="453F7E5B"/>
    <w:rsid w:val="47FC538A"/>
    <w:rsid w:val="48084421"/>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DF58501"/>
    <w:rsid w:val="5ECEC941"/>
    <w:rsid w:val="5EFFFF88"/>
    <w:rsid w:val="5F493CB7"/>
    <w:rsid w:val="5FBF9FF3"/>
    <w:rsid w:val="5FCD4E2C"/>
    <w:rsid w:val="5FD15F49"/>
    <w:rsid w:val="5FEF394A"/>
    <w:rsid w:val="5FF67715"/>
    <w:rsid w:val="62BF3928"/>
    <w:rsid w:val="647F5392"/>
    <w:rsid w:val="664B1D71"/>
    <w:rsid w:val="66AE1B7C"/>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6FFF2F39"/>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4E4E7"/>
    <w:rsid w:val="7FAF8ABF"/>
    <w:rsid w:val="7FB7269E"/>
    <w:rsid w:val="7FC96657"/>
    <w:rsid w:val="7FDA9588"/>
    <w:rsid w:val="7FDF220F"/>
    <w:rsid w:val="7FEDC5F7"/>
    <w:rsid w:val="7FEDD9DE"/>
    <w:rsid w:val="7FF5890D"/>
    <w:rsid w:val="7FF93490"/>
    <w:rsid w:val="99FF2014"/>
    <w:rsid w:val="A6DD0D7F"/>
    <w:rsid w:val="ADC6F725"/>
    <w:rsid w:val="B3FBC365"/>
    <w:rsid w:val="B7CF06AB"/>
    <w:rsid w:val="B7CFA926"/>
    <w:rsid w:val="B7F8786B"/>
    <w:rsid w:val="BABB6AA1"/>
    <w:rsid w:val="BB2F4199"/>
    <w:rsid w:val="BD079C78"/>
    <w:rsid w:val="BD733540"/>
    <w:rsid w:val="BF3735D5"/>
    <w:rsid w:val="BF5D1EC3"/>
    <w:rsid w:val="BF7F09AC"/>
    <w:rsid w:val="BFB74921"/>
    <w:rsid w:val="BFD475C3"/>
    <w:rsid w:val="BFDE5EA6"/>
    <w:rsid w:val="CF6FC6F3"/>
    <w:rsid w:val="CFD3D3D7"/>
    <w:rsid w:val="CFDF1009"/>
    <w:rsid w:val="D7D7B16A"/>
    <w:rsid w:val="D8D6DB89"/>
    <w:rsid w:val="DB6F4CAB"/>
    <w:rsid w:val="DB777682"/>
    <w:rsid w:val="DD1FB521"/>
    <w:rsid w:val="DDAFBF49"/>
    <w:rsid w:val="DEFBFEAE"/>
    <w:rsid w:val="DEFF154C"/>
    <w:rsid w:val="DF1F3B80"/>
    <w:rsid w:val="DF6F9789"/>
    <w:rsid w:val="DFFFA9E8"/>
    <w:rsid w:val="E5F4E9DC"/>
    <w:rsid w:val="E70FE695"/>
    <w:rsid w:val="ECFED1BC"/>
    <w:rsid w:val="ED1D69BB"/>
    <w:rsid w:val="ED7FD312"/>
    <w:rsid w:val="EF53993F"/>
    <w:rsid w:val="EF6FD633"/>
    <w:rsid w:val="EFBFB2F4"/>
    <w:rsid w:val="EFBFFA21"/>
    <w:rsid w:val="EFDE8A95"/>
    <w:rsid w:val="F2BEBCB8"/>
    <w:rsid w:val="F36FB518"/>
    <w:rsid w:val="F3D55B43"/>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5"/>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7"/>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4"/>
    <w:qFormat/>
    <w:uiPriority w:val="9"/>
    <w:rPr>
      <w:rFonts w:ascii="Times New Roman" w:hAnsi="Times New Roman"/>
      <w:b/>
      <w:bCs/>
      <w:kern w:val="44"/>
      <w:sz w:val="44"/>
      <w:szCs w:val="44"/>
    </w:rPr>
  </w:style>
  <w:style w:type="character" w:customStyle="1" w:styleId="29">
    <w:name w:val="标题 2 Char"/>
    <w:basedOn w:val="16"/>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6"/>
    <w:qFormat/>
    <w:uiPriority w:val="9"/>
    <w:rPr>
      <w:rFonts w:ascii="Times New Roman" w:hAnsi="Times New Roman"/>
      <w:b/>
      <w:bCs/>
      <w:kern w:val="2"/>
      <w:sz w:val="32"/>
      <w:szCs w:val="32"/>
    </w:rPr>
  </w:style>
  <w:style w:type="paragraph" w:customStyle="1" w:styleId="33">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tmp/wps.zGgVsg/Chart12%20in%20Wps.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tmp/wps.zGgVsg/Chart12%20in%20Wps.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tmp/wps.zGgVsg/Chart12%20in%20Wps.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tmp/wps.zGgVsg/Chart12%20in%20Wps.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tmp/wps.zGgVsg/Chart12%20in%20Wps.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tmp/wps.zGgVsg/Chart12%20in%20Wp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'[Chart12 in Wps.xlsx]Sheet1'!$G$1</c:f>
              <c:strCache>
                <c:ptCount val="1"/>
                <c:pt idx="0">
                  <c:v>收入、支出决算总计变动表</c:v>
                </c:pt>
              </c:strCache>
            </c:strRef>
          </c:tx>
          <c:spPr>
            <a:solidFill>
              <a:schemeClr val="accent1"/>
            </a:solidFill>
            <a:ln>
              <a:noFill/>
            </a:ln>
            <a:effectLst/>
          </c:spPr>
          <c:invertIfNegative val="0"/>
          <c:dLbls>
            <c:delete val="1"/>
          </c:dLbls>
          <c:cat>
            <c:strRef>
              <c:f>'[Chart12 in Wps.xlsx]Sheet1'!$F$2:$F$3</c:f>
              <c:strCache>
                <c:ptCount val="2"/>
                <c:pt idx="0">
                  <c:v>2024年收入、支出决算总计</c:v>
                </c:pt>
                <c:pt idx="1">
                  <c:v>2025年收入、支出决算总计</c:v>
                </c:pt>
              </c:strCache>
            </c:strRef>
          </c:cat>
          <c:val>
            <c:numRef>
              <c:f>'[Chart12 in Wps.xlsx]Sheet1'!$G$2:$G$3</c:f>
              <c:numCache>
                <c:formatCode>General</c:formatCode>
                <c:ptCount val="2"/>
                <c:pt idx="0">
                  <c:v>1225.77</c:v>
                </c:pt>
                <c:pt idx="1">
                  <c:v>1301.39</c:v>
                </c:pt>
              </c:numCache>
            </c:numRef>
          </c:val>
        </c:ser>
        <c:dLbls>
          <c:showLegendKey val="0"/>
          <c:showVal val="0"/>
          <c:showCatName val="0"/>
          <c:showSerName val="0"/>
          <c:showPercent val="0"/>
          <c:showBubbleSize val="0"/>
        </c:dLbls>
        <c:gapWidth val="246"/>
        <c:overlap val="-28"/>
        <c:axId val="176637461"/>
        <c:axId val="478999721"/>
      </c:barChart>
      <c:catAx>
        <c:axId val="17663746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8999721"/>
        <c:crosses val="autoZero"/>
        <c:auto val="1"/>
        <c:lblAlgn val="ctr"/>
        <c:lblOffset val="100"/>
        <c:noMultiLvlLbl val="0"/>
      </c:catAx>
      <c:valAx>
        <c:axId val="47899972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66374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e486752-3e23-4bc8-bb67-8823a3f8ada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'[Chart12 in Wps.xlsx]Sheet1'!$F$22</c:f>
              <c:strCache>
                <c:ptCount val="1"/>
                <c:pt idx="0">
                  <c:v>一般公共预算财政拨款收入</c:v>
                </c:pt>
              </c:strCache>
            </c:strRef>
          </c:tx>
          <c:spPr/>
          <c:explosion val="0"/>
          <c:dPt>
            <c:idx val="0"/>
            <c:bubble3D val="0"/>
            <c:spPr>
              <a:solidFill>
                <a:schemeClr val="accent1"/>
              </a:solidFill>
              <a:ln>
                <a:solidFill>
                  <a:schemeClr val="bg1"/>
                </a:solidFill>
              </a:ln>
              <a:effectLst/>
            </c:spPr>
          </c:dPt>
          <c:dLbls>
            <c:delete val="1"/>
          </c:dLbls>
          <c:cat>
            <c:strRef>
              <c:f>'[Chart12 in Wps.xlsx]Sheet1'!$G$21</c:f>
              <c:strCache>
                <c:ptCount val="1"/>
                <c:pt idx="0">
                  <c:v>收入决算结构图</c:v>
                </c:pt>
              </c:strCache>
            </c:strRef>
          </c:cat>
          <c:val>
            <c:numRef>
              <c:f>'[Chart12 in Wps.xlsx]Sheet1'!$G$22</c:f>
              <c:numCache>
                <c:formatCode>General</c:formatCode>
                <c:ptCount val="1"/>
                <c:pt idx="0">
                  <c:v>1301.39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b75aa34-4a09-41bc-bb9b-8ff2af382ed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'[Chart12 in Wps.xlsx]Sheet1'!$G$40</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'[Chart12 in Wps.xlsx]Sheet1'!$F$41:$F$42</c:f>
              <c:strCache>
                <c:ptCount val="2"/>
                <c:pt idx="0">
                  <c:v>基本支出</c:v>
                </c:pt>
                <c:pt idx="1">
                  <c:v>项目支出</c:v>
                </c:pt>
              </c:strCache>
            </c:strRef>
          </c:cat>
          <c:val>
            <c:numRef>
              <c:f>'[Chart12 in Wps.xlsx]Sheet1'!$G$41:$G$42</c:f>
              <c:numCache>
                <c:formatCode>General</c:formatCode>
                <c:ptCount val="2"/>
                <c:pt idx="0">
                  <c:v>1301.39</c:v>
                </c:pt>
                <c:pt idx="1">
                  <c:v>230.75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b48e7f3-680f-4794-819e-c1d6938a2af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'[Chart12 in Wps.xlsx]Sheet1'!$G$60</c:f>
              <c:strCache>
                <c:ptCount val="1"/>
                <c:pt idx="0">
                  <c:v>财政拨款收、支决算总计变动情况</c:v>
                </c:pt>
              </c:strCache>
            </c:strRef>
          </c:tx>
          <c:spPr>
            <a:solidFill>
              <a:schemeClr val="accent1"/>
            </a:solidFill>
            <a:ln>
              <a:noFill/>
            </a:ln>
            <a:effectLst/>
          </c:spPr>
          <c:invertIfNegative val="0"/>
          <c:dLbls>
            <c:delete val="1"/>
          </c:dLbls>
          <c:cat>
            <c:strRef>
              <c:f>'[Chart12 in Wps.xlsx]Sheet1'!$F$61:$F$62</c:f>
              <c:strCache>
                <c:ptCount val="2"/>
                <c:pt idx="0">
                  <c:v>2024年财政拨款收、支决算总计</c:v>
                </c:pt>
                <c:pt idx="1">
                  <c:v>2025年财政拨款收、支决算总计</c:v>
                </c:pt>
              </c:strCache>
            </c:strRef>
          </c:cat>
          <c:val>
            <c:numRef>
              <c:f>'[Chart12 in Wps.xlsx]Sheet1'!$G$61:$G$62</c:f>
              <c:numCache>
                <c:formatCode>General</c:formatCode>
                <c:ptCount val="2"/>
                <c:pt idx="0">
                  <c:v>1225.77</c:v>
                </c:pt>
                <c:pt idx="1">
                  <c:v>1301.39</c:v>
                </c:pt>
              </c:numCache>
            </c:numRef>
          </c:val>
        </c:ser>
        <c:dLbls>
          <c:showLegendKey val="0"/>
          <c:showVal val="0"/>
          <c:showCatName val="0"/>
          <c:showSerName val="0"/>
          <c:showPercent val="0"/>
          <c:showBubbleSize val="0"/>
        </c:dLbls>
        <c:gapWidth val="246"/>
        <c:overlap val="-28"/>
        <c:axId val="215330120"/>
        <c:axId val="406401595"/>
      </c:barChart>
      <c:catAx>
        <c:axId val="2153301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401595"/>
        <c:crosses val="autoZero"/>
        <c:auto val="1"/>
        <c:lblAlgn val="ctr"/>
        <c:lblOffset val="100"/>
        <c:noMultiLvlLbl val="0"/>
      </c:catAx>
      <c:valAx>
        <c:axId val="4064015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53301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efc66cb-292c-4e21-ab8a-db452caacbf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'[Chart12 in Wps.xlsx]Sheet1'!$G$80</c:f>
              <c:strCache>
                <c:ptCount val="1"/>
                <c:pt idx="0">
                  <c:v>一般公共预算财政拨款支出决算变动情况</c:v>
                </c:pt>
              </c:strCache>
            </c:strRef>
          </c:tx>
          <c:spPr>
            <a:solidFill>
              <a:schemeClr val="accent1"/>
            </a:solidFill>
            <a:ln>
              <a:noFill/>
            </a:ln>
            <a:effectLst/>
          </c:spPr>
          <c:invertIfNegative val="0"/>
          <c:dLbls>
            <c:delete val="1"/>
          </c:dLbls>
          <c:cat>
            <c:strRef>
              <c:f>'[Chart12 in Wps.xlsx]Sheet1'!$F$81:$F$82</c:f>
              <c:strCache>
                <c:ptCount val="2"/>
                <c:pt idx="0">
                  <c:v>2024年一般公共预算财政拨款支出</c:v>
                </c:pt>
                <c:pt idx="1">
                  <c:v>2025年一般公共预算财政拨款支出</c:v>
                </c:pt>
              </c:strCache>
            </c:strRef>
          </c:cat>
          <c:val>
            <c:numRef>
              <c:f>'[Chart12 in Wps.xlsx]Sheet1'!$G$81:$G$82</c:f>
              <c:numCache>
                <c:formatCode>General</c:formatCode>
                <c:ptCount val="2"/>
                <c:pt idx="0">
                  <c:v>1225.77</c:v>
                </c:pt>
                <c:pt idx="1">
                  <c:v>1301.39</c:v>
                </c:pt>
              </c:numCache>
            </c:numRef>
          </c:val>
        </c:ser>
        <c:dLbls>
          <c:showLegendKey val="0"/>
          <c:showVal val="0"/>
          <c:showCatName val="0"/>
          <c:showSerName val="0"/>
          <c:showPercent val="0"/>
          <c:showBubbleSize val="0"/>
        </c:dLbls>
        <c:gapWidth val="246"/>
        <c:overlap val="-28"/>
        <c:axId val="846065569"/>
        <c:axId val="369006807"/>
      </c:barChart>
      <c:catAx>
        <c:axId val="84606556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9006807"/>
        <c:crosses val="autoZero"/>
        <c:auto val="1"/>
        <c:lblAlgn val="ctr"/>
        <c:lblOffset val="100"/>
        <c:noMultiLvlLbl val="0"/>
      </c:catAx>
      <c:valAx>
        <c:axId val="36900680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06556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331e5c-2608-4c8e-8d3d-f439cf317e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'[Chart12 in Wps.xlsx]Sheet1'!$G$101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'[Chart12 in Wps.xlsx]Sheet1'!$F$102:$F$105</c:f>
              <c:strCache>
                <c:ptCount val="4"/>
                <c:pt idx="0">
                  <c:v>一般公共服务支出</c:v>
                </c:pt>
                <c:pt idx="1">
                  <c:v>社会保障和就业支出</c:v>
                </c:pt>
                <c:pt idx="2">
                  <c:v>卫生健康支出</c:v>
                </c:pt>
                <c:pt idx="3">
                  <c:v>住房保障支出</c:v>
                </c:pt>
              </c:strCache>
            </c:strRef>
          </c:cat>
          <c:val>
            <c:numRef>
              <c:f>'[Chart12 in Wps.xlsx]Sheet1'!$G$102:$G$105</c:f>
              <c:numCache>
                <c:formatCode>General</c:formatCode>
                <c:ptCount val="4"/>
                <c:pt idx="0">
                  <c:v>1031.09</c:v>
                </c:pt>
                <c:pt idx="1">
                  <c:v>152.58</c:v>
                </c:pt>
                <c:pt idx="2">
                  <c:v>45.12</c:v>
                </c:pt>
                <c:pt idx="3">
                  <c:v>72.61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023476b-1393-476c-9628-32fea1861f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65b3fd46-741b-4050-9d35-87b0419ccbd5</errorID>
      <errorWord>法律、法规</errorWord>
      <group>L1_Word</group>
      <groupName>字词问题</groupName>
      <ability>L2_Typo</ability>
      <abilityName>字词错误</abilityName>
      <candidateList>
        <item>法律法规</item>
      </candidateList>
      <explain/>
      <paraID>76B98E27</paraID>
      <start>171</start>
      <end>175</end>
      <status>modified</status>
      <modifiedWord>法律法规</modifiedWord>
      <trackRevisions>false</trackRevisions>
    </reviewItem>
    <reviewItem>
      <errorID>0f5acc22-f294-4c6f-9874-77b92e1003cf</errorID>
      <errorWord>法律、法规</errorWord>
      <group>L1_Word</group>
      <groupName>字词问题</groupName>
      <ability>L2_Typo</ability>
      <abilityName>字词错误</abilityName>
      <candidateList>
        <item>法律法规</item>
      </candidateList>
      <explain/>
      <paraID> 300B097</paraID>
      <start>168</start>
      <end>172</end>
      <status>modified</status>
      <modifiedWord>法律法规</modifiedWord>
      <trackRevisions>false</trackRevisions>
    </reviewItem>
    <reviewItem>
      <errorID>c52a43c3-77ee-40d0-9962-2d211437aa95</errorID>
      <errorWord>；</errorWord>
      <group>L1_Word</group>
      <groupName>字词问题</groupName>
      <ability>L2_Typo</ability>
      <abilityName>字词错误</abilityName>
      <candidateList>
        <item>；财</item>
      </candidateList>
      <explain/>
      <paraID>206AF085</paraID>
      <start>99</start>
      <end>101</end>
      <status>modified</status>
      <modifiedWord>；财</modifiedWord>
      <trackRevisions>false</trackRevisions>
    </reviewItem>
    <reviewItem>
      <errorID>4116d60d-853e-4434-9883-44cc55c9b23e</errorID>
      <errorWord>-</errorWord>
      <group>L1_Format</group>
      <groupName>格式问题</groupName>
      <ability>L2_HalfPunc_CN</ability>
      <abilityName>全半角问题</abilityName>
      <candidateList>
        <item>－</item>
      </candidateList>
      <explain>文本全半角错误。</explain>
      <paraID>3615C163</paraID>
      <start>5</start>
      <end>6</end>
      <status>modified</status>
      <modifiedWord>－</modifiedWord>
      <trackRevisions>false</trackRevisions>
    </reviewItem>
    <reviewItem>
      <errorID>70719ea6-4739-4b04-aa34-2dada374d365</errorID>
      <errorWord>-</errorWord>
      <group>L1_Format</group>
      <groupName>格式问题</groupName>
      <ability>L2_HalfPunc_CN</ability>
      <abilityName>全半角问题</abilityName>
      <candidateList>
        <item>－</item>
      </candidateList>
      <explain>文本全半角错误。</explain>
      <paraID>3615C163</paraID>
      <start>46</start>
      <end>47</end>
      <status>modified</status>
      <modifiedWord>－</modifiedWord>
      <trackRevisions>false</trackRevisions>
    </reviewItem>
    <reviewItem>
      <errorID>67a5ca08-f7ff-46ae-ad95-27e114c36af4</errorID>
      <errorWord>-</errorWord>
      <group>L1_Format</group>
      <groupName>格式问题</groupName>
      <ability>L2_HalfPunc_CN</ability>
      <abilityName>全半角问题</abilityName>
      <candidateList>
        <item>－</item>
      </candidateList>
      <explain>文本全半角错误。</explain>
      <paraID>3615C163</paraID>
      <start>69</start>
      <end>70</end>
      <status>modified</status>
      <modifiedWord>－</modifiedWord>
      <trackRevisions>false</trackRevisions>
    </reviewItem>
    <reviewItem>
      <errorID>a6e86dda-486d-4253-b486-fab8a13ac3c9</errorID>
      <errorWord>-</errorWord>
      <group>L1_Format</group>
      <groupName>格式问题</groupName>
      <ability>L2_HalfPunc_CN</ability>
      <abilityName>全半角问题</abilityName>
      <candidateList>
        <item>－</item>
      </candidateList>
      <explain>文本全半角错误。</explain>
      <paraID>3615C163</paraID>
      <start>91</start>
      <end>92</end>
      <status>modified</status>
      <modifiedWord>－</modifiedWord>
      <trackRevisions>false</trackRevisions>
    </reviewItem>
    <reviewItem>
      <errorID>e1103460-8025-4fc0-97cb-6f7c5c56c56b</errorID>
      <errorWord>-</errorWord>
      <group>L1_Format</group>
      <groupName>格式问题</groupName>
      <ability>L2_HalfPunc_CN</ability>
      <abilityName>全半角问题</abilityName>
      <candidateList>
        <item>－</item>
      </candidateList>
      <explain>文本全半角错误。</explain>
      <paraID>3615C163</paraID>
      <start>114</start>
      <end>115</end>
      <status>modified</status>
      <modifiedWord>－</modifiedWord>
      <trackRevisions>false</trackRevisions>
    </reviewItem>
    <reviewItem>
      <errorID>dd218cbd-2b9e-4047-ac43-fe779591f146</errorID>
      <errorWord>-</errorWord>
      <group>L1_Format</group>
      <groupName>格式问题</groupName>
      <ability>L2_HalfPunc_CN</ability>
      <abilityName>全半角问题</abilityName>
      <candidateList>
        <item>－</item>
      </candidateList>
      <explain>文本全半角错误。</explain>
      <paraID>3615C163</paraID>
      <start>136</start>
      <end>137</end>
      <status>modified</status>
      <modifiedWord>－</modifiedWord>
      <trackRevisions>false</trackRevisions>
    </reviewItem>
    <reviewItem>
      <errorID>de6377bc-ff75-40f8-b23c-f32897e54a11</errorID>
      <errorWord>-</errorWord>
      <group>L1_Format</group>
      <groupName>格式问题</groupName>
      <ability>L2_HalfPunc_CN</ability>
      <abilityName>全半角问题</abilityName>
      <candidateList>
        <item>－</item>
      </candidateList>
      <explain>文本全半角错误。</explain>
      <paraID>37B56BF3</paraID>
      <start>5</start>
      <end>6</end>
      <status>modified</status>
      <modifiedWord>－</modifiedWord>
      <trackRevisions>false</trackRevisions>
    </reviewItem>
    <reviewItem>
      <errorID>6cbc8b09-6c69-43de-833a-1ca7076b3046</errorID>
      <errorWord>-</errorWord>
      <group>L1_Format</group>
      <groupName>格式问题</groupName>
      <ability>L2_HalfPunc_CN</ability>
      <abilityName>全半角问题</abilityName>
      <candidateList>
        <item>－</item>
      </candidateList>
      <explain>文本全半角错误。</explain>
      <paraID>37B56BF3</paraID>
      <start>48</start>
      <end>49</end>
      <status>modified</status>
      <modifiedWord>－</modifiedWord>
      <trackRevisions>false</trackRevisions>
    </reviewItem>
    <reviewItem>
      <errorID>1804564a-55a3-450e-9257-0baad893a12d</errorID>
      <errorWord>-</errorWord>
      <group>L1_Format</group>
      <groupName>格式问题</groupName>
      <ability>L2_HalfPunc_CN</ability>
      <abilityName>全半角问题</abilityName>
      <candidateList>
        <item>－</item>
      </candidateList>
      <explain>文本全半角错误。</explain>
      <paraID>37B56BF3</paraID>
      <start>80</start>
      <end>81</end>
      <status>modified</status>
      <modifiedWord>－</modifiedWord>
      <trackRevisions>false</trackRevisions>
    </reviewItem>
    <reviewItem>
      <errorID>9ab520c0-8796-4808-918d-55ab41ae4e1b</errorID>
      <errorWord>-</errorWord>
      <group>L1_Format</group>
      <groupName>格式问题</groupName>
      <ability>L2_HalfPunc_CN</ability>
      <abilityName>全半角问题</abilityName>
      <candidateList>
        <item>－</item>
      </candidateList>
      <explain>文本全半角错误。</explain>
      <paraID>3D68C872</paraID>
      <start>5</start>
      <end>6</end>
      <status>modified</status>
      <modifiedWord>－</modifiedWord>
      <trackRevisions>false</trackRevisions>
    </reviewItem>
    <reviewItem>
      <errorID>df357958-4ace-457e-b70d-c69a3ef0ad91</errorID>
      <errorWord>-</errorWord>
      <group>L1_Format</group>
      <groupName>格式问题</groupName>
      <ability>L2_HalfPunc_CN</ability>
      <abilityName>全半角问题</abilityName>
      <candidateList>
        <item>－</item>
      </candidateList>
      <explain>文本全半角错误。</explain>
      <paraID>3D68C872</paraID>
      <start>42</start>
      <end>43</end>
      <status>modified</status>
      <modifiedWord>－</modifiedWord>
      <trackRevisions>false</trackRevisions>
    </reviewItem>
    <reviewItem>
      <errorID>bd4b28f7-08fd-416e-81c1-1ee3aac90995</errorID>
      <errorWord>-</errorWord>
      <group>L1_Format</group>
      <groupName>格式问题</groupName>
      <ability>L2_HalfPunc_CN</ability>
      <abilityName>全半角问题</abilityName>
      <candidateList>
        <item>－</item>
      </candidateList>
      <explain>文本全半角错误。</explain>
      <paraID>3D68C872</paraID>
      <start>64</start>
      <end>65</end>
      <status>modified</status>
      <modifiedWord>－</modifiedWord>
      <trackRevisions>false</trackRevisions>
    </reviewItem>
    <reviewItem>
      <errorID>66c709b1-45ef-434f-a901-0318e33282d3</errorID>
      <errorWord>-</errorWord>
      <group>L1_Format</group>
      <groupName>格式问题</groupName>
      <ability>L2_HalfPunc_CN</ability>
      <abilityName>全半角问题</abilityName>
      <candidateList>
        <item>－</item>
      </candidateList>
      <explain>文本全半角错误。</explain>
      <paraID>4647D3FD</paraID>
      <start>5</start>
      <end>6</end>
      <status>modified</status>
      <modifiedWord>－</modifiedWord>
      <trackRevisions>false</trackRevisions>
    </reviewItem>
    <reviewItem>
      <errorID>6b90bc1f-eda5-4ff8-80db-be5e17aaf0b0</errorID>
      <errorWord>-</errorWord>
      <group>L1_Format</group>
      <groupName>格式问题</groupName>
      <ability>L2_HalfPunc_CN</ability>
      <abilityName>全半角问题</abilityName>
      <candidateList>
        <item>－</item>
      </candidateList>
      <explain>文本全半角错误。</explain>
      <paraID>4647D3FD</paraID>
      <start>42</start>
      <end>43</end>
      <status>modified</status>
      <modifiedWord>－</modifiedWord>
      <trackRevisions>false</trackRevisions>
    </reviewItem>
    <reviewItem>
      <errorID>3f30740f-8f5e-4d3a-a266-8e4d4da34d9a</errorID>
      <errorWord>&lt;</errorWord>
      <group>L1_Format</group>
      <groupName>格式问题</groupName>
      <ability>L2_HalfPunc_CN</ability>
      <abilityName>全半角问题</abilityName>
      <candidateList>
        <item>〈</item>
      </candidateList>
      <explain>文本全半角错误。</explain>
      <paraID>564243BC</paraID>
      <start>87</start>
      <end>88</end>
      <status>modified</status>
      <modifiedWord>〈</modifiedWord>
      <trackRevisions>false</trackRevisions>
    </reviewItem>
    <reviewItem>
      <errorID>b9560ad5-e361-43c7-96d7-37ff7338acd2</errorID>
      <errorWord>&gt;</errorWord>
      <group>L1_Format</group>
      <groupName>格式问题</groupName>
      <ability>L2_HalfPunc_CN</ability>
      <abilityName>全半角问题</abilityName>
      <candidateList>
        <item>〉</item>
      </candidateList>
      <explain>文本全半角错误。</explain>
      <paraID>564243BC</paraID>
      <start>102</start>
      <end>103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9ea1a8-5f14-4580-af75-2d721e4de00c}">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7256</Words>
  <Characters>7867</Characters>
  <Lines>61</Lines>
  <Paragraphs>17</Paragraphs>
  <TotalTime>4</TotalTime>
  <ScaleCrop>false</ScaleCrop>
  <LinksUpToDate>false</LinksUpToDate>
  <CharactersWithSpaces>7975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奕夕^_^</cp:lastModifiedBy>
  <cp:lastPrinted>2026-10-14T16:11:00Z</cp:lastPrinted>
  <dcterms:modified xsi:type="dcterms:W3CDTF">2026-10-14T09:23:42Z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