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8"/>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7425"/>
      <w:bookmarkStart w:id="1" w:name="_Toc15377193"/>
      <w:bookmarkStart w:id="2" w:name="_Toc15396475"/>
      <w:bookmarkStart w:id="3" w:name="_Toc15396597"/>
      <w:bookmarkStart w:id="4" w:name="_Toc15378441"/>
      <w:bookmarkStart w:id="5" w:name="_Toc15306267"/>
    </w:p>
    <w:bookmarkEnd w:id="0"/>
    <w:bookmarkEnd w:id="1"/>
    <w:bookmarkEnd w:id="2"/>
    <w:bookmarkEnd w:id="3"/>
    <w:bookmarkEnd w:id="4"/>
    <w:p w14:paraId="21B91211">
      <w:pPr>
        <w:pStyle w:val="8"/>
        <w:jc w:val="center"/>
        <w:rPr>
          <w:rFonts w:hint="eastAsia" w:ascii="Times New Roman" w:eastAsia="方正小标宋简体" w:cs="Times New Roman"/>
          <w:color w:val="auto"/>
          <w:kern w:val="2"/>
          <w:sz w:val="44"/>
          <w:szCs w:val="44"/>
          <w:highlight w:val="none"/>
          <w:lang w:val="en-US" w:eastAsia="zh-CN" w:bidi="ar-SA"/>
        </w:rPr>
      </w:pPr>
      <w:bookmarkStart w:id="6" w:name="_Toc15378442"/>
      <w:bookmarkStart w:id="7" w:name="_Toc15377426"/>
      <w:bookmarkStart w:id="8" w:name="_Toc15396476"/>
      <w:bookmarkStart w:id="9" w:name="_Toc15377194"/>
      <w:bookmarkStart w:id="10" w:name="_Toc15396598"/>
    </w:p>
    <w:p w14:paraId="4A65D156">
      <w:pPr>
        <w:pStyle w:val="8"/>
        <w:jc w:val="center"/>
        <w:rPr>
          <w:rFonts w:hint="eastAsia" w:ascii="Times New Roman" w:eastAsia="方正小标宋简体" w:cs="Times New Roman"/>
          <w:color w:val="auto"/>
          <w:kern w:val="2"/>
          <w:sz w:val="44"/>
          <w:szCs w:val="44"/>
          <w:highlight w:val="none"/>
          <w:lang w:val="en-US" w:eastAsia="zh-CN" w:bidi="ar-SA"/>
        </w:rPr>
      </w:pPr>
    </w:p>
    <w:p w14:paraId="1BB440BE">
      <w:pPr>
        <w:pStyle w:val="8"/>
        <w:jc w:val="center"/>
        <w:rPr>
          <w:rFonts w:hint="eastAsia" w:ascii="Times New Roman" w:eastAsia="方正小标宋简体" w:cs="Times New Roman"/>
          <w:color w:val="auto"/>
          <w:kern w:val="2"/>
          <w:sz w:val="44"/>
          <w:szCs w:val="44"/>
          <w:highlight w:val="none"/>
          <w:lang w:val="en-US" w:eastAsia="zh-CN" w:bidi="ar-SA"/>
        </w:rPr>
      </w:pPr>
    </w:p>
    <w:p w14:paraId="78676BE6">
      <w:pPr>
        <w:pStyle w:val="8"/>
        <w:jc w:val="center"/>
        <w:rPr>
          <w:rFonts w:hint="eastAsia" w:ascii="Times New Roman" w:eastAsia="方正小标宋简体" w:cs="Times New Roman"/>
          <w:color w:val="auto"/>
          <w:kern w:val="2"/>
          <w:sz w:val="44"/>
          <w:szCs w:val="44"/>
          <w:highlight w:val="none"/>
          <w:lang w:val="en-US" w:eastAsia="zh-CN" w:bidi="ar-SA"/>
        </w:rPr>
      </w:pPr>
    </w:p>
    <w:p w14:paraId="384168BF">
      <w:pPr>
        <w:pStyle w:val="8"/>
        <w:jc w:val="center"/>
        <w:rPr>
          <w:rFonts w:hint="eastAsia" w:ascii="Times New Roman" w:eastAsia="方正小标宋简体" w:cs="Times New Roman"/>
          <w:color w:val="auto"/>
          <w:kern w:val="2"/>
          <w:sz w:val="44"/>
          <w:szCs w:val="44"/>
          <w:highlight w:val="none"/>
          <w:lang w:val="en-US" w:eastAsia="zh-CN" w:bidi="ar-SA"/>
        </w:rPr>
      </w:pPr>
    </w:p>
    <w:p w14:paraId="021D09B8">
      <w:pPr>
        <w:pStyle w:val="8"/>
        <w:jc w:val="center"/>
        <w:rPr>
          <w:rFonts w:hint="eastAsia" w:ascii="Times New Roman" w:eastAsia="方正小标宋简体" w:cs="Times New Roman"/>
          <w:color w:val="auto"/>
          <w:kern w:val="2"/>
          <w:sz w:val="44"/>
          <w:szCs w:val="44"/>
          <w:highlight w:val="none"/>
          <w:lang w:val="en-US" w:eastAsia="zh-CN" w:bidi="ar-SA"/>
        </w:rPr>
      </w:pPr>
    </w:p>
    <w:p w14:paraId="61235C1A">
      <w:pPr>
        <w:pStyle w:val="8"/>
        <w:jc w:val="center"/>
        <w:rPr>
          <w:rFonts w:hint="eastAsia" w:ascii="Times New Roman" w:eastAsia="方正小标宋简体" w:cs="Times New Roman"/>
          <w:color w:val="auto"/>
          <w:kern w:val="2"/>
          <w:sz w:val="44"/>
          <w:szCs w:val="44"/>
          <w:highlight w:val="none"/>
          <w:lang w:val="en-US" w:eastAsia="zh-CN" w:bidi="ar-SA"/>
        </w:rPr>
      </w:pPr>
    </w:p>
    <w:p w14:paraId="63E8B00A">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2025年度松潘县</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公证处</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公开</w:t>
      </w:r>
    </w:p>
    <w:p w14:paraId="72FDF922">
      <w:pPr>
        <w:widowControl/>
        <w:jc w:val="center"/>
        <w:rPr>
          <w:rFonts w:hint="eastAsia" w:ascii="Times New Roman" w:hAnsi="Times New Roman" w:eastAsia="黑体"/>
          <w:color w:val="auto"/>
          <w:sz w:val="48"/>
          <w:szCs w:val="48"/>
          <w:highlight w:val="none"/>
        </w:rPr>
      </w:pPr>
    </w:p>
    <w:p w14:paraId="21ABACDA">
      <w:pPr>
        <w:widowControl/>
        <w:jc w:val="center"/>
        <w:rPr>
          <w:rFonts w:hint="eastAsia" w:ascii="Times New Roman" w:hAnsi="Times New Roman" w:eastAsia="黑体"/>
          <w:color w:val="auto"/>
          <w:sz w:val="48"/>
          <w:szCs w:val="48"/>
          <w:highlight w:val="none"/>
        </w:rPr>
      </w:pPr>
    </w:p>
    <w:p w14:paraId="5E218A54">
      <w:pPr>
        <w:widowControl/>
        <w:jc w:val="center"/>
        <w:rPr>
          <w:rFonts w:hint="eastAsia" w:ascii="Times New Roman" w:hAnsi="Times New Roman" w:eastAsia="黑体"/>
          <w:color w:val="auto"/>
          <w:sz w:val="48"/>
          <w:szCs w:val="48"/>
          <w:highlight w:val="none"/>
        </w:rPr>
      </w:pPr>
    </w:p>
    <w:p w14:paraId="008E1DEB">
      <w:pPr>
        <w:pStyle w:val="3"/>
        <w:rPr>
          <w:rFonts w:hint="eastAsia"/>
        </w:rPr>
      </w:pPr>
    </w:p>
    <w:p w14:paraId="6DC7BCCF">
      <w:pPr>
        <w:widowControl/>
        <w:jc w:val="center"/>
        <w:rPr>
          <w:rFonts w:hint="eastAsia" w:ascii="Times New Roman" w:hAnsi="Times New Roman" w:eastAsia="黑体"/>
          <w:color w:val="auto"/>
          <w:sz w:val="48"/>
          <w:szCs w:val="48"/>
          <w:highlight w:val="none"/>
        </w:rPr>
      </w:pPr>
    </w:p>
    <w:p w14:paraId="1992C287">
      <w:pPr>
        <w:widowControl/>
        <w:jc w:val="center"/>
        <w:rPr>
          <w:rFonts w:hint="eastAsia" w:ascii="Times New Roman" w:hAnsi="Times New Roman" w:eastAsia="黑体"/>
          <w:color w:val="auto"/>
          <w:sz w:val="48"/>
          <w:szCs w:val="48"/>
          <w:highlight w:val="none"/>
        </w:rPr>
      </w:pPr>
    </w:p>
    <w:p w14:paraId="77064C0E">
      <w:pPr>
        <w:widowControl/>
        <w:jc w:val="center"/>
        <w:rPr>
          <w:rFonts w:hint="eastAsia" w:ascii="Times New Roman" w:hAnsi="Times New Roman" w:eastAsia="黑体"/>
          <w:color w:val="auto"/>
          <w:sz w:val="48"/>
          <w:szCs w:val="48"/>
          <w:highlight w:val="none"/>
        </w:rPr>
      </w:pPr>
    </w:p>
    <w:p w14:paraId="71E2DD23">
      <w:pPr>
        <w:widowControl/>
        <w:jc w:val="center"/>
        <w:rPr>
          <w:rFonts w:hint="eastAsia" w:ascii="Times New Roman" w:hAnsi="Times New Roman" w:eastAsia="黑体"/>
          <w:color w:val="auto"/>
          <w:sz w:val="48"/>
          <w:szCs w:val="48"/>
          <w:highlight w:val="none"/>
        </w:rPr>
      </w:pPr>
    </w:p>
    <w:p w14:paraId="440339EC">
      <w:pPr>
        <w:widowControl/>
        <w:jc w:val="center"/>
        <w:rPr>
          <w:rFonts w:hint="eastAsia" w:ascii="Times New Roman" w:hAnsi="Times New Roman" w:eastAsia="黑体"/>
          <w:color w:val="auto"/>
          <w:sz w:val="48"/>
          <w:szCs w:val="48"/>
          <w:highlight w:val="none"/>
        </w:rPr>
      </w:pPr>
    </w:p>
    <w:p w14:paraId="4D0AFFED">
      <w:pPr>
        <w:widowControl/>
        <w:jc w:val="center"/>
        <w:rPr>
          <w:rFonts w:hint="eastAsia" w:ascii="Times New Roman" w:hAnsi="Times New Roman" w:eastAsia="黑体"/>
          <w:color w:val="auto"/>
          <w:sz w:val="48"/>
          <w:szCs w:val="48"/>
          <w:highlight w:val="none"/>
        </w:rPr>
      </w:pPr>
    </w:p>
    <w:p w14:paraId="20BAAD46">
      <w:pPr>
        <w:widowControl/>
        <w:jc w:val="both"/>
        <w:rPr>
          <w:rFonts w:hint="eastAsia" w:ascii="Times New Roman" w:hAnsi="Times New Roman" w:eastAsia="黑体"/>
          <w:color w:val="auto"/>
          <w:sz w:val="48"/>
          <w:szCs w:val="48"/>
          <w:highlight w:val="none"/>
        </w:rPr>
      </w:pPr>
    </w:p>
    <w:p w14:paraId="51BDCAFB">
      <w:pPr>
        <w:widowControl/>
        <w:ind w:firstLine="480" w:firstLineChars="100"/>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0FA556FB">
      <w:pPr>
        <w:widowControl/>
        <w:ind w:firstLine="480" w:firstLineChars="100"/>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3566C182">
      <w:pPr>
        <w:pStyle w:val="13"/>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402627317"/>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751C3ACE">
          <w:pPr>
            <w:spacing w:before="0" w:beforeLines="0" w:after="0" w:afterLines="0" w:line="240" w:lineRule="auto"/>
            <w:ind w:left="0" w:leftChars="0" w:right="0" w:rightChars="0" w:firstLine="0" w:firstLineChars="0"/>
            <w:jc w:val="center"/>
          </w:pPr>
        </w:p>
        <w:p w14:paraId="73BADA62">
          <w:pPr>
            <w:pStyle w:val="13"/>
            <w:tabs>
              <w:tab w:val="right" w:leader="dot" w:pos="8306"/>
              <w:tab w:val="clear" w:pos="8296"/>
            </w:tabs>
            <w:jc w:val="both"/>
          </w:pPr>
          <w:r>
            <w:fldChar w:fldCharType="begin"/>
          </w:r>
          <w:r>
            <w:instrText xml:space="preserve">TOC \o "1-3" \h \u </w:instrText>
          </w:r>
          <w:r>
            <w:fldChar w:fldCharType="separate"/>
          </w:r>
          <w:r>
            <w:fldChar w:fldCharType="begin"/>
          </w:r>
          <w:r>
            <w:instrText xml:space="preserve"> HYPERLINK \l _Toc219392843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_Toc219392843 \h </w:instrText>
          </w:r>
          <w:r>
            <w:fldChar w:fldCharType="separate"/>
          </w:r>
          <w:r>
            <w:t>1</w:t>
          </w:r>
          <w:r>
            <w:fldChar w:fldCharType="end"/>
          </w:r>
          <w:r>
            <w:fldChar w:fldCharType="end"/>
          </w:r>
        </w:p>
        <w:p w14:paraId="78C546BD">
          <w:pPr>
            <w:pStyle w:val="14"/>
            <w:tabs>
              <w:tab w:val="right" w:leader="dot" w:pos="8306"/>
              <w:tab w:val="clear" w:pos="8296"/>
            </w:tabs>
          </w:pPr>
          <w:r>
            <w:fldChar w:fldCharType="begin"/>
          </w:r>
          <w:r>
            <w:instrText xml:space="preserve"> HYPERLINK \l _Toc148983038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_Toc148983038 \h </w:instrText>
          </w:r>
          <w:r>
            <w:fldChar w:fldCharType="separate"/>
          </w:r>
          <w:r>
            <w:t>1</w:t>
          </w:r>
          <w:r>
            <w:fldChar w:fldCharType="end"/>
          </w:r>
          <w:r>
            <w:fldChar w:fldCharType="end"/>
          </w:r>
        </w:p>
        <w:p w14:paraId="5103887E">
          <w:pPr>
            <w:pStyle w:val="14"/>
            <w:tabs>
              <w:tab w:val="right" w:leader="dot" w:pos="8306"/>
              <w:tab w:val="clear" w:pos="8296"/>
            </w:tabs>
          </w:pPr>
          <w:r>
            <w:fldChar w:fldCharType="begin"/>
          </w:r>
          <w:r>
            <w:instrText xml:space="preserve"> HYPERLINK \l _Toc288291946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_Toc288291946 \h </w:instrText>
          </w:r>
          <w:r>
            <w:fldChar w:fldCharType="separate"/>
          </w:r>
          <w:r>
            <w:t>1</w:t>
          </w:r>
          <w:r>
            <w:fldChar w:fldCharType="end"/>
          </w:r>
          <w:r>
            <w:fldChar w:fldCharType="end"/>
          </w:r>
        </w:p>
        <w:p w14:paraId="77B2BB04">
          <w:pPr>
            <w:pStyle w:val="13"/>
            <w:tabs>
              <w:tab w:val="right" w:leader="dot" w:pos="8306"/>
              <w:tab w:val="clear" w:pos="8296"/>
            </w:tabs>
          </w:pPr>
          <w:r>
            <w:fldChar w:fldCharType="begin"/>
          </w:r>
          <w:r>
            <w:instrText xml:space="preserve"> HYPERLINK \l _Toc897935004 </w:instrText>
          </w:r>
          <w:r>
            <w:fldChar w:fldCharType="separate"/>
          </w:r>
          <w:r>
            <w:rPr>
              <w:rFonts w:hint="eastAsia" w:ascii="Times New Roman" w:hAnsi="Times New Roman" w:eastAsia="方正小标宋简体" w:cs="方正小标宋简体"/>
              <w:highlight w:val="none"/>
            </w:rPr>
            <w:t>第二部分</w:t>
          </w:r>
          <w:r>
            <w:rPr>
              <w:rFonts w:hint="eastAsia" w:eastAsia="方正小标宋简体" w:cs="方正小标宋简体"/>
              <w:highlight w:val="none"/>
              <w:lang w:val="en-US" w:eastAsia="zh-CN"/>
            </w:rPr>
            <w:t xml:space="preserve"> 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_Toc897935004 \h </w:instrText>
          </w:r>
          <w:r>
            <w:fldChar w:fldCharType="separate"/>
          </w:r>
          <w:r>
            <w:t>1</w:t>
          </w:r>
          <w:r>
            <w:fldChar w:fldCharType="end"/>
          </w:r>
          <w:r>
            <w:fldChar w:fldCharType="end"/>
          </w:r>
        </w:p>
        <w:p w14:paraId="350D15E5">
          <w:pPr>
            <w:pStyle w:val="14"/>
            <w:tabs>
              <w:tab w:val="right" w:leader="dot" w:pos="8306"/>
              <w:tab w:val="clear" w:pos="8296"/>
            </w:tabs>
          </w:pPr>
          <w:r>
            <w:fldChar w:fldCharType="begin"/>
          </w:r>
          <w:r>
            <w:instrText xml:space="preserve"> HYPERLINK \l _Toc1055060104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_Toc1055060104 \h </w:instrText>
          </w:r>
          <w:r>
            <w:fldChar w:fldCharType="separate"/>
          </w:r>
          <w:r>
            <w:t>1</w:t>
          </w:r>
          <w:r>
            <w:fldChar w:fldCharType="end"/>
          </w:r>
          <w:r>
            <w:fldChar w:fldCharType="end"/>
          </w:r>
        </w:p>
        <w:p w14:paraId="12AAFC67">
          <w:pPr>
            <w:pStyle w:val="14"/>
            <w:tabs>
              <w:tab w:val="right" w:leader="dot" w:pos="8306"/>
              <w:tab w:val="clear" w:pos="8296"/>
            </w:tabs>
          </w:pPr>
          <w:r>
            <w:fldChar w:fldCharType="begin"/>
          </w:r>
          <w:r>
            <w:instrText xml:space="preserve"> HYPERLINK \l _Toc1293301261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_Toc1293301261 \h </w:instrText>
          </w:r>
          <w:r>
            <w:fldChar w:fldCharType="separate"/>
          </w:r>
          <w:r>
            <w:t>2</w:t>
          </w:r>
          <w:r>
            <w:fldChar w:fldCharType="end"/>
          </w:r>
          <w:r>
            <w:fldChar w:fldCharType="end"/>
          </w:r>
        </w:p>
        <w:p w14:paraId="21C5AF6B">
          <w:pPr>
            <w:pStyle w:val="14"/>
            <w:tabs>
              <w:tab w:val="right" w:leader="dot" w:pos="8306"/>
              <w:tab w:val="clear" w:pos="8296"/>
            </w:tabs>
          </w:pPr>
          <w:r>
            <w:fldChar w:fldCharType="begin"/>
          </w:r>
          <w:r>
            <w:instrText xml:space="preserve"> HYPERLINK \l _Toc244783697 </w:instrText>
          </w:r>
          <w:r>
            <w:fldChar w:fldCharType="separate"/>
          </w:r>
          <w:r>
            <w:rPr>
              <w:rFonts w:hint="eastAsia" w:eastAsia="仿宋_GB2312" w:cs="仿宋_GB2312"/>
              <w:szCs w:val="32"/>
              <w:highlight w:val="none"/>
              <w:lang w:eastAsia="zh-CN"/>
            </w:rPr>
            <w:t>2025年度</w:t>
          </w:r>
          <w:r>
            <w:rPr>
              <w:rFonts w:hint="eastAsia" w:ascii="Times New Roman" w:hAnsi="Times New Roman" w:eastAsia="仿宋_GB2312" w:cs="仿宋_GB2312"/>
              <w:szCs w:val="32"/>
              <w:highlight w:val="none"/>
              <w:lang w:eastAsia="zh-CN"/>
            </w:rPr>
            <w:t>本年收入合计</w:t>
          </w:r>
          <w:r>
            <w:rPr>
              <w:rFonts w:hint="eastAsia" w:eastAsia="仿宋_GB2312" w:cs="仿宋_GB2312"/>
              <w:szCs w:val="32"/>
              <w:highlight w:val="none"/>
              <w:lang w:val="en-US" w:eastAsia="zh-CN"/>
            </w:rPr>
            <w:t>28.12</w:t>
          </w:r>
          <w:r>
            <w:rPr>
              <w:rFonts w:hint="eastAsia" w:ascii="Times New Roman" w:hAnsi="Times New Roman" w:eastAsia="仿宋_GB2312" w:cs="仿宋_GB2312"/>
              <w:szCs w:val="32"/>
              <w:highlight w:val="none"/>
              <w:lang w:eastAsia="zh-CN"/>
            </w:rPr>
            <w:t>万元，其中：一般公共预算财政拨款收入</w:t>
          </w:r>
          <w:r>
            <w:rPr>
              <w:rFonts w:hint="eastAsia" w:eastAsia="仿宋_GB2312" w:cs="仿宋_GB2312"/>
              <w:szCs w:val="32"/>
              <w:highlight w:val="none"/>
              <w:lang w:val="en-US" w:eastAsia="zh-CN"/>
            </w:rPr>
            <w:t>28.12</w:t>
          </w:r>
          <w:r>
            <w:rPr>
              <w:rFonts w:hint="eastAsia" w:ascii="Times New Roman" w:hAnsi="Times New Roman" w:eastAsia="仿宋_GB2312" w:cs="仿宋_GB2312"/>
              <w:szCs w:val="32"/>
              <w:highlight w:val="none"/>
              <w:lang w:eastAsia="zh-CN"/>
            </w:rPr>
            <w:t>万元，占</w:t>
          </w:r>
          <w:r>
            <w:rPr>
              <w:rFonts w:hint="eastAsia" w:eastAsia="仿宋_GB2312" w:cs="仿宋_GB2312"/>
              <w:szCs w:val="32"/>
              <w:highlight w:val="none"/>
              <w:lang w:val="en-US" w:eastAsia="zh-CN"/>
            </w:rPr>
            <w:t>100</w:t>
          </w:r>
          <w:r>
            <w:rPr>
              <w:rFonts w:hint="eastAsia" w:ascii="Times New Roman" w:hAnsi="Times New Roman" w:eastAsia="仿宋_GB2312" w:cs="仿宋_GB2312"/>
              <w:szCs w:val="32"/>
              <w:highlight w:val="none"/>
              <w:lang w:eastAsia="zh-CN"/>
            </w:rPr>
            <w:t>%</w:t>
          </w:r>
          <w:r>
            <w:rPr>
              <w:rFonts w:hint="eastAsia" w:eastAsia="仿宋_GB2312" w:cs="仿宋_GB2312"/>
              <w:szCs w:val="32"/>
              <w:highlight w:val="none"/>
              <w:lang w:eastAsia="zh-CN"/>
            </w:rPr>
            <w:t>。</w:t>
          </w:r>
          <w:r>
            <w:tab/>
          </w:r>
          <w:r>
            <w:fldChar w:fldCharType="begin"/>
          </w:r>
          <w:r>
            <w:instrText xml:space="preserve"> PAGEREF _Toc244783697 \h </w:instrText>
          </w:r>
          <w:r>
            <w:fldChar w:fldCharType="separate"/>
          </w:r>
          <w:r>
            <w:t>2</w:t>
          </w:r>
          <w:r>
            <w:fldChar w:fldCharType="end"/>
          </w:r>
          <w:r>
            <w:fldChar w:fldCharType="end"/>
          </w:r>
        </w:p>
        <w:p w14:paraId="0C776364">
          <w:pPr>
            <w:pStyle w:val="14"/>
            <w:tabs>
              <w:tab w:val="right" w:leader="dot" w:pos="8306"/>
              <w:tab w:val="clear" w:pos="8296"/>
            </w:tabs>
          </w:pPr>
          <w:r>
            <w:fldChar w:fldCharType="begin"/>
          </w:r>
          <w:r>
            <w:instrText xml:space="preserve"> HYPERLINK \l _Toc1111502489 </w:instrText>
          </w:r>
          <w:r>
            <w:fldChar w:fldCharType="separate"/>
          </w:r>
          <w:r>
            <w:rPr>
              <w:rFonts w:hint="eastAsia" w:eastAsia="仿宋_GB2312" w:cs="仿宋_GB2312"/>
              <w:szCs w:val="32"/>
              <w:highlight w:val="none"/>
              <w:lang w:val="en-US" w:eastAsia="zh-CN"/>
            </w:rPr>
            <w:t xml:space="preserve"> </w:t>
          </w:r>
          <w:r>
            <w:rPr>
              <w:rFonts w:hint="eastAsia" w:ascii="Times New Roman" w:hAnsi="Times New Roman" w:eastAsia="仿宋_GB2312" w:cs="仿宋_GB2312"/>
              <w:szCs w:val="32"/>
              <w:highlight w:val="none"/>
              <w:lang w:eastAsia="zh-CN"/>
            </w:rPr>
            <w:t>图</w:t>
          </w:r>
          <w:r>
            <w:rPr>
              <w:rFonts w:hint="eastAsia" w:eastAsia="仿宋_GB2312" w:cs="仿宋_GB2312"/>
              <w:szCs w:val="32"/>
              <w:highlight w:val="none"/>
              <w:lang w:val="en-US" w:eastAsia="zh-CN"/>
            </w:rPr>
            <w:t>2</w:t>
          </w:r>
          <w:r>
            <w:rPr>
              <w:rFonts w:hint="eastAsia" w:ascii="Times New Roman" w:hAnsi="Times New Roman" w:eastAsia="仿宋_GB2312" w:cs="仿宋_GB2312"/>
              <w:szCs w:val="32"/>
              <w:highlight w:val="none"/>
              <w:lang w:eastAsia="zh-CN"/>
            </w:rPr>
            <w:t>：收入决算结构图</w:t>
          </w:r>
          <w:r>
            <w:tab/>
          </w:r>
          <w:r>
            <w:fldChar w:fldCharType="begin"/>
          </w:r>
          <w:r>
            <w:instrText xml:space="preserve"> PAGEREF _Toc1111502489 \h </w:instrText>
          </w:r>
          <w:r>
            <w:fldChar w:fldCharType="separate"/>
          </w:r>
          <w:r>
            <w:t>2</w:t>
          </w:r>
          <w:r>
            <w:fldChar w:fldCharType="end"/>
          </w:r>
          <w:r>
            <w:fldChar w:fldCharType="end"/>
          </w:r>
        </w:p>
        <w:p w14:paraId="3B841966">
          <w:pPr>
            <w:pStyle w:val="14"/>
            <w:tabs>
              <w:tab w:val="right" w:leader="dot" w:pos="8306"/>
              <w:tab w:val="clear" w:pos="8296"/>
            </w:tabs>
          </w:pPr>
          <w:r>
            <w:fldChar w:fldCharType="begin"/>
          </w:r>
          <w:r>
            <w:instrText xml:space="preserve"> HYPERLINK \l _Toc1531280624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_Toc1531280624 \h </w:instrText>
          </w:r>
          <w:r>
            <w:fldChar w:fldCharType="separate"/>
          </w:r>
          <w:r>
            <w:t>2</w:t>
          </w:r>
          <w:r>
            <w:fldChar w:fldCharType="end"/>
          </w:r>
          <w:r>
            <w:fldChar w:fldCharType="end"/>
          </w:r>
        </w:p>
        <w:p w14:paraId="75728CDA">
          <w:pPr>
            <w:pStyle w:val="14"/>
            <w:tabs>
              <w:tab w:val="right" w:leader="dot" w:pos="8306"/>
              <w:tab w:val="clear" w:pos="8296"/>
            </w:tabs>
          </w:pPr>
          <w:r>
            <w:fldChar w:fldCharType="begin"/>
          </w:r>
          <w:r>
            <w:instrText xml:space="preserve"> HYPERLINK \l _Toc627142621 </w:instrText>
          </w:r>
          <w:r>
            <w:fldChar w:fldCharType="separate"/>
          </w:r>
          <w:r>
            <w:rPr>
              <w:rFonts w:hint="eastAsia" w:eastAsia="仿宋_GB2312" w:cs="仿宋_GB2312"/>
              <w:szCs w:val="32"/>
              <w:highlight w:val="none"/>
              <w:lang w:eastAsia="zh-CN"/>
            </w:rPr>
            <w:t>2025年度</w:t>
          </w:r>
          <w:r>
            <w:rPr>
              <w:rFonts w:hint="eastAsia" w:ascii="Times New Roman" w:hAnsi="Times New Roman" w:eastAsia="仿宋_GB2312" w:cs="仿宋_GB2312"/>
              <w:szCs w:val="32"/>
              <w:highlight w:val="none"/>
              <w:lang w:eastAsia="zh-CN"/>
            </w:rPr>
            <w:t>本年支出合计</w:t>
          </w:r>
          <w:r>
            <w:rPr>
              <w:rFonts w:hint="eastAsia" w:eastAsia="仿宋_GB2312" w:cs="仿宋_GB2312"/>
              <w:szCs w:val="32"/>
              <w:highlight w:val="none"/>
              <w:lang w:val="en-US" w:eastAsia="zh-CN"/>
            </w:rPr>
            <w:t>28.12</w:t>
          </w:r>
          <w:r>
            <w:rPr>
              <w:rFonts w:hint="eastAsia" w:ascii="Times New Roman" w:hAnsi="Times New Roman" w:eastAsia="仿宋_GB2312" w:cs="仿宋_GB2312"/>
              <w:szCs w:val="32"/>
              <w:highlight w:val="none"/>
              <w:lang w:eastAsia="zh-CN"/>
            </w:rPr>
            <w:t>万元，其中：基本支出</w:t>
          </w:r>
          <w:r>
            <w:tab/>
          </w:r>
          <w:r>
            <w:fldChar w:fldCharType="begin"/>
          </w:r>
          <w:r>
            <w:instrText xml:space="preserve"> PAGEREF _Toc627142621 \h </w:instrText>
          </w:r>
          <w:r>
            <w:fldChar w:fldCharType="separate"/>
          </w:r>
          <w:r>
            <w:t>2</w:t>
          </w:r>
          <w:r>
            <w:fldChar w:fldCharType="end"/>
          </w:r>
          <w:r>
            <w:fldChar w:fldCharType="end"/>
          </w:r>
        </w:p>
        <w:p w14:paraId="036F1059">
          <w:pPr>
            <w:pStyle w:val="14"/>
            <w:tabs>
              <w:tab w:val="right" w:leader="dot" w:pos="8306"/>
              <w:tab w:val="clear" w:pos="8296"/>
            </w:tabs>
          </w:pPr>
          <w:r>
            <w:fldChar w:fldCharType="begin"/>
          </w:r>
          <w:r>
            <w:instrText xml:space="preserve"> HYPERLINK \l _Toc240812373 </w:instrText>
          </w:r>
          <w:r>
            <w:fldChar w:fldCharType="separate"/>
          </w:r>
          <w:r>
            <w:rPr>
              <w:rFonts w:hint="eastAsia" w:eastAsia="仿宋_GB2312" w:cs="仿宋_GB2312"/>
              <w:szCs w:val="32"/>
              <w:highlight w:val="none"/>
              <w:lang w:val="en-US" w:eastAsia="zh-CN"/>
            </w:rPr>
            <w:t>28.12</w:t>
          </w:r>
          <w:r>
            <w:rPr>
              <w:rFonts w:hint="eastAsia" w:ascii="Times New Roman" w:hAnsi="Times New Roman" w:eastAsia="仿宋_GB2312" w:cs="仿宋_GB2312"/>
              <w:szCs w:val="32"/>
              <w:highlight w:val="none"/>
              <w:lang w:eastAsia="zh-CN"/>
            </w:rPr>
            <w:t>万元，占</w:t>
          </w:r>
          <w:r>
            <w:rPr>
              <w:rFonts w:hint="eastAsia" w:eastAsia="仿宋_GB2312" w:cs="仿宋_GB2312"/>
              <w:szCs w:val="32"/>
              <w:highlight w:val="none"/>
              <w:lang w:val="en-US" w:eastAsia="zh-CN"/>
            </w:rPr>
            <w:t>100</w:t>
          </w:r>
          <w:r>
            <w:rPr>
              <w:rFonts w:hint="eastAsia" w:ascii="Times New Roman" w:hAnsi="Times New Roman" w:eastAsia="仿宋_GB2312" w:cs="仿宋_GB2312"/>
              <w:szCs w:val="32"/>
              <w:highlight w:val="none"/>
              <w:lang w:eastAsia="zh-CN"/>
            </w:rPr>
            <w:t>%</w:t>
          </w:r>
          <w:r>
            <w:rPr>
              <w:rFonts w:hint="eastAsia" w:eastAsia="仿宋_GB2312" w:cs="仿宋_GB2312"/>
              <w:szCs w:val="32"/>
              <w:highlight w:val="none"/>
              <w:lang w:eastAsia="zh-CN"/>
            </w:rPr>
            <w:t>。</w:t>
          </w:r>
          <w:r>
            <w:tab/>
          </w:r>
          <w:r>
            <w:fldChar w:fldCharType="begin"/>
          </w:r>
          <w:r>
            <w:instrText xml:space="preserve"> PAGEREF _Toc240812373 \h </w:instrText>
          </w:r>
          <w:r>
            <w:fldChar w:fldCharType="separate"/>
          </w:r>
          <w:r>
            <w:t>2</w:t>
          </w:r>
          <w:r>
            <w:fldChar w:fldCharType="end"/>
          </w:r>
          <w:r>
            <w:fldChar w:fldCharType="end"/>
          </w:r>
        </w:p>
        <w:p w14:paraId="0196ECF8">
          <w:pPr>
            <w:pStyle w:val="14"/>
            <w:tabs>
              <w:tab w:val="right" w:leader="dot" w:pos="8306"/>
              <w:tab w:val="clear" w:pos="8296"/>
            </w:tabs>
          </w:pPr>
          <w:r>
            <w:fldChar w:fldCharType="begin"/>
          </w:r>
          <w:r>
            <w:instrText xml:space="preserve"> HYPERLINK \l _Toc201823535 </w:instrText>
          </w:r>
          <w:r>
            <w:fldChar w:fldCharType="separate"/>
          </w:r>
          <w:r>
            <w:rPr>
              <w:rFonts w:hint="eastAsia" w:eastAsia="仿宋_GB2312" w:cs="仿宋_GB2312"/>
              <w:szCs w:val="32"/>
              <w:highlight w:val="none"/>
              <w:lang w:val="en-US" w:eastAsia="zh-CN"/>
            </w:rPr>
            <w:t xml:space="preserve"> </w:t>
          </w:r>
          <w:r>
            <w:rPr>
              <w:rFonts w:hint="eastAsia" w:ascii="Times New Roman" w:hAnsi="Times New Roman" w:eastAsia="仿宋_GB2312" w:cs="仿宋_GB2312"/>
              <w:szCs w:val="32"/>
              <w:highlight w:val="none"/>
              <w:lang w:eastAsia="zh-CN"/>
            </w:rPr>
            <w:t>图3：支出决算结构</w:t>
          </w:r>
          <w:r>
            <w:rPr>
              <w:rFonts w:hint="eastAsia" w:eastAsia="仿宋_GB2312" w:cs="仿宋_GB2312"/>
              <w:szCs w:val="32"/>
              <w:highlight w:val="none"/>
              <w:lang w:eastAsia="zh-CN"/>
            </w:rPr>
            <w:t>图</w:t>
          </w:r>
          <w:r>
            <w:tab/>
          </w:r>
          <w:r>
            <w:fldChar w:fldCharType="begin"/>
          </w:r>
          <w:r>
            <w:instrText xml:space="preserve"> PAGEREF _Toc201823535 \h </w:instrText>
          </w:r>
          <w:r>
            <w:fldChar w:fldCharType="separate"/>
          </w:r>
          <w:r>
            <w:t>3</w:t>
          </w:r>
          <w:r>
            <w:fldChar w:fldCharType="end"/>
          </w:r>
          <w:r>
            <w:fldChar w:fldCharType="end"/>
          </w:r>
        </w:p>
        <w:p w14:paraId="14D81505">
          <w:pPr>
            <w:pStyle w:val="14"/>
            <w:tabs>
              <w:tab w:val="right" w:leader="dot" w:pos="8306"/>
              <w:tab w:val="clear" w:pos="8296"/>
            </w:tabs>
          </w:pPr>
          <w:r>
            <w:fldChar w:fldCharType="begin"/>
          </w:r>
          <w:r>
            <w:instrText xml:space="preserve"> HYPERLINK \l _Toc1587733889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_Toc1587733889 \h </w:instrText>
          </w:r>
          <w:r>
            <w:fldChar w:fldCharType="separate"/>
          </w:r>
          <w:r>
            <w:t>3</w:t>
          </w:r>
          <w:r>
            <w:fldChar w:fldCharType="end"/>
          </w:r>
          <w:r>
            <w:fldChar w:fldCharType="end"/>
          </w:r>
        </w:p>
        <w:p w14:paraId="11BAD7EF">
          <w:pPr>
            <w:pStyle w:val="9"/>
            <w:tabs>
              <w:tab w:val="right" w:leader="dot" w:pos="8306"/>
              <w:tab w:val="clear" w:pos="8296"/>
            </w:tabs>
          </w:pPr>
          <w:r>
            <w:fldChar w:fldCharType="begin"/>
          </w:r>
          <w:r>
            <w:instrText xml:space="preserve"> HYPERLINK \l _Toc71549572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_Toc71549572 \h </w:instrText>
          </w:r>
          <w:r>
            <w:fldChar w:fldCharType="separate"/>
          </w:r>
          <w:r>
            <w:t>3</w:t>
          </w:r>
          <w:r>
            <w:fldChar w:fldCharType="end"/>
          </w:r>
          <w:r>
            <w:fldChar w:fldCharType="end"/>
          </w:r>
        </w:p>
        <w:p w14:paraId="1ED4CCEE">
          <w:pPr>
            <w:pStyle w:val="9"/>
            <w:tabs>
              <w:tab w:val="right" w:leader="dot" w:pos="8306"/>
              <w:tab w:val="clear" w:pos="8296"/>
            </w:tabs>
          </w:pPr>
          <w:r>
            <w:fldChar w:fldCharType="begin"/>
          </w:r>
          <w:r>
            <w:instrText xml:space="preserve"> HYPERLINK \l _Toc1647765618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_Toc1647765618 \h </w:instrText>
          </w:r>
          <w:r>
            <w:fldChar w:fldCharType="separate"/>
          </w:r>
          <w:r>
            <w:t>4</w:t>
          </w:r>
          <w:r>
            <w:fldChar w:fldCharType="end"/>
          </w:r>
          <w:r>
            <w:fldChar w:fldCharType="end"/>
          </w:r>
        </w:p>
        <w:p w14:paraId="70E69118">
          <w:pPr>
            <w:pStyle w:val="9"/>
            <w:tabs>
              <w:tab w:val="right" w:leader="dot" w:pos="8306"/>
              <w:tab w:val="clear" w:pos="8296"/>
            </w:tabs>
          </w:pPr>
          <w:r>
            <w:fldChar w:fldCharType="begin"/>
          </w:r>
          <w:r>
            <w:instrText xml:space="preserve"> HYPERLINK \l _Toc743363312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_Toc743363312 \h </w:instrText>
          </w:r>
          <w:r>
            <w:fldChar w:fldCharType="separate"/>
          </w:r>
          <w:r>
            <w:t>5</w:t>
          </w:r>
          <w:r>
            <w:fldChar w:fldCharType="end"/>
          </w:r>
          <w:r>
            <w:fldChar w:fldCharType="end"/>
          </w:r>
        </w:p>
        <w:p w14:paraId="5CB66821">
          <w:pPr>
            <w:pStyle w:val="14"/>
            <w:tabs>
              <w:tab w:val="right" w:leader="dot" w:pos="8306"/>
              <w:tab w:val="clear" w:pos="8296"/>
            </w:tabs>
          </w:pPr>
          <w:r>
            <w:fldChar w:fldCharType="begin"/>
          </w:r>
          <w:r>
            <w:instrText xml:space="preserve"> HYPERLINK \l _Toc510877144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_Toc510877144 \h </w:instrText>
          </w:r>
          <w:r>
            <w:fldChar w:fldCharType="separate"/>
          </w:r>
          <w:r>
            <w:t>6</w:t>
          </w:r>
          <w:r>
            <w:fldChar w:fldCharType="end"/>
          </w:r>
          <w:r>
            <w:fldChar w:fldCharType="end"/>
          </w:r>
        </w:p>
        <w:p w14:paraId="156F55FC">
          <w:pPr>
            <w:pStyle w:val="14"/>
            <w:tabs>
              <w:tab w:val="right" w:leader="dot" w:pos="8306"/>
              <w:tab w:val="clear" w:pos="8296"/>
            </w:tabs>
          </w:pPr>
          <w:r>
            <w:fldChar w:fldCharType="begin"/>
          </w:r>
          <w:r>
            <w:instrText xml:space="preserve"> HYPERLINK \l _Toc981675401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_Toc981675401 \h </w:instrText>
          </w:r>
          <w:r>
            <w:fldChar w:fldCharType="separate"/>
          </w:r>
          <w:r>
            <w:t>6</w:t>
          </w:r>
          <w:r>
            <w:fldChar w:fldCharType="end"/>
          </w:r>
          <w:r>
            <w:fldChar w:fldCharType="end"/>
          </w:r>
        </w:p>
        <w:p w14:paraId="04CD267B">
          <w:pPr>
            <w:pStyle w:val="9"/>
            <w:tabs>
              <w:tab w:val="right" w:leader="dot" w:pos="8306"/>
              <w:tab w:val="clear" w:pos="8296"/>
            </w:tabs>
          </w:pPr>
          <w:r>
            <w:fldChar w:fldCharType="begin"/>
          </w:r>
          <w:r>
            <w:instrText xml:space="preserve"> HYPERLINK \l _Toc1678686088 </w:instrText>
          </w:r>
          <w: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_Toc1678686088 \h </w:instrText>
          </w:r>
          <w:r>
            <w:fldChar w:fldCharType="separate"/>
          </w:r>
          <w:r>
            <w:t>6</w:t>
          </w:r>
          <w:r>
            <w:fldChar w:fldCharType="end"/>
          </w:r>
          <w:r>
            <w:fldChar w:fldCharType="end"/>
          </w:r>
        </w:p>
        <w:p w14:paraId="5B00A1AC">
          <w:pPr>
            <w:pStyle w:val="9"/>
            <w:tabs>
              <w:tab w:val="right" w:leader="dot" w:pos="8306"/>
              <w:tab w:val="clear" w:pos="8296"/>
            </w:tabs>
          </w:pPr>
          <w:r>
            <w:fldChar w:fldCharType="begin"/>
          </w:r>
          <w:r>
            <w:instrText xml:space="preserve"> HYPERLINK \l _Toc935857972 </w:instrText>
          </w:r>
          <w:r>
            <w:fldChar w:fldCharType="separate"/>
          </w:r>
          <w:r>
            <w:rPr>
              <w:rFonts w:hint="eastAsia" w:eastAsia="仿宋_GB2312" w:cs="仿宋_GB2312"/>
              <w:kern w:val="2"/>
              <w:szCs w:val="32"/>
              <w:highlight w:val="none"/>
              <w:lang w:val="en-US" w:eastAsia="zh-CN" w:bidi="ar-SA"/>
            </w:rPr>
            <w:t>2025</w:t>
          </w:r>
          <w:r>
            <w:rPr>
              <w:rFonts w:hint="eastAsia" w:ascii="仿宋" w:hAnsi="仿宋" w:eastAsia="仿宋" w:cs="Times New Roman"/>
              <w:kern w:val="2"/>
              <w:szCs w:val="32"/>
              <w:highlight w:val="none"/>
              <w:lang w:val="en-US" w:eastAsia="zh-CN" w:bidi="ar-SA"/>
            </w:rPr>
            <w:t>年度“三公”经费财政拨款支出决算为0万元。</w:t>
          </w:r>
          <w:r>
            <w:tab/>
          </w:r>
          <w:r>
            <w:fldChar w:fldCharType="begin"/>
          </w:r>
          <w:r>
            <w:instrText xml:space="preserve"> PAGEREF _Toc935857972 \h </w:instrText>
          </w:r>
          <w:r>
            <w:fldChar w:fldCharType="separate"/>
          </w:r>
          <w:r>
            <w:t>6</w:t>
          </w:r>
          <w:r>
            <w:fldChar w:fldCharType="end"/>
          </w:r>
          <w:r>
            <w:fldChar w:fldCharType="end"/>
          </w:r>
        </w:p>
        <w:p w14:paraId="5D8B702E">
          <w:pPr>
            <w:pStyle w:val="9"/>
            <w:tabs>
              <w:tab w:val="right" w:leader="dot" w:pos="8306"/>
              <w:tab w:val="clear" w:pos="8296"/>
            </w:tabs>
          </w:pPr>
          <w:r>
            <w:fldChar w:fldCharType="begin"/>
          </w:r>
          <w:r>
            <w:instrText xml:space="preserve"> HYPERLINK \l _Toc1505812313 </w:instrText>
          </w:r>
          <w: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_Toc1505812313 \h </w:instrText>
          </w:r>
          <w:r>
            <w:fldChar w:fldCharType="separate"/>
          </w:r>
          <w:r>
            <w:t>6</w:t>
          </w:r>
          <w:r>
            <w:fldChar w:fldCharType="end"/>
          </w:r>
          <w:r>
            <w:fldChar w:fldCharType="end"/>
          </w:r>
        </w:p>
        <w:p w14:paraId="54C8F9CB">
          <w:pPr>
            <w:pStyle w:val="14"/>
            <w:tabs>
              <w:tab w:val="right" w:leader="dot" w:pos="8306"/>
              <w:tab w:val="clear" w:pos="8296"/>
            </w:tabs>
          </w:pPr>
          <w:r>
            <w:fldChar w:fldCharType="begin"/>
          </w:r>
          <w:r>
            <w:instrText xml:space="preserve"> HYPERLINK \l _Toc1470140075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_Toc1470140075 \h </w:instrText>
          </w:r>
          <w:r>
            <w:fldChar w:fldCharType="separate"/>
          </w:r>
          <w:r>
            <w:t>6</w:t>
          </w:r>
          <w:r>
            <w:fldChar w:fldCharType="end"/>
          </w:r>
          <w:r>
            <w:fldChar w:fldCharType="end"/>
          </w:r>
        </w:p>
        <w:p w14:paraId="3AB72CF3">
          <w:pPr>
            <w:pStyle w:val="14"/>
            <w:tabs>
              <w:tab w:val="right" w:leader="dot" w:pos="8306"/>
              <w:tab w:val="clear" w:pos="8296"/>
            </w:tabs>
          </w:pPr>
          <w:r>
            <w:fldChar w:fldCharType="begin"/>
          </w:r>
          <w:r>
            <w:instrText xml:space="preserve"> HYPERLINK \l _Toc110503607 </w:instrText>
          </w:r>
          <w:r>
            <w:fldChar w:fldCharType="separate"/>
          </w:r>
          <w:r>
            <w:rPr>
              <w:rFonts w:hint="eastAsia" w:eastAsia="仿宋_GB2312" w:cs="仿宋_GB2312"/>
              <w:kern w:val="2"/>
              <w:szCs w:val="32"/>
              <w:highlight w:val="none"/>
              <w:lang w:val="en-US" w:eastAsia="zh-CN" w:bidi="ar-SA"/>
            </w:rPr>
            <w:t>2025年度</w:t>
          </w:r>
          <w:r>
            <w:rPr>
              <w:rFonts w:hint="eastAsia" w:ascii="Times New Roman" w:hAnsi="Times New Roman" w:eastAsia="仿宋_GB2312" w:cs="仿宋_GB2312"/>
              <w:kern w:val="2"/>
              <w:szCs w:val="32"/>
              <w:highlight w:val="none"/>
              <w:lang w:val="en-US" w:eastAsia="zh-CN" w:bidi="ar-SA"/>
            </w:rPr>
            <w:t>政府性基金预算财政拨款支出</w:t>
          </w:r>
          <w:r>
            <w:rPr>
              <w:rFonts w:hint="eastAsia" w:eastAsia="仿宋_GB2312" w:cs="仿宋_GB2312"/>
              <w:kern w:val="2"/>
              <w:szCs w:val="32"/>
              <w:highlight w:val="none"/>
              <w:lang w:val="en-US" w:eastAsia="zh-CN" w:bidi="ar-SA"/>
            </w:rPr>
            <w:t>0</w:t>
          </w:r>
          <w:r>
            <w:rPr>
              <w:rFonts w:hint="eastAsia" w:ascii="Times New Roman" w:hAnsi="Times New Roman" w:eastAsia="仿宋_GB2312" w:cs="仿宋_GB2312"/>
              <w:kern w:val="2"/>
              <w:szCs w:val="32"/>
              <w:highlight w:val="none"/>
              <w:lang w:val="en-US" w:eastAsia="zh-CN" w:bidi="ar-SA"/>
            </w:rPr>
            <w:t>万元</w:t>
          </w:r>
          <w:r>
            <w:rPr>
              <w:rFonts w:hint="eastAsia" w:eastAsia="仿宋_GB2312" w:cs="仿宋_GB2312"/>
              <w:kern w:val="2"/>
              <w:szCs w:val="32"/>
              <w:highlight w:val="none"/>
              <w:lang w:val="en-US" w:eastAsia="zh-CN" w:bidi="ar-SA"/>
            </w:rPr>
            <w:t>。</w:t>
          </w:r>
          <w:r>
            <w:tab/>
          </w:r>
          <w:r>
            <w:fldChar w:fldCharType="begin"/>
          </w:r>
          <w:r>
            <w:instrText xml:space="preserve"> PAGEREF _Toc110503607 \h </w:instrText>
          </w:r>
          <w:r>
            <w:fldChar w:fldCharType="separate"/>
          </w:r>
          <w:r>
            <w:t>6</w:t>
          </w:r>
          <w:r>
            <w:fldChar w:fldCharType="end"/>
          </w:r>
          <w:r>
            <w:fldChar w:fldCharType="end"/>
          </w:r>
        </w:p>
        <w:p w14:paraId="2963CCDC">
          <w:pPr>
            <w:pStyle w:val="14"/>
            <w:tabs>
              <w:tab w:val="right" w:leader="dot" w:pos="8306"/>
              <w:tab w:val="clear" w:pos="8296"/>
            </w:tabs>
          </w:pPr>
          <w:r>
            <w:fldChar w:fldCharType="begin"/>
          </w:r>
          <w:r>
            <w:instrText xml:space="preserve"> HYPERLINK \l _Toc515960560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_Toc515960560 \h </w:instrText>
          </w:r>
          <w:r>
            <w:fldChar w:fldCharType="separate"/>
          </w:r>
          <w:r>
            <w:t>6</w:t>
          </w:r>
          <w:r>
            <w:fldChar w:fldCharType="end"/>
          </w:r>
          <w:r>
            <w:fldChar w:fldCharType="end"/>
          </w:r>
        </w:p>
        <w:p w14:paraId="01F3F92D">
          <w:pPr>
            <w:pStyle w:val="14"/>
            <w:tabs>
              <w:tab w:val="right" w:leader="dot" w:pos="8306"/>
              <w:tab w:val="clear" w:pos="8296"/>
            </w:tabs>
          </w:pPr>
          <w:r>
            <w:fldChar w:fldCharType="begin"/>
          </w:r>
          <w:r>
            <w:instrText xml:space="preserve"> HYPERLINK \l _Toc187206589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_Toc187206589 \h </w:instrText>
          </w:r>
          <w:r>
            <w:fldChar w:fldCharType="separate"/>
          </w:r>
          <w:r>
            <w:t>7</w:t>
          </w:r>
          <w:r>
            <w:fldChar w:fldCharType="end"/>
          </w:r>
          <w:r>
            <w:fldChar w:fldCharType="end"/>
          </w:r>
        </w:p>
        <w:p w14:paraId="070FD526">
          <w:pPr>
            <w:pStyle w:val="9"/>
            <w:tabs>
              <w:tab w:val="right" w:leader="dot" w:pos="8306"/>
              <w:tab w:val="clear" w:pos="8296"/>
            </w:tabs>
          </w:pPr>
          <w:r>
            <w:fldChar w:fldCharType="begin"/>
          </w:r>
          <w:r>
            <w:instrText xml:space="preserve"> HYPERLINK \l _Toc1082923281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_Toc1082923281 \h </w:instrText>
          </w:r>
          <w:r>
            <w:fldChar w:fldCharType="separate"/>
          </w:r>
          <w:r>
            <w:t>7</w:t>
          </w:r>
          <w:r>
            <w:fldChar w:fldCharType="end"/>
          </w:r>
          <w:r>
            <w:fldChar w:fldCharType="end"/>
          </w:r>
        </w:p>
        <w:p w14:paraId="458FCF00">
          <w:pPr>
            <w:pStyle w:val="9"/>
            <w:tabs>
              <w:tab w:val="right" w:leader="dot" w:pos="8306"/>
              <w:tab w:val="clear" w:pos="8296"/>
            </w:tabs>
          </w:pPr>
          <w:r>
            <w:fldChar w:fldCharType="begin"/>
          </w:r>
          <w:r>
            <w:instrText xml:space="preserve"> HYPERLINK \l _Toc170760359 </w:instrText>
          </w:r>
          <w:r>
            <w:fldChar w:fldCharType="separate"/>
          </w:r>
          <w:r>
            <w:rPr>
              <w:rFonts w:hint="eastAsia" w:ascii="Times New Roman" w:hAnsi="Times New Roman" w:eastAsia="楷体_GB2312" w:cs="楷体_GB2312"/>
              <w:szCs w:val="32"/>
            </w:rPr>
            <w:t xml:space="preserve">（二） </w:t>
          </w:r>
          <w:r>
            <w:rPr>
              <w:rFonts w:hint="eastAsia" w:ascii="Times New Roman" w:hAnsi="Times New Roman" w:eastAsia="楷体_GB2312" w:cs="楷体_GB2312"/>
              <w:szCs w:val="32"/>
              <w:highlight w:val="none"/>
            </w:rPr>
            <w:t>政府采购支出情况</w:t>
          </w:r>
          <w:r>
            <w:tab/>
          </w:r>
          <w:r>
            <w:fldChar w:fldCharType="begin"/>
          </w:r>
          <w:r>
            <w:instrText xml:space="preserve"> PAGEREF _Toc170760359 \h </w:instrText>
          </w:r>
          <w:r>
            <w:fldChar w:fldCharType="separate"/>
          </w:r>
          <w:r>
            <w:t>7</w:t>
          </w:r>
          <w:r>
            <w:fldChar w:fldCharType="end"/>
          </w:r>
          <w:r>
            <w:fldChar w:fldCharType="end"/>
          </w:r>
        </w:p>
        <w:p w14:paraId="63EA428A">
          <w:pPr>
            <w:pStyle w:val="9"/>
            <w:tabs>
              <w:tab w:val="right" w:leader="dot" w:pos="8306"/>
              <w:tab w:val="clear" w:pos="8296"/>
            </w:tabs>
          </w:pPr>
          <w:r>
            <w:fldChar w:fldCharType="begin"/>
          </w:r>
          <w:r>
            <w:instrText xml:space="preserve"> HYPERLINK \l _Toc852433588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_Toc852433588 \h </w:instrText>
          </w:r>
          <w:r>
            <w:fldChar w:fldCharType="separate"/>
          </w:r>
          <w:r>
            <w:t>7</w:t>
          </w:r>
          <w:r>
            <w:fldChar w:fldCharType="end"/>
          </w:r>
          <w:r>
            <w:fldChar w:fldCharType="end"/>
          </w:r>
        </w:p>
        <w:p w14:paraId="06C604D2">
          <w:pPr>
            <w:pStyle w:val="9"/>
            <w:tabs>
              <w:tab w:val="right" w:leader="dot" w:pos="8306"/>
              <w:tab w:val="clear" w:pos="8296"/>
            </w:tabs>
          </w:pPr>
          <w:r>
            <w:fldChar w:fldCharType="begin"/>
          </w:r>
          <w:r>
            <w:instrText xml:space="preserve"> HYPERLINK \l _Toc1698078028 </w:instrText>
          </w:r>
          <w: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_Toc1698078028 \h </w:instrText>
          </w:r>
          <w:r>
            <w:fldChar w:fldCharType="separate"/>
          </w:r>
          <w:r>
            <w:t>7</w:t>
          </w:r>
          <w:r>
            <w:fldChar w:fldCharType="end"/>
          </w:r>
          <w:r>
            <w:fldChar w:fldCharType="end"/>
          </w:r>
        </w:p>
        <w:p w14:paraId="3C6B120B">
          <w:pPr>
            <w:pStyle w:val="13"/>
            <w:tabs>
              <w:tab w:val="right" w:leader="dot" w:pos="8306"/>
              <w:tab w:val="clear" w:pos="8296"/>
            </w:tabs>
          </w:pPr>
          <w:r>
            <w:fldChar w:fldCharType="begin"/>
          </w:r>
          <w:r>
            <w:instrText xml:space="preserve"> HYPERLINK \l _Toc1837839618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_Toc1837839618 \h </w:instrText>
          </w:r>
          <w:r>
            <w:fldChar w:fldCharType="separate"/>
          </w:r>
          <w:r>
            <w:t>7</w:t>
          </w:r>
          <w:r>
            <w:fldChar w:fldCharType="end"/>
          </w:r>
          <w:r>
            <w:fldChar w:fldCharType="end"/>
          </w:r>
        </w:p>
        <w:p w14:paraId="69EAA10D">
          <w:pPr>
            <w:pStyle w:val="13"/>
            <w:tabs>
              <w:tab w:val="right" w:leader="dot" w:pos="8306"/>
              <w:tab w:val="clear" w:pos="8296"/>
            </w:tabs>
            <w:jc w:val="both"/>
            <w:rPr>
              <w:rFonts w:hint="eastAsia" w:ascii="Times New Roman" w:hAnsi="Times New Roman" w:eastAsia="方正小标宋简体" w:cs="方正小标宋简体"/>
              <w:b w:val="0"/>
              <w:color w:val="auto"/>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r>
            <w:fldChar w:fldCharType="end"/>
          </w:r>
        </w:p>
      </w:sdtContent>
    </w:sdt>
    <w:p w14:paraId="223282B0">
      <w:pPr>
        <w:pStyle w:val="5"/>
        <w:jc w:val="center"/>
        <w:rPr>
          <w:rFonts w:ascii="Times New Roman" w:hAnsi="Times New Roman" w:eastAsia="黑体"/>
          <w:color w:val="auto"/>
          <w:sz w:val="32"/>
          <w:szCs w:val="32"/>
          <w:highlight w:val="none"/>
        </w:rPr>
      </w:pPr>
      <w:bookmarkStart w:id="12" w:name="_Toc219392843"/>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p>
    <w:p w14:paraId="38B18226">
      <w:pPr>
        <w:pStyle w:val="6"/>
        <w:pageBreakBefore w:val="0"/>
        <w:numPr>
          <w:ilvl w:val="0"/>
          <w:numId w:val="1"/>
        </w:numPr>
        <w:kinsoku/>
        <w:wordWrap/>
        <w:overflowPunct/>
        <w:topLinePunct w:val="0"/>
        <w:autoSpaceDE/>
        <w:autoSpaceDN/>
        <w:bidi w:val="0"/>
        <w:ind w:firstLine="640" w:firstLineChars="200"/>
        <w:textAlignment w:val="auto"/>
        <w:rPr>
          <w:rFonts w:hint="eastAsia" w:ascii="Times New Roman" w:hAnsi="Times New Roman" w:eastAsia="黑体"/>
          <w:b w:val="0"/>
          <w:color w:val="auto"/>
          <w:highlight w:val="none"/>
          <w:lang w:eastAsia="zh-CN"/>
        </w:rPr>
      </w:pPr>
      <w:bookmarkStart w:id="13" w:name="_Toc148983038"/>
      <w:r>
        <w:rPr>
          <w:rFonts w:hint="eastAsia" w:ascii="Times New Roman" w:hAnsi="Times New Roman" w:eastAsia="黑体"/>
          <w:b w:val="0"/>
          <w:color w:val="auto"/>
          <w:highlight w:val="none"/>
          <w:lang w:eastAsia="zh-CN"/>
        </w:rPr>
        <w:t>部门职责</w:t>
      </w:r>
      <w:bookmarkEnd w:id="13"/>
    </w:p>
    <w:p w14:paraId="02BA367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textAlignment w:val="auto"/>
        <w:rPr>
          <w:rFonts w:hint="default"/>
          <w:lang w:val="en-US" w:eastAsia="zh-CN"/>
        </w:rPr>
      </w:pPr>
      <w:r>
        <w:rPr>
          <w:rFonts w:hint="eastAsia" w:ascii="Times New Roman" w:hAnsi="Times New Roman" w:eastAsia="仿宋_GB2312" w:cs="仿宋_GB2312"/>
          <w:color w:val="auto"/>
          <w:sz w:val="32"/>
          <w:szCs w:val="32"/>
          <w:highlight w:val="none"/>
          <w:lang w:val="en-US" w:eastAsia="zh-CN"/>
        </w:rPr>
        <w:t>负责根据当事人的申请，依法证明法律行为、具有法律意义的文书和事实的真实性、合法性，以保证公民身份上、财产上的权利和合法利益及完成县委、县政府交办的其他任</w:t>
      </w:r>
      <w:r>
        <w:rPr>
          <w:rFonts w:hint="eastAsia" w:ascii="仿宋" w:hAnsi="仿宋" w:eastAsia="仿宋" w:cs="Times New Roman"/>
          <w:color w:val="auto"/>
          <w:sz w:val="32"/>
          <w:szCs w:val="32"/>
          <w:highlight w:val="none"/>
          <w:lang w:val="en-US" w:eastAsia="zh-CN"/>
        </w:rPr>
        <w:t>务。</w:t>
      </w:r>
    </w:p>
    <w:p w14:paraId="3E28CBBA">
      <w:pPr>
        <w:pStyle w:val="6"/>
        <w:pageBreakBefore w:val="0"/>
        <w:kinsoku/>
        <w:wordWrap/>
        <w:overflowPunct/>
        <w:topLinePunct w:val="0"/>
        <w:autoSpaceDE/>
        <w:autoSpaceDN/>
        <w:bidi w:val="0"/>
        <w:ind w:firstLine="640" w:firstLineChars="200"/>
        <w:textAlignment w:val="auto"/>
        <w:rPr>
          <w:rStyle w:val="30"/>
          <w:rFonts w:hint="eastAsia" w:ascii="Times New Roman" w:hAnsi="Times New Roman" w:eastAsia="黑体"/>
          <w:b w:val="0"/>
          <w:bCs w:val="0"/>
          <w:color w:val="auto"/>
          <w:highlight w:val="none"/>
          <w:lang w:val="en-US" w:eastAsia="zh-CN"/>
        </w:rPr>
      </w:pPr>
      <w:bookmarkStart w:id="14" w:name="_Toc288291946"/>
      <w:bookmarkStart w:id="15" w:name="_Toc15377200"/>
      <w:bookmarkStart w:id="16"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bookmarkEnd w:id="16"/>
      <w:r>
        <w:rPr>
          <w:rStyle w:val="30"/>
          <w:rFonts w:hint="eastAsia" w:ascii="Times New Roman" w:hAnsi="Times New Roman" w:eastAsia="黑体"/>
          <w:b w:val="0"/>
          <w:bCs w:val="0"/>
          <w:color w:val="auto"/>
          <w:highlight w:val="none"/>
          <w:lang w:val="en-US" w:eastAsia="zh-CN"/>
        </w:rPr>
        <w:t xml:space="preserve"> </w:t>
      </w:r>
    </w:p>
    <w:p w14:paraId="2D7CFC2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3" w:firstLineChars="200"/>
        <w:textAlignment w:val="auto"/>
        <w:rPr>
          <w:rFonts w:hint="eastAsia" w:ascii="仿宋" w:hAnsi="仿宋" w:eastAsia="仿宋" w:cs="Times New Roman"/>
          <w:color w:val="auto"/>
          <w:sz w:val="32"/>
          <w:szCs w:val="32"/>
          <w:highlight w:val="none"/>
        </w:rPr>
      </w:pPr>
      <w:bookmarkStart w:id="17" w:name="_Toc15396602"/>
      <w:bookmarkStart w:id="18" w:name="_Toc15377204"/>
      <w:r>
        <w:rPr>
          <w:rFonts w:hint="eastAsia" w:ascii="Times New Roman" w:hAnsi="Times New Roman" w:eastAsia="仿宋_GB2312" w:cs="Times New Roman"/>
          <w:b/>
          <w:bCs/>
          <w:i w:val="0"/>
          <w:caps w:val="0"/>
          <w:smallCaps w:val="0"/>
          <w:color w:val="000000"/>
          <w:spacing w:val="0"/>
          <w:kern w:val="0"/>
          <w:sz w:val="32"/>
          <w:szCs w:val="32"/>
          <w:shd w:val="clear" w:color="auto" w:fill="FFFFFF"/>
          <w:lang w:val="en-US" w:eastAsia="zh-CN"/>
        </w:rPr>
        <w:t>松潘县公证处</w:t>
      </w:r>
      <w:r>
        <w:rPr>
          <w:rFonts w:hint="eastAsia" w:ascii="Times New Roman" w:hAnsi="Times New Roman" w:eastAsia="仿宋_GB2312" w:cs="Times New Roman"/>
          <w:i w:val="0"/>
          <w:caps w:val="0"/>
          <w:smallCaps w:val="0"/>
          <w:color w:val="000000"/>
          <w:spacing w:val="0"/>
          <w:kern w:val="0"/>
          <w:sz w:val="32"/>
          <w:szCs w:val="32"/>
          <w:shd w:val="clear" w:color="auto" w:fill="FFFFFF"/>
          <w:lang w:val="en-US" w:eastAsia="zh-CN"/>
        </w:rPr>
        <w:t>。</w:t>
      </w:r>
      <w:r>
        <w:rPr>
          <w:rFonts w:hint="eastAsia" w:ascii="仿宋" w:hAnsi="仿宋" w:eastAsia="仿宋" w:cs="Times New Roman"/>
          <w:color w:val="auto"/>
          <w:sz w:val="32"/>
          <w:szCs w:val="32"/>
          <w:highlight w:val="none"/>
          <w:lang w:val="en-US" w:eastAsia="zh-CN"/>
        </w:rPr>
        <w:t>根据《中华人民共和国公证法》第六条规定，公证机构是依法设立，不以营利为目的，依法独立行使公证职能，承担民事责任的证明机构。公证机构根据当事人的申请，依法证明法律行为、具有法律意义的文书和事实的真实性、合法性，以保证公民身份上、财产上的权利和合法利益。</w:t>
      </w:r>
    </w:p>
    <w:p w14:paraId="16527B05">
      <w:pPr>
        <w:pStyle w:val="5"/>
        <w:pageBreakBefore w:val="0"/>
        <w:kinsoku/>
        <w:wordWrap/>
        <w:overflowPunct/>
        <w:topLinePunct w:val="0"/>
        <w:autoSpaceDE/>
        <w:autoSpaceDN/>
        <w:bidi w:val="0"/>
        <w:ind w:firstLine="440" w:firstLineChars="100"/>
        <w:jc w:val="both"/>
        <w:textAlignment w:val="auto"/>
        <w:rPr>
          <w:rFonts w:ascii="Times New Roman" w:hAnsi="Times New Roman"/>
          <w:color w:val="auto"/>
          <w:highlight w:val="none"/>
        </w:rPr>
      </w:pPr>
      <w:bookmarkStart w:id="19" w:name="_Toc897935004"/>
      <w:r>
        <w:rPr>
          <w:rFonts w:hint="eastAsia" w:ascii="Times New Roman" w:hAnsi="Times New Roman" w:eastAsia="方正小标宋简体" w:cs="方正小标宋简体"/>
          <w:b w:val="0"/>
          <w:color w:val="auto"/>
          <w:highlight w:val="none"/>
        </w:rPr>
        <w:t>第二部分</w:t>
      </w:r>
      <w:r>
        <w:rPr>
          <w:rFonts w:hint="eastAsia" w:eastAsia="方正小标宋简体" w:cs="方正小标宋简体"/>
          <w:b w:val="0"/>
          <w:color w:val="auto"/>
          <w:highlight w:val="none"/>
          <w:lang w:val="en-US" w:eastAsia="zh-CN"/>
        </w:rPr>
        <w:t xml:space="preserve"> 2025年度</w:t>
      </w:r>
      <w:r>
        <w:rPr>
          <w:rFonts w:hint="eastAsia" w:ascii="Times New Roman" w:hAnsi="Times New Roman" w:eastAsia="方正小标宋简体" w:cs="方正小标宋简体"/>
          <w:b w:val="0"/>
          <w:color w:val="auto"/>
          <w:highlight w:val="none"/>
        </w:rPr>
        <w:t>部门决算情况说明</w:t>
      </w:r>
      <w:bookmarkEnd w:id="17"/>
      <w:bookmarkEnd w:id="18"/>
      <w:bookmarkEnd w:id="19"/>
    </w:p>
    <w:p w14:paraId="7E5CD0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0" w:name="_Toc15396603"/>
      <w:bookmarkStart w:id="21" w:name="_Toc1055060104"/>
      <w:bookmarkStart w:id="22"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0"/>
      <w:bookmarkEnd w:id="21"/>
      <w:bookmarkEnd w:id="22"/>
    </w:p>
    <w:p w14:paraId="079B97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28.12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仿宋" w:hAnsi="仿宋" w:eastAsia="仿宋"/>
          <w:color w:val="auto"/>
          <w:sz w:val="32"/>
          <w:szCs w:val="32"/>
          <w:highlight w:val="none"/>
        </w:rPr>
        <w:t>收</w:t>
      </w:r>
      <w:r>
        <w:rPr>
          <w:rFonts w:hint="eastAsia" w:ascii="仿宋" w:hAnsi="仿宋" w:eastAsia="仿宋"/>
          <w:color w:val="auto"/>
          <w:sz w:val="32"/>
          <w:szCs w:val="32"/>
          <w:highlight w:val="none"/>
          <w:lang w:val="en-US" w:eastAsia="zh-CN"/>
        </w:rPr>
        <w:t>入增加9.05</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增加47.5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本年度新进1人，经费预算增加；支出增加9.05</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增加47.5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本年度人员增加导致经费支出增加。</w:t>
      </w:r>
    </w:p>
    <w:p w14:paraId="7E34D6FC">
      <w:pPr>
        <w:pStyle w:val="3"/>
        <w:pageBreakBefore w:val="0"/>
        <w:kinsoku/>
        <w:wordWrap/>
        <w:overflowPunct/>
        <w:topLinePunct w:val="0"/>
        <w:autoSpaceDE/>
        <w:autoSpaceDN/>
        <w:bidi w:val="0"/>
        <w:ind w:left="0" w:leftChars="0" w:firstLine="420" w:firstLineChars="200"/>
        <w:textAlignment w:val="auto"/>
      </w:pPr>
      <w:r>
        <w:drawing>
          <wp:inline distT="0" distB="0" distL="114300" distR="114300">
            <wp:extent cx="4807585" cy="2714625"/>
            <wp:effectExtent l="4445" t="4445" r="7620" b="508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2245615">
      <w:pPr>
        <w:pStyle w:val="3"/>
        <w:pageBreakBefore w:val="0"/>
        <w:kinsoku/>
        <w:wordWrap/>
        <w:overflowPunct/>
        <w:topLinePunct w:val="0"/>
        <w:autoSpaceDE/>
        <w:autoSpaceDN/>
        <w:bidi w:val="0"/>
        <w:ind w:left="0" w:leftChars="0" w:firstLine="640" w:firstLineChars="200"/>
        <w:textAlignment w:val="auto"/>
        <w:rPr>
          <w:rFonts w:hint="eastAsia"/>
          <w:lang w:eastAsia="zh-CN"/>
        </w:rPr>
      </w:pPr>
      <w:r>
        <w:rPr>
          <w:rFonts w:hint="eastAsia" w:ascii="Times New Roman" w:eastAsia="仿宋_GB2312" w:cs="仿宋_GB2312"/>
          <w:color w:val="auto"/>
          <w:sz w:val="32"/>
          <w:szCs w:val="32"/>
          <w:highlight w:val="none"/>
          <w:lang w:eastAsia="zh-CN"/>
        </w:rPr>
        <w:t>图</w:t>
      </w:r>
      <w:r>
        <w:rPr>
          <w:rFonts w:hint="eastAsia" w:asci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595D00D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3" w:name="_Toc15377206"/>
      <w:bookmarkStart w:id="24" w:name="_Toc1293301261"/>
      <w:bookmarkStart w:id="25" w:name="_Toc15396604"/>
      <w:r>
        <w:rPr>
          <w:rFonts w:hint="eastAsia" w:ascii="Times New Roman" w:hAnsi="Times New Roman" w:eastAsia="黑体"/>
          <w:color w:val="auto"/>
          <w:sz w:val="32"/>
          <w:szCs w:val="32"/>
          <w:highlight w:val="none"/>
          <w:lang w:eastAsia="zh-CN"/>
        </w:rPr>
        <w:t>二、收入决算情况说明</w:t>
      </w:r>
      <w:bookmarkEnd w:id="23"/>
      <w:bookmarkEnd w:id="24"/>
      <w:bookmarkEnd w:id="25"/>
    </w:p>
    <w:p w14:paraId="4E85307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26" w:name="_Toc24478369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28.12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28.12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26"/>
    </w:p>
    <w:p w14:paraId="2F3B666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bookmarkStart w:id="27" w:name="_Toc1111502489"/>
      <w:r>
        <w:drawing>
          <wp:anchor distT="0" distB="0" distL="114300" distR="114300" simplePos="0" relativeHeight="251660288" behindDoc="0" locked="0" layoutInCell="1" allowOverlap="1">
            <wp:simplePos x="0" y="0"/>
            <wp:positionH relativeFrom="column">
              <wp:posOffset>118745</wp:posOffset>
            </wp:positionH>
            <wp:positionV relativeFrom="paragraph">
              <wp:posOffset>148590</wp:posOffset>
            </wp:positionV>
            <wp:extent cx="5141595" cy="2609215"/>
            <wp:effectExtent l="4445" t="4445" r="16510" b="15240"/>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t>图</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：收入决算结构图</w:t>
      </w:r>
      <w:bookmarkEnd w:id="27"/>
    </w:p>
    <w:p w14:paraId="5C129DB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8" w:name="_Toc1531280624"/>
      <w:bookmarkStart w:id="29" w:name="_Toc15377207"/>
      <w:bookmarkStart w:id="30"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8"/>
      <w:bookmarkEnd w:id="29"/>
      <w:bookmarkEnd w:id="30"/>
    </w:p>
    <w:p w14:paraId="02F6875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1" w:name="_Toc62714262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28.12</w:t>
      </w:r>
      <w:r>
        <w:rPr>
          <w:rFonts w:hint="eastAsia" w:ascii="Times New Roman" w:hAnsi="Times New Roman" w:eastAsia="仿宋_GB2312" w:cs="仿宋_GB2312"/>
          <w:color w:val="auto"/>
          <w:sz w:val="32"/>
          <w:szCs w:val="32"/>
          <w:highlight w:val="none"/>
          <w:lang w:eastAsia="zh-CN"/>
        </w:rPr>
        <w:t>万元，其中：基本支出</w:t>
      </w:r>
      <w:bookmarkEnd w:id="31"/>
    </w:p>
    <w:p w14:paraId="2BD91B2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bookmarkStart w:id="32" w:name="_Toc240812373"/>
      <w:r>
        <w:rPr>
          <w:rFonts w:hint="eastAsia" w:eastAsia="仿宋_GB2312" w:cs="仿宋_GB2312"/>
          <w:color w:val="auto"/>
          <w:sz w:val="32"/>
          <w:szCs w:val="32"/>
          <w:highlight w:val="none"/>
          <w:lang w:val="en-US" w:eastAsia="zh-CN"/>
        </w:rPr>
        <w:t>28.12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bookmarkEnd w:id="32"/>
    </w:p>
    <w:p w14:paraId="1AA2D81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eastAsia="仿宋_GB2312" w:cs="仿宋_GB2312"/>
          <w:color w:val="auto"/>
          <w:sz w:val="32"/>
          <w:szCs w:val="32"/>
          <w:highlight w:val="none"/>
          <w:lang w:val="en-US" w:eastAsia="zh-CN"/>
        </w:rPr>
      </w:pPr>
      <w:bookmarkStart w:id="33" w:name="_Toc201823535"/>
      <w:r>
        <w:drawing>
          <wp:anchor distT="0" distB="0" distL="114300" distR="114300" simplePos="0" relativeHeight="251661312" behindDoc="0" locked="0" layoutInCell="1" allowOverlap="1">
            <wp:simplePos x="0" y="0"/>
            <wp:positionH relativeFrom="column">
              <wp:posOffset>52070</wp:posOffset>
            </wp:positionH>
            <wp:positionV relativeFrom="paragraph">
              <wp:posOffset>61595</wp:posOffset>
            </wp:positionV>
            <wp:extent cx="5226050" cy="2380615"/>
            <wp:effectExtent l="5080" t="4445" r="7620" b="15240"/>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t>图3：支出决算结构</w:t>
      </w:r>
      <w:r>
        <w:rPr>
          <w:rFonts w:hint="eastAsia" w:eastAsia="仿宋_GB2312" w:cs="仿宋_GB2312"/>
          <w:color w:val="auto"/>
          <w:sz w:val="32"/>
          <w:szCs w:val="32"/>
          <w:highlight w:val="none"/>
          <w:lang w:eastAsia="zh-CN"/>
        </w:rPr>
        <w:t>图</w:t>
      </w:r>
      <w:bookmarkEnd w:id="33"/>
    </w:p>
    <w:p w14:paraId="5E4D629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Style w:val="30"/>
          <w:rFonts w:ascii="Times New Roman" w:hAnsi="Times New Roman" w:eastAsia="黑体"/>
          <w:b w:val="0"/>
          <w:color w:val="auto"/>
          <w:highlight w:val="none"/>
        </w:rPr>
      </w:pPr>
      <w:bookmarkStart w:id="34" w:name="_Toc15396606"/>
      <w:bookmarkStart w:id="35" w:name="_Toc15377208"/>
      <w:r>
        <w:rPr>
          <w:rFonts w:hint="eastAsia"/>
          <w:lang w:val="en-US" w:eastAsia="zh-CN"/>
        </w:rPr>
        <w:t xml:space="preserve">  </w:t>
      </w:r>
      <w:bookmarkStart w:id="36" w:name="_Toc1587733889"/>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4"/>
      <w:bookmarkEnd w:id="35"/>
      <w:bookmarkEnd w:id="36"/>
    </w:p>
    <w:p w14:paraId="4A525D44">
      <w:pPr>
        <w:pageBreakBefore w:val="0"/>
        <w:kinsoku/>
        <w:wordWrap/>
        <w:overflowPunct/>
        <w:topLinePunct w:val="0"/>
        <w:autoSpaceDE/>
        <w:autoSpaceDN/>
        <w:bidi w:val="0"/>
        <w:spacing w:line="600" w:lineRule="exact"/>
        <w:ind w:firstLine="640" w:firstLineChars="200"/>
        <w:textAlignment w:val="auto"/>
        <w:rPr>
          <w:rFonts w:hint="eastAsia" w:ascii="仿宋" w:hAnsi="仿宋" w:eastAsia="仿宋"/>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28.12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9.05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47.5</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为</w:t>
      </w:r>
      <w:r>
        <w:rPr>
          <w:rFonts w:hint="eastAsia" w:ascii="仿宋" w:hAnsi="仿宋" w:eastAsia="仿宋"/>
          <w:color w:val="auto"/>
          <w:sz w:val="32"/>
          <w:szCs w:val="32"/>
          <w:highlight w:val="none"/>
          <w:lang w:val="en-US" w:eastAsia="zh-CN"/>
        </w:rPr>
        <w:t>本年度人员增加导致经费支出增加。</w:t>
      </w:r>
    </w:p>
    <w:p w14:paraId="61ABE8AD">
      <w:pPr>
        <w:pStyle w:val="3"/>
        <w:pageBreakBefore w:val="0"/>
        <w:kinsoku/>
        <w:wordWrap/>
        <w:overflowPunct/>
        <w:topLinePunct w:val="0"/>
        <w:autoSpaceDE/>
        <w:autoSpaceDN/>
        <w:bidi w:val="0"/>
        <w:ind w:left="0" w:leftChars="0" w:firstLine="0" w:firstLineChars="0"/>
        <w:textAlignment w:val="auto"/>
        <w:rPr>
          <w:rFonts w:hint="eastAsia"/>
          <w:lang w:val="en-US" w:eastAsia="zh-CN"/>
        </w:rPr>
      </w:pPr>
      <w:r>
        <w:drawing>
          <wp:inline distT="0" distB="0" distL="114300" distR="114300">
            <wp:extent cx="5387975" cy="2448560"/>
            <wp:effectExtent l="4445" t="4445" r="17780" b="2349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B186FD8">
      <w:pPr>
        <w:pageBreakBefore w:val="0"/>
        <w:kinsoku/>
        <w:wordWrap/>
        <w:overflowPunct/>
        <w:topLinePunct w:val="0"/>
        <w:autoSpaceDE/>
        <w:autoSpaceDN/>
        <w:bidi w:val="0"/>
        <w:ind w:firstLine="420" w:firstLineChars="200"/>
        <w:textAlignment w:val="auto"/>
        <w:rPr>
          <w:rFonts w:hint="eastAsia"/>
          <w:lang w:val="en-US" w:eastAsia="zh-CN"/>
        </w:rPr>
      </w:pPr>
      <w:r>
        <w:rPr>
          <w:rFonts w:hint="eastAsia"/>
          <w:lang w:val="en-US" w:eastAsia="zh-CN"/>
        </w:rPr>
        <w:t xml:space="preserve">  </w:t>
      </w:r>
      <w:bookmarkStart w:id="37" w:name="_Toc15377209"/>
      <w:bookmarkStart w:id="38" w:name="_Toc15396607"/>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lang w:val="en-US" w:eastAsia="zh-CN"/>
        </w:rPr>
        <w:t xml:space="preserve">     </w:t>
      </w:r>
    </w:p>
    <w:p w14:paraId="291C7DE9">
      <w:pPr>
        <w:pageBreakBefore w:val="0"/>
        <w:kinsoku/>
        <w:wordWrap/>
        <w:overflowPunct/>
        <w:topLinePunct w:val="0"/>
        <w:autoSpaceDE/>
        <w:autoSpaceDN/>
        <w:bidi w:val="0"/>
        <w:ind w:firstLine="640" w:firstLineChars="200"/>
        <w:textAlignment w:val="auto"/>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7"/>
      <w:bookmarkEnd w:id="38"/>
    </w:p>
    <w:p w14:paraId="3A0D1BE4">
      <w:pPr>
        <w:pageBreakBefore w:val="0"/>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9" w:name="_Toc71549572"/>
      <w:bookmarkStart w:id="4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9"/>
      <w:bookmarkEnd w:id="40"/>
    </w:p>
    <w:p w14:paraId="65435E5B">
      <w:pPr>
        <w:pageBreakBefore w:val="0"/>
        <w:kinsoku/>
        <w:wordWrap/>
        <w:overflowPunct/>
        <w:topLinePunct w:val="0"/>
        <w:autoSpaceDE/>
        <w:autoSpaceDN/>
        <w:bidi w:val="0"/>
        <w:spacing w:line="600" w:lineRule="exact"/>
        <w:ind w:firstLine="640" w:firstLineChars="200"/>
        <w:textAlignment w:val="auto"/>
        <w:rPr>
          <w:rFonts w:hint="eastAsia" w:ascii="仿宋" w:hAnsi="仿宋" w:eastAsia="仿宋"/>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28.12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9.05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47.5</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为</w:t>
      </w:r>
      <w:r>
        <w:rPr>
          <w:rFonts w:hint="eastAsia" w:ascii="仿宋" w:hAnsi="仿宋" w:eastAsia="仿宋"/>
          <w:color w:val="auto"/>
          <w:sz w:val="32"/>
          <w:szCs w:val="32"/>
          <w:highlight w:val="none"/>
          <w:lang w:val="en-US" w:eastAsia="zh-CN"/>
        </w:rPr>
        <w:t>本年度人员增加导致经费支出增加。</w:t>
      </w:r>
    </w:p>
    <w:p w14:paraId="1C94DECD">
      <w:pPr>
        <w:pStyle w:val="3"/>
        <w:pageBreakBefore w:val="0"/>
        <w:kinsoku/>
        <w:wordWrap/>
        <w:overflowPunct/>
        <w:topLinePunct w:val="0"/>
        <w:autoSpaceDE/>
        <w:autoSpaceDN/>
        <w:bidi w:val="0"/>
        <w:ind w:left="415" w:leftChars="0" w:hanging="415" w:hangingChars="198"/>
        <w:textAlignment w:val="auto"/>
        <w:rPr>
          <w:rFonts w:hint="eastAsia"/>
          <w:lang w:val="en-US" w:eastAsia="zh-CN"/>
        </w:rPr>
      </w:pPr>
      <w:r>
        <w:drawing>
          <wp:inline distT="0" distB="0" distL="114300" distR="114300">
            <wp:extent cx="5311775" cy="2611120"/>
            <wp:effectExtent l="4445" t="4445" r="17780" b="1333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CA98D9">
      <w:pPr>
        <w:pStyle w:val="2"/>
        <w:pageBreakBefore w:val="0"/>
        <w:kinsoku/>
        <w:wordWrap/>
        <w:overflowPunct/>
        <w:topLinePunct w:val="0"/>
        <w:autoSpaceDE/>
        <w:autoSpaceDN/>
        <w:bidi w:val="0"/>
        <w:ind w:firstLine="640" w:firstLineChars="200"/>
        <w:textAlignment w:val="auto"/>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r>
        <w:rPr>
          <w:rFonts w:hint="eastAsia" w:eastAsia="仿宋_GB2312" w:cs="仿宋_GB2312"/>
          <w:color w:val="auto"/>
          <w:kern w:val="2"/>
          <w:sz w:val="32"/>
          <w:szCs w:val="32"/>
          <w:highlight w:val="none"/>
          <w:lang w:val="en-US" w:eastAsia="zh-CN" w:bidi="ar-SA"/>
        </w:rPr>
        <w:t>。</w:t>
      </w:r>
    </w:p>
    <w:p w14:paraId="727F067A">
      <w:pPr>
        <w:pageBreakBefore w:val="0"/>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1" w:name="_Toc1647765618"/>
      <w:bookmarkStart w:id="4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1"/>
      <w:bookmarkEnd w:id="42"/>
    </w:p>
    <w:p w14:paraId="2D7C8D2E">
      <w:pPr>
        <w:pageBreakBefore w:val="0"/>
        <w:kinsoku/>
        <w:wordWrap/>
        <w:overflowPunct/>
        <w:topLinePunct w:val="0"/>
        <w:autoSpaceDE/>
        <w:autoSpaceDN/>
        <w:bidi w:val="0"/>
        <w:spacing w:line="600" w:lineRule="exact"/>
        <w:ind w:firstLine="640" w:firstLineChars="200"/>
        <w:textAlignment w:val="auto"/>
        <w:outlineLvl w:val="2"/>
        <w:rPr>
          <w:rFonts w:hint="eastAsia" w:eastAsia="仿宋_GB2312" w:cs="仿宋_GB2312"/>
          <w:color w:val="auto"/>
          <w:kern w:val="2"/>
          <w:sz w:val="32"/>
          <w:szCs w:val="32"/>
          <w:highlight w:val="none"/>
          <w:lang w:val="en-US" w:eastAsia="zh-CN" w:bidi="ar-SA"/>
        </w:rPr>
      </w:pPr>
      <w:bookmarkStart w:id="43" w:name="_Toc140415184"/>
      <w:bookmarkStart w:id="44" w:name="_Toc1729188917"/>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28.12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19.97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15.3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1.65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w:t>
      </w:r>
      <w:r>
        <w:rPr>
          <w:rFonts w:hint="eastAsia" w:ascii="Times New Roman" w:hAnsi="Times New Roman" w:eastAsia="仿宋_GB2312" w:cs="仿宋_GB2312"/>
          <w:color w:val="auto"/>
          <w:kern w:val="2"/>
          <w:sz w:val="32"/>
          <w:szCs w:val="32"/>
          <w:highlight w:val="none"/>
          <w:lang w:val="en-US" w:eastAsia="zh-CN" w:bidi="ar-SA"/>
        </w:rPr>
        <w:t>%</w:t>
      </w:r>
      <w:bookmarkStart w:id="45" w:name="_Toc15377212"/>
      <w:r>
        <w:rPr>
          <w:rFonts w:hint="eastAsia" w:eastAsia="仿宋_GB2312" w:cs="仿宋_GB2312"/>
          <w:color w:val="auto"/>
          <w:kern w:val="2"/>
          <w:sz w:val="32"/>
          <w:szCs w:val="32"/>
          <w:highlight w:val="none"/>
          <w:lang w:val="en-US" w:eastAsia="zh-CN" w:bidi="ar-SA"/>
        </w:rPr>
        <w:t>。</w:t>
      </w:r>
      <w:bookmarkEnd w:id="43"/>
      <w:bookmarkEnd w:id="44"/>
    </w:p>
    <w:p w14:paraId="517A603B">
      <w:pPr>
        <w:pStyle w:val="2"/>
        <w:pageBreakBefore w:val="0"/>
        <w:kinsoku/>
        <w:wordWrap/>
        <w:overflowPunct/>
        <w:topLinePunct w:val="0"/>
        <w:autoSpaceDE/>
        <w:autoSpaceDN/>
        <w:bidi w:val="0"/>
        <w:ind w:firstLine="640" w:firstLineChars="200"/>
        <w:textAlignment w:val="auto"/>
        <w:rPr>
          <w:rFonts w:hint="eastAsia" w:eastAsia="仿宋_GB2312" w:cs="仿宋_GB2312"/>
          <w:color w:val="auto"/>
          <w:kern w:val="2"/>
          <w:sz w:val="32"/>
          <w:szCs w:val="32"/>
          <w:highlight w:val="none"/>
          <w:lang w:val="en-US" w:eastAsia="zh-CN" w:bidi="ar-SA"/>
        </w:rPr>
      </w:pPr>
    </w:p>
    <w:p w14:paraId="53FE0B9C">
      <w:pPr>
        <w:pStyle w:val="3"/>
        <w:pageBreakBefore w:val="0"/>
        <w:kinsoku/>
        <w:wordWrap/>
        <w:overflowPunct/>
        <w:topLinePunct w:val="0"/>
        <w:autoSpaceDE/>
        <w:autoSpaceDN/>
        <w:bidi w:val="0"/>
        <w:ind w:left="0" w:leftChars="0" w:firstLine="0" w:firstLineChars="0"/>
        <w:textAlignment w:val="auto"/>
      </w:pPr>
      <w:r>
        <w:drawing>
          <wp:inline distT="0" distB="0" distL="114300" distR="114300">
            <wp:extent cx="5397500" cy="2720975"/>
            <wp:effectExtent l="4445" t="4445" r="8255" b="17780"/>
            <wp:docPr id="1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B1B7E7F">
      <w:pPr>
        <w:pageBreakBefore w:val="0"/>
        <w:kinsoku/>
        <w:wordWrap/>
        <w:overflowPunct/>
        <w:topLinePunct w:val="0"/>
        <w:autoSpaceDE/>
        <w:autoSpaceDN/>
        <w:bidi w:val="0"/>
        <w:ind w:firstLine="640" w:firstLineChars="200"/>
        <w:textAlignment w:val="auto"/>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5183803C">
      <w:pPr>
        <w:pageBreakBefore w:val="0"/>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6" w:name="_Toc743363312"/>
      <w:r>
        <w:rPr>
          <w:rFonts w:hint="eastAsia" w:ascii="Times New Roman" w:hAnsi="Times New Roman" w:eastAsia="楷体_GB2312" w:cs="楷体_GB2312"/>
          <w:b/>
          <w:color w:val="auto"/>
          <w:sz w:val="32"/>
          <w:szCs w:val="32"/>
          <w:highlight w:val="none"/>
        </w:rPr>
        <w:t>（三）一般公共预算财政拨款支出决算具体情况</w:t>
      </w:r>
      <w:bookmarkEnd w:id="45"/>
      <w:bookmarkEnd w:id="46"/>
    </w:p>
    <w:p w14:paraId="23C61102">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47" w:name="_Toc15377213"/>
      <w:bookmarkStart w:id="48" w:name="_Toc15377444"/>
      <w:bookmarkStart w:id="49"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28.12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7"/>
      <w:bookmarkEnd w:id="48"/>
      <w:bookmarkEnd w:id="49"/>
    </w:p>
    <w:p w14:paraId="68CAE74B">
      <w:pPr>
        <w:pageBreakBefore w:val="0"/>
        <w:numPr>
          <w:ilvl w:val="0"/>
          <w:numId w:val="0"/>
        </w:numPr>
        <w:kinsoku/>
        <w:wordWrap/>
        <w:overflowPunct/>
        <w:topLinePunct w:val="0"/>
        <w:autoSpaceDE/>
        <w:autoSpaceDN/>
        <w:bidi w:val="0"/>
        <w:spacing w:line="600"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1.204</w:t>
      </w:r>
      <w:bookmarkStart w:id="99" w:name="_GoBack"/>
      <w:r>
        <w:rPr>
          <w:rFonts w:hint="eastAsia" w:eastAsia="仿宋_GB2312" w:cs="仿宋_GB2312"/>
          <w:color w:val="auto"/>
          <w:kern w:val="2"/>
          <w:sz w:val="32"/>
          <w:szCs w:val="32"/>
          <w:highlight w:val="none"/>
          <w:lang w:val="en-US" w:eastAsia="zh-CN" w:bidi="ar-SA"/>
        </w:rPr>
        <w:t>－</w:t>
      </w:r>
      <w:bookmarkEnd w:id="99"/>
      <w:r>
        <w:rPr>
          <w:rFonts w:hint="eastAsia" w:ascii="Times New Roman" w:hAnsi="Times New Roman" w:eastAsia="仿宋_GB2312" w:cs="仿宋_GB2312"/>
          <w:color w:val="auto"/>
          <w:kern w:val="2"/>
          <w:sz w:val="32"/>
          <w:szCs w:val="32"/>
          <w:highlight w:val="none"/>
          <w:lang w:val="en-US" w:eastAsia="zh-CN" w:bidi="ar-SA"/>
        </w:rPr>
        <w:t>一般公共</w:t>
      </w:r>
      <w:r>
        <w:rPr>
          <w:rFonts w:hint="eastAsia" w:eastAsia="仿宋_GB2312" w:cs="仿宋_GB2312"/>
          <w:color w:val="auto"/>
          <w:kern w:val="2"/>
          <w:sz w:val="32"/>
          <w:szCs w:val="32"/>
          <w:highlight w:val="none"/>
          <w:lang w:val="en-US" w:eastAsia="zh-CN" w:bidi="ar-SA"/>
        </w:rPr>
        <w:t>安全支出：2040650－事业运行</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19.97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ED9D57B">
      <w:pPr>
        <w:pageBreakBefore w:val="0"/>
        <w:kinsoku/>
        <w:wordWrap/>
        <w:overflowPunct/>
        <w:topLinePunct w:val="0"/>
        <w:autoSpaceDE/>
        <w:autoSpaceDN/>
        <w:bidi w:val="0"/>
        <w:spacing w:line="600"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4.31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其中2080505－机关事业单位基本养老保险缴费支出2.87万元，2080506－机关事业单位职业年金缴费支出1.44万元，完成预算100%。</w:t>
      </w:r>
    </w:p>
    <w:p w14:paraId="386C9CE0">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其中2101102－事业单位医疗1.36万元；2101199－其他行政事业单位医疗支出0.3万元，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647D3FD">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4.221－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：支出决算2.19万元，2210201－住房公积金2.19万元，完成预算100%。</w:t>
      </w:r>
    </w:p>
    <w:p w14:paraId="581A80FF">
      <w:pPr>
        <w:pageBreakBefore w:val="0"/>
        <w:tabs>
          <w:tab w:val="right" w:pos="8306"/>
        </w:tabs>
        <w:kinsoku/>
        <w:wordWrap/>
        <w:overflowPunct/>
        <w:topLinePunct w:val="0"/>
        <w:autoSpaceDE/>
        <w:autoSpaceDN/>
        <w:bidi w:val="0"/>
        <w:spacing w:line="600" w:lineRule="exact"/>
        <w:ind w:firstLine="640" w:firstLineChars="200"/>
        <w:textAlignment w:val="auto"/>
        <w:outlineLvl w:val="1"/>
        <w:rPr>
          <w:rStyle w:val="30"/>
          <w:rFonts w:ascii="Times New Roman" w:hAnsi="Times New Roman"/>
          <w:color w:val="auto"/>
          <w:highlight w:val="none"/>
        </w:rPr>
      </w:pPr>
      <w:bookmarkStart w:id="50" w:name="_Toc15377214"/>
      <w:bookmarkStart w:id="51" w:name="_Toc15396608"/>
      <w:bookmarkStart w:id="52" w:name="_Toc51087714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0"/>
      <w:bookmarkEnd w:id="51"/>
      <w:bookmarkEnd w:id="52"/>
      <w:r>
        <w:rPr>
          <w:rStyle w:val="30"/>
          <w:rFonts w:ascii="Times New Roman" w:hAnsi="Times New Roman" w:eastAsia="黑体"/>
          <w:b w:val="0"/>
          <w:color w:val="auto"/>
          <w:highlight w:val="none"/>
        </w:rPr>
        <w:tab/>
      </w:r>
    </w:p>
    <w:p w14:paraId="0F7EDA8A">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28.12</w:t>
      </w:r>
      <w:r>
        <w:rPr>
          <w:rFonts w:hint="eastAsia" w:ascii="Times New Roman" w:hAnsi="Times New Roman" w:eastAsia="仿宋_GB2312" w:cs="仿宋_GB2312"/>
          <w:color w:val="auto"/>
          <w:kern w:val="2"/>
          <w:sz w:val="32"/>
          <w:szCs w:val="32"/>
          <w:highlight w:val="none"/>
          <w:lang w:val="en-US" w:eastAsia="zh-CN" w:bidi="ar-SA"/>
        </w:rPr>
        <w:t>万元，其中：</w:t>
      </w:r>
    </w:p>
    <w:p w14:paraId="3704BE23">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27.4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0.71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5F8E462">
      <w:pPr>
        <w:pageBreakBefore w:val="0"/>
        <w:kinsoku/>
        <w:wordWrap/>
        <w:overflowPunct/>
        <w:topLinePunct w:val="0"/>
        <w:autoSpaceDE/>
        <w:autoSpaceDN/>
        <w:bidi w:val="0"/>
        <w:spacing w:line="600" w:lineRule="exact"/>
        <w:ind w:firstLine="640" w:firstLineChars="200"/>
        <w:textAlignment w:val="auto"/>
        <w:outlineLvl w:val="1"/>
        <w:rPr>
          <w:rStyle w:val="30"/>
          <w:rFonts w:ascii="Times New Roman" w:hAnsi="Times New Roman" w:eastAsia="黑体"/>
          <w:b w:val="0"/>
          <w:color w:val="auto"/>
          <w:highlight w:val="none"/>
        </w:rPr>
      </w:pPr>
      <w:bookmarkStart w:id="53" w:name="_Toc981675401"/>
      <w:bookmarkStart w:id="54" w:name="_Toc15377215"/>
      <w:bookmarkStart w:id="55"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53"/>
      <w:bookmarkEnd w:id="54"/>
      <w:bookmarkEnd w:id="55"/>
    </w:p>
    <w:p w14:paraId="3D024534">
      <w:pPr>
        <w:pageBreakBefore w:val="0"/>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6" w:name="_Toc1678686088"/>
      <w:bookmarkStart w:id="57" w:name="_Toc1718248337"/>
      <w:bookmarkStart w:id="5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6"/>
      <w:bookmarkEnd w:id="57"/>
      <w:bookmarkEnd w:id="58"/>
    </w:p>
    <w:p w14:paraId="0B10D60F">
      <w:pPr>
        <w:pageBreakBefore w:val="0"/>
        <w:kinsoku/>
        <w:wordWrap/>
        <w:overflowPunct/>
        <w:topLinePunct w:val="0"/>
        <w:autoSpaceDE/>
        <w:autoSpaceDN/>
        <w:bidi w:val="0"/>
        <w:spacing w:line="600" w:lineRule="exact"/>
        <w:ind w:firstLine="640" w:firstLineChars="200"/>
        <w:textAlignment w:val="auto"/>
        <w:outlineLvl w:val="2"/>
        <w:rPr>
          <w:rFonts w:hint="eastAsia" w:ascii="仿宋" w:hAnsi="仿宋" w:eastAsia="仿宋" w:cs="Times New Roman"/>
          <w:color w:val="auto"/>
          <w:kern w:val="2"/>
          <w:sz w:val="32"/>
          <w:szCs w:val="32"/>
          <w:highlight w:val="none"/>
          <w:lang w:val="en-US" w:eastAsia="zh-CN" w:bidi="ar-SA"/>
        </w:rPr>
      </w:pPr>
      <w:bookmarkStart w:id="59" w:name="_Toc873472936"/>
      <w:bookmarkStart w:id="60" w:name="_Toc935857972"/>
      <w:bookmarkStart w:id="61" w:name="_Toc15377217"/>
      <w:r>
        <w:rPr>
          <w:rFonts w:hint="eastAsia" w:eastAsia="仿宋_GB2312" w:cs="仿宋_GB2312"/>
          <w:color w:val="auto"/>
          <w:kern w:val="2"/>
          <w:sz w:val="32"/>
          <w:szCs w:val="32"/>
          <w:highlight w:val="none"/>
          <w:lang w:val="en-US" w:eastAsia="zh-CN" w:bidi="ar-SA"/>
        </w:rPr>
        <w:t>2025</w:t>
      </w:r>
      <w:r>
        <w:rPr>
          <w:rFonts w:hint="eastAsia" w:ascii="仿宋" w:hAnsi="仿宋" w:eastAsia="仿宋" w:cs="Times New Roman"/>
          <w:color w:val="auto"/>
          <w:kern w:val="2"/>
          <w:sz w:val="32"/>
          <w:szCs w:val="32"/>
          <w:highlight w:val="none"/>
          <w:lang w:val="en-US" w:eastAsia="zh-CN" w:bidi="ar-SA"/>
        </w:rPr>
        <w:t>年度“三公”经费财政拨款支出决算为0万元。</w:t>
      </w:r>
      <w:bookmarkEnd w:id="59"/>
      <w:bookmarkEnd w:id="60"/>
    </w:p>
    <w:p w14:paraId="2085D4A2">
      <w:pPr>
        <w:pageBreakBefore w:val="0"/>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62" w:name="_Toc1505812313"/>
      <w:bookmarkStart w:id="63" w:name="_Toc1771011955"/>
      <w:r>
        <w:rPr>
          <w:rFonts w:hint="eastAsia" w:ascii="Times New Roman" w:hAnsi="Times New Roman" w:eastAsia="楷体_GB2312" w:cs="楷体_GB2312"/>
          <w:b/>
          <w:color w:val="auto"/>
          <w:sz w:val="32"/>
          <w:szCs w:val="32"/>
          <w:highlight w:val="none"/>
        </w:rPr>
        <w:t>（二）财政拨款“三公”经费支出决算具体情况说明</w:t>
      </w:r>
      <w:bookmarkEnd w:id="61"/>
      <w:bookmarkEnd w:id="62"/>
      <w:bookmarkEnd w:id="63"/>
    </w:p>
    <w:p w14:paraId="14DB7E6A">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度</w:t>
      </w:r>
      <w:r>
        <w:rPr>
          <w:rFonts w:hint="eastAsia" w:ascii="仿宋" w:hAnsi="仿宋" w:eastAsia="仿宋" w:cs="Times New Roman"/>
          <w:color w:val="auto"/>
          <w:kern w:val="2"/>
          <w:sz w:val="32"/>
          <w:szCs w:val="32"/>
          <w:highlight w:val="none"/>
          <w:lang w:val="en-US" w:eastAsia="zh-CN" w:bidi="ar-SA"/>
        </w:rPr>
        <w:t>“三公”经费财政拨款支出决算为0万元。</w:t>
      </w:r>
    </w:p>
    <w:p w14:paraId="6F9E1414">
      <w:pPr>
        <w:pageBreakBefore w:val="0"/>
        <w:kinsoku/>
        <w:wordWrap/>
        <w:overflowPunct/>
        <w:topLinePunct w:val="0"/>
        <w:autoSpaceDE/>
        <w:autoSpaceDN/>
        <w:bidi w:val="0"/>
        <w:spacing w:line="600" w:lineRule="exact"/>
        <w:ind w:firstLine="640" w:firstLineChars="200"/>
        <w:textAlignment w:val="auto"/>
        <w:outlineLvl w:val="1"/>
        <w:rPr>
          <w:rStyle w:val="30"/>
          <w:rFonts w:ascii="Times New Roman" w:hAnsi="Times New Roman" w:eastAsia="黑体"/>
          <w:color w:val="auto"/>
          <w:highlight w:val="none"/>
        </w:rPr>
      </w:pPr>
      <w:bookmarkStart w:id="64" w:name="_Toc15377218"/>
      <w:bookmarkStart w:id="65" w:name="_Toc1470140075"/>
      <w:bookmarkStart w:id="66" w:name="_Toc1539661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64"/>
      <w:bookmarkEnd w:id="65"/>
      <w:bookmarkEnd w:id="66"/>
    </w:p>
    <w:p w14:paraId="0DCAF44A">
      <w:pPr>
        <w:pageBreakBefore w:val="0"/>
        <w:numPr>
          <w:ilvl w:val="0"/>
          <w:numId w:val="0"/>
        </w:numPr>
        <w:kinsoku/>
        <w:wordWrap/>
        <w:overflowPunct/>
        <w:topLinePunct w:val="0"/>
        <w:autoSpaceDE/>
        <w:autoSpaceDN/>
        <w:bidi w:val="0"/>
        <w:spacing w:line="600" w:lineRule="exact"/>
        <w:ind w:left="630" w:leftChars="0" w:firstLine="640" w:firstLineChars="200"/>
        <w:textAlignment w:val="auto"/>
        <w:outlineLvl w:val="1"/>
        <w:rPr>
          <w:rFonts w:hint="eastAsia" w:eastAsia="仿宋_GB2312" w:cs="仿宋_GB2312"/>
          <w:color w:val="auto"/>
          <w:kern w:val="2"/>
          <w:sz w:val="32"/>
          <w:szCs w:val="32"/>
          <w:highlight w:val="none"/>
          <w:lang w:val="en-US" w:eastAsia="zh-CN" w:bidi="ar-SA"/>
        </w:rPr>
      </w:pPr>
      <w:bookmarkStart w:id="67" w:name="_Toc110503607"/>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68" w:name="_Toc15396611"/>
      <w:bookmarkStart w:id="69" w:name="_Toc15377219"/>
      <w:r>
        <w:rPr>
          <w:rFonts w:hint="eastAsia" w:eastAsia="仿宋_GB2312" w:cs="仿宋_GB2312"/>
          <w:color w:val="auto"/>
          <w:kern w:val="2"/>
          <w:sz w:val="32"/>
          <w:szCs w:val="32"/>
          <w:highlight w:val="none"/>
          <w:lang w:val="en-US" w:eastAsia="zh-CN" w:bidi="ar-SA"/>
        </w:rPr>
        <w:t>。</w:t>
      </w:r>
      <w:bookmarkEnd w:id="67"/>
    </w:p>
    <w:p w14:paraId="2923FD2C">
      <w:pPr>
        <w:pageBreakBefore w:val="0"/>
        <w:numPr>
          <w:ilvl w:val="0"/>
          <w:numId w:val="0"/>
        </w:numPr>
        <w:kinsoku/>
        <w:wordWrap/>
        <w:overflowPunct/>
        <w:topLinePunct w:val="0"/>
        <w:autoSpaceDE/>
        <w:autoSpaceDN/>
        <w:bidi w:val="0"/>
        <w:spacing w:line="600" w:lineRule="exact"/>
        <w:ind w:left="630" w:leftChars="0" w:firstLine="640" w:firstLineChars="200"/>
        <w:textAlignment w:val="auto"/>
        <w:outlineLvl w:val="1"/>
        <w:rPr>
          <w:rStyle w:val="30"/>
          <w:rFonts w:ascii="Times New Roman" w:hAnsi="Times New Roman" w:eastAsia="黑体"/>
          <w:b w:val="0"/>
          <w:color w:val="auto"/>
          <w:highlight w:val="none"/>
        </w:rPr>
      </w:pPr>
      <w:bookmarkStart w:id="70" w:name="_Toc515960560"/>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68"/>
      <w:bookmarkEnd w:id="69"/>
      <w:bookmarkEnd w:id="70"/>
    </w:p>
    <w:p w14:paraId="4415A51E">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6AA6DDEB">
      <w:pPr>
        <w:pageBreakBefore w:val="0"/>
        <w:numPr>
          <w:ilvl w:val="0"/>
          <w:numId w:val="0"/>
        </w:numPr>
        <w:kinsoku/>
        <w:wordWrap/>
        <w:overflowPunct/>
        <w:topLinePunct w:val="0"/>
        <w:autoSpaceDE/>
        <w:autoSpaceDN/>
        <w:bidi w:val="0"/>
        <w:spacing w:line="600" w:lineRule="exact"/>
        <w:ind w:left="630" w:leftChars="0" w:firstLine="640" w:firstLineChars="200"/>
        <w:textAlignment w:val="auto"/>
        <w:outlineLvl w:val="1"/>
        <w:rPr>
          <w:rStyle w:val="30"/>
          <w:rFonts w:hint="eastAsia" w:ascii="Times New Roman" w:hAnsi="Times New Roman" w:eastAsia="黑体"/>
          <w:b w:val="0"/>
          <w:color w:val="auto"/>
          <w:highlight w:val="none"/>
        </w:rPr>
      </w:pPr>
      <w:bookmarkStart w:id="71" w:name="_Toc15396612"/>
      <w:bookmarkStart w:id="72" w:name="_Toc187206589"/>
      <w:bookmarkStart w:id="73"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71"/>
      <w:bookmarkEnd w:id="72"/>
      <w:bookmarkEnd w:id="73"/>
    </w:p>
    <w:p w14:paraId="254443A8">
      <w:pPr>
        <w:pageBreakBefore w:val="0"/>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4" w:name="_Toc1082923281"/>
      <w:bookmarkStart w:id="75" w:name="_Toc15377222"/>
      <w:r>
        <w:rPr>
          <w:rFonts w:hint="eastAsia" w:ascii="Times New Roman" w:hAnsi="Times New Roman" w:eastAsia="楷体_GB2312" w:cs="楷体_GB2312"/>
          <w:b/>
          <w:color w:val="auto"/>
          <w:sz w:val="32"/>
          <w:szCs w:val="32"/>
          <w:highlight w:val="none"/>
        </w:rPr>
        <w:t>（一）机关运行经费支出情况</w:t>
      </w:r>
      <w:bookmarkEnd w:id="74"/>
      <w:bookmarkEnd w:id="75"/>
    </w:p>
    <w:p w14:paraId="08E29B10">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14:paraId="3FD89F33">
      <w:pPr>
        <w:pageBreakBefore w:val="0"/>
        <w:numPr>
          <w:ilvl w:val="0"/>
          <w:numId w:val="2"/>
        </w:numPr>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6" w:name="_Toc170760359"/>
      <w:bookmarkStart w:id="77" w:name="_Toc15377223"/>
      <w:r>
        <w:rPr>
          <w:rFonts w:hint="eastAsia" w:ascii="Times New Roman" w:hAnsi="Times New Roman" w:eastAsia="楷体_GB2312" w:cs="楷体_GB2312"/>
          <w:b/>
          <w:color w:val="auto"/>
          <w:sz w:val="32"/>
          <w:szCs w:val="32"/>
          <w:highlight w:val="none"/>
        </w:rPr>
        <w:t>政府采购支出情况</w:t>
      </w:r>
      <w:bookmarkEnd w:id="76"/>
      <w:bookmarkEnd w:id="77"/>
    </w:p>
    <w:p w14:paraId="57A61B8B">
      <w:pPr>
        <w:pageBreakBefore w:val="0"/>
        <w:kinsoku/>
        <w:wordWrap/>
        <w:overflowPunct/>
        <w:topLinePunct w:val="0"/>
        <w:autoSpaceDE/>
        <w:autoSpaceDN/>
        <w:bidi w:val="0"/>
        <w:spacing w:line="600"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14:paraId="206EB066">
      <w:pPr>
        <w:pageBreakBefore w:val="0"/>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8" w:name="_Toc852433588"/>
      <w:bookmarkStart w:id="79" w:name="_Toc15377224"/>
      <w:r>
        <w:rPr>
          <w:rFonts w:hint="eastAsia" w:ascii="Times New Roman" w:hAnsi="Times New Roman" w:eastAsia="楷体_GB2312" w:cs="楷体_GB2312"/>
          <w:b/>
          <w:color w:val="auto"/>
          <w:sz w:val="32"/>
          <w:szCs w:val="32"/>
          <w:highlight w:val="none"/>
        </w:rPr>
        <w:t>（三）国有资产占有使用情况</w:t>
      </w:r>
      <w:bookmarkEnd w:id="78"/>
      <w:bookmarkEnd w:id="79"/>
    </w:p>
    <w:p w14:paraId="5E5DA786">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14:paraId="3B4B8C2C">
      <w:pPr>
        <w:pageBreakBefore w:val="0"/>
        <w:kinsoku/>
        <w:wordWrap/>
        <w:overflowPunct/>
        <w:topLinePunct w:val="0"/>
        <w:autoSpaceDE/>
        <w:autoSpaceDN/>
        <w:bidi w:val="0"/>
        <w:spacing w:line="60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80" w:name="_Toc1698078028"/>
      <w:r>
        <w:rPr>
          <w:rFonts w:hint="eastAsia" w:ascii="Times New Roman" w:hAnsi="Times New Roman" w:eastAsia="楷体_GB2312" w:cs="楷体_GB2312"/>
          <w:b/>
          <w:color w:val="auto"/>
          <w:sz w:val="32"/>
          <w:szCs w:val="32"/>
          <w:highlight w:val="none"/>
        </w:rPr>
        <w:t>（四）预算绩效管理情况</w:t>
      </w:r>
      <w:bookmarkEnd w:id="80"/>
    </w:p>
    <w:p w14:paraId="31C012FB">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p>
    <w:p w14:paraId="0C359775">
      <w:pPr>
        <w:pageBreakBefore w:val="0"/>
        <w:numPr>
          <w:ilvl w:val="0"/>
          <w:numId w:val="0"/>
        </w:numPr>
        <w:kinsoku/>
        <w:wordWrap/>
        <w:overflowPunct/>
        <w:topLinePunct w:val="0"/>
        <w:autoSpaceDE/>
        <w:autoSpaceDN/>
        <w:bidi w:val="0"/>
        <w:spacing w:line="600" w:lineRule="exact"/>
        <w:ind w:firstLine="880" w:firstLineChars="200"/>
        <w:jc w:val="center"/>
        <w:textAlignment w:val="auto"/>
        <w:outlineLvl w:val="0"/>
        <w:rPr>
          <w:rFonts w:ascii="Times New Roman" w:hAnsi="Times New Roman"/>
          <w:b/>
          <w:color w:val="auto"/>
          <w:sz w:val="44"/>
          <w:szCs w:val="44"/>
          <w:highlight w:val="none"/>
        </w:rPr>
      </w:pPr>
      <w:bookmarkStart w:id="81" w:name="_Toc15396613"/>
      <w:bookmarkStart w:id="82" w:name="_Toc15377225"/>
      <w:bookmarkStart w:id="83" w:name="_Toc1837839618"/>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1"/>
      <w:bookmarkEnd w:id="82"/>
      <w:bookmarkEnd w:id="83"/>
    </w:p>
    <w:p w14:paraId="2C2822E0">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3E07B18">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hint="eastAsia" w:eastAsia="仿宋_GB2312" w:cs="仿宋_GB2312"/>
          <w:color w:val="auto"/>
          <w:kern w:val="2"/>
          <w:sz w:val="32"/>
          <w:szCs w:val="32"/>
          <w:highlight w:val="none"/>
          <w:lang w:val="en-US" w:eastAsia="zh-CN" w:bidi="ar-SA"/>
        </w:rPr>
        <w:t>发展和改革事务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其他发展与改革事务支出</w:t>
      </w:r>
      <w:r>
        <w:rPr>
          <w:rFonts w:hint="eastAsia" w:ascii="Times New Roman" w:hAnsi="Times New Roman" w:eastAsia="仿宋_GB2312" w:cs="仿宋_GB2312"/>
          <w:color w:val="auto"/>
          <w:kern w:val="2"/>
          <w:sz w:val="32"/>
          <w:szCs w:val="32"/>
          <w:highlight w:val="none"/>
          <w:lang w:val="en-US" w:eastAsia="zh-CN" w:bidi="ar-SA"/>
        </w:rPr>
        <w:t>（项）：指……</w:t>
      </w:r>
    </w:p>
    <w:p w14:paraId="57BBE1D7">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3147FC5">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9D7A050">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2BF91472">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8BD7119">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D4478F0">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5386C6B">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1E66A250">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A841FFA">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52F7702">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01C1604">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51A34AB4">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FE96BCE">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357B031">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0C3D82D">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1BD2BD5">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46AED53">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A672A93">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24CBDE1">
      <w:pPr>
        <w:pageBreakBefore w:val="0"/>
        <w:kinsoku/>
        <w:wordWrap/>
        <w:overflowPunct/>
        <w:topLinePunct w:val="0"/>
        <w:autoSpaceDE/>
        <w:autoSpaceDN/>
        <w:bidi w:val="0"/>
        <w:spacing w:line="60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B0F0E13">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2CD6D8C">
      <w:pPr>
        <w:pageBreakBefore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58725A">
      <w:pPr>
        <w:pageBreakBefore w:val="0"/>
        <w:kinsoku/>
        <w:wordWrap/>
        <w:overflowPunct/>
        <w:topLinePunct w:val="0"/>
        <w:autoSpaceDE/>
        <w:autoSpaceDN/>
        <w:bidi w:val="0"/>
        <w:spacing w:line="600" w:lineRule="exact"/>
        <w:ind w:firstLine="643"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537547D6">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84"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85" w:name="_Toc15396618"/>
    </w:p>
    <w:p w14:paraId="333B7E6C">
      <w:pPr>
        <w:pageBreakBefore w:val="0"/>
        <w:widowControl/>
        <w:kinsoku/>
        <w:wordWrap/>
        <w:overflowPunct/>
        <w:topLinePunct w:val="0"/>
        <w:autoSpaceDE/>
        <w:autoSpaceDN/>
        <w:bidi w:val="0"/>
        <w:ind w:firstLine="880" w:firstLineChars="200"/>
        <w:jc w:val="center"/>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9"/>
          <w:rFonts w:hint="eastAsia" w:ascii="Times New Roman" w:hAnsi="Times New Roman" w:eastAsia="黑体"/>
          <w:b w:val="0"/>
          <w:color w:val="auto"/>
          <w:highlight w:val="none"/>
        </w:rPr>
        <w:t>部分 附表</w:t>
      </w:r>
      <w:bookmarkEnd w:id="84"/>
      <w:bookmarkEnd w:id="85"/>
      <w:bookmarkStart w:id="86" w:name="_Toc15396619"/>
    </w:p>
    <w:p w14:paraId="0317F805">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6"/>
    </w:p>
    <w:p w14:paraId="6B7554F5">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87" w:name="_Toc15396620"/>
      <w:r>
        <w:rPr>
          <w:rFonts w:hint="eastAsia" w:ascii="Times New Roman" w:hAnsi="Times New Roman" w:eastAsia="仿宋_GB2312" w:cs="仿宋_GB2312"/>
          <w:color w:val="auto"/>
          <w:sz w:val="32"/>
          <w:szCs w:val="32"/>
          <w:highlight w:val="none"/>
        </w:rPr>
        <w:t>二、收入决算表</w:t>
      </w:r>
      <w:bookmarkEnd w:id="87"/>
    </w:p>
    <w:p w14:paraId="26A8A9B7">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88" w:name="_Toc15396621"/>
      <w:r>
        <w:rPr>
          <w:rFonts w:hint="eastAsia" w:ascii="Times New Roman" w:hAnsi="Times New Roman" w:eastAsia="仿宋_GB2312" w:cs="仿宋_GB2312"/>
          <w:color w:val="auto"/>
          <w:sz w:val="32"/>
          <w:szCs w:val="32"/>
          <w:highlight w:val="none"/>
        </w:rPr>
        <w:t>三、支出决算表</w:t>
      </w:r>
      <w:bookmarkEnd w:id="88"/>
    </w:p>
    <w:p w14:paraId="62688511">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89" w:name="_Toc15396622"/>
      <w:r>
        <w:rPr>
          <w:rFonts w:hint="eastAsia" w:ascii="Times New Roman" w:hAnsi="Times New Roman" w:eastAsia="仿宋_GB2312" w:cs="仿宋_GB2312"/>
          <w:color w:val="auto"/>
          <w:sz w:val="32"/>
          <w:szCs w:val="32"/>
          <w:highlight w:val="none"/>
        </w:rPr>
        <w:t>四、财政拨款收入支出决算总表</w:t>
      </w:r>
      <w:bookmarkEnd w:id="89"/>
    </w:p>
    <w:p w14:paraId="06D9E52B">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90" w:name="_Toc15396623"/>
      <w:r>
        <w:rPr>
          <w:rFonts w:hint="eastAsia" w:ascii="Times New Roman" w:hAnsi="Times New Roman" w:eastAsia="仿宋_GB2312" w:cs="仿宋_GB2312"/>
          <w:color w:val="auto"/>
          <w:sz w:val="32"/>
          <w:szCs w:val="32"/>
          <w:highlight w:val="none"/>
        </w:rPr>
        <w:t>五、财政拨款支出决算明细表</w:t>
      </w:r>
      <w:bookmarkEnd w:id="90"/>
      <w:bookmarkStart w:id="91"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1"/>
    </w:p>
    <w:p w14:paraId="6D6A8917">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92" w:name="_Toc15396625"/>
      <w:r>
        <w:rPr>
          <w:rFonts w:hint="eastAsia" w:ascii="Times New Roman" w:hAnsi="Times New Roman" w:eastAsia="仿宋_GB2312" w:cs="仿宋_GB2312"/>
          <w:color w:val="auto"/>
          <w:sz w:val="32"/>
          <w:szCs w:val="32"/>
          <w:highlight w:val="none"/>
        </w:rPr>
        <w:t>七、一般公共预算财政拨款支出决算明细表</w:t>
      </w:r>
      <w:bookmarkEnd w:id="92"/>
    </w:p>
    <w:p w14:paraId="1657BE10">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93" w:name="_Toc15396626"/>
      <w:r>
        <w:rPr>
          <w:rFonts w:hint="eastAsia" w:ascii="Times New Roman" w:hAnsi="Times New Roman" w:eastAsia="仿宋_GB2312" w:cs="仿宋_GB2312"/>
          <w:color w:val="auto"/>
          <w:sz w:val="32"/>
          <w:szCs w:val="32"/>
          <w:highlight w:val="none"/>
        </w:rPr>
        <w:t>八、一般公共预算财政拨款基本支出决算表</w:t>
      </w:r>
      <w:bookmarkEnd w:id="93"/>
    </w:p>
    <w:p w14:paraId="7F89FCDF">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94" w:name="_Toc15396627"/>
      <w:r>
        <w:rPr>
          <w:rFonts w:hint="eastAsia" w:ascii="Times New Roman" w:hAnsi="Times New Roman" w:eastAsia="仿宋_GB2312" w:cs="仿宋_GB2312"/>
          <w:color w:val="auto"/>
          <w:sz w:val="32"/>
          <w:szCs w:val="32"/>
          <w:highlight w:val="none"/>
        </w:rPr>
        <w:t>九、一般公共预算财政拨款项目支出决算表</w:t>
      </w:r>
      <w:bookmarkEnd w:id="94"/>
    </w:p>
    <w:p w14:paraId="3B94238E">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95" w:name="_Toc15396628"/>
      <w:r>
        <w:rPr>
          <w:rFonts w:hint="eastAsia" w:ascii="Times New Roman" w:hAnsi="Times New Roman" w:eastAsia="仿宋_GB2312" w:cs="仿宋_GB2312"/>
          <w:color w:val="auto"/>
          <w:sz w:val="32"/>
          <w:szCs w:val="32"/>
          <w:highlight w:val="none"/>
        </w:rPr>
        <w:t>十、</w:t>
      </w:r>
      <w:bookmarkEnd w:id="95"/>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96" w:name="_Toc15396629"/>
      <w:r>
        <w:rPr>
          <w:rFonts w:hint="eastAsia" w:ascii="Times New Roman" w:hAnsi="Times New Roman" w:eastAsia="仿宋_GB2312" w:cs="仿宋_GB2312"/>
          <w:color w:val="auto"/>
          <w:sz w:val="32"/>
          <w:szCs w:val="32"/>
          <w:highlight w:val="none"/>
        </w:rPr>
        <w:t>十一、</w:t>
      </w:r>
      <w:bookmarkEnd w:id="9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97" w:name="_Toc15396630"/>
      <w:r>
        <w:rPr>
          <w:rFonts w:hint="eastAsia" w:ascii="Times New Roman" w:hAnsi="Times New Roman" w:eastAsia="仿宋_GB2312" w:cs="仿宋_GB2312"/>
          <w:color w:val="auto"/>
          <w:sz w:val="32"/>
          <w:szCs w:val="32"/>
          <w:highlight w:val="none"/>
        </w:rPr>
        <w:t>十二、</w:t>
      </w:r>
      <w:bookmarkEnd w:id="97"/>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Times New Roman" w:hAnsi="Times New Roman" w:eastAsia="仿宋_GB2312" w:cs="仿宋_GB2312"/>
          <w:color w:val="auto"/>
          <w:sz w:val="32"/>
          <w:szCs w:val="32"/>
          <w:highlight w:val="none"/>
          <w:lang w:eastAsia="zh-CN"/>
        </w:rPr>
      </w:pPr>
      <w:bookmarkStart w:id="98" w:name="_Toc15396631"/>
      <w:r>
        <w:rPr>
          <w:rFonts w:hint="eastAsia" w:ascii="Times New Roman" w:hAnsi="Times New Roman" w:eastAsia="仿宋_GB2312" w:cs="仿宋_GB2312"/>
          <w:color w:val="auto"/>
          <w:sz w:val="32"/>
          <w:szCs w:val="32"/>
          <w:highlight w:val="none"/>
        </w:rPr>
        <w:t>十三、</w:t>
      </w:r>
      <w:bookmarkEnd w:id="98"/>
      <w:r>
        <w:rPr>
          <w:rFonts w:hint="eastAsia" w:ascii="Times New Roman" w:hAnsi="Times New Roman" w:eastAsia="仿宋_GB2312" w:cs="仿宋_GB2312"/>
          <w:color w:val="auto"/>
          <w:sz w:val="32"/>
          <w:szCs w:val="32"/>
          <w:highlight w:val="none"/>
          <w:lang w:eastAsia="zh-CN"/>
        </w:rPr>
        <w:t>财政拨款“三公”经费支出决算表</w:t>
      </w:r>
    </w:p>
    <w:p w14:paraId="1C0CF3E5">
      <w:pPr>
        <w:pageBreakBefore w:val="0"/>
        <w:kinsoku/>
        <w:wordWrap/>
        <w:overflowPunct/>
        <w:topLinePunct w:val="0"/>
        <w:autoSpaceDE/>
        <w:autoSpaceDN/>
        <w:bidi w:val="0"/>
        <w:ind w:firstLine="420" w:firstLineChars="200"/>
        <w:textAlignment w:val="auto"/>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338BC8-91AF-4F71-A3AC-78FAADE9FF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CD56012-9406-4B2B-B9C6-43848FA1E14D}"/>
  </w:font>
  <w:font w:name="仿宋">
    <w:panose1 w:val="02010609060101010101"/>
    <w:charset w:val="86"/>
    <w:family w:val="modern"/>
    <w:pitch w:val="default"/>
    <w:sig w:usb0="800002BF" w:usb1="38CF7CFA" w:usb2="00000016" w:usb3="00000000" w:csb0="00040001" w:csb1="00000000"/>
    <w:embedRegular r:id="rId3" w:fontKey="{1D9B105B-6465-4658-BCEE-6899329A5095}"/>
  </w:font>
  <w:font w:name="??">
    <w:altName w:val="FFont-Family"/>
    <w:panose1 w:val="00000000000000000000"/>
    <w:charset w:val="00"/>
    <w:family w:val="roman"/>
    <w:pitch w:val="default"/>
    <w:sig w:usb0="00000000" w:usb1="00000000" w:usb2="00000000" w:usb3="00000000" w:csb0="00000000" w:csb1="00000000"/>
  </w:font>
  <w:font w:name="国标仿宋">
    <w:altName w:val="仿宋"/>
    <w:panose1 w:val="02000500000000000000"/>
    <w:charset w:val="86"/>
    <w:family w:val="auto"/>
    <w:pitch w:val="default"/>
    <w:sig w:usb0="00000000" w:usb1="00000000" w:usb2="00000016" w:usb3="00000000" w:csb0="00060007" w:csb1="00000000"/>
  </w:font>
  <w:font w:name="方正小标宋简体">
    <w:panose1 w:val="02010600010101010101"/>
    <w:charset w:val="86"/>
    <w:family w:val="script"/>
    <w:pitch w:val="default"/>
    <w:sig w:usb0="00000001" w:usb1="080E0000" w:usb2="00000000" w:usb3="00000000" w:csb0="00040000" w:csb1="00000000"/>
    <w:embedRegular r:id="rId4" w:fontKey="{6DE377E5-ABCE-4FDE-84B6-B8EB04F1DF1C}"/>
  </w:font>
  <w:font w:name="楷体_GB2312">
    <w:panose1 w:val="02010609030101010101"/>
    <w:charset w:val="86"/>
    <w:family w:val="auto"/>
    <w:pitch w:val="default"/>
    <w:sig w:usb0="00000001" w:usb1="080E0000" w:usb2="00000000" w:usb3="00000000" w:csb0="00040000" w:csb1="00000000"/>
    <w:embedRegular r:id="rId5" w:fontKey="{1B835974-B491-436C-B685-6FB39DCCF7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D4BE">
    <w:pPr>
      <w:pStyle w:val="11"/>
      <w:jc w:val="center"/>
    </w:pPr>
  </w:p>
  <w:p w14:paraId="2C3FD6F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72890">
    <w:pPr>
      <w:pStyle w:val="11"/>
      <w:jc w:val="center"/>
    </w:pPr>
  </w:p>
  <w:p w14:paraId="688D3737">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8D70F">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457EC">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10457EC">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856D6B3">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3F767E"/>
    <w:multiLevelType w:val="singleLevel"/>
    <w:tmpl w:val="FE3F767E"/>
    <w:lvl w:ilvl="0" w:tentative="0">
      <w:start w:val="1"/>
      <w:numFmt w:val="chineseCounting"/>
      <w:suff w:val="nothing"/>
      <w:lvlText w:val="%1、"/>
      <w:lvlJc w:val="left"/>
      <w:rPr>
        <w:rFonts w:hint="eastAsia"/>
      </w:rPr>
    </w:lvl>
  </w:abstractNum>
  <w:abstractNum w:abstractNumId="1">
    <w:nsid w:val="FFEFA665"/>
    <w:multiLevelType w:val="singleLevel"/>
    <w:tmpl w:val="FFEFA665"/>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3F7F2DF"/>
    <w:rsid w:val="14022904"/>
    <w:rsid w:val="152F2A07"/>
    <w:rsid w:val="165E0673"/>
    <w:rsid w:val="16BB723D"/>
    <w:rsid w:val="186504BB"/>
    <w:rsid w:val="1938089F"/>
    <w:rsid w:val="19A445FC"/>
    <w:rsid w:val="1B7D550C"/>
    <w:rsid w:val="1BE8440E"/>
    <w:rsid w:val="1D155CEE"/>
    <w:rsid w:val="1E1EF46F"/>
    <w:rsid w:val="1E740ACF"/>
    <w:rsid w:val="1FF35744"/>
    <w:rsid w:val="1FF6BC77"/>
    <w:rsid w:val="21962A9E"/>
    <w:rsid w:val="21AE7C77"/>
    <w:rsid w:val="22BC3C41"/>
    <w:rsid w:val="23860B96"/>
    <w:rsid w:val="240371BF"/>
    <w:rsid w:val="260F557C"/>
    <w:rsid w:val="281408E2"/>
    <w:rsid w:val="29FD04D3"/>
    <w:rsid w:val="2BF6172D"/>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C942EFF"/>
    <w:rsid w:val="4D3C0CCC"/>
    <w:rsid w:val="4D577224"/>
    <w:rsid w:val="4DBF1CEB"/>
    <w:rsid w:val="4DEE2EB8"/>
    <w:rsid w:val="4EAB630A"/>
    <w:rsid w:val="4ECE2238"/>
    <w:rsid w:val="4F833267"/>
    <w:rsid w:val="4FE9BD67"/>
    <w:rsid w:val="4FFB052F"/>
    <w:rsid w:val="53083A92"/>
    <w:rsid w:val="537E6D0A"/>
    <w:rsid w:val="53AF27A2"/>
    <w:rsid w:val="53F74C96"/>
    <w:rsid w:val="56E47B74"/>
    <w:rsid w:val="57BD3DD4"/>
    <w:rsid w:val="57E72A73"/>
    <w:rsid w:val="5AF92295"/>
    <w:rsid w:val="5BDD79E6"/>
    <w:rsid w:val="5BF561CA"/>
    <w:rsid w:val="5BFF5DFC"/>
    <w:rsid w:val="5CD71FC4"/>
    <w:rsid w:val="5D1F11B5"/>
    <w:rsid w:val="5DAE1B18"/>
    <w:rsid w:val="5DE7D9E5"/>
    <w:rsid w:val="5ECEC941"/>
    <w:rsid w:val="5F493CB7"/>
    <w:rsid w:val="5FB68961"/>
    <w:rsid w:val="5FBF9FF3"/>
    <w:rsid w:val="5FCAEFC3"/>
    <w:rsid w:val="5FCD4E2C"/>
    <w:rsid w:val="5FD15F49"/>
    <w:rsid w:val="5FEF394A"/>
    <w:rsid w:val="5FF67715"/>
    <w:rsid w:val="5FFF9D21"/>
    <w:rsid w:val="62BF3928"/>
    <w:rsid w:val="647F5392"/>
    <w:rsid w:val="664B1D71"/>
    <w:rsid w:val="67AA3209"/>
    <w:rsid w:val="67EF8826"/>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0A40"/>
    <w:rsid w:val="6FD57C00"/>
    <w:rsid w:val="6FEFFFD8"/>
    <w:rsid w:val="6FF5CC65"/>
    <w:rsid w:val="6FFB47EC"/>
    <w:rsid w:val="6FFF034A"/>
    <w:rsid w:val="70496804"/>
    <w:rsid w:val="712A28F1"/>
    <w:rsid w:val="715C0E4B"/>
    <w:rsid w:val="72233669"/>
    <w:rsid w:val="72734D90"/>
    <w:rsid w:val="72D7D03C"/>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3E57EE"/>
    <w:rsid w:val="7CBFC87B"/>
    <w:rsid w:val="7CFE0F48"/>
    <w:rsid w:val="7D7EC23E"/>
    <w:rsid w:val="7D916348"/>
    <w:rsid w:val="7DF3D135"/>
    <w:rsid w:val="7E8ADEBF"/>
    <w:rsid w:val="7EEB7927"/>
    <w:rsid w:val="7EEF11D3"/>
    <w:rsid w:val="7EFD2002"/>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D47B57"/>
    <w:rsid w:val="B7F8786B"/>
    <w:rsid w:val="BABB6AA1"/>
    <w:rsid w:val="BB2F4199"/>
    <w:rsid w:val="BD079C78"/>
    <w:rsid w:val="BD733540"/>
    <w:rsid w:val="BF3735D5"/>
    <w:rsid w:val="BF7F09AC"/>
    <w:rsid w:val="BFD475C3"/>
    <w:rsid w:val="BFDE5EA6"/>
    <w:rsid w:val="CF6FC6F3"/>
    <w:rsid w:val="CFD3D3D7"/>
    <w:rsid w:val="CFDF1009"/>
    <w:rsid w:val="D5BD12C9"/>
    <w:rsid w:val="D7D7B16A"/>
    <w:rsid w:val="D8D6DB89"/>
    <w:rsid w:val="DB6F4CAB"/>
    <w:rsid w:val="DB777682"/>
    <w:rsid w:val="DD1FB521"/>
    <w:rsid w:val="DEFBFEAE"/>
    <w:rsid w:val="DF1F3B80"/>
    <w:rsid w:val="DF6F9789"/>
    <w:rsid w:val="DFF70B82"/>
    <w:rsid w:val="DFFFA9E8"/>
    <w:rsid w:val="E5F4E9DC"/>
    <w:rsid w:val="E70FE695"/>
    <w:rsid w:val="E7FD00E1"/>
    <w:rsid w:val="ECFED1BC"/>
    <w:rsid w:val="ED1D69BB"/>
    <w:rsid w:val="ED7FD312"/>
    <w:rsid w:val="EEDF75FC"/>
    <w:rsid w:val="EF53993F"/>
    <w:rsid w:val="EF6FD633"/>
    <w:rsid w:val="EFBFB2F4"/>
    <w:rsid w:val="EFBFFA21"/>
    <w:rsid w:val="F2BEBCB8"/>
    <w:rsid w:val="F36FB518"/>
    <w:rsid w:val="F3DE1A04"/>
    <w:rsid w:val="F3F722E5"/>
    <w:rsid w:val="F65FCD7A"/>
    <w:rsid w:val="FA5F1E70"/>
    <w:rsid w:val="FA5FDB97"/>
    <w:rsid w:val="FB7F486A"/>
    <w:rsid w:val="FBBBFE59"/>
    <w:rsid w:val="FBFF5B2E"/>
    <w:rsid w:val="FD7FFE2B"/>
    <w:rsid w:val="FDEE196B"/>
    <w:rsid w:val="FDFE6575"/>
    <w:rsid w:val="FEDFDDC2"/>
    <w:rsid w:val="FEED32F6"/>
    <w:rsid w:val="FEF781DD"/>
    <w:rsid w:val="FF3F7E3F"/>
    <w:rsid w:val="FFBA12D7"/>
    <w:rsid w:val="FFDFFAEE"/>
    <w:rsid w:val="FFF61A87"/>
    <w:rsid w:val="FFF9B57B"/>
    <w:rsid w:val="FFFAD32E"/>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tmp/wps.zGgVsg/Chart12%20in%20Wps.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tmp/wps.zGgVsg/Chart12%20in%20Wps.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tmp/wps.zGgVsg/Chart12%20in%20Wps.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tmp/wps.zGgVsg/Chart12%20in%20Wps.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tmp/wps.zGgVsg/Chart12%20in%20Wps.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tmp/wps.zGgVsg/Chart12%20in%20Wp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'[Chart12 in Wps.xlsx]Sheet1'!$B$1</c:f>
              <c:strCache>
                <c:ptCount val="1"/>
                <c:pt idx="0">
                  <c:v>收入、支出决算总计变动表</c:v>
                </c:pt>
              </c:strCache>
            </c:strRef>
          </c:tx>
          <c:spPr>
            <a:solidFill>
              <a:schemeClr val="accent1"/>
            </a:solidFill>
            <a:ln>
              <a:noFill/>
            </a:ln>
            <a:effectLst/>
          </c:spPr>
          <c:invertIfNegative val="0"/>
          <c:dLbls>
            <c:delete val="1"/>
          </c:dLbls>
          <c:cat>
            <c:strRef>
              <c:f>'[Chart12 in Wps.xlsx]Sheet1'!$A$2:$A$3</c:f>
              <c:strCache>
                <c:ptCount val="2"/>
                <c:pt idx="0">
                  <c:v>2024年收入、支出决算总计</c:v>
                </c:pt>
                <c:pt idx="1">
                  <c:v>2025年收入、支出决算总计</c:v>
                </c:pt>
              </c:strCache>
            </c:strRef>
          </c:cat>
          <c:val>
            <c:numRef>
              <c:f>'[Chart12 in Wps.xlsx]Sheet1'!$B$2:$B$3</c:f>
              <c:numCache>
                <c:formatCode>General</c:formatCode>
                <c:ptCount val="2"/>
                <c:pt idx="0">
                  <c:v>19.07</c:v>
                </c:pt>
                <c:pt idx="1">
                  <c:v>28.12</c:v>
                </c:pt>
              </c:numCache>
            </c:numRef>
          </c:val>
        </c:ser>
        <c:dLbls>
          <c:showLegendKey val="0"/>
          <c:showVal val="0"/>
          <c:showCatName val="0"/>
          <c:showSerName val="0"/>
          <c:showPercent val="0"/>
          <c:showBubbleSize val="0"/>
        </c:dLbls>
        <c:gapWidth val="246"/>
        <c:overlap val="-28"/>
        <c:axId val="347332401"/>
        <c:axId val="919878271"/>
      </c:barChart>
      <c:catAx>
        <c:axId val="3473324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9878271"/>
        <c:crosses val="autoZero"/>
        <c:auto val="1"/>
        <c:lblAlgn val="ctr"/>
        <c:lblOffset val="100"/>
        <c:noMultiLvlLbl val="0"/>
      </c:catAx>
      <c:valAx>
        <c:axId val="91987827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3324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97df9f7-5e7f-4b88-91dd-ada464d599f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'[Chart12 in Wps.xlsx]Sheet1'!$A$22</c:f>
              <c:strCache>
                <c:ptCount val="1"/>
                <c:pt idx="0">
                  <c:v>一般公共预算财政拨款收入</c:v>
                </c:pt>
              </c:strCache>
            </c:strRef>
          </c:tx>
          <c:spPr/>
          <c:explosion val="0"/>
          <c:dPt>
            <c:idx val="0"/>
            <c:bubble3D val="0"/>
            <c:spPr>
              <a:solidFill>
                <a:schemeClr val="accent1"/>
              </a:solidFill>
              <a:ln>
                <a:solidFill>
                  <a:schemeClr val="bg1"/>
                </a:solidFill>
              </a:ln>
              <a:effectLst/>
            </c:spPr>
          </c:dPt>
          <c:dLbls>
            <c:delete val="1"/>
          </c:dLbls>
          <c:cat>
            <c:strRef>
              <c:f>'[Chart12 in Wps.xlsx]Sheet1'!$B$21</c:f>
              <c:strCache>
                <c:ptCount val="1"/>
                <c:pt idx="0">
                  <c:v>收入决算结构图</c:v>
                </c:pt>
              </c:strCache>
            </c:strRef>
          </c:cat>
          <c:val>
            <c:numRef>
              <c:f>'[Chart12 in Wps.xlsx]Sheet1'!$B$22</c:f>
              <c:numCache>
                <c:formatCode>General</c:formatCode>
                <c:ptCount val="1"/>
                <c:pt idx="0">
                  <c:v>28.12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233515-eb92-4ec9-bf76-2d97f34349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manualLayout>
          <c:xMode val="edge"/>
          <c:yMode val="edge"/>
          <c:x val="0.351674641148325"/>
          <c:y val="0.024390243902439"/>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'[Chart12 in Wps.xlsx]Sheet1'!$A$40:$B$40</c:f>
              <c:strCache>
                <c:ptCount val="2"/>
                <c:pt idx="0">
                  <c:v>3</c:v>
                </c:pt>
                <c:pt idx="1">
                  <c:v>支出决算结构图</c:v>
                </c:pt>
              </c:strCache>
            </c:strRef>
          </c:cat>
          <c:val>
            <c:numRef>
              <c:f>'[Chart12 in Wps.xlsx]Sheet1'!$A$41:$B$41</c:f>
              <c:numCache>
                <c:formatCode>General</c:formatCode>
                <c:ptCount val="2"/>
                <c:pt idx="0">
                  <c:v>0</c:v>
                </c:pt>
                <c:pt idx="1">
                  <c:v>28.12</c:v>
                </c:pt>
              </c:numCache>
            </c:numRef>
          </c:val>
        </c:ser>
        <c:ser>
          <c:idx val="1"/>
          <c:order val="1"/>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'[Chart12 in Wps.xlsx]Sheet1'!$A$40:$B$40</c:f>
              <c:strCache>
                <c:ptCount val="2"/>
                <c:pt idx="0">
                  <c:v>3</c:v>
                </c:pt>
                <c:pt idx="1">
                  <c:v>支出决算结构图</c:v>
                </c:pt>
              </c:strCache>
            </c:strRef>
          </c:cat>
          <c:val>
            <c:numRef>
              <c:f>'[Chart12 in Wps.xlsx]Sheet1'!$A$42:$B$42</c:f>
              <c:numCache>
                <c:formatCode>General</c:formatCode>
                <c:ptCount val="2"/>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8d21bfd-ecf8-462c-8572-1a3455976937}"/>
      </c:ext>
    </c:extLst>
  </c:chart>
  <c:spPr>
    <a:no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'[Chart12 in Wps.xlsx]Sheet1'!$B$60</c:f>
              <c:strCache>
                <c:ptCount val="1"/>
                <c:pt idx="0">
                  <c:v>财政拨款收、支决算总计变动情况</c:v>
                </c:pt>
              </c:strCache>
            </c:strRef>
          </c:tx>
          <c:spPr>
            <a:solidFill>
              <a:schemeClr val="accent1"/>
            </a:solidFill>
            <a:ln>
              <a:noFill/>
            </a:ln>
            <a:effectLst/>
          </c:spPr>
          <c:invertIfNegative val="0"/>
          <c:dLbls>
            <c:delete val="1"/>
          </c:dLbls>
          <c:cat>
            <c:strRef>
              <c:f>'[Chart12 in Wps.xlsx]Sheet1'!$A$61:$A$62</c:f>
              <c:strCache>
                <c:ptCount val="2"/>
                <c:pt idx="0">
                  <c:v>2024年财政拨款收、支决算总计</c:v>
                </c:pt>
                <c:pt idx="1">
                  <c:v>2025年财政拨款收、支决算总计</c:v>
                </c:pt>
              </c:strCache>
            </c:strRef>
          </c:cat>
          <c:val>
            <c:numRef>
              <c:f>'[Chart12 in Wps.xlsx]Sheet1'!$B$61:$B$62</c:f>
              <c:numCache>
                <c:formatCode>General</c:formatCode>
                <c:ptCount val="2"/>
                <c:pt idx="0">
                  <c:v>19.07</c:v>
                </c:pt>
                <c:pt idx="1">
                  <c:v>28.12</c:v>
                </c:pt>
              </c:numCache>
            </c:numRef>
          </c:val>
        </c:ser>
        <c:dLbls>
          <c:showLegendKey val="0"/>
          <c:showVal val="0"/>
          <c:showCatName val="0"/>
          <c:showSerName val="0"/>
          <c:showPercent val="0"/>
          <c:showBubbleSize val="0"/>
        </c:dLbls>
        <c:gapWidth val="246"/>
        <c:overlap val="-28"/>
        <c:axId val="329704417"/>
        <c:axId val="150526475"/>
      </c:barChart>
      <c:catAx>
        <c:axId val="3297044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0526475"/>
        <c:crosses val="autoZero"/>
        <c:auto val="1"/>
        <c:lblAlgn val="ctr"/>
        <c:lblOffset val="100"/>
        <c:noMultiLvlLbl val="0"/>
      </c:catAx>
      <c:valAx>
        <c:axId val="15052647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97044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1844708-e621-4ee1-b0b3-fc509439a7b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58684210526316"/>
          <c:y val="0.0520833333333333"/>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'[Chart12 in Wps.xlsx]Sheet1'!$B$80</c:f>
              <c:strCache>
                <c:ptCount val="1"/>
                <c:pt idx="0">
                  <c:v>一般公共预算财政拨款支出决算变动情况</c:v>
                </c:pt>
              </c:strCache>
            </c:strRef>
          </c:tx>
          <c:spPr>
            <a:solidFill>
              <a:schemeClr val="accent1"/>
            </a:solidFill>
            <a:ln>
              <a:noFill/>
            </a:ln>
            <a:effectLst/>
          </c:spPr>
          <c:invertIfNegative val="0"/>
          <c:dLbls>
            <c:delete val="1"/>
          </c:dLbls>
          <c:cat>
            <c:strRef>
              <c:f>'[Chart12 in Wps.xlsx]Sheet1'!$A$81:$A$82</c:f>
              <c:strCache>
                <c:ptCount val="2"/>
                <c:pt idx="0">
                  <c:v>2024年一般公共预算财政拨款支出</c:v>
                </c:pt>
                <c:pt idx="1">
                  <c:v>2025年一般公共预算财政拨款支出</c:v>
                </c:pt>
              </c:strCache>
            </c:strRef>
          </c:cat>
          <c:val>
            <c:numRef>
              <c:f>'[Chart12 in Wps.xlsx]Sheet1'!$B$81:$B$82</c:f>
              <c:numCache>
                <c:formatCode>General</c:formatCode>
                <c:ptCount val="2"/>
                <c:pt idx="0">
                  <c:v>19.07</c:v>
                </c:pt>
                <c:pt idx="1">
                  <c:v>28.12</c:v>
                </c:pt>
              </c:numCache>
            </c:numRef>
          </c:val>
        </c:ser>
        <c:dLbls>
          <c:showLegendKey val="0"/>
          <c:showVal val="0"/>
          <c:showCatName val="0"/>
          <c:showSerName val="0"/>
          <c:showPercent val="0"/>
          <c:showBubbleSize val="0"/>
        </c:dLbls>
        <c:gapWidth val="246"/>
        <c:overlap val="-28"/>
        <c:axId val="822038535"/>
        <c:axId val="641961312"/>
      </c:barChart>
      <c:catAx>
        <c:axId val="82203853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1961312"/>
        <c:crosses val="autoZero"/>
        <c:auto val="1"/>
        <c:lblAlgn val="ctr"/>
        <c:lblOffset val="100"/>
        <c:noMultiLvlLbl val="0"/>
      </c:catAx>
      <c:valAx>
        <c:axId val="6419613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20385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84feca7-6063-4fb4-98a1-98c250933e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'[Chart12 in Wps.xlsx]Sheet1'!$B$101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'[Chart12 in Wps.xlsx]Sheet1'!$A$102:$A$105</c:f>
              <c:strCache>
                <c:ptCount val="4"/>
                <c:pt idx="0">
                  <c:v>一般公共服务支出</c:v>
                </c:pt>
                <c:pt idx="1">
                  <c:v>社会保障和就业支出</c:v>
                </c:pt>
                <c:pt idx="2">
                  <c:v>卫生健康支出</c:v>
                </c:pt>
                <c:pt idx="3">
                  <c:v>住房保障支出</c:v>
                </c:pt>
              </c:strCache>
            </c:strRef>
          </c:cat>
          <c:val>
            <c:numRef>
              <c:f>'[Chart12 in Wps.xlsx]Sheet1'!$B$102:$B$105</c:f>
              <c:numCache>
                <c:formatCode>General</c:formatCode>
                <c:ptCount val="4"/>
                <c:pt idx="0">
                  <c:v>19.97</c:v>
                </c:pt>
                <c:pt idx="1">
                  <c:v>4.31</c:v>
                </c:pt>
                <c:pt idx="2">
                  <c:v>1.65</c:v>
                </c:pt>
                <c:pt idx="3">
                  <c:v>2.19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8c0c57d-c94f-4175-8145-bf64d622cf9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c712ab07-7c33-49e5-b63d-7f17ac256185</errorID>
      <errorWord>-</errorWord>
      <group>L1_Format</group>
      <groupName>格式问题</groupName>
      <ability>L2_HalfPunc_CN</ability>
      <abilityName>全半角问题</abilityName>
      <candidateList>
        <item>－</item>
      </candidateList>
      <explain>文本全半角错误。</explain>
      <paraID>68CAE74B</paraID>
      <start>5</start>
      <end>6</end>
      <status>modified</status>
      <modifiedWord>－</modifiedWord>
      <trackRevisions>false</trackRevisions>
    </reviewItem>
    <reviewItem>
      <errorID>91f5fbe9-0932-42f2-8938-48cf5cc41856</errorID>
      <errorWord>-</errorWord>
      <group>L1_Format</group>
      <groupName>格式问题</groupName>
      <ability>L2_HalfPunc_CN</ability>
      <abilityName>全半角问题</abilityName>
      <candidateList>
        <item>－</item>
      </candidateList>
      <explain>文本全半角错误。</explain>
      <paraID>68CAE74B</paraID>
      <start>22</start>
      <end>23</end>
      <status>modified</status>
      <modifiedWord>－</modifiedWord>
      <trackRevisions>false</trackRevisions>
    </reviewItem>
    <reviewItem>
      <errorID>00775ef7-cc4a-4b03-b8fa-217338d4fe3b</errorID>
      <errorWord>-</errorWord>
      <group>L1_Format</group>
      <groupName>格式问题</groupName>
      <ability>L2_HalfPunc_CN</ability>
      <abilityName>全半角问题</abilityName>
      <candidateList>
        <item>－</item>
      </candidateList>
      <explain>文本全半角错误。</explain>
      <paraID>1ED9D57B</paraID>
      <start>5</start>
      <end>6</end>
      <status>modified</status>
      <modifiedWord>－</modifiedWord>
      <trackRevisions>false</trackRevisions>
    </reviewItem>
    <reviewItem>
      <errorID>e59c718d-b947-45db-a0cf-bdac29f91448</errorID>
      <errorWord>-</errorWord>
      <group>L1_Format</group>
      <groupName>格式问题</groupName>
      <ability>L2_HalfPunc_CN</ability>
      <abilityName>全半角问题</abilityName>
      <candidateList>
        <item>－</item>
      </candidateList>
      <explain>文本全半角错误。</explain>
      <paraID>1ED9D57B</paraID>
      <start>46</start>
      <end>47</end>
      <status>modified</status>
      <modifiedWord>－</modifiedWord>
      <trackRevisions>false</trackRevisions>
    </reviewItem>
    <reviewItem>
      <errorID>d846495a-afa6-4469-a2e3-bfb07cb1ebe7</errorID>
      <errorWord>基本养来保险</errorWord>
      <group>L1_Political</group>
      <groupName>政治性问题</groupName>
      <ability>L2_Keyword</ability>
      <abilityName>固定表述</abilityName>
      <candidateList>
        <item>基本养老保险</item>
      </candidateList>
      <explain>词汇“基本养老保险”在特定场景下为固定表述形式，请确认此处的“基本养来保险”是否存在不当。</explain>
      <paraID>1ED9D57B</paraID>
      <start>53</start>
      <end>59</end>
      <status>modified</status>
      <modifiedWord>基本养老保险</modifiedWord>
      <trackRevisions>false</trackRevisions>
    </reviewItem>
    <reviewItem>
      <errorID>97bbb87c-cf8e-4bf2-8483-658a3365f5aa</errorID>
      <errorWord>-</errorWord>
      <group>L1_Format</group>
      <groupName>格式问题</groupName>
      <ability>L2_HalfPunc_CN</ability>
      <abilityName>全半角问题</abilityName>
      <candidateList>
        <item>－</item>
      </candidateList>
      <explain>文本全半角错误。</explain>
      <paraID>1ED9D57B</paraID>
      <start>77</start>
      <end>78</end>
      <status>modified</status>
      <modifiedWord>－</modifiedWord>
      <trackRevisions>false</trackRevisions>
    </reviewItem>
    <reviewItem>
      <errorID>ba1d3d4c-7b5e-4fa0-a4fb-181ee193982a</errorID>
      <errorWord>-</errorWord>
      <group>L1_Format</group>
      <groupName>格式问题</groupName>
      <ability>L2_HalfPunc_CN</ability>
      <abilityName>全半角问题</abilityName>
      <candidateList>
        <item>－</item>
      </candidateList>
      <explain>文本全半角错误。</explain>
      <paraID>386C9CE0</paraID>
      <start>5</start>
      <end>6</end>
      <status>modified</status>
      <modifiedWord>－</modifiedWord>
      <trackRevisions>false</trackRevisions>
    </reviewItem>
    <reviewItem>
      <errorID>ab2e2930-0d5c-4d23-aaa4-24bf2f1d43e0</errorID>
      <errorWord>-</errorWord>
      <group>L1_Format</group>
      <groupName>格式问题</groupName>
      <ability>L2_HalfPunc_CN</ability>
      <abilityName>全半角问题</abilityName>
      <candidateList>
        <item>－</item>
      </candidateList>
      <explain>文本全半角错误。</explain>
      <paraID>386C9CE0</paraID>
      <start>34</start>
      <end>35</end>
      <status>modified</status>
      <modifiedWord>－</modifiedWord>
      <trackRevisions>false</trackRevisions>
    </reviewItem>
    <reviewItem>
      <errorID>2860ef32-fe77-4a1f-9919-7afb64677360</errorID>
      <errorWord>-</errorWord>
      <group>L1_Format</group>
      <groupName>格式问题</groupName>
      <ability>L2_HalfPunc_CN</ability>
      <abilityName>全半角问题</abilityName>
      <candidateList>
        <item>－</item>
      </candidateList>
      <explain>文本全半角错误。</explain>
      <paraID>386C9CE0</paraID>
      <start>55</start>
      <end>56</end>
      <status>modified</status>
      <modifiedWord>－</modifiedWord>
      <trackRevisions>false</trackRevisions>
    </reviewItem>
    <reviewItem>
      <errorID>1489ec60-98d3-4924-bc51-c42887e22d40</errorID>
      <errorWord>-</errorWord>
      <group>L1_Format</group>
      <groupName>格式问题</groupName>
      <ability>L2_HalfPunc_CN</ability>
      <abilityName>全半角问题</abilityName>
      <candidateList>
        <item>－</item>
      </candidateList>
      <explain>文本全半角错误。</explain>
      <paraID>4647D3FD</paraID>
      <start>5</start>
      <end>6</end>
      <status>modified</status>
      <modifiedWord>－</modifiedWord>
      <trackRevisions>false</trackRevisions>
    </reviewItem>
    <reviewItem>
      <errorID>3ea39ffa-5742-459f-8209-300578e3965b</errorID>
      <errorWord>-</errorWord>
      <group>L1_Format</group>
      <groupName>格式问题</groupName>
      <ability>L2_HalfPunc_CN</ability>
      <abilityName>全半角问题</abilityName>
      <candidateList>
        <item>－</item>
      </candidateList>
      <explain>文本全半角错误。</explain>
      <paraID>4647D3FD</paraID>
      <start>31</start>
      <end>32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a1e211-c1ba-4cae-8828-afec3efd6059}">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13</Pages>
  <Words>3746</Words>
  <Characters>4101</Characters>
  <Lines>61</Lines>
  <Paragraphs>17</Paragraphs>
  <TotalTime>6</TotalTime>
  <ScaleCrop>false</ScaleCrop>
  <LinksUpToDate>false</LinksUpToDate>
  <CharactersWithSpaces>4225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奕夕^_^</cp:lastModifiedBy>
  <cp:lastPrinted>2026-10-14T16:22:00Z</cp:lastPrinted>
  <dcterms:modified xsi:type="dcterms:W3CDTF">2026-10-14T09:24:09Z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