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B3EE0">
      <w:pPr>
        <w:pStyle w:val="7"/>
        <w:rPr>
          <w:rFonts w:hint="eastAsia" w:ascii="黑体" w:hAnsi="黑体" w:eastAsia="黑体" w:cs="黑体"/>
          <w:color w:val="auto"/>
          <w:kern w:val="2"/>
          <w:sz w:val="32"/>
          <w:szCs w:val="32"/>
          <w:highlight w:val="none"/>
          <w:lang w:val="en-US" w:eastAsia="zh-CN" w:bidi="ar-SA"/>
        </w:rPr>
      </w:pPr>
      <w:bookmarkStart w:id="0" w:name="_Toc15378441"/>
      <w:bookmarkStart w:id="1" w:name="_Toc15396475"/>
      <w:bookmarkStart w:id="2" w:name="_Toc15377425"/>
      <w:bookmarkStart w:id="3" w:name="_Toc15377193"/>
      <w:bookmarkStart w:id="4" w:name="_Toc15396597"/>
      <w:bookmarkStart w:id="5" w:name="_Toc15306267"/>
      <w:r>
        <w:rPr>
          <w:rFonts w:hint="eastAsia" w:ascii="黑体" w:hAnsi="黑体" w:eastAsia="黑体" w:cs="黑体"/>
          <w:color w:val="auto"/>
          <w:kern w:val="2"/>
          <w:sz w:val="32"/>
          <w:szCs w:val="32"/>
          <w:highlight w:val="none"/>
          <w:lang w:val="en-US" w:eastAsia="zh-CN" w:bidi="ar-SA"/>
        </w:rPr>
        <w:t>附件4</w:t>
      </w:r>
    </w:p>
    <w:p w14:paraId="67C35170">
      <w:pPr>
        <w:pStyle w:val="7"/>
        <w:rPr>
          <w:rFonts w:hint="eastAsia" w:ascii="Times New Roman" w:hAnsi="Times New Roman" w:eastAsia="方正小标宋简体" w:cs="Times New Roman"/>
          <w:color w:val="auto"/>
          <w:kern w:val="2"/>
          <w:sz w:val="72"/>
          <w:szCs w:val="72"/>
          <w:highlight w:val="none"/>
          <w:lang w:val="en-US" w:eastAsia="zh-CN" w:bidi="ar-SA"/>
        </w:rPr>
      </w:pPr>
    </w:p>
    <w:p w14:paraId="14A8BCEB">
      <w:pPr>
        <w:pStyle w:val="7"/>
        <w:rPr>
          <w:rFonts w:hint="eastAsia" w:ascii="Times New Roman" w:hAnsi="Times New Roman" w:eastAsia="方正小标宋简体" w:cs="Times New Roman"/>
          <w:color w:val="auto"/>
          <w:kern w:val="2"/>
          <w:sz w:val="72"/>
          <w:szCs w:val="72"/>
          <w:highlight w:val="none"/>
          <w:lang w:val="en-US" w:eastAsia="zh-CN" w:bidi="ar-SA"/>
        </w:rPr>
      </w:pPr>
    </w:p>
    <w:p w14:paraId="6739F3FD">
      <w:pPr>
        <w:pStyle w:val="7"/>
        <w:rPr>
          <w:rFonts w:hint="eastAsia" w:ascii="Times New Roman" w:hAnsi="Times New Roman" w:eastAsia="方正小标宋简体" w:cs="Times New Roman"/>
          <w:color w:val="auto"/>
          <w:kern w:val="2"/>
          <w:sz w:val="72"/>
          <w:szCs w:val="72"/>
          <w:highlight w:val="none"/>
          <w:lang w:val="en-US" w:eastAsia="zh-CN" w:bidi="ar-SA"/>
        </w:rPr>
      </w:pPr>
    </w:p>
    <w:p w14:paraId="2470B09F">
      <w:pPr>
        <w:pStyle w:val="7"/>
        <w:rPr>
          <w:rFonts w:hint="eastAsia" w:ascii="Times New Roman" w:hAnsi="Times New Roman" w:eastAsia="方正小标宋简体" w:cs="Times New Roman"/>
          <w:color w:val="auto"/>
          <w:kern w:val="2"/>
          <w:sz w:val="72"/>
          <w:szCs w:val="72"/>
          <w:highlight w:val="none"/>
          <w:lang w:val="en-US" w:eastAsia="zh-CN" w:bidi="ar-SA"/>
        </w:rPr>
      </w:pPr>
    </w:p>
    <w:p w14:paraId="32F25CDF">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2025年度松潘县民政局</w:t>
      </w:r>
      <w:r>
        <w:rPr>
          <w:rFonts w:hint="eastAsia" w:ascii="Times New Roman" w:hAnsi="Times New Roman" w:eastAsia="方正小标宋简体" w:cs="Times New Roman"/>
          <w:color w:val="auto"/>
          <w:kern w:val="2"/>
          <w:sz w:val="44"/>
          <w:szCs w:val="44"/>
          <w:highlight w:val="none"/>
          <w:lang w:val="en-US" w:eastAsia="zh-CN" w:bidi="ar-SA"/>
        </w:rPr>
        <w:t>决算</w:t>
      </w:r>
    </w:p>
    <w:p w14:paraId="6E06EAEB">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1C30AEEB">
      <w:pPr>
        <w:spacing w:line="600" w:lineRule="exact"/>
        <w:jc w:val="center"/>
        <w:outlineLvl w:val="0"/>
        <w:rPr>
          <w:rFonts w:ascii="Times New Roman" w:hAnsi="Times New Roman" w:eastAsia="方正小标宋简体"/>
          <w:color w:val="auto"/>
          <w:sz w:val="72"/>
          <w:szCs w:val="72"/>
          <w:highlight w:val="none"/>
        </w:rPr>
      </w:pPr>
    </w:p>
    <w:p w14:paraId="2D0C50C1">
      <w:pPr>
        <w:pStyle w:val="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DEDFF1D">
      <w:pPr>
        <w:rPr>
          <w:rFonts w:ascii="Times New Roman" w:hAnsi="Times New Roman"/>
        </w:rPr>
      </w:pPr>
    </w:p>
    <w:p w14:paraId="2D27FDF0">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31E141B9">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4490ECF0">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01D09587">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4F8A59B">
      <w:pPr>
        <w:pStyle w:val="7"/>
        <w:jc w:val="center"/>
        <w:rPr>
          <w:rFonts w:hint="eastAsia" w:ascii="Times New Roman" w:eastAsia="方正小标宋简体" w:cs="Times New Roman"/>
          <w:color w:val="auto"/>
          <w:kern w:val="2"/>
          <w:sz w:val="44"/>
          <w:szCs w:val="44"/>
          <w:highlight w:val="none"/>
          <w:lang w:val="en-US" w:eastAsia="zh-CN"/>
        </w:rPr>
      </w:pPr>
      <w:bookmarkStart w:id="6" w:name="_Toc15377426"/>
      <w:bookmarkStart w:id="7" w:name="_Toc15396476"/>
      <w:bookmarkStart w:id="8" w:name="_Toc15396598"/>
      <w:bookmarkStart w:id="9" w:name="_Toc15377194"/>
      <w:bookmarkStart w:id="10" w:name="_Toc15378442"/>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rPr>
        <w:t>四川省</w:t>
      </w:r>
      <w:r>
        <w:rPr>
          <w:rFonts w:hint="eastAsia" w:ascii="Times New Roman" w:eastAsia="方正小标宋简体" w:cs="Times New Roman"/>
          <w:color w:val="auto"/>
          <w:kern w:val="2"/>
          <w:sz w:val="44"/>
          <w:szCs w:val="44"/>
          <w:highlight w:val="none"/>
          <w:lang w:val="en-US" w:eastAsia="zh-CN"/>
        </w:rPr>
        <w:t>阿坝州松潘县民政局</w:t>
      </w:r>
    </w:p>
    <w:p w14:paraId="7280105D">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63996CC5">
      <w:pPr>
        <w:widowControl/>
        <w:jc w:val="center"/>
        <w:rPr>
          <w:rFonts w:hint="eastAsia" w:ascii="Times New Roman" w:hAnsi="Times New Roman" w:eastAsia="黑体"/>
          <w:color w:val="auto"/>
          <w:sz w:val="48"/>
          <w:szCs w:val="48"/>
          <w:highlight w:val="none"/>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14:paraId="325E1D26">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AB5799F">
      <w:pPr>
        <w:widowControl/>
        <w:jc w:val="center"/>
        <w:rPr>
          <w:rFonts w:ascii="Times New Roman" w:hAnsi="Times New Roman" w:eastAsia="黑体" w:cstheme="minorBidi"/>
          <w:color w:val="auto"/>
          <w:sz w:val="28"/>
          <w:szCs w:val="28"/>
          <w:highlight w:val="none"/>
        </w:rPr>
      </w:pPr>
    </w:p>
    <w:p w14:paraId="03ADEE25">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14</w:t>
      </w:r>
      <w:bookmarkStart w:id="71" w:name="_GoBack"/>
      <w:bookmarkEnd w:id="71"/>
      <w:r>
        <w:rPr>
          <w:rFonts w:hint="eastAsia" w:ascii="Times New Roman" w:hAnsi="Times New Roman" w:eastAsia="仿宋_GB2312" w:cs="仿宋_GB2312"/>
          <w:color w:val="auto"/>
          <w:sz w:val="32"/>
          <w:szCs w:val="32"/>
          <w:highlight w:val="none"/>
        </w:rPr>
        <w:t>日</w:t>
      </w:r>
    </w:p>
    <w:p w14:paraId="264720BD">
      <w:pPr>
        <w:rPr>
          <w:rFonts w:ascii="Times New Roman" w:hAnsi="Times New Roman"/>
          <w:color w:val="auto"/>
          <w:highlight w:val="none"/>
        </w:rPr>
      </w:pPr>
    </w:p>
    <w:p w14:paraId="6DCB0916">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B9E361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- 3  -</w:t>
      </w:r>
    </w:p>
    <w:p w14:paraId="08D110D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- 5  -</w:t>
      </w:r>
    </w:p>
    <w:p w14:paraId="3BF33D8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6E4E51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u w:val="dotted"/>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- 6  -</w:t>
      </w:r>
    </w:p>
    <w:p w14:paraId="292CBAD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- 7  -</w:t>
      </w:r>
    </w:p>
    <w:p w14:paraId="45606254">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- 7  -</w:t>
      </w:r>
    </w:p>
    <w:p w14:paraId="35E8BF2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- 8  -</w:t>
      </w:r>
    </w:p>
    <w:p w14:paraId="0BA50D4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- 8  -</w:t>
      </w:r>
    </w:p>
    <w:p w14:paraId="7E48C537">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sz w:val="32"/>
          <w:szCs w:val="32"/>
        </w:rPr>
        <w:tab/>
      </w:r>
    </w:p>
    <w:p w14:paraId="3F4EBEE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- 12 -</w:t>
      </w:r>
    </w:p>
    <w:p w14:paraId="41A45D6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- 13 -</w:t>
      </w:r>
    </w:p>
    <w:p w14:paraId="0087C72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- 15 -</w:t>
      </w:r>
    </w:p>
    <w:p w14:paraId="0854746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- 15 -</w:t>
      </w:r>
    </w:p>
    <w:p w14:paraId="04E0055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- 15 -</w:t>
      </w:r>
    </w:p>
    <w:p w14:paraId="548C8554">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- 17 -</w:t>
      </w:r>
    </w:p>
    <w:p w14:paraId="5DEC6C7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- 21 -</w:t>
      </w:r>
    </w:p>
    <w:p w14:paraId="74332989">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- 49 -</w:t>
      </w:r>
    </w:p>
    <w:p w14:paraId="6485249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- 49 -</w:t>
      </w:r>
    </w:p>
    <w:p w14:paraId="1EDFF5A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- 49 -</w:t>
      </w:r>
    </w:p>
    <w:p w14:paraId="3A3B68F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1151A49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2606EB1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702019C7">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48D2070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4E443AF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404D1C8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32FBE14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37D62E49">
      <w:pPr>
        <w:pStyle w:val="17"/>
        <w:keepNext w:val="0"/>
        <w:keepLines w:val="0"/>
        <w:pageBreakBefore w:val="0"/>
        <w:widowControl w:val="0"/>
        <w:kinsoku/>
        <w:wordWrap/>
        <w:overflowPunct/>
        <w:topLinePunct w:val="0"/>
        <w:autoSpaceDE/>
        <w:autoSpaceDN/>
        <w:bidi w:val="0"/>
        <w:adjustRightInd w:val="0"/>
        <w:snapToGrid w:val="0"/>
        <w:spacing w:line="560" w:lineRule="exact"/>
        <w:ind w:left="1598" w:leftChars="304" w:hanging="960" w:hangingChars="3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-49-</w:t>
      </w:r>
    </w:p>
    <w:p w14:paraId="0A06AC7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2EAE6DD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- 49-</w:t>
      </w:r>
    </w:p>
    <w:p w14:paraId="7AB37D7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7A33C4FD">
      <w:pPr>
        <w:pStyle w:val="3"/>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12"/>
      <w:bookmarkEnd w:id="13"/>
    </w:p>
    <w:p w14:paraId="2FD17121">
      <w:pPr>
        <w:widowControl/>
        <w:jc w:val="left"/>
        <w:rPr>
          <w:rFonts w:ascii="Times New Roman" w:hAnsi="Times New Roman" w:eastAsia="黑体"/>
          <w:color w:val="auto"/>
          <w:sz w:val="32"/>
          <w:szCs w:val="32"/>
          <w:highlight w:val="none"/>
        </w:rPr>
      </w:pPr>
    </w:p>
    <w:p w14:paraId="6CB1F82F">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C0DE51A">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w:t>
      </w:r>
      <w:r>
        <w:rPr>
          <w:rFonts w:hint="eastAsia" w:ascii="仿宋_GB2312" w:hAnsi="仿宋" w:eastAsia="仿宋_GB2312" w:cs="仿宋"/>
          <w:sz w:val="32"/>
          <w:szCs w:val="32"/>
          <w:lang w:eastAsia="zh-CN"/>
        </w:rPr>
        <w:t>）起草民政工作规范性文件草案，拟订全县民政事业发展规划、政策、标准并组织实施。</w:t>
      </w:r>
    </w:p>
    <w:p w14:paraId="353931D5">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lang w:eastAsia="zh-CN"/>
        </w:rPr>
        <w:t>）拟订社会团体、社会服务机构等社会组织登记和监督管理办法并组织实施，依法对社会组织进行登记管理和执法监督。</w:t>
      </w:r>
    </w:p>
    <w:p w14:paraId="22682BBC">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lang w:eastAsia="zh-CN"/>
        </w:rPr>
        <w:t>）牵头拟订社会救助规划、政策、标准，统筹推进社会救助体系建设，负责城乡居民最低生活保障、特困人员救助供养、临时救助、生活无着流浪乞讨人员救助工作。</w:t>
      </w:r>
    </w:p>
    <w:p w14:paraId="5EC0FC34">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lang w:eastAsia="zh-CN"/>
        </w:rPr>
        <w:t>）拟订行政区划、行政区域界线管理和地名管理政策，组织拟订全县行政区划优化设置建议方案，按照管理权限牵头负责全县行政区划设立、命名、撤销、变更和政府驻地迁移等审核报批工作。按照管理权限确定、公布行政区划代码，组织并指导全县行政区域界线的勘定、管理工作，调处行政区域边界争议，负责全县地名工作的统一监督管理工作。</w:t>
      </w:r>
    </w:p>
    <w:p w14:paraId="3DABFA17">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lang w:eastAsia="zh-CN"/>
        </w:rPr>
        <w:t>）拟订婚姻管理政策并组织实施，推进婚俗改革。</w:t>
      </w:r>
    </w:p>
    <w:p w14:paraId="2871C798">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lang w:eastAsia="zh-CN"/>
        </w:rPr>
        <w:t>）拟订殡葬管理政策、服务规范并组织实施，负责殡葬管理工作，推进殡葬改革。</w:t>
      </w:r>
    </w:p>
    <w:p w14:paraId="46C5192D">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lang w:eastAsia="zh-CN"/>
        </w:rPr>
        <w:t>）拟订社会福利事业发展规划、政策、标准，</w:t>
      </w:r>
      <w:r>
        <w:rPr>
          <w:rFonts w:hint="eastAsia" w:ascii="仿宋_GB2312" w:hAnsi="仿宋" w:eastAsia="仿宋_GB2312" w:cs="仿宋"/>
          <w:sz w:val="32"/>
          <w:szCs w:val="32"/>
          <w:highlight w:val="none"/>
          <w:lang w:eastAsia="zh-CN"/>
        </w:rPr>
        <w:t>制定</w:t>
      </w:r>
      <w:r>
        <w:rPr>
          <w:rFonts w:hint="eastAsia" w:ascii="仿宋_GB2312" w:hAnsi="仿宋" w:eastAsia="仿宋_GB2312" w:cs="仿宋"/>
          <w:sz w:val="32"/>
          <w:szCs w:val="32"/>
          <w:lang w:eastAsia="zh-CN"/>
        </w:rPr>
        <w:t>社会福利机构管理办法并指导实施，拟订残疾人权益保护政策并监督实施。负责康复辅助器具行业管理，统筹推进残疾人福利制度建设和康复辅助器具产业发展。</w:t>
      </w:r>
    </w:p>
    <w:p w14:paraId="622EBA4A">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lang w:eastAsia="zh-CN"/>
        </w:rPr>
        <w:t>）承担县老龄工作委员会的具体工作。组织拟订并协调落实积极应对人口老龄化政策措施。指导协调老年人权益保障工作。组织拟订老年人社会参与政策并组织实施。</w:t>
      </w:r>
    </w:p>
    <w:p w14:paraId="2829551C">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lang w:eastAsia="zh-CN"/>
        </w:rPr>
        <w:t>）组织拟订并协调落实促进养老事业发展的政策措施。统筹推进、督促指导、监督管理养老服务工作，拟订养老服务体系建设规划、政策、标准并组织实施，承担老年人福利和特殊困难老年人救助工作，协调推进农村留守老年人关爱服务工作。</w:t>
      </w:r>
    </w:p>
    <w:p w14:paraId="3930E91A">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10</w:t>
      </w:r>
      <w:r>
        <w:rPr>
          <w:rFonts w:hint="eastAsia" w:ascii="仿宋_GB2312" w:hAnsi="仿宋" w:eastAsia="仿宋_GB2312" w:cs="仿宋"/>
          <w:sz w:val="32"/>
          <w:szCs w:val="32"/>
          <w:lang w:eastAsia="zh-CN"/>
        </w:rPr>
        <w:t>）拟订儿童福利、孤弃儿童保障、儿童收养、儿童救助保护政策和标准并组织实施，健全农村留守儿童关爱服务体系和困境儿童保障制度。</w:t>
      </w:r>
    </w:p>
    <w:p w14:paraId="3880B06B">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11</w:t>
      </w:r>
      <w:r>
        <w:rPr>
          <w:rFonts w:hint="eastAsia" w:ascii="仿宋_GB2312" w:hAnsi="仿宋" w:eastAsia="仿宋_GB2312" w:cs="仿宋"/>
          <w:sz w:val="32"/>
          <w:szCs w:val="32"/>
          <w:lang w:eastAsia="zh-CN"/>
        </w:rPr>
        <w:t>）组织拟订促进慈善事业发展政策，指导社会捐助工作。负责职责范围内的福利彩票有关工作。</w:t>
      </w:r>
    </w:p>
    <w:p w14:paraId="3468E084">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12</w:t>
      </w:r>
      <w:r>
        <w:rPr>
          <w:rFonts w:hint="eastAsia" w:ascii="仿宋_GB2312" w:hAnsi="仿宋" w:eastAsia="仿宋_GB2312" w:cs="仿宋"/>
          <w:sz w:val="32"/>
          <w:szCs w:val="32"/>
          <w:lang w:eastAsia="zh-CN"/>
        </w:rPr>
        <w:t>）依法依规负责社会福利、养老服务、殡葬服务、救助管理等机构安全生产监督管理工作。负责职责范围内的职业健康、生态环境保护、审批服务便民化等工作。</w:t>
      </w:r>
    </w:p>
    <w:p w14:paraId="2BCCE413">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13</w:t>
      </w:r>
      <w:r>
        <w:rPr>
          <w:rFonts w:hint="eastAsia" w:ascii="仿宋_GB2312" w:hAnsi="仿宋" w:eastAsia="仿宋_GB2312" w:cs="仿宋"/>
          <w:sz w:val="32"/>
          <w:szCs w:val="32"/>
          <w:lang w:eastAsia="zh-CN"/>
        </w:rPr>
        <w:t>）完成县委、县政府交办的其他任务。</w:t>
      </w:r>
    </w:p>
    <w:p w14:paraId="0DD6EFFA">
      <w:pPr>
        <w:numPr>
          <w:ilvl w:val="0"/>
          <w:numId w:val="0"/>
        </w:numPr>
        <w:rPr>
          <w:rFonts w:hint="eastAsia"/>
          <w:lang w:eastAsia="zh-CN"/>
        </w:rPr>
      </w:pPr>
    </w:p>
    <w:p w14:paraId="59F38976">
      <w:pPr>
        <w:pStyle w:val="4"/>
        <w:rPr>
          <w:rStyle w:val="32"/>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14"/>
      <w:bookmarkEnd w:id="15"/>
    </w:p>
    <w:p w14:paraId="6AD99AF7">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松潘县民政局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5A674217">
      <w:pPr>
        <w:pStyle w:val="7"/>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松潘县民政局（本级）</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369EDC3A">
      <w:pPr>
        <w:pStyle w:val="7"/>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6" w:name="_Toc15377202"/>
      <w:bookmarkStart w:id="17" w:name="_Toc15306276"/>
      <w:bookmarkStart w:id="18" w:name="_Toc15378449"/>
      <w:bookmarkStart w:id="19" w:name="_Toc15377433"/>
      <w:r>
        <w:rPr>
          <w:rFonts w:hint="eastAsia" w:ascii="Times New Roman" w:cs="仿宋_GB2312"/>
          <w:color w:val="auto"/>
          <w:sz w:val="32"/>
          <w:szCs w:val="32"/>
          <w:highlight w:val="none"/>
          <w:lang w:eastAsia="zh-CN"/>
        </w:rPr>
        <w:t>松潘县社会救助福利服务中心</w:t>
      </w:r>
      <w:bookmarkEnd w:id="16"/>
      <w:bookmarkEnd w:id="17"/>
      <w:bookmarkEnd w:id="18"/>
      <w:bookmarkEnd w:id="19"/>
    </w:p>
    <w:p w14:paraId="557FEDCA">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094352D">
      <w:pPr>
        <w:pStyle w:val="3"/>
        <w:jc w:val="center"/>
        <w:rPr>
          <w:rFonts w:hint="eastAsia" w:ascii="Times New Roman" w:hAnsi="Times New Roman" w:eastAsia="方正小标宋简体" w:cs="方正小标宋简体"/>
          <w:b w:val="0"/>
          <w:color w:val="auto"/>
          <w:highlight w:val="none"/>
        </w:rPr>
      </w:pPr>
      <w:bookmarkStart w:id="20" w:name="_Toc15377204"/>
      <w:bookmarkStart w:id="2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0"/>
      <w:bookmarkEnd w:id="21"/>
    </w:p>
    <w:p w14:paraId="3B9962F0">
      <w:pPr>
        <w:rPr>
          <w:rFonts w:ascii="Times New Roman" w:hAnsi="Times New Roman"/>
          <w:color w:val="auto"/>
          <w:highlight w:val="none"/>
        </w:rPr>
      </w:pPr>
    </w:p>
    <w:p w14:paraId="0ECB1FA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2" w:name="_Toc15396603"/>
      <w:bookmarkStart w:id="2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22"/>
      <w:bookmarkEnd w:id="23"/>
    </w:p>
    <w:p w14:paraId="47E546A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4212.21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175.15</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2025年未发生征地拆迁补偿资金。</w:t>
      </w:r>
    </w:p>
    <w:p w14:paraId="0676B23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6CD39A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572000" cy="2743200"/>
            <wp:effectExtent l="4445" t="4445" r="14605" b="14605"/>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B6AC8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77206"/>
      <w:bookmarkStart w:id="25" w:name="_Toc15396604"/>
      <w:r>
        <w:rPr>
          <w:rFonts w:hint="eastAsia" w:ascii="Times New Roman" w:hAnsi="Times New Roman" w:eastAsia="黑体"/>
          <w:color w:val="auto"/>
          <w:sz w:val="32"/>
          <w:szCs w:val="32"/>
          <w:highlight w:val="none"/>
          <w:lang w:eastAsia="zh-CN"/>
        </w:rPr>
        <w:t>二、收入决算情况说明</w:t>
      </w:r>
      <w:bookmarkEnd w:id="24"/>
      <w:bookmarkEnd w:id="25"/>
    </w:p>
    <w:p w14:paraId="019358C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4212.21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4053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96.22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113.39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2.69</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45.82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1.08</w:t>
      </w:r>
      <w:r>
        <w:rPr>
          <w:rFonts w:hint="eastAsia" w:ascii="Times New Roman" w:hAnsi="Times New Roman" w:eastAsia="仿宋_GB2312" w:cs="仿宋_GB2312"/>
          <w:color w:val="auto"/>
          <w:sz w:val="32"/>
          <w:szCs w:val="32"/>
          <w:highlight w:val="none"/>
          <w:lang w:eastAsia="zh-CN"/>
        </w:rPr>
        <w:t>%。</w:t>
      </w:r>
    </w:p>
    <w:p w14:paraId="2F90512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7ADCEB1">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5E876E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6" w:name="_Toc15377207"/>
      <w:bookmarkStart w:id="2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6"/>
      <w:bookmarkEnd w:id="27"/>
    </w:p>
    <w:p w14:paraId="3E0A979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4212.21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231.14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5.48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3981.07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94.51</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B0C995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403413BA">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EE335E">
      <w:pPr>
        <w:spacing w:line="600" w:lineRule="exact"/>
        <w:ind w:firstLine="640" w:firstLineChars="200"/>
        <w:outlineLvl w:val="1"/>
        <w:rPr>
          <w:rStyle w:val="32"/>
          <w:rFonts w:ascii="Times New Roman" w:hAnsi="Times New Roman" w:eastAsia="黑体"/>
          <w:b w:val="0"/>
          <w:color w:val="auto"/>
          <w:highlight w:val="none"/>
        </w:rPr>
      </w:pPr>
      <w:bookmarkStart w:id="28" w:name="_Toc15377208"/>
      <w:bookmarkStart w:id="29"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8"/>
      <w:bookmarkEnd w:id="29"/>
    </w:p>
    <w:p w14:paraId="03B519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4166.39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220.97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2025年未发生征地拆迁补偿资金。</w:t>
      </w:r>
    </w:p>
    <w:p w14:paraId="054FDE8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2412C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0" locked="0" layoutInCell="1" allowOverlap="1">
            <wp:simplePos x="0" y="0"/>
            <wp:positionH relativeFrom="column">
              <wp:posOffset>332740</wp:posOffset>
            </wp:positionH>
            <wp:positionV relativeFrom="paragraph">
              <wp:posOffset>239395</wp:posOffset>
            </wp:positionV>
            <wp:extent cx="4572000" cy="2742565"/>
            <wp:effectExtent l="4445" t="4445" r="14605" b="15240"/>
            <wp:wrapTopAndBottom/>
            <wp:docPr id="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08DC267">
      <w:pPr>
        <w:spacing w:line="600" w:lineRule="exact"/>
        <w:ind w:firstLine="640" w:firstLineChars="200"/>
        <w:outlineLvl w:val="1"/>
        <w:rPr>
          <w:rStyle w:val="32"/>
          <w:rFonts w:ascii="Times New Roman" w:hAnsi="Times New Roman" w:eastAsia="黑体"/>
          <w:b w:val="0"/>
          <w:color w:val="auto"/>
          <w:highlight w:val="none"/>
        </w:rPr>
      </w:pPr>
      <w:bookmarkStart w:id="30" w:name="_Toc15396607"/>
      <w:bookmarkStart w:id="3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30"/>
      <w:bookmarkEnd w:id="31"/>
    </w:p>
    <w:p w14:paraId="38B891B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4CB871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4053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96.22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29.56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color w:val="auto"/>
          <w:kern w:val="2"/>
          <w:sz w:val="32"/>
          <w:szCs w:val="32"/>
          <w:highlight w:val="none"/>
          <w:lang w:val="en-US" w:eastAsia="zh-CN"/>
        </w:rPr>
        <w:t>政府性基金预算财政拨款收入减少及享受救助的人数增加。</w:t>
      </w:r>
    </w:p>
    <w:p w14:paraId="08CBCB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24204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19F90FC">
      <w:pPr>
        <w:spacing w:line="600" w:lineRule="exact"/>
        <w:ind w:firstLine="420" w:firstLineChars="200"/>
        <w:outlineLvl w:val="2"/>
        <w:rPr>
          <w:rFonts w:hint="eastAsia" w:ascii="Times New Roman" w:hAnsi="Times New Roman" w:eastAsia="楷体_GB2312" w:cs="楷体_GB2312"/>
          <w:b/>
          <w:color w:val="auto"/>
          <w:sz w:val="32"/>
          <w:szCs w:val="32"/>
          <w:highlight w:val="none"/>
        </w:rPr>
      </w:pPr>
      <w:bookmarkStart w:id="33" w:name="_Toc15377211"/>
      <w:r>
        <w:drawing>
          <wp:anchor distT="0" distB="0" distL="114300" distR="114300" simplePos="0" relativeHeight="251662336" behindDoc="0" locked="0" layoutInCell="1" allowOverlap="1">
            <wp:simplePos x="0" y="0"/>
            <wp:positionH relativeFrom="column">
              <wp:posOffset>323215</wp:posOffset>
            </wp:positionH>
            <wp:positionV relativeFrom="paragraph">
              <wp:posOffset>-208915</wp:posOffset>
            </wp:positionV>
            <wp:extent cx="4572000" cy="2743200"/>
            <wp:effectExtent l="4445" t="4445" r="14605" b="14605"/>
            <wp:wrapTopAndBottom/>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FBA3F9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1640297C">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4053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社会保障和就业支出3748.34万元，占</w:t>
      </w:r>
      <w:r>
        <w:rPr>
          <w:rFonts w:hint="eastAsia" w:eastAsia="仿宋_GB2312" w:cs="仿宋_GB2312"/>
          <w:color w:val="auto"/>
          <w:kern w:val="2"/>
          <w:sz w:val="32"/>
          <w:szCs w:val="32"/>
          <w:highlight w:val="none"/>
          <w:lang w:val="en-US" w:eastAsia="zh-CN" w:bidi="ar-SA"/>
        </w:rPr>
        <w:t>92.48</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280.1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14.89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FA8A8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76117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591820</wp:posOffset>
            </wp:positionH>
            <wp:positionV relativeFrom="paragraph">
              <wp:posOffset>309245</wp:posOffset>
            </wp:positionV>
            <wp:extent cx="4157980" cy="2415540"/>
            <wp:effectExtent l="4445" t="4445" r="9525" b="18415"/>
            <wp:wrapTopAndBottom/>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81458D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0DF4DF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8460"/>
      <w:bookmarkStart w:id="36" w:name="_Toc15377444"/>
      <w:bookmarkStart w:id="3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4053</w:t>
      </w:r>
      <w:r>
        <w:rPr>
          <w:rFonts w:hint="eastAsia" w:ascii="仿宋_GB2312" w:hAnsi="仿宋_GB2312" w:eastAsia="仿宋_GB2312" w:cs="仿宋_GB2312"/>
          <w:sz w:val="32"/>
          <w:szCs w:val="32"/>
          <w:lang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582D3C34">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1.社会保障和就业（类）民政管理事务（款）行政运行（项）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179.08</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2EBE0C29">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2.社会保障和就业（类）民政管理事务（款）一般行政管理事务（项）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77.45</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27C9FFD1">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3.社会保障和就业（类）民政管理事务（款）其他民政管理事务支出（项）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111.75</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7BAF3A79">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4.社会保障和就业（类）行政事业单位养老支出（款）机关事业单位基本养老保险缴费支出（项）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18.33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4FD767F4">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5.社会保障和就业（类）行政事业单位养老支出（款）机关事业单位职业年金缴费支出（项）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9.16</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2F37AE1A">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6.社会保障和就业（类）社会福利（款）儿童福利（项）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12.96</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16D03200">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7.社会保障和就业（类）社会福利（款）老年福利（项）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161.24</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7BF36135">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8.社会保障和就业（类）社会福利（款）养老服务（项）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支出决算为126.13万元，完成预算100%，决算数等于预算数。</w:t>
      </w:r>
    </w:p>
    <w:p w14:paraId="70C90600">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9.社会保障和就业（类）民政管理事务（款）老龄事务支出（项）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0.6</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5316718E">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10.社会保障和就业（类）残疾人事业（款）残疾人生活和护理补贴支出（项）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支出决算为292.49万元，完成预算100%，决算数等于预算数。</w:t>
      </w:r>
    </w:p>
    <w:p w14:paraId="3C3B8069">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11.社会保障和就业（类）最低生活保障（款）城市最低生活保障金支出（项）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支出决算为213.93万元，完成预算100%，决算数等于预算数。</w:t>
      </w:r>
    </w:p>
    <w:p w14:paraId="42F23B73">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12.社会保障和就业（类）最低生活保障（款）农村最低生活保障金支出（项）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支出决算为2045.28万元，完成预算100%，决算数等于预算数。</w:t>
      </w:r>
    </w:p>
    <w:p w14:paraId="4314E2AB">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13.社会保障和就业（类）临时救助（款）临时救助支出（项）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支出决算为147.55万元，完成预算100%，决算数等于预算数。</w:t>
      </w:r>
    </w:p>
    <w:p w14:paraId="554BAD36">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14.社会保障和就业（类）临时救助（款）流浪乞讨人员救助支出（项）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0.13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4B33CB12">
      <w:pPr>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15.社会保障和就业（类）特困人员救助供养（款）城市特困人员救助供养支出（项）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15.33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27C9E123">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16.社会保障和就业（类）特困人员救助供养（款）农村特困人员救助供养支出（项）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支出决算为336.37万元，完成预算100%，决算数等于预算数。</w:t>
      </w:r>
    </w:p>
    <w:p w14:paraId="0B20C431">
      <w:pPr>
        <w:pStyle w:val="16"/>
        <w:ind w:left="0" w:leftChars="0" w:firstLine="640" w:firstLineChars="20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rPr>
        <w:t>1</w:t>
      </w:r>
      <w:r>
        <w:rPr>
          <w:rFonts w:hint="eastAsia" w:eastAsia="仿宋_GB2312" w:cs="仿宋_GB2312"/>
          <w:color w:val="auto"/>
          <w:kern w:val="2"/>
          <w:sz w:val="32"/>
          <w:szCs w:val="32"/>
          <w:highlight w:val="none"/>
          <w:lang w:val="en-US" w:eastAsia="zh-CN"/>
        </w:rPr>
        <w:t>7</w:t>
      </w:r>
      <w:r>
        <w:rPr>
          <w:rFonts w:hint="eastAsia" w:ascii="Times New Roman" w:hAnsi="Times New Roman" w:eastAsia="仿宋_GB2312" w:cs="仿宋_GB2312"/>
          <w:color w:val="auto"/>
          <w:kern w:val="2"/>
          <w:sz w:val="32"/>
          <w:szCs w:val="32"/>
          <w:highlight w:val="none"/>
          <w:lang w:val="en-US" w:eastAsia="zh-CN"/>
        </w:rPr>
        <w:t>.社会保障和就业（类）其他社会保障和就业支出（款）其他社会保障和就业支出（项）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0.56</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24CF6450">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w:t>
      </w:r>
      <w:r>
        <w:rPr>
          <w:rFonts w:hint="eastAsia" w:eastAsia="仿宋_GB2312" w:cs="仿宋_GB2312"/>
          <w:color w:val="auto"/>
          <w:kern w:val="2"/>
          <w:sz w:val="32"/>
          <w:szCs w:val="32"/>
          <w:highlight w:val="none"/>
          <w:lang w:val="en-US" w:eastAsia="zh-CN"/>
        </w:rPr>
        <w:t>18</w:t>
      </w:r>
      <w:r>
        <w:rPr>
          <w:rFonts w:hint="eastAsia" w:ascii="Times New Roman" w:hAnsi="Times New Roman" w:eastAsia="仿宋_GB2312" w:cs="仿宋_GB2312"/>
          <w:color w:val="auto"/>
          <w:kern w:val="2"/>
          <w:sz w:val="32"/>
          <w:szCs w:val="32"/>
          <w:highlight w:val="none"/>
          <w:lang w:val="en-US" w:eastAsia="zh-CN"/>
        </w:rPr>
        <w:t>.卫生健康（类）行政事业单位医疗（款）行政单位医疗（项）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支出决算为8</w:t>
      </w:r>
      <w:r>
        <w:rPr>
          <w:rFonts w:hint="eastAsia" w:eastAsia="仿宋_GB2312" w:cs="仿宋_GB2312"/>
          <w:color w:val="auto"/>
          <w:kern w:val="2"/>
          <w:sz w:val="32"/>
          <w:szCs w:val="32"/>
          <w:highlight w:val="none"/>
          <w:lang w:val="en-US" w:eastAsia="zh-CN"/>
        </w:rPr>
        <w:t>.23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19B29EEF">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w:t>
      </w:r>
      <w:r>
        <w:rPr>
          <w:rFonts w:hint="eastAsia" w:eastAsia="仿宋_GB2312" w:cs="仿宋_GB2312"/>
          <w:color w:val="auto"/>
          <w:kern w:val="2"/>
          <w:sz w:val="32"/>
          <w:szCs w:val="32"/>
          <w:highlight w:val="none"/>
          <w:lang w:val="en-US" w:eastAsia="zh-CN"/>
        </w:rPr>
        <w:t>19</w:t>
      </w:r>
      <w:r>
        <w:rPr>
          <w:rFonts w:hint="eastAsia" w:ascii="Times New Roman" w:hAnsi="Times New Roman" w:eastAsia="仿宋_GB2312" w:cs="仿宋_GB2312"/>
          <w:color w:val="auto"/>
          <w:kern w:val="2"/>
          <w:sz w:val="32"/>
          <w:szCs w:val="32"/>
          <w:highlight w:val="none"/>
          <w:lang w:val="en-US" w:eastAsia="zh-CN"/>
        </w:rPr>
        <w:t>.卫生健康（类）行政事业单位医疗（款）公务员医疗补助（项）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1.44</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29C509F5">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2</w:t>
      </w:r>
      <w:r>
        <w:rPr>
          <w:rFonts w:hint="eastAsia" w:eastAsia="仿宋_GB2312" w:cs="仿宋_GB2312"/>
          <w:color w:val="auto"/>
          <w:kern w:val="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rPr>
        <w:t>.农林水（类）农村综合改革（款）对村民委员会和村党支部的补助（项）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280.1</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05516DAF">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2</w:t>
      </w:r>
      <w:r>
        <w:rPr>
          <w:rFonts w:hint="eastAsia" w:eastAsia="仿宋_GB2312" w:cs="仿宋_GB2312"/>
          <w:color w:val="auto"/>
          <w:kern w:val="2"/>
          <w:sz w:val="32"/>
          <w:szCs w:val="32"/>
          <w:highlight w:val="none"/>
          <w:lang w:val="en-US" w:eastAsia="zh-CN"/>
        </w:rPr>
        <w:t>1</w:t>
      </w:r>
      <w:r>
        <w:rPr>
          <w:rFonts w:hint="eastAsia" w:ascii="Times New Roman" w:hAnsi="Times New Roman" w:eastAsia="仿宋_GB2312" w:cs="仿宋_GB2312"/>
          <w:color w:val="auto"/>
          <w:kern w:val="2"/>
          <w:sz w:val="32"/>
          <w:szCs w:val="32"/>
          <w:highlight w:val="none"/>
          <w:lang w:val="en-US" w:eastAsia="zh-CN"/>
        </w:rPr>
        <w:t>.住房保障（类）住房改革（款）住房公积金（项）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14.89</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0C27F4AD">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444322A">
      <w:pPr>
        <w:tabs>
          <w:tab w:val="right" w:pos="8306"/>
        </w:tabs>
        <w:spacing w:line="600" w:lineRule="exact"/>
        <w:ind w:firstLine="640"/>
        <w:outlineLvl w:val="1"/>
        <w:rPr>
          <w:rStyle w:val="32"/>
          <w:rFonts w:ascii="Times New Roman" w:hAnsi="Times New Roman"/>
          <w:color w:val="auto"/>
          <w:highlight w:val="none"/>
        </w:rPr>
      </w:pPr>
      <w:bookmarkStart w:id="38" w:name="_Toc15377214"/>
      <w:bookmarkStart w:id="3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8"/>
      <w:bookmarkEnd w:id="39"/>
      <w:r>
        <w:rPr>
          <w:rStyle w:val="32"/>
          <w:rFonts w:ascii="Times New Roman" w:hAnsi="Times New Roman" w:eastAsia="黑体"/>
          <w:b w:val="0"/>
          <w:color w:val="auto"/>
          <w:highlight w:val="none"/>
        </w:rPr>
        <w:tab/>
      </w:r>
    </w:p>
    <w:p w14:paraId="0EFD5B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231.14</w:t>
      </w:r>
      <w:r>
        <w:rPr>
          <w:rFonts w:hint="eastAsia" w:ascii="Times New Roman" w:hAnsi="Times New Roman" w:eastAsia="仿宋_GB2312" w:cs="仿宋_GB2312"/>
          <w:color w:val="auto"/>
          <w:kern w:val="2"/>
          <w:sz w:val="32"/>
          <w:szCs w:val="32"/>
          <w:highlight w:val="none"/>
          <w:lang w:val="en-US" w:eastAsia="zh-CN" w:bidi="ar-SA"/>
        </w:rPr>
        <w:t>万元，其中：</w:t>
      </w:r>
    </w:p>
    <w:p w14:paraId="5204572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199.33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31.82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F9566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DCC276C">
      <w:pPr>
        <w:spacing w:line="600" w:lineRule="exact"/>
        <w:ind w:firstLine="640"/>
        <w:outlineLvl w:val="1"/>
        <w:rPr>
          <w:rStyle w:val="32"/>
          <w:rFonts w:ascii="Times New Roman" w:hAnsi="Times New Roman" w:eastAsia="黑体"/>
          <w:b w:val="0"/>
          <w:color w:val="auto"/>
          <w:highlight w:val="none"/>
        </w:rPr>
      </w:pPr>
      <w:bookmarkStart w:id="40" w:name="_Toc15396609"/>
      <w:bookmarkStart w:id="41"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40"/>
      <w:bookmarkEnd w:id="41"/>
    </w:p>
    <w:p w14:paraId="57D5445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14:paraId="1142ED8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5.76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48.98</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2EDE951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14:paraId="067546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B4D7A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9719053">
      <w:pPr>
        <w:pStyle w:val="2"/>
        <w:rPr>
          <w:rFonts w:hint="eastAsia"/>
          <w:lang w:val="en-US" w:eastAsia="zh-CN"/>
        </w:rPr>
      </w:pPr>
      <w:r>
        <w:drawing>
          <wp:inline distT="0" distB="0" distL="114300" distR="114300">
            <wp:extent cx="4701540" cy="2797810"/>
            <wp:effectExtent l="4445" t="4445" r="18415" b="1714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E5C9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469B9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5.6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48.98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Times New Roman" w:hAnsi="Times New Roman" w:eastAsia="仿宋_GB2312" w:cs="仿宋_GB2312"/>
          <w:color w:val="auto"/>
          <w:kern w:val="2"/>
          <w:sz w:val="32"/>
          <w:szCs w:val="32"/>
          <w:highlight w:val="none"/>
          <w:lang w:val="en-US" w:eastAsia="zh-CN"/>
        </w:rPr>
        <w:t>公车使用减少</w:t>
      </w:r>
      <w:r>
        <w:rPr>
          <w:rFonts w:hint="eastAsia" w:eastAsia="仿宋_GB2312" w:cs="仿宋_GB2312"/>
          <w:color w:val="auto"/>
          <w:kern w:val="2"/>
          <w:sz w:val="32"/>
          <w:szCs w:val="32"/>
          <w:highlight w:val="none"/>
          <w:lang w:val="en-US" w:eastAsia="zh-CN"/>
        </w:rPr>
        <w:t>。</w:t>
      </w:r>
    </w:p>
    <w:p w14:paraId="5EE7DF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F767A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lang w:eastAsia="zh-CN"/>
        </w:rPr>
        <w:t>民政局工作人员开展走访困难群众，查看民政项目等工作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40956E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减少0.16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减少100</w:t>
      </w:r>
      <w:r>
        <w:rPr>
          <w:rFonts w:hint="eastAsia" w:ascii="Times New Roman" w:hAnsi="Times New Roman" w:eastAsia="仿宋_GB2312" w:cs="仿宋_GB2312"/>
          <w:color w:val="auto"/>
          <w:kern w:val="2"/>
          <w:sz w:val="32"/>
          <w:szCs w:val="32"/>
          <w:highlight w:val="none"/>
          <w:lang w:val="en-US" w:eastAsia="zh-CN" w:bidi="ar-SA"/>
        </w:rPr>
        <w:t>%。</w:t>
      </w:r>
      <w:bookmarkStart w:id="44" w:name="_Toc15377218"/>
      <w:bookmarkStart w:id="45" w:name="_Toc15396610"/>
    </w:p>
    <w:p w14:paraId="1264F251">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4"/>
      <w:bookmarkEnd w:id="45"/>
    </w:p>
    <w:p w14:paraId="3CB1E9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113.39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2.69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250.52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68.84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2025年未产生征地拆迁补偿资金。</w:t>
      </w:r>
    </w:p>
    <w:p w14:paraId="47AF7EA7">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6" w:name="_Toc15396611"/>
      <w:bookmarkStart w:id="47"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6"/>
      <w:bookmarkEnd w:id="47"/>
    </w:p>
    <w:p w14:paraId="65406E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F44D632">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8" w:name="_Toc15396612"/>
      <w:bookmarkStart w:id="49"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8"/>
      <w:bookmarkEnd w:id="49"/>
    </w:p>
    <w:p w14:paraId="09FDD17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14:paraId="2D4DF4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松潘县民政局（本级）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31.82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12.27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62.76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rPr>
        <w:t>2025年底系统关闭未支付资金于2025年初支付。</w:t>
      </w:r>
    </w:p>
    <w:p w14:paraId="0F0DFB6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14:paraId="5602D3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松潘县民政局（本级）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104.7</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103.05</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1.65</w:t>
      </w:r>
      <w:r>
        <w:rPr>
          <w:rFonts w:hint="eastAsia" w:ascii="Times New Roman" w:hAnsi="Times New Roman" w:eastAsia="仿宋_GB2312" w:cs="仿宋_GB2312"/>
          <w:color w:val="auto"/>
          <w:kern w:val="2"/>
          <w:sz w:val="32"/>
          <w:szCs w:val="32"/>
          <w:highlight w:val="none"/>
          <w:lang w:val="en-US" w:eastAsia="zh-CN" w:bidi="ar-SA"/>
        </w:rPr>
        <w:t>万元。主要用于松潘县社会救助福利中心提升改造项目</w:t>
      </w:r>
      <w:r>
        <w:rPr>
          <w:rFonts w:hint="eastAsia" w:eastAsia="仿宋_GB2312" w:cs="仿宋_GB2312"/>
          <w:color w:val="auto"/>
          <w:kern w:val="2"/>
          <w:sz w:val="32"/>
          <w:szCs w:val="32"/>
          <w:highlight w:val="none"/>
          <w:lang w:val="en-US" w:eastAsia="zh-CN" w:bidi="ar-SA"/>
        </w:rPr>
        <w:t>、社区养老服务综合体建设项目、松潘县社区养老服务综合体建设项目、车辆维修及保险费用</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41962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894481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14:paraId="4F6BBD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松潘县民政局（本级）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5625E0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4956B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16341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仿宋_GB2312" w:eastAsia="仿宋_GB2312"/>
          <w:sz w:val="32"/>
          <w:szCs w:val="32"/>
          <w:lang w:eastAsia="zh-CN"/>
        </w:rPr>
        <w:t>城镇低保、农村低保、临时救助、城镇五保、农村五保、儿童福利、高龄津贴、养老服务</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个项目涉及金额3821.85万元开展了事前绩效评估，对</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72BB4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rPr>
        <w:t>松潘县民政局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w:t>
      </w:r>
      <w:r>
        <w:rPr>
          <w:rFonts w:hint="eastAsia" w:eastAsia="仿宋_GB2312" w:cs="仿宋_GB2312"/>
          <w:color w:val="auto"/>
          <w:kern w:val="2"/>
          <w:sz w:val="32"/>
          <w:szCs w:val="32"/>
          <w:highlight w:val="none"/>
          <w:lang w:val="en-US" w:eastAsia="zh-CN"/>
        </w:rPr>
        <w:t>困难群众资金、社会救助救济资金、养老服务发展资金</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w:t>
      </w:r>
    </w:p>
    <w:p w14:paraId="150A575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3" w:name="_Toc15377225"/>
      <w:bookmarkStart w:id="54" w:name="_Toc15396613"/>
    </w:p>
    <w:p w14:paraId="36FAF34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A24983C">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3"/>
      <w:bookmarkEnd w:id="54"/>
    </w:p>
    <w:p w14:paraId="79A7BE10">
      <w:pPr>
        <w:spacing w:line="600" w:lineRule="exact"/>
        <w:jc w:val="left"/>
        <w:rPr>
          <w:rFonts w:ascii="Times New Roman" w:hAnsi="Times New Roman"/>
          <w:b/>
          <w:color w:val="auto"/>
          <w:sz w:val="44"/>
          <w:szCs w:val="44"/>
          <w:highlight w:val="none"/>
        </w:rPr>
      </w:pPr>
    </w:p>
    <w:p w14:paraId="7E90A3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487D58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439E5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6C7C7A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52D096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351FF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826D2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697BA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E198139">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9.</w:t>
      </w:r>
      <w:r>
        <w:rPr>
          <w:rFonts w:hint="eastAsia" w:ascii="仿宋_GB2312" w:eastAsia="仿宋_GB2312"/>
          <w:sz w:val="32"/>
          <w:szCs w:val="32"/>
        </w:rPr>
        <w:t>社会保障和就业（类）民政管理事务（款）行政运行（项）</w:t>
      </w:r>
      <w:r>
        <w:rPr>
          <w:rFonts w:hint="eastAsia" w:ascii="仿宋_GB2312" w:eastAsia="仿宋_GB2312"/>
          <w:sz w:val="32"/>
          <w:szCs w:val="32"/>
          <w:lang w:eastAsia="zh-CN"/>
        </w:rPr>
        <w:t>：指单位工资福利支出。</w:t>
      </w:r>
    </w:p>
    <w:p w14:paraId="63517502">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10.</w:t>
      </w:r>
      <w:r>
        <w:rPr>
          <w:rFonts w:hint="eastAsia" w:ascii="仿宋_GB2312" w:eastAsia="仿宋_GB2312"/>
          <w:sz w:val="32"/>
          <w:szCs w:val="32"/>
        </w:rPr>
        <w:t>社会保障和就业（类）民政管理事务（款）一般行政管理事务（项）</w:t>
      </w:r>
      <w:r>
        <w:rPr>
          <w:rFonts w:hint="eastAsia" w:ascii="仿宋_GB2312" w:eastAsia="仿宋_GB2312"/>
          <w:sz w:val="32"/>
          <w:szCs w:val="32"/>
          <w:lang w:eastAsia="zh-CN"/>
        </w:rPr>
        <w:t>：指春节慰问金。</w:t>
      </w:r>
    </w:p>
    <w:p w14:paraId="3668E98B">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11.</w:t>
      </w:r>
      <w:r>
        <w:rPr>
          <w:rFonts w:hint="eastAsia" w:ascii="仿宋_GB2312" w:eastAsia="仿宋_GB2312"/>
          <w:sz w:val="32"/>
          <w:szCs w:val="32"/>
        </w:rPr>
        <w:t>社会保障和就业（类）民政管理事务（款）其他民政管理事务支出（项）</w:t>
      </w:r>
      <w:r>
        <w:rPr>
          <w:rFonts w:hint="eastAsia" w:ascii="仿宋_GB2312" w:eastAsia="仿宋_GB2312"/>
          <w:sz w:val="32"/>
          <w:szCs w:val="32"/>
          <w:lang w:eastAsia="zh-CN"/>
        </w:rPr>
        <w:t>：指用于社会救助和未成</w:t>
      </w:r>
      <w:r>
        <w:rPr>
          <w:rFonts w:hint="eastAsia" w:ascii="仿宋_GB2312" w:eastAsia="仿宋_GB2312"/>
          <w:sz w:val="32"/>
          <w:szCs w:val="32"/>
          <w:highlight w:val="none"/>
          <w:lang w:eastAsia="zh-CN"/>
        </w:rPr>
        <w:t>年人</w:t>
      </w:r>
      <w:r>
        <w:rPr>
          <w:rFonts w:hint="eastAsia" w:ascii="仿宋_GB2312" w:eastAsia="仿宋_GB2312"/>
          <w:sz w:val="32"/>
          <w:szCs w:val="32"/>
          <w:lang w:eastAsia="zh-CN"/>
        </w:rPr>
        <w:t>等工作经费。</w:t>
      </w:r>
    </w:p>
    <w:p w14:paraId="71C2CB8B">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12.</w:t>
      </w:r>
      <w:r>
        <w:rPr>
          <w:rFonts w:hint="eastAsia" w:ascii="仿宋_GB2312" w:eastAsia="仿宋_GB2312"/>
          <w:sz w:val="32"/>
          <w:szCs w:val="32"/>
        </w:rPr>
        <w:t>社会保障和就业（类）行政事业单位养老支出（款）机关事业单位基本养老保险缴费支出（项）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单位实施养老保险制度由单位缴纳的</w:t>
      </w:r>
      <w:r>
        <w:rPr>
          <w:rFonts w:hint="eastAsia" w:ascii="仿宋_GB2312" w:hAnsi="仿宋_GB2312" w:eastAsia="仿宋_GB2312" w:cs="仿宋_GB2312"/>
          <w:color w:val="000000"/>
          <w:kern w:val="0"/>
          <w:sz w:val="32"/>
          <w:szCs w:val="32"/>
          <w:lang w:eastAsia="zh-CN"/>
        </w:rPr>
        <w:t>养老保险费</w:t>
      </w:r>
      <w:r>
        <w:rPr>
          <w:rFonts w:hint="eastAsia" w:ascii="仿宋_GB2312" w:hAnsi="仿宋_GB2312" w:eastAsia="仿宋_GB2312" w:cs="仿宋_GB2312"/>
          <w:color w:val="000000"/>
          <w:kern w:val="0"/>
          <w:sz w:val="32"/>
          <w:szCs w:val="32"/>
        </w:rPr>
        <w:t>的支出</w:t>
      </w:r>
      <w:r>
        <w:rPr>
          <w:rStyle w:val="21"/>
          <w:rFonts w:hint="eastAsia" w:ascii="仿宋_GB2312" w:hAnsi="仿宋_GB2312" w:eastAsia="仿宋_GB2312" w:cs="仿宋_GB2312"/>
          <w:b w:val="0"/>
          <w:color w:val="000000"/>
          <w:sz w:val="32"/>
          <w:szCs w:val="32"/>
        </w:rPr>
        <w:t>。</w:t>
      </w:r>
    </w:p>
    <w:p w14:paraId="55CB492B">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13.</w:t>
      </w:r>
      <w:r>
        <w:rPr>
          <w:rFonts w:hint="eastAsia" w:ascii="仿宋_GB2312" w:eastAsia="仿宋_GB2312"/>
          <w:sz w:val="32"/>
          <w:szCs w:val="32"/>
        </w:rPr>
        <w:t>社会保障和就业（类）行政事业单位养老支出（款）机关事业单位职业年金缴费支出（项）</w:t>
      </w:r>
      <w:r>
        <w:rPr>
          <w:rFonts w:hint="eastAsia" w:ascii="仿宋_GB2312" w:eastAsia="仿宋_GB2312"/>
          <w:sz w:val="32"/>
          <w:szCs w:val="32"/>
          <w:lang w:eastAsia="zh-CN"/>
        </w:rPr>
        <w:t>：</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单位实施养老保险制度由单位缴纳的</w:t>
      </w:r>
      <w:r>
        <w:rPr>
          <w:rFonts w:hint="eastAsia" w:ascii="仿宋_GB2312" w:hAnsi="仿宋_GB2312" w:eastAsia="仿宋_GB2312" w:cs="仿宋_GB2312"/>
          <w:color w:val="000000"/>
          <w:kern w:val="0"/>
          <w:sz w:val="32"/>
          <w:szCs w:val="32"/>
          <w:lang w:eastAsia="zh-CN"/>
        </w:rPr>
        <w:t>职业年金</w:t>
      </w:r>
      <w:r>
        <w:rPr>
          <w:rFonts w:hint="eastAsia" w:ascii="仿宋_GB2312" w:hAnsi="仿宋_GB2312" w:eastAsia="仿宋_GB2312" w:cs="仿宋_GB2312"/>
          <w:color w:val="000000"/>
          <w:kern w:val="0"/>
          <w:sz w:val="32"/>
          <w:szCs w:val="32"/>
        </w:rPr>
        <w:t>的支出</w:t>
      </w:r>
      <w:r>
        <w:rPr>
          <w:rStyle w:val="21"/>
          <w:rFonts w:hint="eastAsia" w:ascii="仿宋_GB2312" w:hAnsi="仿宋_GB2312" w:eastAsia="仿宋_GB2312" w:cs="仿宋_GB2312"/>
          <w:b w:val="0"/>
          <w:color w:val="000000"/>
          <w:sz w:val="32"/>
          <w:szCs w:val="32"/>
        </w:rPr>
        <w:t>。</w:t>
      </w:r>
    </w:p>
    <w:p w14:paraId="751D9F20">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14.</w:t>
      </w:r>
      <w:r>
        <w:rPr>
          <w:rFonts w:hint="eastAsia" w:ascii="仿宋_GB2312" w:eastAsia="仿宋_GB2312"/>
          <w:sz w:val="32"/>
          <w:szCs w:val="32"/>
        </w:rPr>
        <w:t>社会保障和就业（类）社会福利（款）儿童福利（项）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指孤儿和事实无人抚养孤儿生活补助。</w:t>
      </w:r>
    </w:p>
    <w:p w14:paraId="222DB964">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15.</w:t>
      </w:r>
      <w:r>
        <w:rPr>
          <w:rFonts w:hint="eastAsia" w:ascii="仿宋_GB2312" w:eastAsia="仿宋_GB2312"/>
          <w:sz w:val="32"/>
          <w:szCs w:val="32"/>
        </w:rPr>
        <w:t>社会保障和就业（类）社会福利（款）老年福利（项）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指高龄津贴。</w:t>
      </w:r>
      <w:r>
        <w:rPr>
          <w:rFonts w:hint="eastAsia" w:ascii="仿宋_GB2312" w:eastAsia="仿宋_GB2312"/>
          <w:sz w:val="32"/>
          <w:szCs w:val="32"/>
        </w:rPr>
        <w:t xml:space="preserve"> </w:t>
      </w:r>
    </w:p>
    <w:p w14:paraId="4047C6A0">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16.</w:t>
      </w:r>
      <w:r>
        <w:rPr>
          <w:rFonts w:hint="eastAsia" w:ascii="仿宋_GB2312" w:eastAsia="仿宋_GB2312"/>
          <w:sz w:val="32"/>
          <w:szCs w:val="32"/>
        </w:rPr>
        <w:t>社会保障和就业（类）社会福利（款）养老服务（项）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指养老服务业发展资金。</w:t>
      </w:r>
    </w:p>
    <w:p w14:paraId="298054CC">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17.</w:t>
      </w:r>
      <w:r>
        <w:rPr>
          <w:rFonts w:hint="eastAsia" w:ascii="仿宋_GB2312" w:eastAsia="仿宋_GB2312"/>
          <w:sz w:val="32"/>
          <w:szCs w:val="32"/>
        </w:rPr>
        <w:t>社会保障和就业（类）社会福利（款）其他社会福利支出（项）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指用于城乡社区综合服务能力提升资金。</w:t>
      </w:r>
    </w:p>
    <w:p w14:paraId="00A4F675">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18.</w:t>
      </w:r>
      <w:r>
        <w:rPr>
          <w:rFonts w:hint="eastAsia" w:ascii="仿宋_GB2312" w:eastAsia="仿宋_GB2312"/>
          <w:sz w:val="32"/>
          <w:szCs w:val="32"/>
        </w:rPr>
        <w:t>社会保障和就业（类）残疾人事业（款）残疾人生活和护理补贴支出（项）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指用于发放残疾人生活补贴和护理补贴。</w:t>
      </w:r>
    </w:p>
    <w:p w14:paraId="0B89F0B0">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19.</w:t>
      </w:r>
      <w:r>
        <w:rPr>
          <w:rFonts w:hint="eastAsia" w:ascii="仿宋_GB2312" w:eastAsia="仿宋_GB2312"/>
          <w:sz w:val="32"/>
          <w:szCs w:val="32"/>
        </w:rPr>
        <w:t>社会保障和就业（类）最低生活保障（款）城市最低生活保障金支出（项）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指用于发放城市低保生活补贴。</w:t>
      </w:r>
    </w:p>
    <w:p w14:paraId="3E102763">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20.</w:t>
      </w:r>
      <w:r>
        <w:rPr>
          <w:rFonts w:hint="eastAsia" w:ascii="仿宋_GB2312" w:eastAsia="仿宋_GB2312"/>
          <w:sz w:val="32"/>
          <w:szCs w:val="32"/>
        </w:rPr>
        <w:t>社会保障和就业（类）最低生活保障（款）农村最低生活保障金支出（项）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指用于发放农村低保生活补贴。</w:t>
      </w:r>
    </w:p>
    <w:p w14:paraId="232E6833">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21.</w:t>
      </w:r>
      <w:r>
        <w:rPr>
          <w:rFonts w:hint="eastAsia" w:ascii="仿宋_GB2312" w:eastAsia="仿宋_GB2312"/>
          <w:sz w:val="32"/>
          <w:szCs w:val="32"/>
        </w:rPr>
        <w:t>社会保障和就业（类）临时救助（款）临时救助支出（项）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指主要用于自费</w:t>
      </w:r>
      <w:r>
        <w:rPr>
          <w:rFonts w:hint="eastAsia" w:ascii="仿宋_GB2312" w:eastAsia="仿宋_GB2312"/>
          <w:sz w:val="32"/>
          <w:szCs w:val="32"/>
          <w:lang w:val="en-US" w:eastAsia="zh-CN"/>
        </w:rPr>
        <w:t>3万元以上大病临时补助。</w:t>
      </w:r>
    </w:p>
    <w:p w14:paraId="1A4D0D39">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22.</w:t>
      </w:r>
      <w:r>
        <w:rPr>
          <w:rFonts w:hint="eastAsia" w:ascii="仿宋_GB2312" w:eastAsia="仿宋_GB2312"/>
          <w:sz w:val="32"/>
          <w:szCs w:val="32"/>
        </w:rPr>
        <w:t>社会保障和就业（类）临时救助（款）流浪乞讨人员救助支出（项）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指用于安置流浪乞讨人员的车费、住宿费等。</w:t>
      </w:r>
    </w:p>
    <w:p w14:paraId="0D3A83D2">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23.</w:t>
      </w:r>
      <w:r>
        <w:rPr>
          <w:rFonts w:hint="eastAsia" w:ascii="仿宋_GB2312" w:eastAsia="仿宋_GB2312"/>
          <w:sz w:val="32"/>
          <w:szCs w:val="32"/>
        </w:rPr>
        <w:t>社会保障和就业（类）特困人员救助供养（款）城市特困人员救助供养支出（项）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指用于发放城镇特困人员生活补贴和护理费。</w:t>
      </w:r>
    </w:p>
    <w:p w14:paraId="6E21BAD9">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24.</w:t>
      </w:r>
      <w:r>
        <w:rPr>
          <w:rFonts w:hint="eastAsia" w:ascii="仿宋_GB2312" w:eastAsia="仿宋_GB2312"/>
          <w:sz w:val="32"/>
          <w:szCs w:val="32"/>
        </w:rPr>
        <w:t>社会保障和就业（类）特困人员救助供养（款）农村特困人员救助供养支出（项）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指用于发放农村特困人员生活补贴和护理费。</w:t>
      </w:r>
    </w:p>
    <w:p w14:paraId="32A170F5">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25.</w:t>
      </w:r>
      <w:r>
        <w:rPr>
          <w:rFonts w:hint="eastAsia" w:ascii="仿宋_GB2312" w:eastAsia="仿宋_GB2312"/>
          <w:sz w:val="32"/>
          <w:szCs w:val="32"/>
        </w:rPr>
        <w:t>卫生健康（类）行政事业单位医疗（款）行政单位医疗（项）</w:t>
      </w:r>
      <w:r>
        <w:rPr>
          <w:rFonts w:hint="eastAsia" w:ascii="仿宋_GB2312" w:eastAsia="仿宋_GB2312"/>
          <w:sz w:val="32"/>
          <w:szCs w:val="32"/>
          <w:highlight w:val="none"/>
          <w:lang w:eastAsia="zh-CN"/>
        </w:rPr>
        <w:t>：</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单位用于缴纳单位基本医疗保险支出</w:t>
      </w:r>
      <w:r>
        <w:rPr>
          <w:rStyle w:val="21"/>
          <w:rFonts w:hint="eastAsia" w:ascii="仿宋_GB2312" w:hAnsi="仿宋_GB2312" w:eastAsia="仿宋_GB2312" w:cs="仿宋_GB2312"/>
          <w:b w:val="0"/>
          <w:color w:val="000000"/>
          <w:sz w:val="32"/>
          <w:szCs w:val="32"/>
        </w:rPr>
        <w:t>。</w:t>
      </w:r>
    </w:p>
    <w:p w14:paraId="5EDDCE6C">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26.</w:t>
      </w:r>
      <w:r>
        <w:rPr>
          <w:rFonts w:hint="eastAsia" w:ascii="仿宋_GB2312" w:eastAsia="仿宋_GB2312"/>
          <w:sz w:val="32"/>
          <w:szCs w:val="32"/>
        </w:rPr>
        <w:t>卫生健康（类）行政事业单位医疗（款）公务员医疗补助（项）</w:t>
      </w:r>
      <w:r>
        <w:rPr>
          <w:rFonts w:hint="eastAsia" w:ascii="仿宋_GB2312" w:eastAsia="仿宋_GB2312"/>
          <w:sz w:val="32"/>
          <w:szCs w:val="32"/>
          <w:highlight w:val="none"/>
          <w:lang w:eastAsia="zh-CN"/>
        </w:rPr>
        <w:t>：</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单位用于缴纳单位医疗保险</w:t>
      </w:r>
      <w:r>
        <w:rPr>
          <w:rFonts w:hint="eastAsia" w:ascii="仿宋_GB2312" w:hAnsi="仿宋_GB2312" w:eastAsia="仿宋_GB2312" w:cs="仿宋_GB2312"/>
          <w:color w:val="000000"/>
          <w:kern w:val="0"/>
          <w:sz w:val="32"/>
          <w:szCs w:val="32"/>
          <w:lang w:eastAsia="zh-CN"/>
        </w:rPr>
        <w:t>补助</w:t>
      </w:r>
      <w:r>
        <w:rPr>
          <w:rFonts w:hint="eastAsia" w:ascii="仿宋_GB2312" w:hAnsi="仿宋_GB2312" w:eastAsia="仿宋_GB2312" w:cs="仿宋_GB2312"/>
          <w:color w:val="000000"/>
          <w:kern w:val="0"/>
          <w:sz w:val="32"/>
          <w:szCs w:val="32"/>
        </w:rPr>
        <w:t>支出</w:t>
      </w:r>
      <w:r>
        <w:rPr>
          <w:rStyle w:val="21"/>
          <w:rFonts w:hint="eastAsia" w:ascii="仿宋_GB2312" w:hAnsi="仿宋_GB2312" w:eastAsia="仿宋_GB2312" w:cs="仿宋_GB2312"/>
          <w:b w:val="0"/>
          <w:color w:val="000000"/>
          <w:sz w:val="32"/>
          <w:szCs w:val="32"/>
        </w:rPr>
        <w:t>。</w:t>
      </w:r>
    </w:p>
    <w:p w14:paraId="3E79C7F0">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27.</w:t>
      </w:r>
      <w:r>
        <w:rPr>
          <w:rFonts w:hint="eastAsia" w:ascii="仿宋_GB2312" w:eastAsia="仿宋_GB2312"/>
          <w:sz w:val="32"/>
          <w:szCs w:val="32"/>
        </w:rPr>
        <w:t>农林水（类）农村综合改革（款）对村民委员会和村党支部的补助（项）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指用于离任村干部生活补贴。</w:t>
      </w:r>
    </w:p>
    <w:p w14:paraId="51590C0A">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28.</w:t>
      </w:r>
      <w:r>
        <w:rPr>
          <w:rFonts w:hint="eastAsia" w:ascii="仿宋_GB2312" w:eastAsia="仿宋_GB2312"/>
          <w:sz w:val="32"/>
          <w:szCs w:val="32"/>
        </w:rPr>
        <w:t>住房保障（类）住房改革（款）住房公积金（项）</w:t>
      </w:r>
      <w:r>
        <w:rPr>
          <w:rFonts w:hint="eastAsia" w:ascii="仿宋_GB2312" w:eastAsia="仿宋_GB2312"/>
          <w:sz w:val="32"/>
          <w:szCs w:val="32"/>
          <w:highlight w:val="none"/>
          <w:lang w:eastAsia="zh-CN"/>
        </w:rPr>
        <w:t>：</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反映行政事业单位按规定为职工缴纳的住房公积金</w:t>
      </w:r>
      <w:r>
        <w:rPr>
          <w:rFonts w:hint="eastAsia" w:ascii="仿宋_GB2312" w:eastAsia="仿宋_GB2312"/>
          <w:sz w:val="32"/>
          <w:szCs w:val="32"/>
        </w:rPr>
        <w:t>。</w:t>
      </w:r>
    </w:p>
    <w:p w14:paraId="6A01BAEA">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lang w:val="en-US" w:eastAsia="zh-CN"/>
        </w:rPr>
        <w:t>29.</w:t>
      </w:r>
      <w:r>
        <w:rPr>
          <w:rFonts w:hint="eastAsia" w:ascii="仿宋_GB2312" w:eastAsia="仿宋_GB2312"/>
          <w:sz w:val="32"/>
          <w:szCs w:val="32"/>
        </w:rPr>
        <w:t>其他支出（类）其他支出（款）其他支出（项）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指用于村、社区综合服务设施建设。</w:t>
      </w:r>
    </w:p>
    <w:p w14:paraId="499EBB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30</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2DEFE7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31</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2C917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1E8621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9DE8C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B0FFB76">
      <w:pPr>
        <w:spacing w:line="600" w:lineRule="exact"/>
        <w:jc w:val="center"/>
        <w:rPr>
          <w:rStyle w:val="31"/>
          <w:rFonts w:hint="eastAsia" w:ascii="Times New Roman" w:hAnsi="Times New Roman" w:eastAsia="黑体"/>
          <w:b w:val="0"/>
          <w:color w:val="auto"/>
          <w:highlight w:val="none"/>
          <w:lang w:eastAsia="zh-CN"/>
        </w:rPr>
      </w:pPr>
      <w:bookmarkStart w:id="5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6"/>
    </w:p>
    <w:p w14:paraId="307C068E">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58C52391">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79AAB6B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FF5ADB9">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sz w:val="44"/>
          <w:szCs w:val="44"/>
          <w:highlight w:val="none"/>
          <w:shd w:val="clear" w:color="auto" w:fill="FFFFFF"/>
          <w:lang w:eastAsia="zh-CN"/>
        </w:rPr>
      </w:pPr>
      <w:r>
        <w:rPr>
          <w:rFonts w:hint="eastAsia" w:eastAsia="方正小标宋简体" w:cs="Times New Roman"/>
          <w:b w:val="0"/>
          <w:bCs/>
          <w:sz w:val="44"/>
          <w:szCs w:val="44"/>
          <w:highlight w:val="none"/>
          <w:shd w:val="clear" w:color="auto" w:fill="FFFFFF"/>
          <w:lang w:eastAsia="zh-CN"/>
        </w:rPr>
        <w:t>松潘县民政局</w:t>
      </w:r>
    </w:p>
    <w:p w14:paraId="52C9F7B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5C677AB6">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E52946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4921129">
      <w:pPr>
        <w:pStyle w:val="5"/>
        <w:ind w:firstLine="643" w:firstLineChars="200"/>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b w:val="0"/>
          <w:kern w:val="2"/>
          <w:sz w:val="32"/>
          <w:szCs w:val="32"/>
          <w:lang w:val="en-US" w:eastAsia="zh-CN" w:bidi="ar-SA"/>
        </w:rPr>
        <w:t>松潘县民政局内设</w:t>
      </w:r>
      <w:r>
        <w:rPr>
          <w:rFonts w:hint="default" w:ascii="仿宋_GB2312" w:hAnsi="仿宋_GB2312" w:eastAsia="仿宋_GB2312" w:cs="仿宋_GB2312"/>
          <w:b w:val="0"/>
          <w:kern w:val="2"/>
          <w:sz w:val="32"/>
          <w:szCs w:val="32"/>
          <w:lang w:val="en-US" w:eastAsia="zh-CN" w:bidi="ar-SA"/>
        </w:rPr>
        <w:t>处室</w:t>
      </w:r>
      <w:r>
        <w:rPr>
          <w:rFonts w:hint="eastAsia" w:ascii="仿宋_GB2312" w:hAnsi="仿宋_GB2312" w:eastAsia="仿宋_GB2312" w:cs="仿宋_GB2312"/>
          <w:b w:val="0"/>
          <w:kern w:val="2"/>
          <w:sz w:val="32"/>
          <w:szCs w:val="32"/>
          <w:lang w:val="en-US" w:eastAsia="zh-CN" w:bidi="ar-SA"/>
        </w:rPr>
        <w:t>情况：（1）综合办公室（信访、财务）。（2）社会救助与社会福利股（慈善事业促进）。（3）社会组织管理与社会事务（区划地名工作）。（4）养老服务与儿童保障事业发展科（老龄工作）。下属单位情况：（1）松潘县社会救助福利服务中心</w:t>
      </w:r>
      <w:r>
        <w:rPr>
          <w:rFonts w:hint="eastAsia" w:ascii="仿宋_GB2312" w:hAnsi="仿宋_GB2312" w:cs="仿宋_GB2312"/>
          <w:b w:val="0"/>
          <w:kern w:val="2"/>
          <w:sz w:val="32"/>
          <w:szCs w:val="32"/>
          <w:lang w:val="en-US" w:eastAsia="zh-CN" w:bidi="ar-SA"/>
        </w:rPr>
        <w:t>。</w:t>
      </w:r>
    </w:p>
    <w:p w14:paraId="745111EC">
      <w:pPr>
        <w:ind w:firstLine="643" w:firstLineChars="200"/>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6126B80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综合办公室（信访、财务）。负责文电、会务、档案、机要等机关日常运转工作。承担保密、信息、绩效管理、政务公开、法治教育、新闻宣传、对外交流合作、有关综合性文稿起草工作。组织办理人大代表建议、政协提案。负责信访事项的接待、处理、分析、排查和化解，督查督办重大信访案件，协调处理有关民政的群体性突发事件，指导全县民政系统信访工作。负责意识形态工作。组织起草规范性文件草案。承担民政行业标准化工作。负责本系统、本部门依法行政工作的组织协调和督促指导，承担行政执法监督、有关行政复议、行政应诉、行政调解等工作。负责规范性文件的合法性审查、报备和本系统权责清单制度建设、动态调整等工作。承担机关和所属事业单位的机构编制、干部人事、教育培训、队伍建设等工作。负责机关退休人员工作，指导所属单位退休干部工作。负责机关和所属单位的</w:t>
      </w:r>
      <w:r>
        <w:rPr>
          <w:rFonts w:hint="eastAsia" w:ascii="仿宋_GB2312" w:hAnsi="仿宋_GB2312" w:eastAsia="仿宋_GB2312" w:cs="仿宋_GB2312"/>
          <w:sz w:val="32"/>
          <w:szCs w:val="32"/>
        </w:rPr>
        <w:t>党建与群团工作。承担民政相关行业领域安全生产监督管理综合工作。拟订全县民政事业发展规划和民政基础设施建设标准并监督实施。指导并监督中央、省级、州级和县级财政拨付的民政事业资金管理工作。拟定民政部门彩票公益金使用管理办法，管理本级彩票公益金。承担民政统计管理和机关及所属单位预决算、财务、内部审计和资产管理工作。承担机关劳动工资工作。</w:t>
      </w:r>
    </w:p>
    <w:p w14:paraId="6046E81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社会救助与社会福利股（慈善事业促进）。拟订全县社会救助规划、政策、标准并监督实施，统筹推进社会救助体系建设，负责城乡居民最低生活保障、特困人员救助供养、临时救助、生活无着流浪乞讨人员救助工作。承办中央和省、州、县级财政困难群众救助补助资金分配和监管工作。参与拟订医疗、住房、教育、就业、司法等救助相关办法。指导并监督生活无着流浪乞讨人员救助管理机构管理工作，协调跨县（市）生活无着流浪乞讨人员救助事务，指导开展家庭暴力受害人临时庇护救助工</w:t>
      </w:r>
      <w:r>
        <w:rPr>
          <w:rFonts w:hint="eastAsia" w:ascii="仿宋_GB2312" w:hAnsi="仿宋_GB2312" w:eastAsia="仿宋_GB2312" w:cs="仿宋_GB2312"/>
          <w:sz w:val="32"/>
          <w:szCs w:val="32"/>
        </w:rPr>
        <w:t>作。负责二十世纪 60年代初精简退职老职工生活困难救济工作。拟订全县残疾人和其他特殊困难群体福利事业发展规划、政策、标准并组织实施。</w:t>
      </w:r>
      <w:r>
        <w:rPr>
          <w:rFonts w:hint="eastAsia" w:ascii="仿宋_GB2312" w:hAnsi="仿宋_GB2312" w:eastAsia="仿宋_GB2312" w:cs="仿宋_GB2312"/>
          <w:sz w:val="32"/>
          <w:szCs w:val="32"/>
          <w:highlight w:val="none"/>
          <w:lang w:eastAsia="zh-CN"/>
        </w:rPr>
        <w:t>制定</w:t>
      </w:r>
      <w:r>
        <w:rPr>
          <w:rFonts w:hint="eastAsia" w:ascii="仿宋_GB2312" w:hAnsi="仿宋_GB2312" w:eastAsia="仿宋_GB2312" w:cs="仿宋_GB2312"/>
          <w:sz w:val="32"/>
          <w:szCs w:val="32"/>
        </w:rPr>
        <w:t>社会福利机构管理办法，拟订残疾人权益保护政策并监督实施，参与拟订残疾人集中就业扶持政策。牵头推进精神障碍社区康复服务工作。指导并监督残疾人社会福利机构、民政精神卫生福利机构管理工作。组织实施康复辅助器具配置工作。负责康复辅助器具行业管理，拟订康复辅助器具产业发展规划、政策、标准并组织实施。承担生活无着流浪乞讨人员救助管理机构、康复辅助器具行业和残疾人社会福利机构、民政精神卫生福利机构安全生产监督管理工作。拟定促进慈善事业发展政策和慈善信托、慈善组织及其活动管理办法，指导社会捐助工作。负责职责范围内的福利彩票有关工作。承担需要以政府名义出面的涉及村民委员会、居民委员会等有关工作。</w:t>
      </w:r>
    </w:p>
    <w:p w14:paraId="62543249">
      <w:pPr>
        <w:pStyle w:val="18"/>
        <w:keepNext w:val="0"/>
        <w:keepLines w:val="0"/>
        <w:widowControl/>
        <w:suppressLineNumbers w:val="0"/>
        <w:ind w:left="0" w:firstLine="640"/>
      </w:pPr>
      <w:r>
        <w:rPr>
          <w:rFonts w:hint="eastAsia" w:ascii="仿宋_GB2312" w:hAnsi="仿宋_GB2312" w:eastAsia="仿宋_GB2312" w:cs="仿宋_GB2312"/>
          <w:kern w:val="2"/>
          <w:sz w:val="32"/>
          <w:szCs w:val="32"/>
          <w:lang w:val="en-US" w:eastAsia="zh-CN"/>
        </w:rPr>
        <w:t>（3）养老服务与儿童保障事业发展科（老龄工作）。</w:t>
      </w:r>
      <w:r>
        <w:rPr>
          <w:rFonts w:ascii="仿宋_GB2312" w:eastAsia="仿宋_GB2312" w:cs="仿宋_GB2312"/>
          <w:color w:val="000000"/>
          <w:sz w:val="31"/>
          <w:szCs w:val="31"/>
        </w:rPr>
        <w:t>拟订</w:t>
      </w:r>
      <w:r>
        <w:rPr>
          <w:rFonts w:hint="eastAsia" w:ascii="仿宋_GB2312" w:eastAsia="仿宋_GB2312" w:cs="仿宋_GB2312"/>
          <w:color w:val="000000"/>
          <w:sz w:val="31"/>
          <w:szCs w:val="31"/>
        </w:rPr>
        <w:t>并协调落实促进养老事业发展的政策措施，拟订养老服务体系建设规划、政策、标准并组织实施，拟订老年人福利补贴制度并监督实施，健全为老志愿服务制度。承担老年人福利和特殊困难老年人救助、帮扶和关爱工作，协调推进农村留守老年人关爱服务工作。指导并监督养老服务、老年人福利、特困人员救助供养机构管理工作。承担养老服务机构安全生产监督管理工作。承担县老龄工作委员会办公室具体工作。拟订并协调落实积极应对人口老龄化的政策措施，组织推进全县老龄事业发展。指导协调老年人权益保障工作，组织开展人口老龄化国情、省情、州情及县情宣传教育，拟订老年人社会参与政策并组织实施，承担全县老年人口状况、老龄事业发展的统计调查工作。组织开展老年人教育和敬老、孝老、爱老宣传工作。拟订全县儿童福利、孤弃儿童保障、儿童收养、儿童救助保护政策和标准并组织实施，健全农村留守儿童关爱服务体系，完善困境儿童保障制度。指导并监督儿童福利机构、儿童收养登记机构、未成年人救助保护机构管理工作。承担儿童福利机构、未成年人救助保护机构安全生产监督管理工作。</w:t>
      </w:r>
    </w:p>
    <w:p w14:paraId="2834E3E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社会组织管理与社会事务（区划地名工作）。负责社会组织登记工作。拟订社会团体、社会服务机构等社会组织监督管理办法并组织实施，按照权限依法对社会组织进行管理和执法监督，引导社会组织健康有序发展。负责县本级社会组织年检、培训、信息管理和执法监督工作，指导并监督对社会组织的管理和执法工作。负责社会组织信息管理。拟订全县婚姻、殡葬管理政策并组织实施。推进婚俗和殡葬改革。负责殡葬管理工作，拟</w:t>
      </w:r>
      <w:r>
        <w:rPr>
          <w:rFonts w:hint="eastAsia" w:ascii="仿宋_GB2312" w:hAnsi="仿宋_GB2312" w:eastAsia="仿宋_GB2312" w:cs="仿宋_GB2312"/>
          <w:sz w:val="32"/>
          <w:szCs w:val="32"/>
        </w:rPr>
        <w:t>订殡葬服务规范并组织实施。指导并监督婚姻登记机关、殡葬服务机构管理工作，承担全县婚姻登记信息管理工作。承担殡葬服务机构安全生产监督管理工作。牵头协调推进本系统“放管服”改革，承担审批服务便民化有关工作，集中承担县本级有关审批服务事项的受理、审批等工作，推进纳入一体化政务服务平台。</w:t>
      </w:r>
    </w:p>
    <w:p w14:paraId="1B73857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拟订全县行政区划优化设置建议方案，按照管理权限承担全县行政区划设立、命名、撤销、变更和政府驻地迁移审核报批工作。按照管理权限确定、公布行政区划代码，组织并指导全县行政区域界线的勘定、管理工作。调处行政区域边界争议。负责监督管理地名工作。会同有关部门组织编制公布行政区划信息的松潘县行政区划图。</w:t>
      </w:r>
    </w:p>
    <w:p w14:paraId="6C1CF4D2">
      <w:pPr>
        <w:snapToGrid w:val="0"/>
        <w:spacing w:line="520" w:lineRule="exact"/>
        <w:ind w:firstLine="640" w:firstLineChars="200"/>
        <w:rPr>
          <w:rFonts w:hint="default"/>
          <w:lang w:val="zh-CN"/>
        </w:rPr>
      </w:pPr>
      <w:r>
        <w:rPr>
          <w:rFonts w:hint="eastAsia" w:ascii="仿宋_GB2312" w:hAnsi="仿宋_GB2312" w:eastAsia="仿宋_GB2312" w:cs="仿宋_GB2312"/>
          <w:b w:val="0"/>
          <w:kern w:val="2"/>
          <w:sz w:val="32"/>
          <w:szCs w:val="32"/>
          <w:lang w:val="en-US" w:eastAsia="zh-CN" w:bidi="ar-SA"/>
        </w:rPr>
        <w:t>（5）社会救助福利服务中心。负责福利院相关工作。做好老年人服务工作，为全县在院老人提供护理服务，精神文化服务，医疗保健服务。</w:t>
      </w:r>
    </w:p>
    <w:p w14:paraId="2FB5A3EA">
      <w:pPr>
        <w:adjustRightInd/>
        <w:spacing w:after="0" w:afterLines="0" w:line="580" w:lineRule="exact"/>
        <w:ind w:firstLine="643" w:firstLineChars="200"/>
        <w:rPr>
          <w:rFonts w:hint="eastAsia" w:eastAsia="仿宋_GB2312"/>
          <w:kern w:val="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w:t>
      </w:r>
      <w:r>
        <w:rPr>
          <w:rFonts w:hint="eastAsia"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年末，</w:t>
      </w:r>
      <w:r>
        <w:rPr>
          <w:rFonts w:hint="eastAsia" w:ascii="仿宋_GB2312" w:hAnsi="仿宋_GB2312" w:eastAsia="仿宋_GB2312" w:cs="仿宋_GB2312"/>
          <w:sz w:val="32"/>
          <w:szCs w:val="32"/>
        </w:rPr>
        <w:t>松潘县民政局行政编制</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名，实有：党组书记1名、局长1名、副局长2名；科级干部</w:t>
      </w:r>
      <w:r>
        <w:rPr>
          <w:rFonts w:hint="eastAsia" w:ascii="仿宋_GB2312" w:hAnsi="仿宋_GB2312" w:eastAsia="仿宋_GB2312" w:cs="仿宋_GB2312"/>
          <w:sz w:val="32"/>
          <w:szCs w:val="32"/>
          <w:lang w:val="en-US" w:eastAsia="zh-CN"/>
        </w:rPr>
        <w:t>4</w:t>
      </w:r>
      <w:r>
        <w:rPr>
          <w:rFonts w:eastAsia="仿宋_GB2312"/>
          <w:kern w:val="0"/>
          <w:sz w:val="32"/>
          <w:szCs w:val="32"/>
        </w:rPr>
        <w:t>名</w:t>
      </w:r>
      <w:r>
        <w:rPr>
          <w:rFonts w:hint="eastAsia" w:eastAsia="仿宋_GB2312"/>
          <w:kern w:val="0"/>
          <w:sz w:val="32"/>
          <w:szCs w:val="32"/>
        </w:rPr>
        <w:t>，行政</w:t>
      </w:r>
      <w:r>
        <w:rPr>
          <w:rFonts w:eastAsia="仿宋_GB2312"/>
          <w:kern w:val="0"/>
          <w:sz w:val="32"/>
          <w:szCs w:val="32"/>
        </w:rPr>
        <w:t>机关工勤人员事业编制</w:t>
      </w:r>
      <w:r>
        <w:rPr>
          <w:rFonts w:hint="eastAsia" w:eastAsia="仿宋_GB2312"/>
          <w:kern w:val="0"/>
          <w:sz w:val="32"/>
          <w:szCs w:val="32"/>
        </w:rPr>
        <w:t>1</w:t>
      </w:r>
      <w:r>
        <w:rPr>
          <w:rFonts w:eastAsia="仿宋_GB2312"/>
          <w:kern w:val="0"/>
          <w:sz w:val="32"/>
          <w:szCs w:val="32"/>
        </w:rPr>
        <w:t>名。</w:t>
      </w:r>
      <w:r>
        <w:rPr>
          <w:rFonts w:hint="eastAsia" w:eastAsia="仿宋_GB2312"/>
          <w:kern w:val="0"/>
          <w:sz w:val="32"/>
          <w:szCs w:val="32"/>
        </w:rPr>
        <w:t>退休人员</w:t>
      </w:r>
      <w:r>
        <w:rPr>
          <w:rFonts w:hint="eastAsia" w:eastAsia="仿宋_GB2312"/>
          <w:kern w:val="0"/>
          <w:sz w:val="32"/>
          <w:szCs w:val="32"/>
          <w:lang w:val="en-US" w:eastAsia="zh-CN"/>
        </w:rPr>
        <w:t>15</w:t>
      </w:r>
      <w:r>
        <w:rPr>
          <w:rFonts w:hint="eastAsia" w:eastAsia="仿宋_GB2312"/>
          <w:kern w:val="0"/>
          <w:sz w:val="32"/>
          <w:szCs w:val="32"/>
        </w:rPr>
        <w:t>人，遗属</w:t>
      </w:r>
      <w:r>
        <w:rPr>
          <w:rFonts w:hint="eastAsia" w:eastAsia="仿宋_GB2312"/>
          <w:kern w:val="0"/>
          <w:sz w:val="32"/>
          <w:szCs w:val="32"/>
          <w:lang w:val="en-US" w:eastAsia="zh-CN"/>
        </w:rPr>
        <w:t>2</w:t>
      </w:r>
      <w:r>
        <w:rPr>
          <w:rFonts w:hint="eastAsia" w:eastAsia="仿宋_GB2312"/>
          <w:kern w:val="0"/>
          <w:sz w:val="32"/>
          <w:szCs w:val="32"/>
        </w:rPr>
        <w:t>人。</w:t>
      </w:r>
    </w:p>
    <w:p w14:paraId="6057E508">
      <w:pPr>
        <w:adjustRightInd/>
        <w:spacing w:after="0" w:afterLines="0" w:line="580" w:lineRule="exact"/>
        <w:ind w:firstLine="640" w:firstLineChars="200"/>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eastAsia="zh-CN"/>
        </w:rPr>
        <w:t>松潘县低收入平台中心事业编制</w:t>
      </w:r>
      <w:r>
        <w:rPr>
          <w:rFonts w:hint="eastAsia" w:ascii="仿宋_GB2312" w:hAnsi="仿宋" w:eastAsia="仿宋_GB2312" w:cs="仿宋"/>
          <w:sz w:val="32"/>
          <w:szCs w:val="32"/>
          <w:lang w:val="en-US" w:eastAsia="zh-CN"/>
        </w:rPr>
        <w:t>2名</w:t>
      </w:r>
    </w:p>
    <w:p w14:paraId="59A8B8E4">
      <w:pPr>
        <w:adjustRightInd/>
        <w:spacing w:after="0" w:line="580" w:lineRule="exact"/>
        <w:ind w:firstLine="640" w:firstLineChars="200"/>
        <w:rPr>
          <w:rFonts w:hint="eastAsia" w:ascii="Times New Roman" w:hAnsi="Times New Roman" w:eastAsia="仿宋_GB2312" w:cs="Times New Roman"/>
          <w:szCs w:val="32"/>
          <w:lang w:val="en-US" w:eastAsia="zh-CN"/>
        </w:rPr>
      </w:pPr>
      <w:r>
        <w:rPr>
          <w:rFonts w:hint="eastAsia" w:ascii="仿宋_GB2312" w:hAnsi="仿宋" w:eastAsia="仿宋_GB2312" w:cs="仿宋"/>
          <w:sz w:val="32"/>
          <w:szCs w:val="32"/>
        </w:rPr>
        <w:t>松潘县社会救助福利服务中心事业编制</w:t>
      </w:r>
      <w:r>
        <w:rPr>
          <w:rFonts w:hint="eastAsia" w:ascii="仿宋_GB2312" w:hAnsi="仿宋" w:eastAsia="仿宋_GB2312" w:cs="仿宋"/>
          <w:sz w:val="32"/>
          <w:szCs w:val="32"/>
          <w:lang w:val="en-US" w:eastAsia="zh-CN"/>
        </w:rPr>
        <w:t>12</w:t>
      </w:r>
      <w:r>
        <w:rPr>
          <w:rFonts w:hint="eastAsia" w:ascii="仿宋_GB2312" w:hAnsi="仿宋" w:eastAsia="仿宋_GB2312" w:cs="仿宋"/>
          <w:sz w:val="32"/>
          <w:szCs w:val="32"/>
        </w:rPr>
        <w:t>名。</w:t>
      </w:r>
      <w:r>
        <w:rPr>
          <w:rFonts w:hint="eastAsia" w:eastAsia="仿宋_GB2312"/>
          <w:kern w:val="0"/>
          <w:sz w:val="32"/>
          <w:szCs w:val="32"/>
        </w:rPr>
        <w:t>退休人员</w:t>
      </w:r>
      <w:r>
        <w:rPr>
          <w:rFonts w:hint="eastAsia" w:eastAsia="仿宋_GB2312"/>
          <w:kern w:val="0"/>
          <w:sz w:val="32"/>
          <w:szCs w:val="32"/>
          <w:lang w:val="en-US" w:eastAsia="zh-CN"/>
        </w:rPr>
        <w:t>1人。</w:t>
      </w:r>
    </w:p>
    <w:p w14:paraId="65432A8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165C429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kern w:val="0"/>
          <w:sz w:val="32"/>
          <w:szCs w:val="32"/>
          <w:shd w:val="clear" w:color="auto" w:fill="FFFFFF"/>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rPr>
        <w:t>本单位</w:t>
      </w:r>
      <w:r>
        <w:rPr>
          <w:rFonts w:hint="eastAsia"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w:t>
      </w:r>
      <w:r>
        <w:rPr>
          <w:rFonts w:hint="eastAsia" w:eastAsia="仿宋_GB2312" w:cs="Times New Roman"/>
          <w:sz w:val="32"/>
          <w:szCs w:val="32"/>
          <w:highlight w:val="none"/>
          <w:lang w:val="en-US" w:eastAsia="zh-CN"/>
        </w:rPr>
        <w:t>年初预算</w:t>
      </w:r>
      <w:r>
        <w:rPr>
          <w:rFonts w:hint="eastAsia" w:ascii="仿宋_GB2312" w:hAnsi="仿宋_GB2312" w:eastAsia="仿宋_GB2312" w:cs="仿宋_GB2312"/>
          <w:kern w:val="0"/>
          <w:sz w:val="32"/>
          <w:szCs w:val="32"/>
          <w:shd w:val="clear" w:color="auto" w:fill="FFFFFF"/>
        </w:rPr>
        <w:t>数为</w:t>
      </w:r>
      <w:r>
        <w:rPr>
          <w:rFonts w:hint="eastAsia" w:ascii="仿宋_GB2312" w:hAnsi="仿宋_GB2312" w:eastAsia="仿宋_GB2312" w:cs="仿宋_GB2312"/>
          <w:kern w:val="0"/>
          <w:sz w:val="32"/>
          <w:szCs w:val="32"/>
          <w:shd w:val="clear" w:color="040000" w:fill="FFFFFF"/>
          <w:lang w:val="en-US" w:eastAsia="zh-CN"/>
        </w:rPr>
        <w:t>1605.74</w:t>
      </w:r>
      <w:r>
        <w:rPr>
          <w:rFonts w:hint="eastAsia" w:ascii="仿宋_GB2312" w:hAnsi="仿宋_GB2312" w:eastAsia="仿宋_GB2312" w:cs="仿宋_GB2312"/>
          <w:kern w:val="0"/>
          <w:sz w:val="32"/>
          <w:szCs w:val="32"/>
          <w:shd w:val="clear" w:color="auto" w:fill="FFFFFF"/>
        </w:rPr>
        <w:t>万元，本单位</w:t>
      </w:r>
      <w:r>
        <w:rPr>
          <w:rFonts w:hint="eastAsia" w:ascii="仿宋_GB2312" w:hAnsi="仿宋_GB2312" w:eastAsia="仿宋_GB2312" w:cs="仿宋_GB2312"/>
          <w:kern w:val="0"/>
          <w:sz w:val="32"/>
          <w:szCs w:val="32"/>
          <w:shd w:val="clear" w:color="auto" w:fill="FFFFFF"/>
          <w:lang w:val="en-US" w:eastAsia="zh-CN"/>
        </w:rPr>
        <w:t>2025</w:t>
      </w:r>
      <w:r>
        <w:rPr>
          <w:rFonts w:hint="eastAsia" w:ascii="仿宋_GB2312" w:hAnsi="仿宋_GB2312" w:eastAsia="仿宋_GB2312" w:cs="仿宋_GB2312"/>
          <w:kern w:val="0"/>
          <w:sz w:val="32"/>
          <w:szCs w:val="32"/>
          <w:shd w:val="clear" w:color="auto" w:fill="FFFFFF"/>
        </w:rPr>
        <w:t>年度收入全年预算数</w:t>
      </w:r>
      <w:r>
        <w:rPr>
          <w:rFonts w:hint="eastAsia" w:ascii="仿宋_GB2312" w:hAnsi="仿宋_GB2312" w:eastAsia="仿宋_GB2312" w:cs="仿宋_GB2312"/>
          <w:kern w:val="0"/>
          <w:sz w:val="32"/>
          <w:szCs w:val="32"/>
          <w:shd w:val="clear" w:color="auto" w:fill="FFFFFF"/>
          <w:lang w:eastAsia="zh-CN"/>
        </w:rPr>
        <w:t>为</w:t>
      </w:r>
      <w:r>
        <w:rPr>
          <w:rFonts w:hint="eastAsia" w:ascii="仿宋_GB2312" w:hAnsi="仿宋_GB2312" w:eastAsia="仿宋_GB2312" w:cs="仿宋_GB2312"/>
          <w:kern w:val="0"/>
          <w:sz w:val="32"/>
          <w:szCs w:val="32"/>
          <w:shd w:val="clear" w:color="040000" w:fill="FFFFFF"/>
          <w:lang w:val="en-US" w:eastAsia="zh-CN"/>
        </w:rPr>
        <w:t>4384.02</w:t>
      </w:r>
      <w:r>
        <w:rPr>
          <w:rFonts w:hint="eastAsia" w:ascii="仿宋_GB2312" w:hAnsi="仿宋_GB2312" w:eastAsia="仿宋_GB2312" w:cs="仿宋_GB2312"/>
          <w:kern w:val="0"/>
          <w:sz w:val="32"/>
          <w:szCs w:val="32"/>
          <w:shd w:val="clear" w:color="auto" w:fill="FFFFFF"/>
        </w:rPr>
        <w:t>万元，收入决算数为</w:t>
      </w:r>
      <w:r>
        <w:rPr>
          <w:rFonts w:hint="eastAsia" w:ascii="仿宋_GB2312" w:hAnsi="仿宋_GB2312" w:eastAsia="仿宋_GB2312" w:cs="仿宋_GB2312"/>
          <w:kern w:val="0"/>
          <w:sz w:val="32"/>
          <w:szCs w:val="32"/>
          <w:shd w:val="clear" w:color="040000" w:fill="FFFFFF"/>
          <w:lang w:val="en-US" w:eastAsia="zh-CN"/>
        </w:rPr>
        <w:t>4212.21</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cs="仿宋_GB2312"/>
          <w:kern w:val="0"/>
          <w:sz w:val="32"/>
          <w:szCs w:val="32"/>
          <w:shd w:val="clear" w:color="auto" w:fill="FFFFFF"/>
          <w:lang w:eastAsia="zh-CN"/>
        </w:rPr>
        <w:t>。</w:t>
      </w:r>
    </w:p>
    <w:p w14:paraId="6D62E1D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kern w:val="0"/>
          <w:sz w:val="32"/>
          <w:szCs w:val="32"/>
          <w:shd w:val="clear" w:color="auto" w:fill="FFFFFF"/>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zh-CN" w:eastAsia="zh-CN"/>
        </w:rPr>
        <w:t>本单位</w:t>
      </w:r>
      <w:r>
        <w:rPr>
          <w:rFonts w:hint="eastAsia"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年年初预算</w:t>
      </w:r>
      <w:r>
        <w:rPr>
          <w:rFonts w:hint="eastAsia" w:ascii="仿宋_GB2312" w:hAnsi="仿宋_GB2312" w:eastAsia="仿宋_GB2312" w:cs="仿宋_GB2312"/>
          <w:kern w:val="0"/>
          <w:sz w:val="32"/>
          <w:szCs w:val="32"/>
          <w:shd w:val="clear" w:color="auto" w:fill="FFFFFF"/>
        </w:rPr>
        <w:t>数为</w:t>
      </w:r>
      <w:r>
        <w:rPr>
          <w:rFonts w:hint="eastAsia" w:ascii="仿宋_GB2312" w:hAnsi="仿宋_GB2312" w:eastAsia="仿宋_GB2312" w:cs="仿宋_GB2312"/>
          <w:kern w:val="0"/>
          <w:sz w:val="32"/>
          <w:szCs w:val="32"/>
          <w:shd w:val="clear" w:color="040000" w:fill="FFFFFF"/>
          <w:lang w:val="en-US" w:eastAsia="zh-CN"/>
        </w:rPr>
        <w:t>1605.74</w:t>
      </w:r>
      <w:r>
        <w:rPr>
          <w:rFonts w:hint="eastAsia" w:ascii="仿宋_GB2312" w:hAnsi="仿宋_GB2312" w:eastAsia="仿宋_GB2312" w:cs="仿宋_GB2312"/>
          <w:kern w:val="0"/>
          <w:sz w:val="32"/>
          <w:szCs w:val="32"/>
          <w:shd w:val="clear" w:color="auto" w:fill="FFFFFF"/>
        </w:rPr>
        <w:t>万元，本单位</w:t>
      </w:r>
      <w:r>
        <w:rPr>
          <w:rFonts w:hint="eastAsia" w:ascii="仿宋_GB2312" w:hAnsi="仿宋_GB2312" w:eastAsia="仿宋_GB2312" w:cs="仿宋_GB2312"/>
          <w:kern w:val="0"/>
          <w:sz w:val="32"/>
          <w:szCs w:val="32"/>
          <w:shd w:val="clear" w:color="auto" w:fill="FFFFFF"/>
          <w:lang w:val="en-US" w:eastAsia="zh-CN"/>
        </w:rPr>
        <w:t>2025</w:t>
      </w:r>
      <w:r>
        <w:rPr>
          <w:rFonts w:hint="eastAsia" w:ascii="仿宋_GB2312" w:hAnsi="仿宋_GB2312" w:eastAsia="仿宋_GB2312" w:cs="仿宋_GB2312"/>
          <w:kern w:val="0"/>
          <w:sz w:val="32"/>
          <w:szCs w:val="32"/>
          <w:shd w:val="clear" w:color="auto" w:fill="FFFFFF"/>
        </w:rPr>
        <w:t>年度</w:t>
      </w:r>
      <w:r>
        <w:rPr>
          <w:rFonts w:hint="eastAsia" w:ascii="仿宋_GB2312" w:hAnsi="仿宋_GB2312" w:eastAsia="仿宋_GB2312" w:cs="仿宋_GB2312"/>
          <w:kern w:val="0"/>
          <w:sz w:val="32"/>
          <w:szCs w:val="32"/>
          <w:shd w:val="clear" w:color="auto" w:fill="FFFFFF"/>
          <w:lang w:eastAsia="zh-CN"/>
        </w:rPr>
        <w:t>支出</w:t>
      </w:r>
      <w:r>
        <w:rPr>
          <w:rFonts w:hint="eastAsia" w:ascii="仿宋_GB2312" w:hAnsi="仿宋_GB2312" w:eastAsia="仿宋_GB2312" w:cs="仿宋_GB2312"/>
          <w:kern w:val="0"/>
          <w:sz w:val="32"/>
          <w:szCs w:val="32"/>
          <w:shd w:val="clear" w:color="auto" w:fill="FFFFFF"/>
        </w:rPr>
        <w:t>全年预算数</w:t>
      </w:r>
      <w:r>
        <w:rPr>
          <w:rFonts w:hint="eastAsia" w:ascii="仿宋_GB2312" w:hAnsi="仿宋_GB2312" w:eastAsia="仿宋_GB2312" w:cs="仿宋_GB2312"/>
          <w:kern w:val="0"/>
          <w:sz w:val="32"/>
          <w:szCs w:val="32"/>
          <w:shd w:val="clear" w:color="auto" w:fill="FFFFFF"/>
          <w:lang w:eastAsia="zh-CN"/>
        </w:rPr>
        <w:t>为</w:t>
      </w:r>
      <w:r>
        <w:rPr>
          <w:rFonts w:hint="eastAsia" w:ascii="仿宋_GB2312" w:hAnsi="仿宋_GB2312" w:eastAsia="仿宋_GB2312" w:cs="仿宋_GB2312"/>
          <w:kern w:val="0"/>
          <w:sz w:val="32"/>
          <w:szCs w:val="32"/>
          <w:shd w:val="clear" w:color="040000" w:fill="FFFFFF"/>
          <w:lang w:val="en-US" w:eastAsia="zh-CN"/>
        </w:rPr>
        <w:t>4384.02</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eastAsia="仿宋_GB2312" w:cs="仿宋_GB2312"/>
          <w:kern w:val="0"/>
          <w:sz w:val="32"/>
          <w:szCs w:val="32"/>
          <w:shd w:val="clear" w:color="auto" w:fill="FFFFFF"/>
          <w:lang w:eastAsia="zh-CN"/>
        </w:rPr>
        <w:t>支出</w:t>
      </w:r>
      <w:r>
        <w:rPr>
          <w:rFonts w:hint="eastAsia" w:ascii="仿宋_GB2312" w:hAnsi="仿宋_GB2312" w:eastAsia="仿宋_GB2312" w:cs="仿宋_GB2312"/>
          <w:kern w:val="0"/>
          <w:sz w:val="32"/>
          <w:szCs w:val="32"/>
          <w:shd w:val="clear" w:color="auto" w:fill="FFFFFF"/>
        </w:rPr>
        <w:t>决算数为</w:t>
      </w:r>
      <w:r>
        <w:rPr>
          <w:rFonts w:hint="eastAsia" w:ascii="仿宋_GB2312" w:hAnsi="仿宋_GB2312" w:eastAsia="仿宋_GB2312" w:cs="仿宋_GB2312"/>
          <w:kern w:val="0"/>
          <w:sz w:val="32"/>
          <w:szCs w:val="32"/>
          <w:shd w:val="clear" w:color="040000" w:fill="FFFFFF"/>
          <w:lang w:val="en-US" w:eastAsia="zh-CN"/>
        </w:rPr>
        <w:t>4212.21</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cs="仿宋_GB2312"/>
          <w:kern w:val="0"/>
          <w:sz w:val="32"/>
          <w:szCs w:val="32"/>
          <w:shd w:val="clear" w:color="auto" w:fill="FFFFFF"/>
          <w:lang w:eastAsia="zh-CN"/>
        </w:rPr>
        <w:t>。</w:t>
      </w:r>
    </w:p>
    <w:p w14:paraId="1882B85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rPr>
        <w:t>本单位</w:t>
      </w:r>
      <w:r>
        <w:rPr>
          <w:rFonts w:hint="eastAsia"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无</w:t>
      </w:r>
      <w:r>
        <w:rPr>
          <w:rFonts w:hint="default" w:ascii="Times New Roman" w:hAnsi="Times New Roman" w:eastAsia="仿宋_GB2312" w:cs="Times New Roman"/>
          <w:sz w:val="32"/>
          <w:szCs w:val="32"/>
          <w:lang w:val="en-US" w:eastAsia="zh-CN"/>
        </w:rPr>
        <w:t>结转结余。</w:t>
      </w:r>
    </w:p>
    <w:p w14:paraId="58B0AED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0DB8742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rPr>
        <w:t>根据部门预算绩效评价指标体系</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总体绩效</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涉及</w:t>
      </w:r>
      <w:r>
        <w:rPr>
          <w:rFonts w:hint="eastAsia" w:ascii="Times New Roman" w:hAnsi="Times New Roman" w:eastAsia="仿宋_GB2312" w:cs="仿宋_GB2312"/>
          <w:color w:val="auto"/>
          <w:kern w:val="2"/>
          <w:sz w:val="32"/>
          <w:szCs w:val="32"/>
          <w:highlight w:val="none"/>
          <w:lang w:val="zh-CN" w:eastAsia="zh-CN"/>
        </w:rPr>
        <w:t>二、三级</w:t>
      </w:r>
      <w:r>
        <w:rPr>
          <w:rFonts w:hint="default" w:ascii="Times New Roman" w:hAnsi="Times New Roman" w:eastAsia="仿宋_GB2312" w:cs="仿宋_GB2312"/>
          <w:color w:val="auto"/>
          <w:kern w:val="2"/>
          <w:sz w:val="32"/>
          <w:szCs w:val="32"/>
          <w:highlight w:val="none"/>
          <w:lang w:val="zh-CN" w:eastAsia="zh-CN"/>
        </w:rPr>
        <w:t>指标进行</w:t>
      </w:r>
      <w:r>
        <w:rPr>
          <w:rFonts w:hint="eastAsia" w:ascii="Times New Roman" w:hAnsi="Times New Roman" w:eastAsia="仿宋_GB2312" w:cs="仿宋_GB2312"/>
          <w:color w:val="auto"/>
          <w:kern w:val="2"/>
          <w:sz w:val="32"/>
          <w:szCs w:val="32"/>
          <w:highlight w:val="none"/>
          <w:lang w:val="zh-CN" w:eastAsia="zh-CN"/>
        </w:rPr>
        <w:t>逐项</w:t>
      </w:r>
      <w:r>
        <w:rPr>
          <w:rFonts w:hint="default" w:ascii="Times New Roman" w:hAnsi="Times New Roman" w:eastAsia="仿宋_GB2312" w:cs="仿宋_GB2312"/>
          <w:color w:val="auto"/>
          <w:kern w:val="2"/>
          <w:sz w:val="32"/>
          <w:szCs w:val="32"/>
          <w:highlight w:val="none"/>
          <w:lang w:val="zh-CN" w:eastAsia="zh-CN"/>
        </w:rPr>
        <w:t>绩效分析</w:t>
      </w:r>
      <w:r>
        <w:rPr>
          <w:rFonts w:hint="eastAsia" w:ascii="Times New Roman" w:hAnsi="Times New Roman" w:eastAsia="仿宋_GB2312" w:cs="仿宋_GB2312"/>
          <w:color w:val="auto"/>
          <w:kern w:val="2"/>
          <w:sz w:val="32"/>
          <w:szCs w:val="32"/>
          <w:highlight w:val="none"/>
          <w:lang w:val="zh-CN" w:eastAsia="zh-CN"/>
        </w:rPr>
        <w:t>并评分</w:t>
      </w:r>
      <w:r>
        <w:rPr>
          <w:rFonts w:hint="default" w:ascii="Times New Roman" w:hAnsi="Times New Roman" w:eastAsia="仿宋_GB2312" w:cs="仿宋_GB2312"/>
          <w:color w:val="auto"/>
          <w:kern w:val="2"/>
          <w:sz w:val="32"/>
          <w:szCs w:val="32"/>
          <w:highlight w:val="none"/>
          <w:lang w:val="zh-CN" w:eastAsia="zh-CN"/>
        </w:rPr>
        <w:t>，依次包括履职效能、预算管理、财务管理、资产管理、采购管理等情况。</w:t>
      </w:r>
    </w:p>
    <w:p w14:paraId="3BF7155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zh-CN" w:eastAsia="zh-CN"/>
        </w:rPr>
        <w:t>1.履职效能。工作成果方面：项目工作人员能够按时完成任务并达到预期目标；财务人员能够按照项目合同资金支付要求，对验收合格的项目按时足额支付项目资金。工作质量方面，项目工作人员注重细节，保证工作的准确性和可靠性。执行力方面，项目工作人员能够按照项目要求主动、迅速地执行工作。</w:t>
      </w:r>
    </w:p>
    <w:p w14:paraId="185F736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zh-CN" w:eastAsia="zh-CN"/>
        </w:rPr>
        <w:t>2.预算管理。建立以法人代表为主、由财会部门参加的预算编审班子。预算编审班子严格规定各自的工作职责，保证预算编制任务的完成。预算编审班子根据上年度的预算执行情况和本年度经济发展情况，综合考虑各方面的因素，制定本单位本年度的总体目标。本单位本年度收入全年预算数为</w:t>
      </w:r>
      <w:r>
        <w:rPr>
          <w:rFonts w:hint="eastAsia" w:ascii="仿宋_GB2312" w:hAnsi="仿宋_GB2312" w:eastAsia="仿宋_GB2312" w:cs="仿宋_GB2312"/>
          <w:kern w:val="0"/>
          <w:sz w:val="32"/>
          <w:szCs w:val="32"/>
          <w:shd w:val="clear" w:color="040000" w:fill="FFFFFF"/>
          <w:lang w:val="en-US" w:eastAsia="zh-CN"/>
        </w:rPr>
        <w:t>4384.02</w:t>
      </w:r>
      <w:r>
        <w:rPr>
          <w:rFonts w:hint="default" w:ascii="Times New Roman" w:hAnsi="Times New Roman" w:eastAsia="仿宋_GB2312" w:cs="仿宋_GB2312"/>
          <w:color w:val="auto"/>
          <w:kern w:val="2"/>
          <w:sz w:val="32"/>
          <w:szCs w:val="32"/>
          <w:highlight w:val="none"/>
          <w:lang w:val="zh-CN" w:eastAsia="zh-CN"/>
        </w:rPr>
        <w:t>万元，收入决算数为</w:t>
      </w:r>
      <w:r>
        <w:rPr>
          <w:rFonts w:hint="eastAsia" w:ascii="仿宋_GB2312" w:hAnsi="仿宋_GB2312" w:eastAsia="仿宋_GB2312" w:cs="仿宋_GB2312"/>
          <w:kern w:val="0"/>
          <w:sz w:val="32"/>
          <w:szCs w:val="32"/>
          <w:shd w:val="clear" w:color="040000" w:fill="FFFFFF"/>
          <w:lang w:val="en-US" w:eastAsia="zh-CN"/>
        </w:rPr>
        <w:t>4212.21</w:t>
      </w:r>
      <w:r>
        <w:rPr>
          <w:rFonts w:hint="default" w:ascii="Times New Roman" w:hAnsi="Times New Roman" w:eastAsia="仿宋_GB2312" w:cs="仿宋_GB2312"/>
          <w:color w:val="auto"/>
          <w:kern w:val="2"/>
          <w:sz w:val="32"/>
          <w:szCs w:val="32"/>
          <w:highlight w:val="none"/>
          <w:lang w:val="zh-CN" w:eastAsia="zh-CN"/>
        </w:rPr>
        <w:t>万元，预算完成度为</w:t>
      </w:r>
      <w:r>
        <w:rPr>
          <w:rFonts w:hint="eastAsia" w:ascii="仿宋_GB2312" w:hAnsi="仿宋_GB2312" w:eastAsia="仿宋_GB2312" w:cs="仿宋_GB2312"/>
          <w:kern w:val="0"/>
          <w:sz w:val="32"/>
          <w:szCs w:val="32"/>
          <w:shd w:val="clear" w:color="040000" w:fill="FFFFFF"/>
          <w:lang w:val="en-US" w:eastAsia="zh-CN"/>
        </w:rPr>
        <w:t>96.08</w:t>
      </w:r>
      <w:r>
        <w:rPr>
          <w:rFonts w:hint="eastAsia" w:ascii="仿宋_GB2312" w:hAnsi="仿宋_GB2312" w:eastAsia="仿宋_GB2312" w:cs="仿宋_GB2312"/>
          <w:kern w:val="0"/>
          <w:sz w:val="32"/>
          <w:szCs w:val="32"/>
          <w:shd w:val="clear" w:color="040000" w:fill="FFFFFF"/>
        </w:rPr>
        <w:t>%</w:t>
      </w:r>
      <w:r>
        <w:rPr>
          <w:rFonts w:hint="default" w:ascii="Times New Roman" w:hAnsi="Times New Roman" w:eastAsia="仿宋_GB2312" w:cs="仿宋_GB2312"/>
          <w:color w:val="auto"/>
          <w:kern w:val="2"/>
          <w:sz w:val="32"/>
          <w:szCs w:val="32"/>
          <w:highlight w:val="none"/>
          <w:lang w:val="zh-CN" w:eastAsia="zh-CN"/>
        </w:rPr>
        <w:t>，严格按照上级文件进行预算编制，专款专用。</w:t>
      </w:r>
    </w:p>
    <w:p w14:paraId="599C54E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zh-CN" w:eastAsia="zh-CN"/>
        </w:rPr>
        <w:t>3.财务管理。在办公室下设财务室，副局长为财务负责人，下设会计、出纳各一名，负责本单位日常收支。健全单位财务管理制度，成立财务联审会签制度。各项支出按照批准的预算和有关规定审核办理，防止无计划开支。基本支出必须坚持节约的原则，严格执行规定的开支范围及开支标准。专项支出按照计划或预算批准的项目和用途使用。保障项目资金安全，确保资金专款专用，我局从资金申请、资金使用、会计核算三个环节加强资金管理。在项目资金申请环节，严格按照国库集中支付流程向县财政局申请财政资金；在资金使用环节，严格按照我局资金财务审批流程办理款项支付手续，通过一体化系统直接支付。在会计核算环节，对本项目资金实际核算，确保专款专用。通过上述三个环节的管理，极力避免挪用、挤占、截留项目资金的现象，保证财政资金安全有效使用。</w:t>
      </w:r>
    </w:p>
    <w:p w14:paraId="25A79BD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zh-CN" w:eastAsia="zh-CN"/>
        </w:rPr>
        <w:t>4.资产管理。一是加强会计核算工作。严格执行现行固定资产管理制度，对已完工的基建工程、购入的固定资产、收到的捐赠资产等及时入账，并按照数量、金额登记明细账，编制固定资产卡片，确保账面上能真实、完整</w:t>
      </w:r>
      <w:r>
        <w:rPr>
          <w:rFonts w:hint="eastAsia" w:eastAsia="仿宋_GB2312" w:cs="仿宋_GB2312"/>
          <w:color w:val="auto"/>
          <w:kern w:val="2"/>
          <w:sz w:val="32"/>
          <w:szCs w:val="32"/>
          <w:highlight w:val="none"/>
          <w:lang w:val="zh-CN" w:eastAsia="zh-CN"/>
        </w:rPr>
        <w:t>地</w:t>
      </w:r>
      <w:r>
        <w:rPr>
          <w:rFonts w:hint="default" w:ascii="Times New Roman" w:hAnsi="Times New Roman" w:eastAsia="仿宋_GB2312" w:cs="仿宋_GB2312"/>
          <w:color w:val="auto"/>
          <w:kern w:val="2"/>
          <w:sz w:val="32"/>
          <w:szCs w:val="32"/>
          <w:highlight w:val="none"/>
          <w:lang w:val="zh-CN" w:eastAsia="zh-CN"/>
        </w:rPr>
        <w:t>反映单位的固定资产情况，并结合本单位的实际情况，完善固定资产管理制度。二是加强内部监督。定期或不定期</w:t>
      </w:r>
      <w:r>
        <w:rPr>
          <w:rFonts w:hint="eastAsia" w:eastAsia="仿宋_GB2312" w:cs="仿宋_GB2312"/>
          <w:color w:val="auto"/>
          <w:kern w:val="2"/>
          <w:sz w:val="32"/>
          <w:szCs w:val="32"/>
          <w:highlight w:val="none"/>
          <w:lang w:val="zh-CN" w:eastAsia="zh-CN"/>
        </w:rPr>
        <w:t>地</w:t>
      </w:r>
      <w:r>
        <w:rPr>
          <w:rFonts w:hint="default" w:ascii="Times New Roman" w:hAnsi="Times New Roman" w:eastAsia="仿宋_GB2312" w:cs="仿宋_GB2312"/>
          <w:color w:val="auto"/>
          <w:kern w:val="2"/>
          <w:sz w:val="32"/>
          <w:szCs w:val="32"/>
          <w:highlight w:val="none"/>
          <w:lang w:val="zh-CN" w:eastAsia="zh-CN"/>
        </w:rPr>
        <w:t>对固定资产进行抽查。检查固定资产的购置、领用、处置等程序是否合规，账实是否相符等，</w:t>
      </w:r>
      <w:r>
        <w:rPr>
          <w:rFonts w:hint="eastAsia" w:eastAsia="仿宋_GB2312" w:cs="仿宋_GB2312"/>
          <w:color w:val="auto"/>
          <w:kern w:val="2"/>
          <w:sz w:val="32"/>
          <w:szCs w:val="32"/>
          <w:highlight w:val="none"/>
          <w:lang w:val="zh-CN" w:eastAsia="zh-CN"/>
        </w:rPr>
        <w:t>防止国有资产流失</w:t>
      </w:r>
      <w:r>
        <w:rPr>
          <w:rFonts w:hint="default" w:ascii="Times New Roman" w:hAnsi="Times New Roman" w:eastAsia="仿宋_GB2312" w:cs="仿宋_GB2312"/>
          <w:color w:val="auto"/>
          <w:kern w:val="2"/>
          <w:sz w:val="32"/>
          <w:szCs w:val="32"/>
          <w:highlight w:val="none"/>
          <w:lang w:val="zh-CN" w:eastAsia="zh-CN"/>
        </w:rPr>
        <w:t>。</w:t>
      </w:r>
    </w:p>
    <w:p w14:paraId="5724D07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仿宋_GB2312" w:cs="仿宋_GB2312"/>
          <w:color w:val="auto"/>
          <w:kern w:val="2"/>
          <w:sz w:val="32"/>
          <w:szCs w:val="32"/>
          <w:highlight w:val="none"/>
          <w:lang w:val="zh-CN" w:eastAsia="zh-CN"/>
        </w:rPr>
        <w:t>5.采购管理。加强程序管理。对纳入政府采购目录范围内的资产采购，必须报政府采购中心进行政府采购；未纳入政府采购目录范围内的资产采购，采用其他形式采购。</w:t>
      </w:r>
    </w:p>
    <w:p w14:paraId="3807956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rPr>
        <w:t>填报以下数据，并</w:t>
      </w:r>
      <w:r>
        <w:rPr>
          <w:rFonts w:hint="default" w:ascii="Times New Roman" w:hAnsi="Times New Roman" w:eastAsia="仿宋_GB2312" w:cs="仿宋_GB2312"/>
          <w:color w:val="auto"/>
          <w:kern w:val="2"/>
          <w:sz w:val="32"/>
          <w:szCs w:val="32"/>
          <w:highlight w:val="none"/>
          <w:lang w:val="zh-CN" w:eastAsia="zh-CN"/>
        </w:rPr>
        <w:t>根据部门预算绩效评价指标体系</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项目绩效</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涉及</w:t>
      </w:r>
      <w:r>
        <w:rPr>
          <w:rFonts w:hint="eastAsia" w:ascii="Times New Roman" w:hAnsi="Times New Roman" w:eastAsia="仿宋_GB2312" w:cs="仿宋_GB2312"/>
          <w:color w:val="auto"/>
          <w:kern w:val="2"/>
          <w:sz w:val="32"/>
          <w:szCs w:val="32"/>
          <w:highlight w:val="none"/>
          <w:lang w:val="zh-CN" w:eastAsia="zh-CN"/>
        </w:rPr>
        <w:t>二、三级</w:t>
      </w:r>
      <w:r>
        <w:rPr>
          <w:rFonts w:hint="default" w:ascii="Times New Roman" w:hAnsi="Times New Roman" w:eastAsia="仿宋_GB2312" w:cs="仿宋_GB2312"/>
          <w:color w:val="auto"/>
          <w:kern w:val="2"/>
          <w:sz w:val="32"/>
          <w:szCs w:val="32"/>
          <w:highlight w:val="none"/>
          <w:lang w:val="zh-CN" w:eastAsia="zh-CN"/>
        </w:rPr>
        <w:t>指标进行</w:t>
      </w:r>
      <w:r>
        <w:rPr>
          <w:rFonts w:hint="eastAsia" w:ascii="Times New Roman" w:hAnsi="Times New Roman" w:eastAsia="仿宋_GB2312" w:cs="仿宋_GB2312"/>
          <w:color w:val="auto"/>
          <w:kern w:val="2"/>
          <w:sz w:val="32"/>
          <w:szCs w:val="32"/>
          <w:highlight w:val="none"/>
          <w:lang w:val="zh-CN" w:eastAsia="zh-CN"/>
        </w:rPr>
        <w:t>逐项</w:t>
      </w:r>
      <w:r>
        <w:rPr>
          <w:rFonts w:hint="default" w:ascii="Times New Roman" w:hAnsi="Times New Roman" w:eastAsia="仿宋_GB2312" w:cs="仿宋_GB2312"/>
          <w:color w:val="auto"/>
          <w:kern w:val="2"/>
          <w:sz w:val="32"/>
          <w:szCs w:val="32"/>
          <w:highlight w:val="none"/>
          <w:lang w:val="zh-CN" w:eastAsia="zh-CN"/>
        </w:rPr>
        <w:t>绩效分析</w:t>
      </w:r>
      <w:r>
        <w:rPr>
          <w:rFonts w:hint="eastAsia" w:ascii="Times New Roman" w:hAnsi="Times New Roman" w:eastAsia="仿宋_GB2312" w:cs="仿宋_GB2312"/>
          <w:color w:val="auto"/>
          <w:kern w:val="2"/>
          <w:sz w:val="32"/>
          <w:szCs w:val="32"/>
          <w:highlight w:val="none"/>
          <w:lang w:val="zh-CN" w:eastAsia="zh-CN"/>
        </w:rPr>
        <w:t>并评分</w:t>
      </w:r>
      <w:r>
        <w:rPr>
          <w:rFonts w:hint="default" w:ascii="Times New Roman" w:hAnsi="Times New Roman" w:eastAsia="仿宋_GB2312" w:cs="仿宋_GB2312"/>
          <w:color w:val="auto"/>
          <w:kern w:val="2"/>
          <w:sz w:val="32"/>
          <w:szCs w:val="32"/>
          <w:highlight w:val="none"/>
          <w:lang w:val="zh-CN" w:eastAsia="zh-CN"/>
        </w:rPr>
        <w:t>，依次包括项目</w:t>
      </w:r>
      <w:r>
        <w:rPr>
          <w:rFonts w:hint="default" w:ascii="Times New Roman" w:hAnsi="Times New Roman" w:eastAsia="仿宋_GB2312" w:cs="仿宋_GB2312"/>
          <w:color w:val="auto"/>
          <w:kern w:val="2"/>
          <w:sz w:val="32"/>
          <w:szCs w:val="32"/>
          <w:highlight w:val="none"/>
          <w:lang w:val="en-US" w:eastAsia="zh-CN"/>
        </w:rPr>
        <w:t>决策、项目执行、目标实现等情况</w:t>
      </w:r>
      <w:r>
        <w:rPr>
          <w:rFonts w:hint="eastAsia" w:ascii="Times New Roman" w:hAnsi="Times New Roman" w:eastAsia="仿宋_GB2312" w:cs="仿宋_GB2312"/>
          <w:color w:val="auto"/>
          <w:kern w:val="2"/>
          <w:sz w:val="32"/>
          <w:szCs w:val="32"/>
          <w:highlight w:val="none"/>
          <w:lang w:val="en-US" w:eastAsia="zh-CN"/>
        </w:rPr>
        <w:t>。</w:t>
      </w:r>
    </w:p>
    <w:p w14:paraId="67CEAB3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en-US" w:eastAsia="zh-CN"/>
        </w:rPr>
        <w:t>常年项目绩效分析。</w:t>
      </w:r>
      <w:r>
        <w:rPr>
          <w:rFonts w:hint="default" w:ascii="Times New Roman" w:hAnsi="Times New Roman" w:eastAsia="仿宋_GB2312" w:cs="仿宋_GB2312"/>
          <w:color w:val="auto"/>
          <w:kern w:val="2"/>
          <w:sz w:val="32"/>
          <w:szCs w:val="32"/>
          <w:highlight w:val="none"/>
          <w:lang w:val="zh-CN" w:eastAsia="zh-CN"/>
        </w:rPr>
        <w:t>该类项目总数</w:t>
      </w:r>
      <w:r>
        <w:rPr>
          <w:rFonts w:hint="eastAsia" w:eastAsia="仿宋_GB2312" w:cs="仿宋_GB2312"/>
          <w:color w:val="auto"/>
          <w:kern w:val="2"/>
          <w:sz w:val="32"/>
          <w:szCs w:val="32"/>
          <w:highlight w:val="none"/>
          <w:lang w:val="en-US" w:eastAsia="zh-CN"/>
        </w:rPr>
        <w:t>17</w:t>
      </w:r>
      <w:r>
        <w:rPr>
          <w:rFonts w:hint="default" w:ascii="Times New Roman" w:hAnsi="Times New Roman" w:eastAsia="仿宋_GB2312" w:cs="仿宋_GB2312"/>
          <w:color w:val="auto"/>
          <w:kern w:val="2"/>
          <w:sz w:val="32"/>
          <w:szCs w:val="32"/>
          <w:highlight w:val="none"/>
          <w:lang w:val="zh-CN" w:eastAsia="zh-CN"/>
        </w:rPr>
        <w:t>个，涉及预算总金额</w:t>
      </w:r>
      <w:r>
        <w:rPr>
          <w:rFonts w:hint="eastAsia" w:eastAsia="仿宋_GB2312" w:cs="仿宋_GB2312"/>
          <w:color w:val="auto"/>
          <w:kern w:val="2"/>
          <w:sz w:val="32"/>
          <w:szCs w:val="32"/>
          <w:highlight w:val="none"/>
          <w:lang w:val="en-US" w:eastAsia="zh-CN"/>
        </w:rPr>
        <w:t>3548.85</w:t>
      </w:r>
      <w:r>
        <w:rPr>
          <w:rFonts w:hint="default" w:ascii="Times New Roman" w:hAnsi="Times New Roman" w:eastAsia="仿宋_GB2312" w:cs="仿宋_GB2312"/>
          <w:color w:val="auto"/>
          <w:kern w:val="2"/>
          <w:sz w:val="32"/>
          <w:szCs w:val="32"/>
          <w:highlight w:val="none"/>
          <w:lang w:val="zh-CN" w:eastAsia="zh-CN"/>
        </w:rPr>
        <w:t>万元，1</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1</w:t>
      </w:r>
      <w:r>
        <w:rPr>
          <w:rFonts w:hint="default" w:ascii="Times New Roman" w:hAnsi="Times New Roman" w:eastAsia="仿宋_GB2312" w:cs="仿宋_GB2312"/>
          <w:color w:val="auto"/>
          <w:kern w:val="2"/>
          <w:sz w:val="32"/>
          <w:szCs w:val="32"/>
          <w:highlight w:val="none"/>
          <w:lang w:val="en-US" w:eastAsia="zh-CN"/>
        </w:rPr>
        <w:t>2</w:t>
      </w:r>
      <w:r>
        <w:rPr>
          <w:rFonts w:hint="default" w:ascii="Times New Roman" w:hAnsi="Times New Roman" w:eastAsia="仿宋_GB2312" w:cs="仿宋_GB2312"/>
          <w:color w:val="auto"/>
          <w:kern w:val="2"/>
          <w:sz w:val="32"/>
          <w:szCs w:val="32"/>
          <w:highlight w:val="none"/>
          <w:lang w:val="zh-CN" w:eastAsia="zh-CN"/>
        </w:rPr>
        <w:t>月预算执行总体进度为</w:t>
      </w:r>
      <w:r>
        <w:rPr>
          <w:rFonts w:hint="eastAsia" w:eastAsia="仿宋_GB2312" w:cs="仿宋_GB2312"/>
          <w:color w:val="auto"/>
          <w:kern w:val="2"/>
          <w:sz w:val="32"/>
          <w:szCs w:val="32"/>
          <w:highlight w:val="none"/>
          <w:lang w:val="en-US" w:eastAsia="zh-CN"/>
        </w:rPr>
        <w:t>100</w:t>
      </w:r>
      <w:r>
        <w:rPr>
          <w:rFonts w:hint="default" w:ascii="Times New Roman" w:hAnsi="Times New Roman" w:eastAsia="仿宋_GB2312" w:cs="仿宋_GB2312"/>
          <w:color w:val="auto"/>
          <w:kern w:val="2"/>
          <w:sz w:val="32"/>
          <w:szCs w:val="32"/>
          <w:highlight w:val="none"/>
          <w:lang w:val="zh-CN" w:eastAsia="zh-CN"/>
        </w:rPr>
        <w:t>%，其中：预算结余率大于</w:t>
      </w:r>
      <w:r>
        <w:rPr>
          <w:rFonts w:hint="default" w:ascii="Times New Roman" w:hAnsi="Times New Roman" w:eastAsia="仿宋_GB2312" w:cs="仿宋_GB2312"/>
          <w:color w:val="auto"/>
          <w:kern w:val="2"/>
          <w:sz w:val="32"/>
          <w:szCs w:val="32"/>
          <w:highlight w:val="none"/>
          <w:lang w:val="en-US" w:eastAsia="zh-CN"/>
        </w:rPr>
        <w:t>10%</w:t>
      </w:r>
      <w:r>
        <w:rPr>
          <w:rFonts w:hint="default" w:ascii="Times New Roman" w:hAnsi="Times New Roman" w:eastAsia="仿宋_GB2312" w:cs="仿宋_GB2312"/>
          <w:color w:val="auto"/>
          <w:kern w:val="2"/>
          <w:sz w:val="32"/>
          <w:szCs w:val="32"/>
          <w:highlight w:val="none"/>
          <w:lang w:val="zh-CN" w:eastAsia="zh-CN"/>
        </w:rPr>
        <w:t>的项目共计</w:t>
      </w:r>
      <w:r>
        <w:rPr>
          <w:rFonts w:hint="eastAsia" w:eastAsia="仿宋_GB2312" w:cs="仿宋_GB2312"/>
          <w:color w:val="auto"/>
          <w:kern w:val="2"/>
          <w:sz w:val="32"/>
          <w:szCs w:val="32"/>
          <w:highlight w:val="none"/>
          <w:lang w:val="en-US" w:eastAsia="zh-CN"/>
        </w:rPr>
        <w:t>0</w:t>
      </w:r>
      <w:r>
        <w:rPr>
          <w:rFonts w:hint="default" w:ascii="Times New Roman" w:hAnsi="Times New Roman" w:eastAsia="仿宋_GB2312" w:cs="仿宋_GB2312"/>
          <w:color w:val="auto"/>
          <w:kern w:val="2"/>
          <w:sz w:val="32"/>
          <w:szCs w:val="32"/>
          <w:highlight w:val="none"/>
          <w:lang w:val="zh-CN" w:eastAsia="zh-CN"/>
        </w:rPr>
        <w:t>个。</w:t>
      </w:r>
    </w:p>
    <w:p w14:paraId="3D3A428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en-US" w:eastAsia="zh-CN"/>
        </w:rPr>
        <w:t>阶段</w:t>
      </w:r>
      <w:r>
        <w:rPr>
          <w:rFonts w:hint="eastAsia" w:ascii="Times New Roman" w:hAnsi="Times New Roman" w:eastAsia="仿宋_GB2312" w:cs="仿宋_GB2312"/>
          <w:color w:val="auto"/>
          <w:kern w:val="2"/>
          <w:sz w:val="32"/>
          <w:szCs w:val="32"/>
          <w:highlight w:val="none"/>
          <w:lang w:val="en-US" w:eastAsia="zh-CN"/>
        </w:rPr>
        <w:t>（</w:t>
      </w:r>
      <w:r>
        <w:rPr>
          <w:rFonts w:hint="default" w:ascii="Times New Roman" w:hAnsi="Times New Roman" w:eastAsia="仿宋_GB2312" w:cs="仿宋_GB2312"/>
          <w:color w:val="auto"/>
          <w:kern w:val="2"/>
          <w:sz w:val="32"/>
          <w:szCs w:val="32"/>
          <w:highlight w:val="none"/>
          <w:lang w:val="en-US" w:eastAsia="zh-CN"/>
        </w:rPr>
        <w:t>一次性</w:t>
      </w:r>
      <w:r>
        <w:rPr>
          <w:rFonts w:hint="eastAsia" w:ascii="Times New Roman" w:hAnsi="Times New Roman" w:eastAsia="仿宋_GB2312" w:cs="仿宋_GB2312"/>
          <w:color w:val="auto"/>
          <w:kern w:val="2"/>
          <w:sz w:val="32"/>
          <w:szCs w:val="32"/>
          <w:highlight w:val="none"/>
          <w:lang w:val="en-US" w:eastAsia="zh-CN"/>
        </w:rPr>
        <w:t>）</w:t>
      </w:r>
      <w:r>
        <w:rPr>
          <w:rFonts w:hint="default" w:ascii="Times New Roman" w:hAnsi="Times New Roman" w:eastAsia="仿宋_GB2312" w:cs="仿宋_GB2312"/>
          <w:color w:val="auto"/>
          <w:kern w:val="2"/>
          <w:sz w:val="32"/>
          <w:szCs w:val="32"/>
          <w:highlight w:val="none"/>
          <w:lang w:val="en-US" w:eastAsia="zh-CN"/>
        </w:rPr>
        <w:t>项目绩效分析。</w:t>
      </w:r>
      <w:r>
        <w:rPr>
          <w:rFonts w:hint="default" w:ascii="Times New Roman" w:hAnsi="Times New Roman" w:eastAsia="仿宋_GB2312" w:cs="仿宋_GB2312"/>
          <w:color w:val="auto"/>
          <w:kern w:val="2"/>
          <w:sz w:val="32"/>
          <w:szCs w:val="32"/>
          <w:highlight w:val="none"/>
          <w:lang w:val="zh-CN" w:eastAsia="zh-CN"/>
        </w:rPr>
        <w:t>该类项目总数</w:t>
      </w:r>
      <w:r>
        <w:rPr>
          <w:rFonts w:hint="eastAsia" w:eastAsia="仿宋_GB2312" w:cs="仿宋_GB2312"/>
          <w:color w:val="auto"/>
          <w:kern w:val="2"/>
          <w:sz w:val="32"/>
          <w:szCs w:val="32"/>
          <w:highlight w:val="none"/>
          <w:lang w:val="en-US" w:eastAsia="zh-CN"/>
        </w:rPr>
        <w:t>21</w:t>
      </w:r>
      <w:r>
        <w:rPr>
          <w:rFonts w:hint="default" w:ascii="Times New Roman" w:hAnsi="Times New Roman" w:eastAsia="仿宋_GB2312" w:cs="仿宋_GB2312"/>
          <w:color w:val="auto"/>
          <w:kern w:val="2"/>
          <w:sz w:val="32"/>
          <w:szCs w:val="32"/>
          <w:highlight w:val="none"/>
          <w:lang w:val="zh-CN" w:eastAsia="zh-CN"/>
        </w:rPr>
        <w:t>个，涉及预算总金额</w:t>
      </w:r>
      <w:r>
        <w:rPr>
          <w:rFonts w:hint="eastAsia" w:eastAsia="仿宋_GB2312" w:cs="仿宋_GB2312"/>
          <w:color w:val="auto"/>
          <w:kern w:val="2"/>
          <w:sz w:val="32"/>
          <w:szCs w:val="32"/>
          <w:highlight w:val="none"/>
          <w:lang w:val="en-US" w:eastAsia="zh-CN"/>
        </w:rPr>
        <w:t>440.22</w:t>
      </w:r>
      <w:r>
        <w:rPr>
          <w:rFonts w:hint="default" w:ascii="Times New Roman" w:hAnsi="Times New Roman" w:eastAsia="仿宋_GB2312" w:cs="仿宋_GB2312"/>
          <w:color w:val="auto"/>
          <w:kern w:val="2"/>
          <w:sz w:val="32"/>
          <w:szCs w:val="32"/>
          <w:highlight w:val="none"/>
          <w:lang w:val="zh-CN" w:eastAsia="zh-CN"/>
        </w:rPr>
        <w:t>万元，1</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1</w:t>
      </w:r>
      <w:r>
        <w:rPr>
          <w:rFonts w:hint="default" w:ascii="Times New Roman" w:hAnsi="Times New Roman" w:eastAsia="仿宋_GB2312" w:cs="仿宋_GB2312"/>
          <w:color w:val="auto"/>
          <w:kern w:val="2"/>
          <w:sz w:val="32"/>
          <w:szCs w:val="32"/>
          <w:highlight w:val="none"/>
          <w:lang w:val="en-US" w:eastAsia="zh-CN"/>
        </w:rPr>
        <w:t>2</w:t>
      </w:r>
      <w:r>
        <w:rPr>
          <w:rFonts w:hint="default" w:ascii="Times New Roman" w:hAnsi="Times New Roman" w:eastAsia="仿宋_GB2312" w:cs="仿宋_GB2312"/>
          <w:color w:val="auto"/>
          <w:kern w:val="2"/>
          <w:sz w:val="32"/>
          <w:szCs w:val="32"/>
          <w:highlight w:val="none"/>
          <w:lang w:val="zh-CN" w:eastAsia="zh-CN"/>
        </w:rPr>
        <w:t>月预算执行总体进度为</w:t>
      </w:r>
      <w:r>
        <w:rPr>
          <w:rFonts w:hint="eastAsia" w:eastAsia="仿宋_GB2312" w:cs="仿宋_GB2312"/>
          <w:color w:val="auto"/>
          <w:kern w:val="2"/>
          <w:sz w:val="32"/>
          <w:szCs w:val="32"/>
          <w:highlight w:val="none"/>
          <w:lang w:val="en-US" w:eastAsia="zh-CN"/>
        </w:rPr>
        <w:t>71.94</w:t>
      </w:r>
      <w:r>
        <w:rPr>
          <w:rFonts w:hint="default" w:ascii="Times New Roman" w:hAnsi="Times New Roman" w:eastAsia="仿宋_GB2312" w:cs="仿宋_GB2312"/>
          <w:color w:val="auto"/>
          <w:kern w:val="2"/>
          <w:sz w:val="32"/>
          <w:szCs w:val="32"/>
          <w:highlight w:val="none"/>
          <w:lang w:val="zh-CN" w:eastAsia="zh-CN"/>
        </w:rPr>
        <w:t>%，其中：预算结余率大于</w:t>
      </w:r>
      <w:r>
        <w:rPr>
          <w:rFonts w:hint="default" w:ascii="Times New Roman" w:hAnsi="Times New Roman" w:eastAsia="仿宋_GB2312" w:cs="仿宋_GB2312"/>
          <w:color w:val="auto"/>
          <w:kern w:val="2"/>
          <w:sz w:val="32"/>
          <w:szCs w:val="32"/>
          <w:highlight w:val="none"/>
          <w:lang w:val="en-US" w:eastAsia="zh-CN"/>
        </w:rPr>
        <w:t>10%</w:t>
      </w:r>
      <w:r>
        <w:rPr>
          <w:rFonts w:hint="default" w:ascii="Times New Roman" w:hAnsi="Times New Roman" w:eastAsia="仿宋_GB2312" w:cs="仿宋_GB2312"/>
          <w:color w:val="auto"/>
          <w:kern w:val="2"/>
          <w:sz w:val="32"/>
          <w:szCs w:val="32"/>
          <w:highlight w:val="none"/>
          <w:lang w:val="zh-CN" w:eastAsia="zh-CN"/>
        </w:rPr>
        <w:t>的项目共计</w:t>
      </w:r>
      <w:r>
        <w:rPr>
          <w:rFonts w:hint="eastAsia" w:eastAsia="仿宋_GB2312" w:cs="仿宋_GB2312"/>
          <w:color w:val="auto"/>
          <w:kern w:val="2"/>
          <w:sz w:val="32"/>
          <w:szCs w:val="32"/>
          <w:highlight w:val="none"/>
          <w:lang w:val="en-US" w:eastAsia="zh-CN"/>
        </w:rPr>
        <w:t>6</w:t>
      </w:r>
      <w:r>
        <w:rPr>
          <w:rFonts w:hint="default" w:ascii="Times New Roman" w:hAnsi="Times New Roman" w:eastAsia="仿宋_GB2312" w:cs="仿宋_GB2312"/>
          <w:color w:val="auto"/>
          <w:kern w:val="2"/>
          <w:sz w:val="32"/>
          <w:szCs w:val="32"/>
          <w:highlight w:val="none"/>
          <w:lang w:val="zh-CN" w:eastAsia="zh-CN"/>
        </w:rPr>
        <w:t>个。</w:t>
      </w:r>
    </w:p>
    <w:p w14:paraId="4E822DE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 xml:space="preserve">1.项目决策。围绕决策程序、规划论证、资金投向进行绩效分析。采购、施工、服务类项目采用政府集采、签订合同（协议）方式实施。按程序确定承接机构，通过制定实施方案、图纸设计、财评、项目立项等程序，项目由县民政局组织实施，由具体项目实施单位承办，项目实施完成后，经验收合格，项目资金支付到具体项目实施单位账户。全部项目实施过程中，县民政局负责指导和监督。 </w:t>
      </w:r>
    </w:p>
    <w:p w14:paraId="3D61B4E1">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2.项目执行。结合项目特点，按照相关法律法规、项目管理制度，按程序</w:t>
      </w:r>
      <w:r>
        <w:rPr>
          <w:rFonts w:hint="eastAsia" w:eastAsia="仿宋_GB2312" w:cs="Times New Roman"/>
          <w:sz w:val="32"/>
          <w:szCs w:val="32"/>
          <w:highlight w:val="none"/>
          <w:lang w:val="en-US" w:eastAsia="zh-CN"/>
        </w:rPr>
        <w:t>实施</w:t>
      </w:r>
      <w:r>
        <w:rPr>
          <w:rFonts w:hint="default" w:ascii="Times New Roman" w:hAnsi="Times New Roman" w:eastAsia="仿宋_GB2312" w:cs="Times New Roman"/>
          <w:sz w:val="32"/>
          <w:szCs w:val="32"/>
          <w:highlight w:val="none"/>
          <w:lang w:val="en-US" w:eastAsia="zh-CN"/>
        </w:rPr>
        <w:t>。在项目建设管理中严格按照相关管理制度执行有关建设标准及规范，严格执行招投标、政府采购、项目公示制等相关规定，加强项目质量与安全管理，切实发挥民政资金投资效益。</w:t>
      </w:r>
    </w:p>
    <w:p w14:paraId="7DB128B1">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3.目标实现。</w:t>
      </w:r>
      <w:r>
        <w:rPr>
          <w:rFonts w:hint="eastAsia" w:eastAsia="仿宋_GB2312" w:cs="Times New Roman"/>
          <w:sz w:val="32"/>
          <w:szCs w:val="32"/>
          <w:highlight w:val="none"/>
          <w:lang w:val="en-US" w:eastAsia="zh-CN"/>
        </w:rPr>
        <w:t>2025</w:t>
      </w:r>
      <w:r>
        <w:rPr>
          <w:rFonts w:hint="default" w:ascii="Times New Roman" w:hAnsi="Times New Roman" w:eastAsia="仿宋_GB2312" w:cs="Times New Roman"/>
          <w:sz w:val="32"/>
          <w:szCs w:val="32"/>
          <w:highlight w:val="none"/>
          <w:lang w:val="en-US" w:eastAsia="zh-CN"/>
        </w:rPr>
        <w:t>年民政项目工作符合年初绩效总体目标，未偏离原定计划。下一步工作将继续按照总体绩效目标要求，不断完善制度，落实政策，保障群众利益。</w:t>
      </w:r>
    </w:p>
    <w:p w14:paraId="01EBE4D5">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ascii="仿宋_GB2312" w:hAnsi="宋体" w:eastAsia="仿宋_GB2312" w:cs="仿宋_GB2312"/>
          <w:i w:val="0"/>
          <w:caps w:val="0"/>
          <w:color w:val="555555"/>
          <w:spacing w:val="0"/>
          <w:sz w:val="31"/>
          <w:szCs w:val="31"/>
          <w:shd w:val="clear" w:color="auto" w:fill="FFFFFF"/>
        </w:rPr>
        <w:t>严格按照项目资金管理办法对资金进行计划申请、划拨、使用，全面推行信息公开、公告、告示制度，确保项目建设资金使用公正透明</w:t>
      </w:r>
      <w:r>
        <w:rPr>
          <w:rFonts w:hint="eastAsia" w:ascii="仿宋_GB2312" w:hAnsi="宋体" w:eastAsia="仿宋_GB2312" w:cs="仿宋_GB2312"/>
          <w:i w:val="0"/>
          <w:caps w:val="0"/>
          <w:color w:val="555555"/>
          <w:spacing w:val="0"/>
          <w:sz w:val="31"/>
          <w:szCs w:val="31"/>
          <w:highlight w:val="none"/>
          <w:shd w:val="clear" w:color="auto" w:fill="FFFFFF"/>
          <w:lang w:eastAsia="zh-CN"/>
        </w:rPr>
        <w:t>，对</w:t>
      </w:r>
      <w:r>
        <w:rPr>
          <w:rFonts w:ascii="仿宋_GB2312" w:hAnsi="宋体" w:eastAsia="仿宋_GB2312" w:cs="仿宋_GB2312"/>
          <w:i w:val="0"/>
          <w:caps w:val="0"/>
          <w:color w:val="555555"/>
          <w:spacing w:val="0"/>
          <w:sz w:val="31"/>
          <w:szCs w:val="31"/>
          <w:shd w:val="clear" w:color="auto" w:fill="FFFFFF"/>
        </w:rPr>
        <w:t>项目资金实行单独核算、专项使用，对项目资金的拨付都要求用途合理，手续齐全，极力避免专项资金被挤占、截留、挪用。按照计划，分工明确、仔细，完成计划工作</w:t>
      </w:r>
      <w:r>
        <w:rPr>
          <w:rFonts w:hint="eastAsia" w:ascii="仿宋_GB2312" w:hAnsi="宋体" w:eastAsia="仿宋_GB2312" w:cs="仿宋_GB2312"/>
          <w:i w:val="0"/>
          <w:caps w:val="0"/>
          <w:color w:val="555555"/>
          <w:spacing w:val="0"/>
          <w:sz w:val="31"/>
          <w:szCs w:val="31"/>
          <w:shd w:val="clear" w:color="auto" w:fill="FFFFFF"/>
        </w:rPr>
        <w:t>。</w:t>
      </w:r>
    </w:p>
    <w:p w14:paraId="25E114D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19B523ED">
      <w:pPr>
        <w:pStyle w:val="7"/>
        <w:pageBreakBefore w:val="0"/>
        <w:numPr>
          <w:ilvl w:val="0"/>
          <w:numId w:val="0"/>
        </w:numPr>
        <w:tabs>
          <w:tab w:val="left" w:pos="2160"/>
        </w:tabs>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仿宋" w:eastAsia="仿宋_GB2312"/>
          <w:sz w:val="32"/>
          <w:szCs w:val="32"/>
        </w:rPr>
        <w:t>本年度财政资金支出符合国家的政策，与实际需求高度相关；项目资金到位及时，项目实施过程中严格按实际需要实施，具有较好的经济效益和社会效益，项目实施效果较好；项目后期政策、资金、人员的落实，为项目可持续运行提供了较好的保障，具有高度可持续性。</w:t>
      </w:r>
      <w:r>
        <w:rPr>
          <w:rFonts w:hint="eastAsia" w:ascii="仿宋_GB2312" w:hAnsi="Times New Roman" w:eastAsia="仿宋_GB2312" w:cs="Times New Roman"/>
          <w:kern w:val="2"/>
          <w:position w:val="0"/>
          <w:sz w:val="32"/>
          <w:szCs w:val="32"/>
          <w:lang w:val="en-US" w:eastAsia="zh-CN" w:bidi="ar-SA"/>
        </w:rPr>
        <w:t>项目资金</w:t>
      </w:r>
      <w:r>
        <w:rPr>
          <w:rFonts w:hint="eastAsia" w:ascii="仿宋_GB2312" w:hAnsi="Times New Roman" w:cs="Times New Roman"/>
          <w:kern w:val="2"/>
          <w:position w:val="0"/>
          <w:sz w:val="32"/>
          <w:szCs w:val="32"/>
          <w:lang w:val="en-US" w:eastAsia="zh-CN" w:bidi="ar-SA"/>
        </w:rPr>
        <w:t>支出</w:t>
      </w:r>
      <w:r>
        <w:rPr>
          <w:rFonts w:hint="eastAsia" w:ascii="仿宋_GB2312" w:hAnsi="Times New Roman" w:eastAsia="仿宋_GB2312" w:cs="Times New Roman"/>
          <w:kern w:val="2"/>
          <w:position w:val="0"/>
          <w:sz w:val="32"/>
          <w:szCs w:val="32"/>
          <w:lang w:val="en-US" w:eastAsia="zh-CN" w:bidi="ar-SA"/>
        </w:rPr>
        <w:t>充分体现了</w:t>
      </w:r>
      <w:r>
        <w:rPr>
          <w:rFonts w:hint="eastAsia" w:ascii="仿宋_GB2312" w:hAnsi="Times New Roman" w:cs="Times New Roman"/>
          <w:kern w:val="2"/>
          <w:position w:val="0"/>
          <w:sz w:val="32"/>
          <w:szCs w:val="32"/>
          <w:lang w:val="en-US" w:eastAsia="zh-CN" w:bidi="ar-SA"/>
        </w:rPr>
        <w:t>民政资</w:t>
      </w:r>
      <w:r>
        <w:rPr>
          <w:rFonts w:hint="eastAsia" w:ascii="仿宋_GB2312" w:hAnsi="Times New Roman" w:eastAsia="仿宋_GB2312" w:cs="Times New Roman"/>
          <w:kern w:val="2"/>
          <w:position w:val="0"/>
          <w:sz w:val="32"/>
          <w:szCs w:val="32"/>
          <w:lang w:val="en-US" w:eastAsia="zh-CN" w:bidi="ar-SA"/>
        </w:rPr>
        <w:t>金“</w:t>
      </w:r>
      <w:r>
        <w:rPr>
          <w:rFonts w:hint="default" w:ascii="仿宋_GB2312" w:hAnsi="Times New Roman" w:eastAsia="仿宋_GB2312" w:cs="Times New Roman"/>
          <w:kern w:val="2"/>
          <w:position w:val="0"/>
          <w:sz w:val="32"/>
          <w:szCs w:val="32"/>
          <w:lang w:val="en-US" w:eastAsia="zh-CN" w:bidi="ar-SA"/>
        </w:rPr>
        <w:t>扶老、助残、救孤、济困”的发行宗旨，</w:t>
      </w:r>
      <w:r>
        <w:rPr>
          <w:rFonts w:hint="eastAsia" w:ascii="仿宋_GB2312" w:hAnsi="Times New Roman" w:cs="Times New Roman"/>
          <w:kern w:val="2"/>
          <w:position w:val="0"/>
          <w:sz w:val="32"/>
          <w:szCs w:val="32"/>
          <w:lang w:val="en-US" w:eastAsia="zh-CN" w:bidi="ar-SA"/>
        </w:rPr>
        <w:t>民政资金</w:t>
      </w:r>
      <w:r>
        <w:rPr>
          <w:rFonts w:hint="default" w:ascii="仿宋_GB2312" w:hAnsi="Times New Roman" w:eastAsia="仿宋_GB2312" w:cs="Times New Roman"/>
          <w:kern w:val="2"/>
          <w:position w:val="0"/>
          <w:sz w:val="32"/>
          <w:szCs w:val="32"/>
          <w:lang w:val="en-US" w:eastAsia="zh-CN" w:bidi="ar-SA"/>
        </w:rPr>
        <w:t>在老年人福利类、残疾人福利类、儿童福利和社会</w:t>
      </w:r>
      <w:r>
        <w:rPr>
          <w:rFonts w:hint="eastAsia" w:ascii="仿宋_GB2312" w:hAnsi="Times New Roman" w:cs="Times New Roman"/>
          <w:kern w:val="2"/>
          <w:position w:val="0"/>
          <w:sz w:val="32"/>
          <w:szCs w:val="32"/>
          <w:lang w:val="en-US" w:eastAsia="zh-CN" w:bidi="ar-SA"/>
        </w:rPr>
        <w:t>救助</w:t>
      </w:r>
      <w:r>
        <w:rPr>
          <w:rFonts w:hint="default" w:ascii="仿宋_GB2312" w:hAnsi="Times New Roman" w:eastAsia="仿宋_GB2312" w:cs="Times New Roman"/>
          <w:kern w:val="2"/>
          <w:position w:val="0"/>
          <w:sz w:val="32"/>
          <w:szCs w:val="32"/>
          <w:lang w:val="en-US" w:eastAsia="zh-CN" w:bidi="ar-SA"/>
        </w:rPr>
        <w:t>类等项目体现了项目的针对性、时效性，改善了困难群众生活，方便了老年人、残疾人生活，提升了广大困难群众的幸福感、获得感和安全感，切实解决了群众的服务需求，</w:t>
      </w:r>
      <w:r>
        <w:rPr>
          <w:rFonts w:hint="eastAsia" w:ascii="仿宋_GB2312" w:hAnsi="Times New Roman" w:eastAsia="仿宋_GB2312" w:cs="Times New Roman"/>
          <w:kern w:val="2"/>
          <w:position w:val="0"/>
          <w:sz w:val="32"/>
          <w:szCs w:val="32"/>
          <w:lang w:val="en-US" w:eastAsia="zh-CN" w:bidi="ar-SA"/>
        </w:rPr>
        <w:t>增进了</w:t>
      </w:r>
      <w:r>
        <w:rPr>
          <w:rFonts w:hint="eastAsia" w:cs="Times New Roman"/>
          <w:kern w:val="2"/>
          <w:position w:val="0"/>
          <w:sz w:val="32"/>
          <w:szCs w:val="32"/>
          <w:highlight w:val="none"/>
          <w:lang w:val="en-US" w:eastAsia="zh-CN" w:bidi="ar-SA"/>
        </w:rPr>
        <w:t>民生</w:t>
      </w:r>
      <w:r>
        <w:rPr>
          <w:rFonts w:hint="eastAsia" w:ascii="仿宋_GB2312" w:hAnsi="Times New Roman" w:eastAsia="仿宋_GB2312" w:cs="Times New Roman"/>
          <w:kern w:val="2"/>
          <w:position w:val="0"/>
          <w:sz w:val="32"/>
          <w:szCs w:val="32"/>
          <w:lang w:val="en-US" w:eastAsia="zh-CN" w:bidi="ar-SA"/>
        </w:rPr>
        <w:t>福祉。项目整体</w:t>
      </w:r>
      <w:r>
        <w:rPr>
          <w:rFonts w:hint="default" w:ascii="仿宋_GB2312" w:hAnsi="Times New Roman" w:eastAsia="仿宋_GB2312" w:cs="Times New Roman"/>
          <w:kern w:val="2"/>
          <w:position w:val="0"/>
          <w:sz w:val="32"/>
          <w:szCs w:val="32"/>
          <w:lang w:val="en-US" w:eastAsia="zh-CN" w:bidi="ar-SA"/>
        </w:rPr>
        <w:t>社会评价反馈良好</w:t>
      </w:r>
      <w:r>
        <w:rPr>
          <w:rFonts w:hint="eastAsia" w:ascii="仿宋_GB2312" w:cs="Times New Roman"/>
          <w:kern w:val="2"/>
          <w:position w:val="0"/>
          <w:sz w:val="32"/>
          <w:szCs w:val="32"/>
          <w:lang w:val="en-US" w:eastAsia="zh-CN" w:bidi="ar-SA"/>
        </w:rPr>
        <w:t>，通过自评综合得分</w:t>
      </w:r>
      <w:r>
        <w:rPr>
          <w:rFonts w:hint="eastAsia" w:cs="Times New Roman"/>
          <w:kern w:val="2"/>
          <w:position w:val="0"/>
          <w:sz w:val="32"/>
          <w:szCs w:val="32"/>
          <w:lang w:val="en-US" w:eastAsia="zh-CN" w:bidi="ar-SA"/>
        </w:rPr>
        <w:t>88</w:t>
      </w:r>
      <w:r>
        <w:rPr>
          <w:rFonts w:hint="eastAsia" w:ascii="仿宋_GB2312" w:cs="Times New Roman"/>
          <w:kern w:val="2"/>
          <w:position w:val="0"/>
          <w:sz w:val="32"/>
          <w:szCs w:val="32"/>
          <w:lang w:val="en-US" w:eastAsia="zh-CN" w:bidi="ar-SA"/>
        </w:rPr>
        <w:t>分。</w:t>
      </w:r>
    </w:p>
    <w:p w14:paraId="3011FA7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default" w:ascii="仿宋_GB2312" w:hAnsi="Times New Roman" w:eastAsia="仿宋_GB2312" w:cs="Times New Roman"/>
          <w:kern w:val="2"/>
          <w:position w:val="0"/>
          <w:sz w:val="32"/>
          <w:szCs w:val="32"/>
          <w:lang w:val="zh-CN" w:eastAsia="zh-CN" w:bidi="ar-SA"/>
        </w:rPr>
        <w:t>注重项目资金的争取，项目建设工作，</w:t>
      </w:r>
      <w:r>
        <w:rPr>
          <w:rFonts w:hint="eastAsia" w:ascii="仿宋_GB2312" w:eastAsia="仿宋_GB2312" w:cs="Times New Roman"/>
          <w:kern w:val="2"/>
          <w:position w:val="0"/>
          <w:sz w:val="32"/>
          <w:szCs w:val="32"/>
          <w:highlight w:val="none"/>
          <w:lang w:val="zh-CN" w:eastAsia="zh-CN" w:bidi="ar-SA"/>
        </w:rPr>
        <w:t>轻视</w:t>
      </w:r>
      <w:r>
        <w:rPr>
          <w:rFonts w:hint="default" w:ascii="仿宋_GB2312" w:hAnsi="Times New Roman" w:eastAsia="仿宋_GB2312" w:cs="Times New Roman"/>
          <w:kern w:val="2"/>
          <w:position w:val="0"/>
          <w:sz w:val="32"/>
          <w:szCs w:val="32"/>
          <w:lang w:val="zh-CN" w:eastAsia="zh-CN" w:bidi="ar-SA"/>
        </w:rPr>
        <w:t>项目后续绩效评价工作。</w:t>
      </w:r>
    </w:p>
    <w:p w14:paraId="1362B44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Times New Roman" w:eastAsia="仿宋_GB2312" w:cs="Times New Roman"/>
          <w:kern w:val="2"/>
          <w:position w:val="0"/>
          <w:sz w:val="32"/>
          <w:szCs w:val="32"/>
          <w:lang w:val="e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仿宋_GB2312" w:hAnsi="Times New Roman" w:eastAsia="仿宋_GB2312" w:cs="Times New Roman"/>
          <w:kern w:val="2"/>
          <w:position w:val="0"/>
          <w:sz w:val="32"/>
          <w:szCs w:val="32"/>
          <w:lang w:val="en-US" w:eastAsia="zh-CN" w:bidi="ar-SA"/>
        </w:rPr>
        <w:t>加强部门预算绩效评价报告编写工作培训。</w:t>
      </w:r>
    </w:p>
    <w:p w14:paraId="280B7B0F">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19C5F273">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39118CF0">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14:paraId="7CEFC858">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573FD6A3">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09E17AE3">
      <w:pPr>
        <w:pStyle w:val="7"/>
        <w:rPr>
          <w:rFonts w:hint="eastAsia" w:ascii="Times New Roman" w:hAnsi="Times New Roman" w:cs="宋体"/>
          <w:color w:val="FF0000"/>
          <w:kern w:val="0"/>
          <w:sz w:val="32"/>
          <w:szCs w:val="32"/>
          <w:highlight w:val="yellow"/>
          <w:shd w:val="clear" w:color="auto" w:fill="FFFFFF"/>
          <w:lang w:val="zh-CN"/>
        </w:rPr>
      </w:pPr>
    </w:p>
    <w:p w14:paraId="3409D274">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31426E37">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3C59A5D">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C42AE18">
      <w:pPr>
        <w:pStyle w:val="37"/>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社会救助救济补助资金</w:t>
      </w:r>
    </w:p>
    <w:p w14:paraId="2C143509">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1C44FC4A">
      <w:pPr>
        <w:pStyle w:val="37"/>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455476C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17F4CE6F">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（一）设立背景及基本情况。</w:t>
      </w:r>
    </w:p>
    <w:p w14:paraId="5D537C0B">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四川省民政厅 四川省财政厅 四川省残疾人联合会关于建立困难残疾人生活补贴和重度残疾人护理补贴的通知</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川民发〔2015〕195号）文件</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为持有第二代残疾人证的四川省户籍低保对象发放困难残疾人生活补贴。补贴对象为持有第二代残疾人证、残疾等级为一级和二级的残疾人以及三四级精神智力人员发放重度残疾人护理补贴。以及为贯彻落实国家关于妥善解决</w:t>
      </w:r>
      <w:r>
        <w:rPr>
          <w:rFonts w:hint="eastAsia" w:eastAsia="仿宋_GB2312" w:cs="仿宋_GB2312"/>
          <w:b w:val="0"/>
          <w:bCs w:val="0"/>
          <w:kern w:val="0"/>
          <w:position w:val="0"/>
          <w:sz w:val="32"/>
          <w:szCs w:val="32"/>
          <w:highlight w:val="none"/>
          <w:lang w:val="zh-CN" w:eastAsia="zh-CN" w:bidi="ar-SA"/>
        </w:rPr>
        <w:t>20世纪</w:t>
      </w:r>
      <w:r>
        <w:rPr>
          <w:rFonts w:hint="eastAsia" w:ascii="Times New Roman" w:hAnsi="Times New Roman" w:eastAsia="仿宋_GB2312" w:cs="仿宋_GB2312"/>
          <w:b w:val="0"/>
          <w:bCs w:val="0"/>
          <w:kern w:val="0"/>
          <w:position w:val="0"/>
          <w:sz w:val="32"/>
          <w:szCs w:val="32"/>
          <w:highlight w:val="none"/>
          <w:lang w:val="zh-CN" w:eastAsia="zh-CN" w:bidi="ar-SA"/>
        </w:rPr>
        <w:t>60年代精简退职职工生活困难的历史政策，对符合政策条件的精简退职职工，按月发放生活补助费，保障其基本生活水平，体现国家关怀。绿色殡葬是遵循生态环保、资源集约、文明低碳原则的殡葬模式，以树葬、花葬、海葬等生态安葬方式为核心，配套使用可降解殡葬用品、推行鲜花祭扫等文明礼俗，同时结合惠民政策降低群众殡葬负担。</w:t>
      </w:r>
    </w:p>
    <w:p w14:paraId="7F324F31">
      <w:pPr>
        <w:numPr>
          <w:ilvl w:val="0"/>
          <w:numId w:val="3"/>
        </w:numPr>
        <w:spacing w:line="560" w:lineRule="exact"/>
        <w:ind w:firstLine="643" w:firstLineChars="200"/>
        <w:jc w:val="left"/>
        <w:rPr>
          <w:rFonts w:hint="eastAsia"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p>
    <w:p w14:paraId="7717EF44">
      <w:pPr>
        <w:numPr>
          <w:ilvl w:val="0"/>
          <w:numId w:val="0"/>
        </w:numPr>
        <w:spacing w:line="560" w:lineRule="exact"/>
        <w:ind w:firstLine="640" w:firstLineChars="200"/>
        <w:jc w:val="left"/>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进一步规范残疾人社会救助救济补助资金及精简退职职工生活补助的精准实施保障，认真履行基本民生保障职责，不断巩固和提升残疾人社会救助救济补助资金管理水平。绿色殡葬推动公众转变传统殡葬观念、践行文明祭扫，同时依托惠民政策降低群众殡葬支出，最终构建可持续发展的殡葬服务体系。</w:t>
      </w:r>
    </w:p>
    <w:p w14:paraId="60A4E3B5">
      <w:pPr>
        <w:keepNext w:val="0"/>
        <w:keepLines w:val="0"/>
        <w:pageBreakBefore w:val="0"/>
        <w:numPr>
          <w:ilvl w:val="0"/>
          <w:numId w:val="3"/>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p>
    <w:p w14:paraId="589307F6">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2025年社会救助救济补助预算安排 294.782万元，实际到位294.782万元，其中：阿州财社〔2025〕111号文件下达资金10.62万元，阿州财社〔2025〕19号文件下达资金124.33万元，阿州财社〔2025〕81号文件下达资金48.02万元。2025年县级预算111.812万元。资金分配如下：困难残疾人生活补贴141.61万元，重度残疾人护理补贴150.882万元，精简退职补助0.72万元，绿色惠民殡葬1.57万元。</w:t>
      </w:r>
    </w:p>
    <w:p w14:paraId="61E7411F">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项目绩效目标设置。</w:t>
      </w:r>
    </w:p>
    <w:p w14:paraId="00201E4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项目整体、区域和具体绩效社会救助救济补助资金政策实施的到位，大大缓</w:t>
      </w:r>
      <w:r>
        <w:rPr>
          <w:rFonts w:hint="eastAsia" w:eastAsia="仿宋_GB2312" w:cs="仿宋_GB2312"/>
          <w:b w:val="0"/>
          <w:bCs w:val="0"/>
          <w:kern w:val="0"/>
          <w:position w:val="0"/>
          <w:sz w:val="32"/>
          <w:szCs w:val="32"/>
          <w:highlight w:val="none"/>
          <w:lang w:val="zh-CN" w:eastAsia="zh-CN" w:bidi="ar-SA"/>
        </w:rPr>
        <w:t>解了</w:t>
      </w:r>
      <w:r>
        <w:rPr>
          <w:rFonts w:hint="eastAsia" w:ascii="Times New Roman" w:hAnsi="Times New Roman" w:eastAsia="仿宋_GB2312" w:cs="仿宋_GB2312"/>
          <w:b w:val="0"/>
          <w:bCs w:val="0"/>
          <w:kern w:val="0"/>
          <w:position w:val="0"/>
          <w:sz w:val="32"/>
          <w:szCs w:val="32"/>
          <w:highlight w:val="none"/>
          <w:lang w:val="zh-CN" w:eastAsia="zh-CN" w:bidi="ar-SA"/>
        </w:rPr>
        <w:t>残疾人、精简退职人员的生活压力，提高残疾人、精简退职人员的生活质量，保障了残疾人生活和享受护理的权益，维护社会稳定，使党的惠民政策</w:t>
      </w:r>
      <w:r>
        <w:rPr>
          <w:rFonts w:hint="eastAsia" w:eastAsia="仿宋_GB2312" w:cs="仿宋_GB2312"/>
          <w:b w:val="0"/>
          <w:bCs w:val="0"/>
          <w:kern w:val="0"/>
          <w:position w:val="0"/>
          <w:sz w:val="32"/>
          <w:szCs w:val="32"/>
          <w:highlight w:val="none"/>
          <w:lang w:val="zh-CN" w:eastAsia="zh-CN" w:bidi="ar-SA"/>
        </w:rPr>
        <w:t>落到实处</w:t>
      </w:r>
      <w:r>
        <w:rPr>
          <w:rFonts w:hint="eastAsia" w:ascii="Times New Roman" w:hAnsi="Times New Roman" w:eastAsia="仿宋_GB2312" w:cs="仿宋_GB2312"/>
          <w:b w:val="0"/>
          <w:bCs w:val="0"/>
          <w:kern w:val="0"/>
          <w:position w:val="0"/>
          <w:sz w:val="32"/>
          <w:szCs w:val="32"/>
          <w:highlight w:val="none"/>
          <w:lang w:val="zh-CN" w:eastAsia="zh-CN" w:bidi="ar-SA"/>
        </w:rPr>
        <w:t>。</w:t>
      </w:r>
    </w:p>
    <w:p w14:paraId="448085B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27C9F64D">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开展“社会救助救济”专项资金绩效评价，是为了在制度技术层面保证政府投资项目的社会效益、经济效益，有效提高政府决策的科学性与准确性，提升财政资金使用效率</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也有助于增加财政管理的透明度和责任意识，保证“残疾人两项补贴”项目及精简退职职工生活补助项目的社会效益和经济效益。对项目所产生的各种效益进行</w:t>
      </w:r>
      <w:r>
        <w:rPr>
          <w:rFonts w:hint="eastAsia" w:eastAsia="仿宋_GB2312" w:cs="仿宋_GB2312"/>
          <w:b w:val="0"/>
          <w:bCs w:val="0"/>
          <w:kern w:val="0"/>
          <w:position w:val="0"/>
          <w:sz w:val="32"/>
          <w:szCs w:val="32"/>
          <w:highlight w:val="none"/>
          <w:lang w:val="zh-CN" w:eastAsia="zh-CN" w:bidi="ar-SA"/>
        </w:rPr>
        <w:t>衡量</w:t>
      </w:r>
      <w:r>
        <w:rPr>
          <w:rFonts w:hint="eastAsia" w:ascii="Times New Roman" w:hAnsi="Times New Roman" w:eastAsia="仿宋_GB2312" w:cs="仿宋_GB2312"/>
          <w:b w:val="0"/>
          <w:bCs w:val="0"/>
          <w:kern w:val="0"/>
          <w:position w:val="0"/>
          <w:sz w:val="32"/>
          <w:szCs w:val="32"/>
          <w:highlight w:val="none"/>
          <w:lang w:val="zh-CN" w:eastAsia="zh-CN" w:bidi="ar-SA"/>
        </w:rPr>
        <w:t>比较和综合评价。为以后强化项目管理，完善财政专项资金绩效评价工作实施提供合理的依据。</w:t>
      </w:r>
    </w:p>
    <w:p w14:paraId="542005E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了解关于“残疾人两项补贴”项目实施的基本情况，通过实地调查，主要围绕享受残疾人两项补贴的乡</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镇</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数量、享受人员数量、残疾人“两项补贴”政策落实程度、资金使用情况、项目管理情况等方面</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客观分析项目的产出和效果</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从而考察项目预算定额标准的合理性</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进而提出完善意见。对项目的资金收支情况核查，确认项目的财政投入和实际完成资金。</w:t>
      </w:r>
    </w:p>
    <w:p w14:paraId="09BFF6D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通过‌</w:t>
      </w:r>
      <w:r>
        <w:rPr>
          <w:rFonts w:hint="eastAsia" w:ascii="Times New Roman" w:hAnsi="Times New Roman" w:eastAsia="仿宋_GB2312" w:cs="仿宋_GB2312"/>
          <w:b w:val="0"/>
          <w:bCs w:val="0"/>
          <w:kern w:val="0"/>
          <w:position w:val="0"/>
          <w:sz w:val="32"/>
          <w:szCs w:val="32"/>
          <w:highlight w:val="none"/>
          <w:lang w:val="zh-CN" w:eastAsia="zh-CN" w:bidi="ar-SA"/>
        </w:rPr>
        <w:fldChar w:fldCharType="begin"/>
      </w:r>
      <w:r>
        <w:rPr>
          <w:rFonts w:hint="eastAsia" w:ascii="Times New Roman" w:hAnsi="Times New Roman" w:eastAsia="仿宋_GB2312" w:cs="仿宋_GB2312"/>
          <w:b w:val="0"/>
          <w:bCs w:val="0"/>
          <w:kern w:val="0"/>
          <w:position w:val="0"/>
          <w:sz w:val="32"/>
          <w:szCs w:val="32"/>
          <w:highlight w:val="none"/>
          <w:lang w:val="zh-CN" w:eastAsia="zh-CN" w:bidi="ar-SA"/>
        </w:rPr>
        <w:instrText xml:space="preserve"> HYPERLINK "https://www.baidu.com/s?rsv_idx=1&amp;wd=%E4%BF%A1%E6%81%AF%E5%8C%96%E6%89%8B%E6%AE%B5&amp;fenlei=256&amp;usm=3&amp;ie=utf-8&amp;rsv_pq=ed898bfd008bd77b&amp;oq=%E9%A1%B9%E7%9B%AE%E7%BB%A9%E6%95%88%E8%87%AA%E8%AF%84%E6%89%80%E6%8A%BD%E6%A0%B7%E7%82%B9%E4%BD%8D%E6%83%85%E5%86%B5%E4%BB%80%E4%B9%88%E6%84%8F%E6%80%9D&amp;rsv_t=85d7RWfBp8rvdhcK7xEOHFJfn7RlwlPbmqzmU1GfaoDpJm9A7dz7OrioDCE&amp;sa=re_dqa_zy" \t "/home/user/Documents\\x/_self" </w:instrText>
      </w:r>
      <w:r>
        <w:rPr>
          <w:rFonts w:hint="eastAsia" w:ascii="Times New Roman" w:hAnsi="Times New Roman" w:eastAsia="仿宋_GB2312" w:cs="仿宋_GB2312"/>
          <w:b w:val="0"/>
          <w:bCs w:val="0"/>
          <w:kern w:val="0"/>
          <w:position w:val="0"/>
          <w:sz w:val="32"/>
          <w:szCs w:val="32"/>
          <w:highlight w:val="none"/>
          <w:lang w:val="zh-CN" w:eastAsia="zh-CN" w:bidi="ar-SA"/>
        </w:rPr>
        <w:fldChar w:fldCharType="separate"/>
      </w:r>
      <w:r>
        <w:rPr>
          <w:rFonts w:hint="eastAsia" w:ascii="Times New Roman" w:hAnsi="Times New Roman" w:eastAsia="仿宋_GB2312" w:cs="仿宋_GB2312"/>
          <w:b w:val="0"/>
          <w:bCs w:val="0"/>
          <w:kern w:val="0"/>
          <w:position w:val="0"/>
          <w:sz w:val="32"/>
          <w:szCs w:val="32"/>
          <w:highlight w:val="none"/>
          <w:lang w:val="zh-CN" w:eastAsia="zh-CN" w:bidi="ar-SA"/>
        </w:rPr>
        <w:t>信息化手段</w:t>
      </w:r>
      <w:r>
        <w:rPr>
          <w:rFonts w:hint="eastAsia" w:ascii="Times New Roman" w:hAnsi="Times New Roman" w:eastAsia="仿宋_GB2312" w:cs="仿宋_GB2312"/>
          <w:b w:val="0"/>
          <w:bCs w:val="0"/>
          <w:kern w:val="0"/>
          <w:position w:val="0"/>
          <w:sz w:val="32"/>
          <w:szCs w:val="32"/>
          <w:highlight w:val="none"/>
          <w:lang w:val="zh-CN" w:eastAsia="zh-CN" w:bidi="ar-SA"/>
        </w:rPr>
        <w:fldChar w:fldCharType="end"/>
      </w:r>
      <w:r>
        <w:rPr>
          <w:rFonts w:hint="eastAsia" w:ascii="Times New Roman" w:hAnsi="Times New Roman" w:eastAsia="仿宋_GB2312" w:cs="仿宋_GB2312"/>
          <w:b w:val="0"/>
          <w:bCs w:val="0"/>
          <w:kern w:val="0"/>
          <w:position w:val="0"/>
          <w:sz w:val="32"/>
          <w:szCs w:val="32"/>
          <w:highlight w:val="none"/>
          <w:lang w:val="zh-CN" w:eastAsia="zh-CN" w:bidi="ar-SA"/>
        </w:rPr>
        <w:t>和实地的核查、问卷</w:t>
      </w:r>
    </w:p>
    <w:p w14:paraId="09368C4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调查等方法，对各乡镇享受该政策补助的人员进行了评估。</w:t>
      </w:r>
    </w:p>
    <w:p w14:paraId="48F69DC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本次评价采取现场和非现场评价相结合的方式实施，具体采用了比较法、单位自评法、实地勘察法、问卷调查法、座谈调研法等多种方法，对享受政策的群众进行了全方位评估。</w:t>
      </w:r>
    </w:p>
    <w:p w14:paraId="321B82D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成立以局长王洪东为组长，副局长文德艳为副组长，社会救助股、财务室、办公室工作人员为成员的绩效评价小组。</w:t>
      </w:r>
    </w:p>
    <w:p w14:paraId="7A5B7067">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495BA97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6DE3554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FF611F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1.项目决策。社会救助救济补助资金制度为保障基本民生、维护社会稳定，助力脱贫攻坚发挥重要作用。</w:t>
      </w:r>
    </w:p>
    <w:p w14:paraId="7674541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2.项目管理。完善比对机制，推动源头治理。定期对享受残疾人社会救助救济补助资金人员的信息与低保对象、殡葬信息、残联和乡村振兴局等相关数据进行比对、筛查，杜绝因死亡或不符合条件仍然享受补贴的情况，建立监测预警机制，源头治理不规范问题，坚决杜绝虚报、冒领等现象发生。</w:t>
      </w:r>
    </w:p>
    <w:p w14:paraId="5853A5C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3.项目实施。2025年社会救助救济补助预算安排294.782万元，实际到位294.782万元，含困难残疾人生活补贴141.61万元，重度残疾人护理补贴150.882万元，精简退职补助0.72万元，绿色惠民殡葬1.57万元。</w:t>
      </w:r>
    </w:p>
    <w:p w14:paraId="4A39036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4.项目结果。2025年社会救助救济资金除绿色惠民殡葬项目资金未使用外，其余资金已按时全额支付，不存在挪用情况。</w:t>
      </w:r>
    </w:p>
    <w:p w14:paraId="74BC6C0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716854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民生保障。区域均衡情况</w:t>
      </w:r>
      <w:r>
        <w:rPr>
          <w:rFonts w:hint="eastAsia" w:eastAsia="仿宋_GB2312" w:cs="仿宋_GB2312"/>
          <w:b w:val="0"/>
          <w:bCs w:val="0"/>
          <w:kern w:val="0"/>
          <w:position w:val="0"/>
          <w:sz w:val="32"/>
          <w:szCs w:val="32"/>
          <w:highlight w:val="none"/>
          <w:lang w:val="en-US" w:eastAsia="zh-CN" w:bidi="ar-SA"/>
        </w:rPr>
        <w:t>有效</w:t>
      </w:r>
      <w:r>
        <w:rPr>
          <w:rFonts w:hint="eastAsia" w:ascii="Times New Roman" w:hAnsi="Times New Roman" w:eastAsia="仿宋_GB2312" w:cs="仿宋_GB2312"/>
          <w:b w:val="0"/>
          <w:bCs w:val="0"/>
          <w:kern w:val="0"/>
          <w:position w:val="0"/>
          <w:sz w:val="32"/>
          <w:szCs w:val="32"/>
          <w:highlight w:val="none"/>
          <w:lang w:val="en-US" w:eastAsia="zh-CN" w:bidi="ar-SA"/>
        </w:rPr>
        <w:t>得到改善、区域间差距缩小，资金分配和实施结果精准，不存在明显的排他性和歧视性情形，按量及时落实到补助对象个人社保卡上。不存在多发、漏发、重发、迟发等情况，群众满意度较高。</w:t>
      </w:r>
    </w:p>
    <w:p w14:paraId="11C88970">
      <w:pPr>
        <w:pStyle w:val="38"/>
        <w:numPr>
          <w:ilvl w:val="0"/>
          <w:numId w:val="4"/>
        </w:numPr>
        <w:ind w:left="0" w:leftChars="0" w:firstLine="643" w:firstLineChars="200"/>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2BEC9468">
      <w:pPr>
        <w:pStyle w:val="38"/>
        <w:numPr>
          <w:ilvl w:val="0"/>
          <w:numId w:val="0"/>
        </w:numPr>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社会效益：2025年困难残疾人</w:t>
      </w:r>
      <w:r>
        <w:rPr>
          <w:rFonts w:hint="eastAsia" w:eastAsia="仿宋_GB2312" w:cs="仿宋_GB2312"/>
          <w:b w:val="0"/>
          <w:bCs w:val="0"/>
          <w:kern w:val="0"/>
          <w:position w:val="0"/>
          <w:sz w:val="32"/>
          <w:szCs w:val="32"/>
          <w:highlight w:val="none"/>
          <w:lang w:val="en-US" w:eastAsia="zh-CN" w:bidi="ar-SA"/>
        </w:rPr>
        <w:t>截至</w:t>
      </w:r>
      <w:r>
        <w:rPr>
          <w:rFonts w:hint="eastAsia" w:ascii="Times New Roman" w:hAnsi="Times New Roman" w:eastAsia="仿宋_GB2312" w:cs="仿宋_GB2312"/>
          <w:b w:val="0"/>
          <w:bCs w:val="0"/>
          <w:kern w:val="0"/>
          <w:position w:val="0"/>
          <w:sz w:val="32"/>
          <w:szCs w:val="32"/>
          <w:highlight w:val="none"/>
          <w:lang w:val="en-US" w:eastAsia="zh-CN" w:bidi="ar-SA"/>
        </w:rPr>
        <w:t>12月底累计保障人次为：13043，重度残疾人</w:t>
      </w:r>
      <w:r>
        <w:rPr>
          <w:rFonts w:hint="eastAsia" w:eastAsia="仿宋_GB2312" w:cs="仿宋_GB2312"/>
          <w:b w:val="0"/>
          <w:bCs w:val="0"/>
          <w:kern w:val="0"/>
          <w:position w:val="0"/>
          <w:sz w:val="32"/>
          <w:szCs w:val="32"/>
          <w:highlight w:val="none"/>
          <w:lang w:val="en-US" w:eastAsia="zh-CN" w:bidi="ar-SA"/>
        </w:rPr>
        <w:t>截至12月底</w:t>
      </w:r>
      <w:r>
        <w:rPr>
          <w:rFonts w:hint="eastAsia" w:ascii="Times New Roman" w:hAnsi="Times New Roman" w:eastAsia="仿宋_GB2312" w:cs="仿宋_GB2312"/>
          <w:b w:val="0"/>
          <w:bCs w:val="0"/>
          <w:kern w:val="0"/>
          <w:position w:val="0"/>
          <w:sz w:val="32"/>
          <w:szCs w:val="32"/>
          <w:highlight w:val="none"/>
          <w:lang w:val="en-US" w:eastAsia="zh-CN" w:bidi="ar-SA"/>
        </w:rPr>
        <w:t>累计保障人次为：14376，精简退职职工</w:t>
      </w:r>
      <w:r>
        <w:rPr>
          <w:rFonts w:hint="eastAsia" w:eastAsia="仿宋_GB2312" w:cs="仿宋_GB2312"/>
          <w:b w:val="0"/>
          <w:bCs w:val="0"/>
          <w:kern w:val="0"/>
          <w:position w:val="0"/>
          <w:sz w:val="32"/>
          <w:szCs w:val="32"/>
          <w:highlight w:val="none"/>
          <w:lang w:val="en-US" w:eastAsia="zh-CN" w:bidi="ar-SA"/>
        </w:rPr>
        <w:t>截至12月底</w:t>
      </w:r>
      <w:r>
        <w:rPr>
          <w:rFonts w:hint="eastAsia" w:ascii="Times New Roman" w:hAnsi="Times New Roman" w:eastAsia="仿宋_GB2312" w:cs="仿宋_GB2312"/>
          <w:b w:val="0"/>
          <w:bCs w:val="0"/>
          <w:kern w:val="0"/>
          <w:position w:val="0"/>
          <w:sz w:val="32"/>
          <w:szCs w:val="32"/>
          <w:highlight w:val="none"/>
          <w:lang w:val="en-US" w:eastAsia="zh-CN" w:bidi="ar-SA"/>
        </w:rPr>
        <w:t>累计保障人次为：12人次。降低了脱贫人口返贫风险。</w:t>
      </w:r>
    </w:p>
    <w:p w14:paraId="2D727A6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0BE10AC2">
      <w:pPr>
        <w:pStyle w:val="7"/>
        <w:tabs>
          <w:tab w:val="left" w:pos="2160"/>
        </w:tabs>
        <w:spacing w:line="600" w:lineRule="exact"/>
        <w:ind w:firstLine="640" w:firstLineChars="200"/>
        <w:rPr>
          <w:rFonts w:ascii="黑体" w:hAnsi="黑体" w:eastAsia="仿宋_GB2312" w:cs="黑体"/>
          <w:kern w:val="2"/>
          <w:position w:val="0"/>
          <w:sz w:val="32"/>
          <w:szCs w:val="32"/>
          <w:lang w:eastAsia="zh-CN"/>
        </w:rPr>
      </w:pPr>
      <w:r>
        <w:rPr>
          <w:rFonts w:hint="eastAsia" w:ascii="仿宋_GB2312" w:hAnsi="仿宋_GB2312" w:eastAsia="仿宋_GB2312" w:cs="仿宋_GB2312"/>
          <w:position w:val="0"/>
          <w:sz w:val="32"/>
          <w:szCs w:val="32"/>
          <w:lang w:eastAsia="zh-CN"/>
        </w:rPr>
        <w:t>社会救助救济政策实施到位</w:t>
      </w:r>
      <w:r>
        <w:rPr>
          <w:rFonts w:hint="eastAsia" w:hAnsi="仿宋_GB2312" w:cs="仿宋_GB2312"/>
          <w:position w:val="0"/>
          <w:sz w:val="32"/>
          <w:szCs w:val="32"/>
          <w:highlight w:val="none"/>
          <w:lang w:eastAsia="zh-CN"/>
        </w:rPr>
        <w:t>，</w:t>
      </w:r>
      <w:r>
        <w:rPr>
          <w:rFonts w:hint="eastAsia" w:ascii="仿宋_GB2312" w:hAnsi="仿宋_GB2312" w:eastAsia="仿宋_GB2312" w:cs="仿宋_GB2312"/>
          <w:position w:val="0"/>
          <w:sz w:val="32"/>
          <w:szCs w:val="32"/>
          <w:lang w:eastAsia="zh-CN"/>
        </w:rPr>
        <w:t>大大缓解了残疾人和精简退职职工的生活压力，提高了残疾人的生活质量，保障了残疾人生活和享受护理的权益，维护了社会稳定，使党的惠民政策落到实处。已达到预期效果，实现应保尽保、应退尽退，</w:t>
      </w:r>
      <w:r>
        <w:rPr>
          <w:rFonts w:ascii="仿宋_GB2312" w:hAnsi="仿宋_GB2312" w:eastAsia="仿宋_GB2312" w:cs="仿宋_GB2312"/>
          <w:color w:val="000000"/>
          <w:sz w:val="31"/>
          <w:szCs w:val="31"/>
          <w:shd w:val="clear" w:color="070000" w:fill="FFFFFF"/>
        </w:rPr>
        <w:t>未偏离绩效目标</w:t>
      </w:r>
      <w:r>
        <w:rPr>
          <w:rFonts w:hint="eastAsia" w:ascii="仿宋_GB2312" w:hAnsi="仿宋_GB2312" w:eastAsia="仿宋_GB2312" w:cs="仿宋_GB2312"/>
          <w:color w:val="000000"/>
          <w:sz w:val="31"/>
          <w:szCs w:val="31"/>
          <w:shd w:val="clear" w:color="070000" w:fill="FFFFFF"/>
          <w:lang w:eastAsia="zh-CN"/>
        </w:rPr>
        <w:t>。通过自评综合得分</w:t>
      </w:r>
      <w:r>
        <w:rPr>
          <w:rFonts w:hint="eastAsia" w:ascii="仿宋_GB2312" w:hAnsi="仿宋_GB2312" w:eastAsia="仿宋_GB2312" w:cs="仿宋_GB2312"/>
          <w:color w:val="000000"/>
          <w:sz w:val="31"/>
          <w:szCs w:val="31"/>
          <w:shd w:val="clear" w:color="070000" w:fill="FFFFFF"/>
          <w:lang w:val="en-US" w:eastAsia="zh-CN"/>
        </w:rPr>
        <w:t>89</w:t>
      </w:r>
      <w:r>
        <w:rPr>
          <w:rFonts w:hint="eastAsia" w:ascii="仿宋_GB2312" w:hAnsi="仿宋_GB2312" w:eastAsia="仿宋_GB2312" w:cs="仿宋_GB2312"/>
          <w:color w:val="000000"/>
          <w:sz w:val="31"/>
          <w:szCs w:val="31"/>
          <w:shd w:val="clear" w:color="070000" w:fill="FFFFFF"/>
          <w:lang w:eastAsia="zh-CN"/>
        </w:rPr>
        <w:t>分。</w:t>
      </w:r>
    </w:p>
    <w:p w14:paraId="09584D3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6DB4B3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基层民政工作队伍薄弱。民政救助项目多数需要建立长期动态管理机制，在民政政策宣传、咨询、调查核实、落实管理措施等工作需要一定的人力和财力</w:t>
      </w:r>
      <w:r>
        <w:rPr>
          <w:rFonts w:hint="eastAsia" w:eastAsia="仿宋_GB2312" w:cs="仿宋_GB2312"/>
          <w:b w:val="0"/>
          <w:bCs w:val="0"/>
          <w:kern w:val="0"/>
          <w:position w:val="0"/>
          <w:sz w:val="32"/>
          <w:szCs w:val="32"/>
          <w:highlight w:val="none"/>
          <w:lang w:val="en-US" w:eastAsia="zh-CN" w:bidi="ar-SA"/>
        </w:rPr>
        <w:t>。</w:t>
      </w:r>
    </w:p>
    <w:p w14:paraId="42221B5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0E1C8C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加强政策宣传，提高业务水平。采取多样化形式加大残疾人两项补贴政策宣传，积极做好补贴政策解释工作，加强工作人员对全国残疾人两项补贴信息系统使用的培训，提高工作人员对政策执行和系统使用的水平。加强对残疾人两项补贴的组织实施，及时帮助残疾人办理补贴申请，切实将民生工程落到实处。</w:t>
      </w:r>
    </w:p>
    <w:p w14:paraId="68B49BF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方正小标宋简体" w:hAnsi="方正小标宋简体" w:eastAsia="方正小标宋简体" w:cs="方正小标宋简体"/>
          <w:color w:val="auto"/>
          <w:kern w:val="2"/>
          <w:sz w:val="44"/>
          <w:szCs w:val="44"/>
          <w:lang w:val="en-US" w:eastAsia="zh-CN" w:bidi="ar-SA"/>
        </w:rPr>
      </w:pPr>
    </w:p>
    <w:p w14:paraId="15F2F6C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高龄津贴项目</w:t>
      </w:r>
    </w:p>
    <w:p w14:paraId="5FA85867">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专项预算绩效自评报告</w:t>
      </w:r>
    </w:p>
    <w:p w14:paraId="77F7E4B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40AAB3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一、项目概况</w:t>
      </w:r>
    </w:p>
    <w:p w14:paraId="349DE9C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高龄津贴是针对高龄老人实行的社会保障制度，目的在于保障高龄老人的基本生活需求，提高生活质量，出台高龄津贴政策是积极应对人口老龄化带来的挑战，体现了对高龄群体的关怀和照顾。高龄津贴发放的对象主要是辖区内80周岁以上老人，每月按照《阿坝州民政局 阿坝州财政局 阿坝州老龄办关于提高高龄津贴发放标准的通知》（阿州民政〔2018〕175号）文件要求，对80-89周岁的老人每人每月发放80元；90-99周岁的老人每人每月发放150元；100周岁及以上的老人每人每月发放400元。</w:t>
      </w:r>
    </w:p>
    <w:p w14:paraId="5D88808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（二）实施目的及支持方向。</w:t>
      </w:r>
      <w:r>
        <w:rPr>
          <w:rFonts w:hint="eastAsia" w:ascii="Times New Roman" w:hAnsi="Times New Roman" w:eastAsia="仿宋_GB2312" w:cs="仿宋_GB2312"/>
          <w:b w:val="0"/>
          <w:bCs w:val="0"/>
          <w:kern w:val="0"/>
          <w:position w:val="0"/>
          <w:sz w:val="32"/>
          <w:szCs w:val="32"/>
          <w:highlight w:val="none"/>
          <w:lang w:val="en-US" w:eastAsia="zh-CN" w:bidi="ar-SA"/>
        </w:rPr>
        <w:t>高龄津贴的实施目的主要是为了解决高龄老人的基本生活问题，保障他们的生活质量，并建立一个保障高龄老人基本生活需求的长效机制，通过这种制度推动补缺型老年福利向适度普惠型社会福利发展，确保高龄老人基本生活得到保障。</w:t>
      </w:r>
    </w:p>
    <w:p w14:paraId="6C967BC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（三）预算安排及分配管理。</w:t>
      </w:r>
      <w:r>
        <w:rPr>
          <w:rFonts w:hint="eastAsia" w:ascii="Times New Roman" w:hAnsi="Times New Roman" w:eastAsia="仿宋_GB2312" w:cs="仿宋_GB2312"/>
          <w:b w:val="0"/>
          <w:bCs w:val="0"/>
          <w:kern w:val="0"/>
          <w:position w:val="0"/>
          <w:sz w:val="32"/>
          <w:szCs w:val="32"/>
          <w:highlight w:val="none"/>
          <w:lang w:val="en-US" w:eastAsia="zh-CN" w:bidi="ar-SA"/>
        </w:rPr>
        <w:t>该项补助资金主要采用据实据效法进行资金分配，根据辖区内高龄老人人数和县级财政分担水平据实分配。根据高龄人数和发放标准，高龄津贴项目资金预算安排州级54.81万元，县级106.426万元。</w:t>
      </w:r>
    </w:p>
    <w:p w14:paraId="7A8AF7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595093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（四）项目绩效目标设置。</w:t>
      </w:r>
      <w:r>
        <w:rPr>
          <w:rFonts w:hint="eastAsia" w:ascii="Times New Roman" w:hAnsi="Times New Roman" w:eastAsia="仿宋_GB2312" w:cs="仿宋_GB2312"/>
          <w:b w:val="0"/>
          <w:bCs w:val="0"/>
          <w:kern w:val="0"/>
          <w:position w:val="0"/>
          <w:sz w:val="32"/>
          <w:szCs w:val="32"/>
          <w:highlight w:val="none"/>
          <w:lang w:val="en-US" w:eastAsia="zh-CN" w:bidi="ar-SA"/>
        </w:rPr>
        <w:t>我县高龄津贴覆盖范围有增有减，保障标准逐步提高，补贴资金发放及时到位，各项社会救助制度逐步完善，申报及审批程序总体公平、公正、公开，补贴政策宣传及实施不断推进，高龄老人及广大群众对政策知晓率逐步提高，对高龄津贴政策及项目满意度较高，高龄老人的基本生活有一定的改善。高龄津贴项目在维护社会稳定、社会和谐发挥积极作用，取得较好的社会效益。</w:t>
      </w:r>
    </w:p>
    <w:p w14:paraId="22C1019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二、评价实施</w:t>
      </w:r>
    </w:p>
    <w:p w14:paraId="52C4ADC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（一）评价目的。</w:t>
      </w:r>
      <w:r>
        <w:rPr>
          <w:rFonts w:hint="eastAsia" w:ascii="Times New Roman" w:hAnsi="Times New Roman" w:eastAsia="仿宋_GB2312" w:cs="仿宋_GB2312"/>
          <w:b w:val="0"/>
          <w:bCs w:val="0"/>
          <w:kern w:val="0"/>
          <w:position w:val="0"/>
          <w:sz w:val="32"/>
          <w:szCs w:val="32"/>
          <w:highlight w:val="none"/>
          <w:lang w:val="en-US" w:eastAsia="zh-CN" w:bidi="ar-SA"/>
        </w:rPr>
        <w:t>高龄津贴项目评价的目的在于通过对项目的绩效进行全面审查，确保财政资金的有效利用和项目目标的实现。一是提高资金使用率，通过评价，可以发现资金使用和管理中的不足，优化资源配置，提高资金使用的经济性、效率性和</w:t>
      </w:r>
      <w:r>
        <w:rPr>
          <w:rFonts w:hint="eastAsia" w:eastAsia="仿宋_GB2312" w:cs="仿宋_GB2312"/>
          <w:b w:val="0"/>
          <w:bCs w:val="0"/>
          <w:kern w:val="0"/>
          <w:position w:val="0"/>
          <w:sz w:val="32"/>
          <w:szCs w:val="32"/>
          <w:highlight w:val="none"/>
          <w:lang w:val="en-US" w:eastAsia="zh-CN" w:bidi="ar-SA"/>
        </w:rPr>
        <w:t>效益性</w:t>
      </w:r>
      <w:r>
        <w:rPr>
          <w:rFonts w:hint="eastAsia" w:ascii="Times New Roman" w:hAnsi="Times New Roman" w:eastAsia="仿宋_GB2312" w:cs="仿宋_GB2312"/>
          <w:b w:val="0"/>
          <w:bCs w:val="0"/>
          <w:kern w:val="0"/>
          <w:position w:val="0"/>
          <w:sz w:val="32"/>
          <w:szCs w:val="32"/>
          <w:highlight w:val="none"/>
          <w:lang w:val="en-US" w:eastAsia="zh-CN" w:bidi="ar-SA"/>
        </w:rPr>
        <w:t>。二是保障项目目标达成，绩效评价有助于确保高龄津贴项目能够按时、按质、按量完成既定的社会服务目标。三是促进政策实施和管理改进，评价结果能够作为改进项目管理、完善相关政策和制度的一句，提高政策执行力和管理水平。</w:t>
      </w:r>
    </w:p>
    <w:p w14:paraId="05DE73A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（二）预设问题及评价重点。</w:t>
      </w:r>
      <w:r>
        <w:rPr>
          <w:rFonts w:hint="eastAsia" w:ascii="Times New Roman" w:hAnsi="Times New Roman" w:eastAsia="仿宋_GB2312" w:cs="仿宋_GB2312"/>
          <w:b w:val="0"/>
          <w:bCs w:val="0"/>
          <w:kern w:val="0"/>
          <w:position w:val="0"/>
          <w:sz w:val="32"/>
          <w:szCs w:val="32"/>
          <w:highlight w:val="none"/>
          <w:lang w:val="en-US" w:eastAsia="zh-CN" w:bidi="ar-SA"/>
        </w:rPr>
        <w:t>重点评价高龄津贴项目财政专项资金使用的规范性、安全性和有效性及评价项目的社会效益、经济效益、可持续性。</w:t>
      </w:r>
    </w:p>
    <w:p w14:paraId="6027BB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县民政局按时、按质、按量每月为80周岁以上高龄老人发放补贴，将各乡（镇）新增的高龄老人录入四川高龄津贴系统，及时取消死亡老人高龄津贴，确保资金发放落到实处。</w:t>
      </w:r>
    </w:p>
    <w:p w14:paraId="259D71D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（四）评价方法。</w:t>
      </w:r>
      <w:r>
        <w:rPr>
          <w:rFonts w:hint="eastAsia" w:ascii="Times New Roman" w:hAnsi="Times New Roman" w:eastAsia="仿宋_GB2312" w:cs="仿宋_GB2312"/>
          <w:b w:val="0"/>
          <w:bCs w:val="0"/>
          <w:kern w:val="0"/>
          <w:position w:val="0"/>
          <w:sz w:val="32"/>
          <w:szCs w:val="32"/>
          <w:highlight w:val="none"/>
          <w:lang w:val="en-US" w:eastAsia="zh-CN" w:bidi="ar-SA"/>
        </w:rPr>
        <w:t>此次评价采用案卷研究法、单位自评法、实地勘察法、问卷调查法、座谈调研法等多种方法。</w:t>
      </w:r>
    </w:p>
    <w:p w14:paraId="6E1AAC2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（五）评价组织。</w:t>
      </w:r>
      <w:r>
        <w:rPr>
          <w:rFonts w:hint="eastAsia" w:ascii="Times New Roman" w:hAnsi="Times New Roman" w:eastAsia="仿宋_GB2312" w:cs="仿宋_GB2312"/>
          <w:b w:val="0"/>
          <w:bCs w:val="0"/>
          <w:kern w:val="0"/>
          <w:position w:val="0"/>
          <w:sz w:val="32"/>
          <w:szCs w:val="32"/>
          <w:highlight w:val="none"/>
          <w:lang w:val="en-US" w:eastAsia="zh-CN" w:bidi="ar-SA"/>
        </w:rPr>
        <w:t>成立了以民政局局长王洪东为组长、副局长林扎介为副组长，养老服务与儿童发展股、财务室和办公室工作人员为成员的绩效评估小组。</w:t>
      </w:r>
    </w:p>
    <w:p w14:paraId="106990F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三、绩效分析</w:t>
      </w:r>
      <w:r>
        <w:rPr>
          <w:rFonts w:hint="eastAsia" w:ascii="Times New Roman" w:hAnsi="Times New Roman" w:eastAsia="仿宋_GB2312" w:cs="仿宋_GB2312"/>
          <w:b w:val="0"/>
          <w:bCs w:val="0"/>
          <w:kern w:val="0"/>
          <w:position w:val="0"/>
          <w:sz w:val="32"/>
          <w:szCs w:val="32"/>
          <w:highlight w:val="none"/>
          <w:lang w:val="en-US" w:eastAsia="zh-CN" w:bidi="ar-SA"/>
        </w:rPr>
        <w:tab/>
      </w:r>
    </w:p>
    <w:p w14:paraId="1558997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根据项目预算绩效评价指标体系“通用指标”“专用指标”“个性指标”涉及二、三级指标进行逐项绩效分析并评分。</w:t>
      </w:r>
    </w:p>
    <w:p w14:paraId="21A23E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（一）通用指标绩效分析。</w:t>
      </w:r>
    </w:p>
    <w:p w14:paraId="784ABE3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项目决策。高龄津贴补助资金支出决策符合法律法规、相关政策、发展规划以及部门职责，支出申请、拨付、发放符合相关要求，绩效目标设定依据充分，符合客观实际，绩效指标清晰、细化、可衡量。县财政局</w:t>
      </w:r>
      <w:r>
        <w:rPr>
          <w:rFonts w:hint="eastAsia" w:eastAsia="仿宋_GB2312" w:cs="仿宋_GB2312"/>
          <w:b w:val="0"/>
          <w:bCs w:val="0"/>
          <w:kern w:val="0"/>
          <w:position w:val="0"/>
          <w:sz w:val="32"/>
          <w:szCs w:val="32"/>
          <w:highlight w:val="none"/>
          <w:lang w:val="en-US" w:eastAsia="zh-CN" w:bidi="ar-SA"/>
        </w:rPr>
        <w:t>会同县</w:t>
      </w:r>
      <w:r>
        <w:rPr>
          <w:rFonts w:hint="eastAsia" w:ascii="Times New Roman" w:hAnsi="Times New Roman" w:eastAsia="仿宋_GB2312" w:cs="仿宋_GB2312"/>
          <w:b w:val="0"/>
          <w:bCs w:val="0"/>
          <w:kern w:val="0"/>
          <w:position w:val="0"/>
          <w:sz w:val="32"/>
          <w:szCs w:val="32"/>
          <w:highlight w:val="none"/>
          <w:lang w:val="en-US" w:eastAsia="zh-CN" w:bidi="ar-SA"/>
        </w:rPr>
        <w:t>民政局优化财政支出结构，科学合理编制预算，加强高龄津贴资金统筹使用，发挥高龄津贴资金合力，提升资金使用效益，有效提高高龄老人生活福祉。</w:t>
      </w:r>
    </w:p>
    <w:p w14:paraId="48726B4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项目管理。高龄津贴资金的使用，严格按照《阿坝州人民政府办公室关于做好全州高龄津贴扩面提标工作的通知》（阿府办发〔2012〕42号）文件实行。建立健全了各项规章制度，规范了资金使用与管理。一是严格资金分配，坚持资金分配的客观性，坚持每一笔资金分配都在党组会上研究审议，杜绝主观随意性。二是严格执行国库集中支付制度，实行财政惠民惠农资金“一卡通”发放，不存在套取、截留、挤占、挪用、虚列支出等情况，确保发放时效和资金安全。</w:t>
      </w:r>
    </w:p>
    <w:p w14:paraId="238C071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3.项目实施。2025年高龄津贴资金共计支付171.966万元，覆盖</w:t>
      </w:r>
      <w:r>
        <w:rPr>
          <w:rFonts w:hint="eastAsia" w:eastAsia="仿宋_GB2312" w:cs="仿宋_GB2312"/>
          <w:b w:val="0"/>
          <w:bCs w:val="0"/>
          <w:kern w:val="0"/>
          <w:position w:val="0"/>
          <w:sz w:val="32"/>
          <w:szCs w:val="32"/>
          <w:highlight w:val="none"/>
          <w:lang w:val="en-US" w:eastAsia="zh-CN" w:bidi="ar-SA"/>
        </w:rPr>
        <w:t>全县</w:t>
      </w:r>
      <w:r>
        <w:rPr>
          <w:rFonts w:hint="eastAsia" w:ascii="Times New Roman" w:hAnsi="Times New Roman" w:eastAsia="仿宋_GB2312" w:cs="仿宋_GB2312"/>
          <w:b w:val="0"/>
          <w:bCs w:val="0"/>
          <w:kern w:val="0"/>
          <w:position w:val="0"/>
          <w:sz w:val="32"/>
          <w:szCs w:val="32"/>
          <w:highlight w:val="none"/>
          <w:lang w:val="en-US" w:eastAsia="zh-CN" w:bidi="ar-SA"/>
        </w:rPr>
        <w:t>1751高龄老人，其中80-89周岁老人1618名；90-99周岁老人129名；100周岁及以上老人4名。</w:t>
      </w:r>
    </w:p>
    <w:p w14:paraId="2923061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4.项目结果。2025年高龄津贴补助资金已按时、全额支付。</w:t>
      </w:r>
    </w:p>
    <w:p w14:paraId="35A1969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（二）专用指标绩效分析。</w:t>
      </w:r>
      <w:r>
        <w:rPr>
          <w:rFonts w:hint="eastAsia" w:ascii="Times New Roman" w:hAnsi="Times New Roman" w:eastAsia="仿宋_GB2312" w:cs="仿宋_GB2312"/>
          <w:b w:val="0"/>
          <w:bCs w:val="0"/>
          <w:kern w:val="0"/>
          <w:position w:val="0"/>
          <w:sz w:val="32"/>
          <w:szCs w:val="32"/>
          <w:highlight w:val="none"/>
          <w:lang w:val="en-US" w:eastAsia="zh-CN" w:bidi="ar-SA"/>
        </w:rPr>
        <w:t>根据专项预算项目资金支持对象选择所属指标进行绩效分析。支持对象包括产业发展、民生保障、基础设施、行政运转等方面。</w:t>
      </w:r>
    </w:p>
    <w:p w14:paraId="75F48B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1.产业发展类。围绕符合性、成长性、经济性进行绩效分析。</w:t>
      </w:r>
    </w:p>
    <w:p w14:paraId="2D62403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2.民生保障类。高龄津贴项目根据不同年龄层级的</w:t>
      </w:r>
      <w:r>
        <w:rPr>
          <w:rFonts w:hint="eastAsia" w:eastAsia="仿宋_GB2312" w:cs="仿宋_GB2312"/>
          <w:b w:val="0"/>
          <w:bCs w:val="0"/>
          <w:kern w:val="0"/>
          <w:position w:val="0"/>
          <w:sz w:val="32"/>
          <w:szCs w:val="32"/>
          <w:highlight w:val="none"/>
          <w:lang w:val="en-US" w:eastAsia="zh-CN" w:bidi="ar-SA"/>
        </w:rPr>
        <w:t>老年</w:t>
      </w:r>
      <w:r>
        <w:rPr>
          <w:rFonts w:hint="eastAsia" w:ascii="Times New Roman" w:hAnsi="Times New Roman" w:eastAsia="仿宋_GB2312" w:cs="仿宋_GB2312"/>
          <w:b w:val="0"/>
          <w:bCs w:val="0"/>
          <w:kern w:val="0"/>
          <w:position w:val="0"/>
          <w:sz w:val="32"/>
          <w:szCs w:val="32"/>
          <w:highlight w:val="none"/>
          <w:lang w:val="en-US" w:eastAsia="zh-CN" w:bidi="ar-SA"/>
        </w:rPr>
        <w:t>人</w:t>
      </w:r>
      <w:r>
        <w:rPr>
          <w:rFonts w:hint="eastAsia" w:eastAsia="仿宋_GB2312" w:cs="仿宋_GB2312"/>
          <w:b w:val="0"/>
          <w:bCs w:val="0"/>
          <w:kern w:val="0"/>
          <w:position w:val="0"/>
          <w:sz w:val="32"/>
          <w:szCs w:val="32"/>
          <w:highlight w:val="none"/>
          <w:lang w:val="en-US" w:eastAsia="zh-CN" w:bidi="ar-SA"/>
        </w:rPr>
        <w:t>制定</w:t>
      </w:r>
      <w:r>
        <w:rPr>
          <w:rFonts w:hint="eastAsia" w:ascii="Times New Roman" w:hAnsi="Times New Roman" w:eastAsia="仿宋_GB2312" w:cs="仿宋_GB2312"/>
          <w:b w:val="0"/>
          <w:bCs w:val="0"/>
          <w:kern w:val="0"/>
          <w:position w:val="0"/>
          <w:sz w:val="32"/>
          <w:szCs w:val="32"/>
          <w:highlight w:val="none"/>
          <w:lang w:val="en-US" w:eastAsia="zh-CN" w:bidi="ar-SA"/>
        </w:rPr>
        <w:t>了不同的津贴标准，并确保了省级、州级、县级资金的配套，以实现资金的均衡分配。通过四川省高龄津贴系统录入老人信息，财政惠民惠农资金“一卡通”系统发放资金，确保享受津贴老人精准识别和资金的精准发放。服务对象对预算支出实施效果满意度高、社会反响好。</w:t>
      </w:r>
    </w:p>
    <w:p w14:paraId="4E8AE0E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3.基础设施类。在建项目围绕工程进度和资金拨付进行绩效分析；建成项目围绕项目验收、功能实现、后续管护进行绩效分析。</w:t>
      </w:r>
    </w:p>
    <w:p w14:paraId="40F90F4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4.行政运转类。围绕用途合规性、程序合规性、标准合规性进行绩效分析。</w:t>
      </w:r>
    </w:p>
    <w:p w14:paraId="7E7839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（三）个性指标绩效分析。</w:t>
      </w:r>
      <w:r>
        <w:rPr>
          <w:rFonts w:hint="eastAsia" w:ascii="Times New Roman" w:hAnsi="Times New Roman" w:eastAsia="仿宋_GB2312" w:cs="仿宋_GB2312"/>
          <w:b w:val="0"/>
          <w:bCs w:val="0"/>
          <w:kern w:val="0"/>
          <w:position w:val="0"/>
          <w:sz w:val="32"/>
          <w:szCs w:val="32"/>
          <w:highlight w:val="none"/>
          <w:lang w:val="en-US" w:eastAsia="zh-CN" w:bidi="ar-SA"/>
        </w:rPr>
        <w:t>本项目围绕精准发放与便民服务设定个性指标，执行情况良好：高龄人员信息核验准确率达 99.68%，行动不便老人上门代办率达 98.48%，特殊群体津贴发放及时率和异常情况处置办结率均为 100%，圆满完成各项绩效目标。</w:t>
      </w:r>
    </w:p>
    <w:p w14:paraId="37BB37F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5424F75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我县高龄津贴资金绩效目标明确，管理制度健全，资金到位及时，高龄老人生活质量得到提升，经过各项指标的认真评价和综合评审，项目整体落实情况良好，基本完成各项项目指标，综合评价得分89分，评价等级为良好。</w:t>
      </w:r>
    </w:p>
    <w:p w14:paraId="205AC75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07001C6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服务对象分布范围广泛，对精准、动态管理到每一位老人带来困难。</w:t>
      </w:r>
    </w:p>
    <w:p w14:paraId="1A5CA69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六、改进建议</w:t>
      </w:r>
    </w:p>
    <w:p w14:paraId="3642C89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     建议乡（镇）加大政府管理力度，对辖区内高龄老人实行定期走访，既能及时发现服务对象的需求，又能精确、动态管理高龄老人，将老人情况及时反馈到县民政局，确保高龄津贴项目稳步推进。</w:t>
      </w:r>
    </w:p>
    <w:p w14:paraId="01AC0D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E9B7D04">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方正小标宋简体" w:hAnsi="方正小标宋简体" w:eastAsia="方正小标宋简体" w:cs="方正小标宋简体"/>
          <w:color w:val="auto"/>
          <w:kern w:val="2"/>
          <w:sz w:val="44"/>
          <w:szCs w:val="44"/>
          <w:lang w:val="en-US" w:eastAsia="zh-CN" w:bidi="ar-SA"/>
        </w:rPr>
      </w:pPr>
      <w:bookmarkStart w:id="57" w:name="_Toc15396618"/>
      <w:r>
        <w:rPr>
          <w:rFonts w:hint="eastAsia" w:ascii="方正小标宋简体" w:hAnsi="方正小标宋简体" w:eastAsia="方正小标宋简体" w:cs="方正小标宋简体"/>
          <w:color w:val="auto"/>
          <w:kern w:val="2"/>
          <w:sz w:val="44"/>
          <w:szCs w:val="44"/>
          <w:lang w:val="en-US" w:eastAsia="zh-CN" w:bidi="ar-SA"/>
        </w:rPr>
        <w:t>养老服务业发展专项资金</w:t>
      </w:r>
    </w:p>
    <w:p w14:paraId="274A7AF3">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专项预算绩效自评报告</w:t>
      </w:r>
    </w:p>
    <w:p w14:paraId="4ABA57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39E3DD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一、项目概况</w:t>
      </w:r>
    </w:p>
    <w:p w14:paraId="58EBEFA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为深入实施积极应对人口老龄化国家战略，加快推进我县基 本养老体系高质量发展。根据《四川省推进基本养老服务体系</w:t>
      </w:r>
      <w:r>
        <w:rPr>
          <w:rFonts w:hint="eastAsia" w:eastAsia="仿宋_GB2312" w:cs="仿宋_GB2312"/>
          <w:b w:val="0"/>
          <w:bCs w:val="0"/>
          <w:kern w:val="0"/>
          <w:position w:val="0"/>
          <w:sz w:val="32"/>
          <w:szCs w:val="32"/>
          <w:highlight w:val="none"/>
          <w:lang w:val="en-US" w:eastAsia="zh-CN" w:bidi="ar-SA"/>
        </w:rPr>
        <w:t>建设</w:t>
      </w:r>
      <w:r>
        <w:rPr>
          <w:rFonts w:hint="eastAsia" w:ascii="Times New Roman" w:hAnsi="Times New Roman" w:eastAsia="仿宋_GB2312" w:cs="仿宋_GB2312"/>
          <w:b w:val="0"/>
          <w:bCs w:val="0"/>
          <w:kern w:val="0"/>
          <w:position w:val="0"/>
          <w:sz w:val="32"/>
          <w:szCs w:val="32"/>
          <w:highlight w:val="none"/>
          <w:lang w:val="en-US" w:eastAsia="zh-CN" w:bidi="ar-SA"/>
        </w:rPr>
        <w:t>实施方案》及《阿坝州基本养老服务清单（2024 版）》要求，结合我县实际为进一步优化我县养老综合服务布局，满足老年人服务需求，2025年由县民政局牵头实施了以下项目：</w:t>
      </w:r>
    </w:p>
    <w:p w14:paraId="3B6A5DF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松潘县社区养老服务综合体建设项目，其建设内容为维修改造1000平方米服务及办公场所，设施设备购置。</w:t>
      </w:r>
    </w:p>
    <w:p w14:paraId="6B3F156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老年人能力评估项目，为900名60周岁老年人提供能力评估。</w:t>
      </w:r>
    </w:p>
    <w:p w14:paraId="56EA316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公办养老机构规范化建设项目，改造提升公办养老机构设施及强化人员队伍提质与监管机制。</w:t>
      </w:r>
    </w:p>
    <w:p w14:paraId="250522A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日间照料中心建设项目，建设川主寺镇山巴村老年日间照料中心。</w:t>
      </w:r>
    </w:p>
    <w:p w14:paraId="7DB2883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养老服务能力提升项目，改造修建水暖管网，全面解决机构供暖不足、给排水渗漏等问题。</w:t>
      </w:r>
    </w:p>
    <w:p w14:paraId="7D69221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（二）实施目的及支持方向。</w:t>
      </w:r>
      <w:r>
        <w:rPr>
          <w:rFonts w:hint="eastAsia" w:ascii="Times New Roman" w:hAnsi="Times New Roman" w:eastAsia="仿宋_GB2312" w:cs="仿宋_GB2312"/>
          <w:b w:val="0"/>
          <w:bCs w:val="0"/>
          <w:kern w:val="0"/>
          <w:position w:val="0"/>
          <w:sz w:val="32"/>
          <w:szCs w:val="32"/>
          <w:highlight w:val="none"/>
          <w:lang w:val="en-US" w:eastAsia="zh-CN" w:bidi="ar-SA"/>
        </w:rPr>
        <w:t>松潘县民政局养老服务业发展补助资金的使用严格遵循“扶老、助残、救孤、济困”的宗旨，按照“因素分配、项目评审、公开透明、注重绩效”的分配原则，制定了规范的项目资金管理办法。项目实施目的在于健全我县养老服务保障制度，维护老年人合法权益，完善养老服务体系，提升养老服务质量，让补助资金成果惠及各类老年人群体。主要工作任务包括推进养老服务网络建设及运营、日间照料中心建设、公办养老机构规范化建设以及护理人员职业技能培训等。项目支持方向重点聚焦社会养老服务体系建设，优先支持社会福利设施建设以及残疾人、孤儿、特殊困难群体直接受益的项目，适当支持符合规定的其他社会公益服务、慈善救济等服务项目；同时积极开展社会组织参与公益创投，引导社会组织和社会力量在为老服务、儿童关爱等公益领域发挥优势，优化社会组织发展环境，提升其服务社会的能力。</w:t>
      </w:r>
    </w:p>
    <w:p w14:paraId="7E6B9CB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（三）预算安排及分配管理。</w:t>
      </w:r>
      <w:r>
        <w:rPr>
          <w:rFonts w:hint="eastAsia" w:ascii="Times New Roman" w:hAnsi="Times New Roman" w:eastAsia="仿宋_GB2312" w:cs="仿宋_GB2312"/>
          <w:b w:val="0"/>
          <w:bCs w:val="0"/>
          <w:kern w:val="0"/>
          <w:position w:val="0"/>
          <w:sz w:val="32"/>
          <w:szCs w:val="32"/>
          <w:highlight w:val="none"/>
          <w:lang w:val="en-US" w:eastAsia="zh-CN" w:bidi="ar-SA"/>
        </w:rPr>
        <w:t>2025年松潘县养老服务业发展补助资金预算总270.1万元，资金来源为上级下达：其中阿州财社〔2025〕75号文件下达资金213.5万元，阿州财社〔2025〕87号文件下达资金6.6万元，阿州财综〔2025〕8号文件下达资金22万元，县级配套资金28万元。资金分配严格遵循“因素分配、项目评审、公开透明、注重绩效”的原则，综合考虑我县养老服务需求分布、项目紧迫性和社会效益等因素，具体分配情况如下</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松潘县社区养老服务综合体建设项目200万元；老年人能力评估项目6.6万元；日间照料中心项目38万元，公办养老机构规范化建设项目3.5万元，养老服务能力提升项目22万元。</w:t>
      </w:r>
    </w:p>
    <w:p w14:paraId="358E4C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（四）项目绩效目标设置。</w:t>
      </w:r>
      <w:r>
        <w:rPr>
          <w:rFonts w:hint="eastAsia" w:ascii="Times New Roman" w:hAnsi="Times New Roman" w:eastAsia="仿宋_GB2312" w:cs="仿宋_GB2312"/>
          <w:b w:val="0"/>
          <w:bCs w:val="0"/>
          <w:kern w:val="0"/>
          <w:position w:val="0"/>
          <w:sz w:val="32"/>
          <w:szCs w:val="32"/>
          <w:highlight w:val="none"/>
          <w:lang w:val="en-US" w:eastAsia="zh-CN" w:bidi="ar-SA"/>
        </w:rPr>
        <w:t>项目整体绩效目标为大力实施养老服务体系建设，健全居家养老服务保障制度，完善城区养老服务设施，提升养老服务质量，增强老年人群体的幸福感、满足感和安全感。区域绩效目标聚焦我县城乡社区养老服务覆盖提升，重点保障困难失能老年人群体的服务需求。具体绩效目标包括：完成1个村日间照料中心建设、1个公办养老机构规范化建设、1个福利院回民食堂建设；900名老年人能力评估，1个养老服务综合体建设，为老年群体提供多样化养老服务；受助群众政策知晓率和满意度达到90%以上。项目已按要求开展自评工作，全面梳理项目实施过程及成效，客观分析存在的问题。</w:t>
      </w:r>
    </w:p>
    <w:p w14:paraId="47600DE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二、评价实施</w:t>
      </w:r>
    </w:p>
    <w:p w14:paraId="3BFE0A6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（一）评价目的。</w:t>
      </w:r>
      <w:r>
        <w:rPr>
          <w:rFonts w:hint="eastAsia" w:ascii="Times New Roman" w:hAnsi="Times New Roman" w:eastAsia="仿宋_GB2312" w:cs="仿宋_GB2312"/>
          <w:b w:val="0"/>
          <w:bCs w:val="0"/>
          <w:kern w:val="0"/>
          <w:position w:val="0"/>
          <w:sz w:val="32"/>
          <w:szCs w:val="32"/>
          <w:highlight w:val="none"/>
          <w:lang w:val="en-US" w:eastAsia="zh-CN" w:bidi="ar-SA"/>
        </w:rPr>
        <w:t>通过对养老服务业发展补助资金项目实施及资金使用情况的调研和评价，客观反映项目实施状态和财政资金使用效益，总结项目成功经验，科学研判项目实施及资金使用过程中存在的难题和局限，为进一步提升预算管理水平、提高公共服务质量、优化公共资源配置提供决策参考，同时为以后年度类似项目专项资金安排、政策制度建设、预算绩效推进提供必要的借鉴。</w:t>
      </w:r>
    </w:p>
    <w:p w14:paraId="25BE8F4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（二）预设问题及评价重点。</w:t>
      </w:r>
      <w:r>
        <w:rPr>
          <w:rFonts w:hint="eastAsia" w:ascii="Times New Roman" w:hAnsi="Times New Roman" w:eastAsia="仿宋_GB2312" w:cs="仿宋_GB2312"/>
          <w:b w:val="0"/>
          <w:bCs w:val="0"/>
          <w:kern w:val="0"/>
          <w:position w:val="0"/>
          <w:sz w:val="32"/>
          <w:szCs w:val="32"/>
          <w:highlight w:val="none"/>
          <w:lang w:val="en-US" w:eastAsia="zh-CN" w:bidi="ar-SA"/>
        </w:rPr>
        <w:t>按照绩效评价指标体系，对资金支出使用全过程及其实施效果进行综合评价和判断。预设问题主要包括：资金使用是否规范安全、项目实施是否达到预期目标、服务质量是否满足群众需求、项目可持续性如何等。评价重点聚焦该项目财政专项资金使用的规范性、安全性和有效性，同时全面评价项目的社会效益、经济效益和可持续性。</w:t>
      </w:r>
    </w:p>
    <w:p w14:paraId="3852C6E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根据项目实施覆盖范围，选取社区养老服务综合体、日间照料中心建设项目及部分实施老年人能力评估的所在村（社区）进行实地考察，确保抽样点位具有代表性，能够全面反映项目实施成效。抽样点位清单已作为自评附表留存。</w:t>
      </w:r>
    </w:p>
    <w:p w14:paraId="6894F30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（四）评价方法。</w:t>
      </w:r>
      <w:r>
        <w:rPr>
          <w:rFonts w:hint="eastAsia" w:ascii="Times New Roman" w:hAnsi="Times New Roman" w:eastAsia="仿宋_GB2312" w:cs="仿宋_GB2312"/>
          <w:b w:val="0"/>
          <w:bCs w:val="0"/>
          <w:kern w:val="0"/>
          <w:position w:val="0"/>
          <w:sz w:val="32"/>
          <w:szCs w:val="32"/>
          <w:highlight w:val="none"/>
          <w:lang w:val="en-US" w:eastAsia="zh-CN" w:bidi="ar-SA"/>
        </w:rPr>
        <w:t>本次绩效评价以现场评价为主、非现场评价为辅，综合采用多种方法开展工作。具体包括：案卷研究法，收集项目立项文件、实施方案、合同协议、资金支付凭证等相关资料，梳理项目实施流程；实地勘察法，在项目点现场查看设施建设及运营情况，检查工程质量；问卷调查法，通过入户走访、电话回访等方式，收集享受养老服务</w:t>
      </w:r>
      <w:r>
        <w:rPr>
          <w:rFonts w:hint="eastAsia" w:eastAsia="仿宋_GB2312" w:cs="仿宋_GB2312"/>
          <w:b w:val="0"/>
          <w:bCs w:val="0"/>
          <w:kern w:val="0"/>
          <w:position w:val="0"/>
          <w:sz w:val="32"/>
          <w:szCs w:val="32"/>
          <w:highlight w:val="none"/>
          <w:lang w:val="en-US" w:eastAsia="zh-CN" w:bidi="ar-SA"/>
        </w:rPr>
        <w:t>老年</w:t>
      </w:r>
      <w:r>
        <w:rPr>
          <w:rFonts w:hint="eastAsia" w:ascii="Times New Roman" w:hAnsi="Times New Roman" w:eastAsia="仿宋_GB2312" w:cs="仿宋_GB2312"/>
          <w:b w:val="0"/>
          <w:bCs w:val="0"/>
          <w:kern w:val="0"/>
          <w:position w:val="0"/>
          <w:sz w:val="32"/>
          <w:szCs w:val="32"/>
          <w:highlight w:val="none"/>
          <w:lang w:val="en-US" w:eastAsia="zh-CN" w:bidi="ar-SA"/>
        </w:rPr>
        <w:t>人的政策知晓率和满意度信息；座谈调研法，与项目实施单位工作人员、村（社区）干部、老年群众开展座谈，了解项目实施细节及实际效果；单位自评法，结合项目实施单位的自评报告，全面掌握项目整体情况。</w:t>
      </w:r>
    </w:p>
    <w:p w14:paraId="6908931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（五）评价组织。</w:t>
      </w:r>
      <w:r>
        <w:rPr>
          <w:rFonts w:hint="eastAsia" w:ascii="Times New Roman" w:hAnsi="Times New Roman" w:eastAsia="仿宋_GB2312" w:cs="仿宋_GB2312"/>
          <w:b w:val="0"/>
          <w:bCs w:val="0"/>
          <w:kern w:val="0"/>
          <w:position w:val="0"/>
          <w:sz w:val="32"/>
          <w:szCs w:val="32"/>
          <w:highlight w:val="none"/>
          <w:lang w:val="en-US" w:eastAsia="zh-CN" w:bidi="ar-SA"/>
        </w:rPr>
        <w:t>为确保评价工作顺利开展，成立了专项绩效评价小组，以局长王洪东为组长，副局长林扎介为副组长，成员由养老服务与儿童发展股、社会救助福利服务中心、财务室、办公室工作人员组成。评价小组职责分工明确：组长统筹全局评价工作，确定评价方向和重点；副组长协助组长开展工作，协调解决评价过程中的问题；各成员根据职责分工，分别负责资料收集、现场勘察、问卷调研、数据整理分析、报告撰写等具体工作。</w:t>
      </w:r>
    </w:p>
    <w:p w14:paraId="5D67C3A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三、绩效分析</w:t>
      </w:r>
      <w:r>
        <w:rPr>
          <w:rFonts w:hint="eastAsia" w:ascii="Times New Roman" w:hAnsi="Times New Roman" w:eastAsia="仿宋_GB2312" w:cs="仿宋_GB2312"/>
          <w:b w:val="0"/>
          <w:bCs w:val="0"/>
          <w:kern w:val="0"/>
          <w:position w:val="0"/>
          <w:sz w:val="32"/>
          <w:szCs w:val="32"/>
          <w:highlight w:val="none"/>
          <w:lang w:val="en-US" w:eastAsia="zh-CN" w:bidi="ar-SA"/>
        </w:rPr>
        <w:tab/>
      </w:r>
    </w:p>
    <w:p w14:paraId="584DD64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cs="Times New Roman"/>
          <w:b/>
          <w:color w:val="auto"/>
          <w:kern w:val="2"/>
          <w:sz w:val="32"/>
          <w:szCs w:val="32"/>
          <w:highlight w:val="none"/>
          <w:u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（一）通用指标绩效分析。</w:t>
      </w:r>
    </w:p>
    <w:p w14:paraId="1A3BC7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项目决策</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项目决策程序规范，严格遵循规划论证要求，资金投向精准。采购、施工、服务类项目均采用政府集采方式，通过签订合同（协议）明确各方权利义务。项目实施前，按程序完成承接机构确定、实施方案制定、图纸设计、财评、项目立项等工作，由县民政局组织实施</w:t>
      </w:r>
      <w:r>
        <w:rPr>
          <w:rFonts w:hint="eastAsia" w:eastAsia="仿宋_GB2312" w:cs="仿宋_GB2312"/>
          <w:b w:val="0"/>
          <w:bCs w:val="0"/>
          <w:kern w:val="0"/>
          <w:position w:val="0"/>
          <w:sz w:val="32"/>
          <w:szCs w:val="32"/>
          <w:highlight w:val="none"/>
          <w:lang w:val="en-US" w:eastAsia="zh-CN" w:bidi="ar-SA"/>
        </w:rPr>
        <w:t>，由</w:t>
      </w:r>
      <w:r>
        <w:rPr>
          <w:rFonts w:hint="eastAsia" w:ascii="Times New Roman" w:hAnsi="Times New Roman" w:eastAsia="仿宋_GB2312" w:cs="仿宋_GB2312"/>
          <w:b w:val="0"/>
          <w:bCs w:val="0"/>
          <w:kern w:val="0"/>
          <w:position w:val="0"/>
          <w:sz w:val="32"/>
          <w:szCs w:val="32"/>
          <w:highlight w:val="none"/>
          <w:lang w:val="en-US" w:eastAsia="zh-CN" w:bidi="ar-SA"/>
        </w:rPr>
        <w:t>具体项目实施单位承办，确保项目决策科学合理，符合我县养老服务发展实际需求。</w:t>
      </w:r>
    </w:p>
    <w:p w14:paraId="1743A04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项目管理</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项目管理制度健全，严格按照项目计划执行各项任务，加强资源协调，确保项目顺利推进。同时，建立了完善的监控机制，对项目进度、成本、质量、风险等进行实时监控和评估，及时对比计划与实际实施情况，分析偏差并采取纠正措施。项目建设管理中，严格执行招投标、政府采购、项目公示制等相关规定，加强质量与安全管理，切实提升资金投资效益。项目完成后，按程序组织验收、移交成果，并总结经验教训，为后续项目提供借鉴。</w:t>
      </w:r>
    </w:p>
    <w:p w14:paraId="3880A2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 项目实施</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县民政局通过现场督导、召开会议等多种方式加强项目监管，推动项目有序实施。项目单位切实履行主体责任，严把工程质量关和施工进度关。县民政局全程参与项目实施监管，在项目实施前、中、后均进行实地查看，积极听取党员群众及乡镇意见，实现施工过程全程监管指导。项目完工后，根据验收情况严格按照财务制度拨付资金，落实事前评估、事中监控、事后评价的全流程监管责任，确保项目按要求建设并发挥实效。</w:t>
      </w:r>
    </w:p>
    <w:p w14:paraId="707DC60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 项目结果</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2025年养老服务发展资金项目按方案有序推进，各项任务稳步实施，资金按工程进度及时拨付，未出现资金闲置或滞后支付情况。项目基本完成预期目标，养老服务设施得到完善，服务能力有所提升，有效保障了老年人群体的基本服务需求。</w:t>
      </w:r>
    </w:p>
    <w:p w14:paraId="76A53E5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（二）专用指标绩效分析。</w:t>
      </w:r>
      <w:r>
        <w:rPr>
          <w:rFonts w:hint="eastAsia" w:ascii="Times New Roman" w:hAnsi="Times New Roman" w:eastAsia="仿宋_GB2312" w:cs="仿宋_GB2312"/>
          <w:b w:val="0"/>
          <w:bCs w:val="0"/>
          <w:kern w:val="0"/>
          <w:position w:val="0"/>
          <w:sz w:val="32"/>
          <w:szCs w:val="32"/>
          <w:highlight w:val="none"/>
          <w:lang w:val="en-US" w:eastAsia="zh-CN" w:bidi="ar-SA"/>
        </w:rPr>
        <w:t>本次项目属于民生保障类和基础设施类结合项目，重点围绕对应指标开展绩效分析。</w:t>
      </w:r>
    </w:p>
    <w:p w14:paraId="3703A16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民生保障类</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老年人能力评估项目：通过入户走访、电话回访等方式政策知晓率和满意度调查结果显示，受助群众满意度达到90%，政策知晓率较高。项目实施有效改善了老年人群体的养老服务条件，特别是为困难失能老人精准照护提供了有力保障，切实提升了老年人群体的幸福感、获得感和安全感，区域养老服务均衡性有所提升，服务对象精准性较强，符合民生保障类项目的核心要求。</w:t>
      </w:r>
    </w:p>
    <w:p w14:paraId="0B5ECEB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基础设施类</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养老服务综合体建设项目：经实地勘察和验收，村社区养老服务中心建设质量合格。这些选址于群众需求多、发展前景好、服务潜力大的村社区养老服务中心，为老年人提供了活动场地、能力培训等多项优惠扶持服务，有效促进了养老事业发展，打造了社会养老公共服务平台。</w:t>
      </w:r>
    </w:p>
    <w:p w14:paraId="2D53CB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日间照料中心项目：建成后正常为老年人提供棋牌、茶水、健身等多样化服务，每年落实运营补贴，所有符合条件的老年人均可免费享受服务，有效丰富了老年人的日常生活，解决了部分老年人日间照料难题。</w:t>
      </w:r>
    </w:p>
    <w:p w14:paraId="5651CC3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公办养老机构规范化建设项目：县民政局对福利院设施设备进行实地质量检查，验收合格后投入使用，后期由福利院负责设施设备维护。设施设备的更新完善了院内基础设施建设，提升了服务标准及安全性能，增强了院内特困人员及代养老人的幸福指数，推动福利院养老服务质量提档升级。</w:t>
      </w:r>
    </w:p>
    <w:p w14:paraId="3830BE2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养老服务能力提升项目：实现养老机构24小时安全供暖全覆盖，改善老年人居住舒适度，增强老年人获得感与幸福感，助力养老服务能力提升项目整体目标达成。</w:t>
      </w:r>
    </w:p>
    <w:p w14:paraId="34417A4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cs="Times New Roman"/>
          <w:b/>
          <w:color w:val="auto"/>
          <w:kern w:val="2"/>
          <w:sz w:val="32"/>
          <w:szCs w:val="32"/>
          <w:highlight w:val="none"/>
          <w:u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（三）个性指标绩效分析</w:t>
      </w:r>
    </w:p>
    <w:p w14:paraId="30AEC7A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数量指标完成情况良好：成功完成1个村（山巴村）养老服务场所维修改造；完成1个公办养老机构规范化建设；完成</w:t>
      </w:r>
      <w:r>
        <w:rPr>
          <w:rFonts w:hint="eastAsia" w:eastAsia="仿宋_GB2312" w:cs="仿宋_GB2312"/>
          <w:b w:val="0"/>
          <w:bCs w:val="0"/>
          <w:kern w:val="0"/>
          <w:position w:val="0"/>
          <w:sz w:val="32"/>
          <w:szCs w:val="32"/>
          <w:highlight w:val="none"/>
          <w:lang w:val="en-US" w:eastAsia="zh-CN" w:bidi="ar-SA"/>
        </w:rPr>
        <w:t>731</w:t>
      </w:r>
      <w:r>
        <w:rPr>
          <w:rFonts w:hint="eastAsia" w:ascii="Times New Roman" w:hAnsi="Times New Roman" w:eastAsia="仿宋_GB2312" w:cs="仿宋_GB2312"/>
          <w:b w:val="0"/>
          <w:bCs w:val="0"/>
          <w:kern w:val="0"/>
          <w:position w:val="0"/>
          <w:sz w:val="32"/>
          <w:szCs w:val="32"/>
          <w:highlight w:val="none"/>
          <w:lang w:val="en-US" w:eastAsia="zh-CN" w:bidi="ar-SA"/>
        </w:rPr>
        <w:t>名60周岁以上老年人能力评估；完成1个社区养老服务综合体建设，各项建设任务均达到预期数量要求。</w:t>
      </w:r>
    </w:p>
    <w:p w14:paraId="5EAAF68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41CE8F3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根据民政厅下发《四川省推进基本养老服务体系</w:t>
      </w:r>
      <w:r>
        <w:rPr>
          <w:rFonts w:hint="eastAsia" w:eastAsia="仿宋_GB2312" w:cs="仿宋_GB2312"/>
          <w:b w:val="0"/>
          <w:bCs w:val="0"/>
          <w:kern w:val="0"/>
          <w:position w:val="0"/>
          <w:sz w:val="32"/>
          <w:szCs w:val="32"/>
          <w:highlight w:val="none"/>
          <w:lang w:val="en-US" w:eastAsia="zh-CN" w:bidi="ar-SA"/>
        </w:rPr>
        <w:t>建设</w:t>
      </w:r>
      <w:r>
        <w:rPr>
          <w:rFonts w:hint="eastAsia" w:ascii="Times New Roman" w:hAnsi="Times New Roman" w:eastAsia="仿宋_GB2312" w:cs="仿宋_GB2312"/>
          <w:b w:val="0"/>
          <w:bCs w:val="0"/>
          <w:kern w:val="0"/>
          <w:position w:val="0"/>
          <w:sz w:val="32"/>
          <w:szCs w:val="32"/>
          <w:highlight w:val="none"/>
          <w:lang w:val="en-US" w:eastAsia="zh-CN" w:bidi="ar-SA"/>
        </w:rPr>
        <w:t>实施方案》及《阿坝州基本养老服务清单（2024 版）》要求，我县严格</w:t>
      </w:r>
      <w:r>
        <w:rPr>
          <w:rFonts w:hint="eastAsia" w:eastAsia="仿宋_GB2312" w:cs="仿宋_GB2312"/>
          <w:b w:val="0"/>
          <w:bCs w:val="0"/>
          <w:kern w:val="0"/>
          <w:position w:val="0"/>
          <w:sz w:val="32"/>
          <w:szCs w:val="32"/>
          <w:highlight w:val="none"/>
          <w:lang w:val="en-US" w:eastAsia="zh-CN" w:bidi="ar-SA"/>
        </w:rPr>
        <w:t>加强</w:t>
      </w:r>
      <w:r>
        <w:rPr>
          <w:rFonts w:hint="eastAsia" w:ascii="Times New Roman" w:hAnsi="Times New Roman" w:eastAsia="仿宋_GB2312" w:cs="仿宋_GB2312"/>
          <w:b w:val="0"/>
          <w:bCs w:val="0"/>
          <w:kern w:val="0"/>
          <w:position w:val="0"/>
          <w:sz w:val="32"/>
          <w:szCs w:val="32"/>
          <w:highlight w:val="none"/>
          <w:lang w:val="en-US" w:eastAsia="zh-CN" w:bidi="ar-SA"/>
        </w:rPr>
        <w:t>养老服务项目规范化管理，保障了项目有效实施。本次养老服务业发展补助资金项目的实施，有效完善了我县养老服务基础设施，丰富了养老服务内容，方便了老年人生活，切实解决了群众的养老服务需求，提升了困难群众的幸福感、获得感和安全感，增进了</w:t>
      </w:r>
      <w:r>
        <w:rPr>
          <w:rFonts w:hint="eastAsia" w:eastAsia="仿宋_GB2312" w:cs="仿宋_GB2312"/>
          <w:b w:val="0"/>
          <w:bCs w:val="0"/>
          <w:kern w:val="0"/>
          <w:position w:val="0"/>
          <w:sz w:val="32"/>
          <w:szCs w:val="32"/>
          <w:highlight w:val="none"/>
          <w:lang w:val="en-US" w:eastAsia="zh-CN" w:bidi="ar-SA"/>
        </w:rPr>
        <w:t>民生</w:t>
      </w:r>
      <w:r>
        <w:rPr>
          <w:rFonts w:hint="eastAsia" w:ascii="Times New Roman" w:hAnsi="Times New Roman" w:eastAsia="仿宋_GB2312" w:cs="仿宋_GB2312"/>
          <w:b w:val="0"/>
          <w:bCs w:val="0"/>
          <w:kern w:val="0"/>
          <w:position w:val="0"/>
          <w:sz w:val="32"/>
          <w:szCs w:val="32"/>
          <w:highlight w:val="none"/>
          <w:lang w:val="en-US" w:eastAsia="zh-CN" w:bidi="ar-SA"/>
        </w:rPr>
        <w:t>福祉，社会效益显著。项目整体落实情况良好，基本完成各项项目指标，综合评价得分83分，评价等级为良好。</w:t>
      </w:r>
    </w:p>
    <w:p w14:paraId="469D7B6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40FB67F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随着人口老龄化进程的加快，老年人群体的养老需求日益多样化、个性化，当前项目实施过程中仍存在一些短板：一是基础设施薄弱，现有养老服务设施规模和配置难以完全匹配不断增长的服务需求；二是养老服务队伍建设欠缺，专业护理人员数量不足、技能水平有待提升，难以提供高质量的专业化服务；三是服务方式单一，</w:t>
      </w:r>
      <w:r>
        <w:rPr>
          <w:rFonts w:hint="eastAsia" w:eastAsia="仿宋_GB2312" w:cs="仿宋_GB2312"/>
          <w:b w:val="0"/>
          <w:bCs w:val="0"/>
          <w:kern w:val="0"/>
          <w:position w:val="0"/>
          <w:sz w:val="32"/>
          <w:szCs w:val="32"/>
          <w:highlight w:val="none"/>
          <w:lang w:val="en-US" w:eastAsia="zh-CN" w:bidi="ar-SA"/>
        </w:rPr>
        <w:t>以基础生活照料和简单文娱服务为主</w:t>
      </w:r>
      <w:r>
        <w:rPr>
          <w:rFonts w:hint="eastAsia" w:ascii="Times New Roman" w:hAnsi="Times New Roman" w:eastAsia="仿宋_GB2312" w:cs="仿宋_GB2312"/>
          <w:b w:val="0"/>
          <w:bCs w:val="0"/>
          <w:kern w:val="0"/>
          <w:position w:val="0"/>
          <w:sz w:val="32"/>
          <w:szCs w:val="32"/>
          <w:highlight w:val="none"/>
          <w:lang w:val="en-US" w:eastAsia="zh-CN" w:bidi="ar-SA"/>
        </w:rPr>
        <w:t>，缺乏针对康复护理、精神慰藉、文化教育等个性化需求的服务内容；四是资金投入有限，现有补助资金规模难以支撑养老服务体系的全面升级和个性化服务的拓展，导致服务能力受限，无法充分满足老年人的个性化、多元化养老需求。</w:t>
      </w:r>
    </w:p>
    <w:p w14:paraId="446712A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六、改进建议</w:t>
      </w:r>
    </w:p>
    <w:p w14:paraId="66C9C4A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针对上述存在的问题，结合项目实际和我县养老服务发展需求，提出以下改进建议：</w:t>
      </w:r>
    </w:p>
    <w:p w14:paraId="3632E3F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是优化资金管理机制，提前做好资金使用规划，对资金使用和管理实行动态监管，加强资金使用全过程的跟踪审计，确保资金使用效益最大化；同时积极争取上级资金支持，加大县级财政投入力度，拓宽资金筹措渠道，为养老服务体系升级提供充足资金保障。</w:t>
      </w:r>
    </w:p>
    <w:p w14:paraId="17F51CE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二是加强基础设施建设，结合我县养老服务需求分布，科学规划养老服务设施布局，升级改造现有薄弱设施，完善设施配置，提升设施承载能力，推动养老服务设施全覆盖、均等化。</w:t>
      </w:r>
    </w:p>
    <w:p w14:paraId="60C089D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三是强化养老服务队伍建设，制定养老护理人员培养和引进计划，开展常态化、专业化的技能培训，提升护理人员专业素养；完善激励机制，提高养老服务岗位吸引力，稳定服务队伍，提升养老服务专业化水平。</w:t>
      </w:r>
    </w:p>
    <w:p w14:paraId="1B0A16C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是丰富服务供给方式，深入调研老年人群体的个性化、多元化需求，拓展康复护理、精神慰藉、文化娱乐、健康管理等特色服务内容，推动养老服务从基础保障型向品质提升型转变，满足不同老年人群体的差异化养老需求。</w:t>
      </w:r>
    </w:p>
    <w:p w14:paraId="70EF476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五是完善政策支持体系，出台针对性的扶持政策，鼓励和引导社会力量参与养老服务事业，推动养老服务市场化、多元化发展，形成政府主导、社会参与、市场运作的良性发展格局，提升我县养老服务体系的整体服务能力和可持续发展水平。</w:t>
      </w:r>
    </w:p>
    <w:p w14:paraId="0989AFB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25D9033E">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55"/>
      <w:bookmarkEnd w:id="57"/>
      <w:bookmarkStart w:id="58" w:name="_Toc15396619"/>
    </w:p>
    <w:p w14:paraId="2164F553">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61BC3B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8"/>
    </w:p>
    <w:p w14:paraId="2591B090">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0"/>
      <w:r>
        <w:rPr>
          <w:rFonts w:hint="eastAsia" w:ascii="Times New Roman" w:hAnsi="Times New Roman" w:eastAsia="仿宋_GB2312" w:cs="仿宋_GB2312"/>
          <w:color w:val="auto"/>
          <w:sz w:val="32"/>
          <w:szCs w:val="32"/>
          <w:highlight w:val="none"/>
        </w:rPr>
        <w:t>二、收入决算表</w:t>
      </w:r>
      <w:bookmarkEnd w:id="59"/>
    </w:p>
    <w:p w14:paraId="2A8116A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1"/>
      <w:r>
        <w:rPr>
          <w:rFonts w:hint="eastAsia" w:ascii="Times New Roman" w:hAnsi="Times New Roman" w:eastAsia="仿宋_GB2312" w:cs="仿宋_GB2312"/>
          <w:color w:val="auto"/>
          <w:sz w:val="32"/>
          <w:szCs w:val="32"/>
          <w:highlight w:val="none"/>
        </w:rPr>
        <w:t>三、支出决算表</w:t>
      </w:r>
      <w:bookmarkEnd w:id="60"/>
    </w:p>
    <w:p w14:paraId="50DAD47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2"/>
      <w:r>
        <w:rPr>
          <w:rFonts w:hint="eastAsia" w:ascii="Times New Roman" w:hAnsi="Times New Roman" w:eastAsia="仿宋_GB2312" w:cs="仿宋_GB2312"/>
          <w:color w:val="auto"/>
          <w:sz w:val="32"/>
          <w:szCs w:val="32"/>
          <w:highlight w:val="none"/>
        </w:rPr>
        <w:t>四、财政拨款收入支出决算总表</w:t>
      </w:r>
      <w:bookmarkEnd w:id="61"/>
    </w:p>
    <w:p w14:paraId="4AE2AB17">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3"/>
      <w:r>
        <w:rPr>
          <w:rFonts w:hint="eastAsia" w:ascii="Times New Roman" w:hAnsi="Times New Roman" w:eastAsia="仿宋_GB2312" w:cs="仿宋_GB2312"/>
          <w:color w:val="auto"/>
          <w:sz w:val="32"/>
          <w:szCs w:val="32"/>
          <w:highlight w:val="none"/>
        </w:rPr>
        <w:t>五、财政拨款支出决算明细表</w:t>
      </w:r>
      <w:bookmarkEnd w:id="62"/>
      <w:bookmarkStart w:id="63" w:name="_Toc15396624"/>
    </w:p>
    <w:p w14:paraId="3364713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3"/>
    </w:p>
    <w:p w14:paraId="4BA5AB51">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5"/>
      <w:r>
        <w:rPr>
          <w:rFonts w:hint="eastAsia" w:ascii="Times New Roman" w:hAnsi="Times New Roman" w:eastAsia="仿宋_GB2312" w:cs="仿宋_GB2312"/>
          <w:color w:val="auto"/>
          <w:sz w:val="32"/>
          <w:szCs w:val="32"/>
          <w:highlight w:val="none"/>
        </w:rPr>
        <w:t>七、一般公共预算财政拨款支出决算明细表</w:t>
      </w:r>
      <w:bookmarkEnd w:id="64"/>
    </w:p>
    <w:p w14:paraId="5B7B14AB">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6"/>
      <w:r>
        <w:rPr>
          <w:rFonts w:hint="eastAsia" w:ascii="Times New Roman" w:hAnsi="Times New Roman" w:eastAsia="仿宋_GB2312" w:cs="仿宋_GB2312"/>
          <w:color w:val="auto"/>
          <w:sz w:val="32"/>
          <w:szCs w:val="32"/>
          <w:highlight w:val="none"/>
        </w:rPr>
        <w:t>八、一般公共预算财政拨款基本支出决算表</w:t>
      </w:r>
      <w:bookmarkEnd w:id="65"/>
    </w:p>
    <w:p w14:paraId="3CC478DA">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7"/>
      <w:r>
        <w:rPr>
          <w:rFonts w:hint="eastAsia" w:ascii="Times New Roman" w:hAnsi="Times New Roman" w:eastAsia="仿宋_GB2312" w:cs="仿宋_GB2312"/>
          <w:color w:val="auto"/>
          <w:sz w:val="32"/>
          <w:szCs w:val="32"/>
          <w:highlight w:val="none"/>
        </w:rPr>
        <w:t>九、一般公共预算财政拨款项目支出决算表</w:t>
      </w:r>
      <w:bookmarkEnd w:id="66"/>
    </w:p>
    <w:p w14:paraId="5DDCEF0B">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8"/>
      <w:r>
        <w:rPr>
          <w:rFonts w:hint="eastAsia" w:ascii="Times New Roman" w:hAnsi="Times New Roman" w:eastAsia="仿宋_GB2312" w:cs="仿宋_GB2312"/>
          <w:color w:val="auto"/>
          <w:sz w:val="32"/>
          <w:szCs w:val="32"/>
          <w:highlight w:val="none"/>
        </w:rPr>
        <w:t>十、</w:t>
      </w:r>
      <w:bookmarkEnd w:id="67"/>
      <w:r>
        <w:rPr>
          <w:rFonts w:hint="eastAsia" w:ascii="Times New Roman" w:hAnsi="Times New Roman" w:eastAsia="仿宋_GB2312" w:cs="仿宋_GB2312"/>
          <w:color w:val="auto"/>
          <w:sz w:val="32"/>
          <w:szCs w:val="32"/>
          <w:highlight w:val="none"/>
        </w:rPr>
        <w:t>政府性基金预算财政拨款收入支出决算表</w:t>
      </w:r>
    </w:p>
    <w:p w14:paraId="3F04339B">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9"/>
      <w:r>
        <w:rPr>
          <w:rFonts w:hint="eastAsia" w:ascii="Times New Roman" w:hAnsi="Times New Roman" w:eastAsia="仿宋_GB2312" w:cs="仿宋_GB2312"/>
          <w:color w:val="auto"/>
          <w:sz w:val="32"/>
          <w:szCs w:val="32"/>
          <w:highlight w:val="none"/>
        </w:rPr>
        <w:t>十一、</w:t>
      </w:r>
      <w:bookmarkEnd w:id="6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F641FA7">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30"/>
      <w:r>
        <w:rPr>
          <w:rFonts w:hint="eastAsia" w:ascii="Times New Roman" w:hAnsi="Times New Roman" w:eastAsia="仿宋_GB2312" w:cs="仿宋_GB2312"/>
          <w:color w:val="auto"/>
          <w:sz w:val="32"/>
          <w:szCs w:val="32"/>
          <w:highlight w:val="none"/>
        </w:rPr>
        <w:t>十二、</w:t>
      </w:r>
      <w:bookmarkEnd w:id="69"/>
      <w:r>
        <w:rPr>
          <w:rFonts w:hint="eastAsia" w:ascii="Times New Roman" w:hAnsi="Times New Roman" w:eastAsia="仿宋_GB2312" w:cs="仿宋_GB2312"/>
          <w:color w:val="auto"/>
          <w:sz w:val="32"/>
          <w:szCs w:val="32"/>
          <w:highlight w:val="none"/>
          <w:lang w:eastAsia="zh-CN"/>
        </w:rPr>
        <w:t>国有资本经营预算财政拨款支出决算表</w:t>
      </w:r>
    </w:p>
    <w:p w14:paraId="49C805A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0" w:name="_Toc15396631"/>
      <w:r>
        <w:rPr>
          <w:rFonts w:hint="eastAsia" w:ascii="Times New Roman" w:hAnsi="Times New Roman" w:eastAsia="仿宋_GB2312" w:cs="仿宋_GB2312"/>
          <w:color w:val="auto"/>
          <w:sz w:val="32"/>
          <w:szCs w:val="32"/>
          <w:highlight w:val="none"/>
        </w:rPr>
        <w:t>十三、</w:t>
      </w:r>
      <w:bookmarkEnd w:id="70"/>
      <w:r>
        <w:rPr>
          <w:rFonts w:hint="eastAsia" w:ascii="Times New Roman" w:hAnsi="Times New Roman" w:eastAsia="仿宋_GB2312" w:cs="仿宋_GB2312"/>
          <w:color w:val="auto"/>
          <w:sz w:val="32"/>
          <w:szCs w:val="32"/>
          <w:highlight w:val="none"/>
          <w:lang w:eastAsia="zh-CN"/>
        </w:rPr>
        <w:t>财政拨款“三公”经费支出决算表</w:t>
      </w:r>
    </w:p>
    <w:p w14:paraId="4DFEE19E">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99E817-E7FD-47F3-A2D1-A8B1AB1925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974A8619-4EB9-419C-B714-39C8CAD29BF6}"/>
  </w:font>
  <w:font w:name="仿宋">
    <w:panose1 w:val="02010609060101010101"/>
    <w:charset w:val="86"/>
    <w:family w:val="modern"/>
    <w:pitch w:val="default"/>
    <w:sig w:usb0="800002BF" w:usb1="38CF7CFA" w:usb2="00000016" w:usb3="00000000" w:csb0="00040001" w:csb1="00000000"/>
    <w:embedRegular r:id="rId3" w:fontKey="{DF30D127-EFC3-4275-9B55-D4DF53DCFCC1}"/>
  </w:font>
  <w:font w:name="??">
    <w:altName w:val="Courier New"/>
    <w:panose1 w:val="00000000000000000000"/>
    <w:charset w:val="00"/>
    <w:family w:val="roman"/>
    <w:pitch w:val="default"/>
    <w:sig w:usb0="00000000" w:usb1="00000000" w:usb2="00000000" w:usb3="00000000" w:csb0="00000000" w:csb1="00000000"/>
  </w:font>
  <w:font w:name="方正仿宋简体">
    <w:altName w:val="宋体"/>
    <w:panose1 w:val="03000509000000000000"/>
    <w:charset w:val="86"/>
    <w:family w:val="auto"/>
    <w:pitch w:val="default"/>
    <w:sig w:usb0="00000000" w:usb1="00000000" w:usb2="00000000" w:usb3="00000000" w:csb0="00040000" w:csb1="00000000"/>
  </w:font>
  <w:font w:name="方正小标宋简体">
    <w:panose1 w:val="02010600010101010101"/>
    <w:charset w:val="86"/>
    <w:family w:val="script"/>
    <w:pitch w:val="default"/>
    <w:sig w:usb0="00000001" w:usb1="080E0000" w:usb2="00000000" w:usb3="00000000" w:csb0="00040000" w:csb1="00000000"/>
    <w:embedRegular r:id="rId4" w:fontKey="{18AC467F-C621-418D-B707-25C2EC8F1F2C}"/>
  </w:font>
  <w:font w:name="楷体_GB2312">
    <w:panose1 w:val="02010609030101010101"/>
    <w:charset w:val="86"/>
    <w:family w:val="auto"/>
    <w:pitch w:val="default"/>
    <w:sig w:usb0="00000001" w:usb1="080E0000" w:usb2="00000000" w:usb3="00000000" w:csb0="00040000" w:csb1="00000000"/>
    <w:embedRegular r:id="rId5" w:fontKey="{56F8A3B6-95B1-444E-9DE2-4FC74355B8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853B4">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A994">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DABA994">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34D0CE47">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675C4">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E9BBC">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4BE9BBC">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40B2B">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E183E">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BDE183E">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4BA05F47">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807BE">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FEAE1">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6EFEAE1">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BF462">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169EB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6169EB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41EB5B2A">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3C83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F441B">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CCF441B">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07AA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3D7CEC"/>
    <w:multiLevelType w:val="singleLevel"/>
    <w:tmpl w:val="193D7CEC"/>
    <w:lvl w:ilvl="0" w:tentative="0">
      <w:start w:val="2"/>
      <w:numFmt w:val="chineseCounting"/>
      <w:suff w:val="nothing"/>
      <w:lvlText w:val="（%1）"/>
      <w:lvlJc w:val="left"/>
      <w:rPr>
        <w:rFonts w:hint="eastAsia"/>
      </w:rPr>
    </w:lvl>
  </w:abstractNum>
  <w:abstractNum w:abstractNumId="1">
    <w:nsid w:val="2DE05A4C"/>
    <w:multiLevelType w:val="singleLevel"/>
    <w:tmpl w:val="2DE05A4C"/>
    <w:lvl w:ilvl="0" w:tentative="0">
      <w:start w:val="1"/>
      <w:numFmt w:val="chineseCounting"/>
      <w:suff w:val="nothing"/>
      <w:lvlText w:val="%1、"/>
      <w:lvlJc w:val="left"/>
      <w:rPr>
        <w:rFonts w:hint="eastAsia"/>
      </w:rPr>
    </w:lvl>
  </w:abstractNum>
  <w:abstractNum w:abstractNumId="2">
    <w:nsid w:val="58F0A5A0"/>
    <w:multiLevelType w:val="singleLevel"/>
    <w:tmpl w:val="58F0A5A0"/>
    <w:lvl w:ilvl="0" w:tentative="0">
      <w:start w:val="3"/>
      <w:numFmt w:val="chineseCounting"/>
      <w:suff w:val="nothing"/>
      <w:lvlText w:val="（%1）"/>
      <w:lvlJc w:val="left"/>
      <w:rPr>
        <w:rFonts w:hint="eastAsia"/>
      </w:r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EF75276"/>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DEA48B8"/>
    <w:rsid w:val="1E740ACF"/>
    <w:rsid w:val="1FF35744"/>
    <w:rsid w:val="1FF6BC77"/>
    <w:rsid w:val="21962A9E"/>
    <w:rsid w:val="21AE7C77"/>
    <w:rsid w:val="22BC3C41"/>
    <w:rsid w:val="23860B96"/>
    <w:rsid w:val="240371BF"/>
    <w:rsid w:val="260F557C"/>
    <w:rsid w:val="281408E2"/>
    <w:rsid w:val="291E4D0A"/>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CFA55B7"/>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910D30"/>
    <w:rsid w:val="4EAB630A"/>
    <w:rsid w:val="4ECE2238"/>
    <w:rsid w:val="4EE84C62"/>
    <w:rsid w:val="4F833267"/>
    <w:rsid w:val="4FE9BD67"/>
    <w:rsid w:val="4FFB052F"/>
    <w:rsid w:val="53083A92"/>
    <w:rsid w:val="537E6D0A"/>
    <w:rsid w:val="53AF27A2"/>
    <w:rsid w:val="53F74C96"/>
    <w:rsid w:val="56E47B74"/>
    <w:rsid w:val="57BD3DD4"/>
    <w:rsid w:val="5879153C"/>
    <w:rsid w:val="5AF92295"/>
    <w:rsid w:val="5BDD79E6"/>
    <w:rsid w:val="5BF561CA"/>
    <w:rsid w:val="5BFF5DFC"/>
    <w:rsid w:val="5CD71FC4"/>
    <w:rsid w:val="5D1F11B5"/>
    <w:rsid w:val="5DAE1B18"/>
    <w:rsid w:val="5DC6470A"/>
    <w:rsid w:val="5DE7D9E5"/>
    <w:rsid w:val="5ECEC941"/>
    <w:rsid w:val="5F493CB7"/>
    <w:rsid w:val="5FBF9FF3"/>
    <w:rsid w:val="5FCD4E2C"/>
    <w:rsid w:val="5FD15F49"/>
    <w:rsid w:val="5FEF394A"/>
    <w:rsid w:val="5FF67715"/>
    <w:rsid w:val="62BF3928"/>
    <w:rsid w:val="647F5392"/>
    <w:rsid w:val="64DD50BE"/>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index 8"/>
    <w:basedOn w:val="1"/>
    <w:next w:val="1"/>
    <w:qFormat/>
    <w:uiPriority w:val="0"/>
    <w:pPr>
      <w:ind w:left="2940"/>
    </w:pPr>
    <w:rPr>
      <w:rFonts w:cs="黑体"/>
      <w:szCs w:val="22"/>
    </w:rPr>
  </w:style>
  <w:style w:type="paragraph" w:styleId="7">
    <w:name w:val="Body Text"/>
    <w:basedOn w:val="1"/>
    <w:next w:val="6"/>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able of figures"/>
    <w:basedOn w:val="1"/>
    <w:next w:val="1"/>
    <w:qFormat/>
    <w:uiPriority w:val="0"/>
    <w:pPr>
      <w:ind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1"/>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table of figures"/>
    <w:basedOn w:val="1"/>
    <w:next w:val="1"/>
    <w:qFormat/>
    <w:uiPriority w:val="0"/>
    <w:pPr>
      <w:ind w:left="200" w:leftChars="200" w:hanging="200" w:hangingChars="200"/>
    </w:pPr>
  </w:style>
  <w:style w:type="paragraph" w:customStyle="1" w:styleId="39">
    <w:name w:val="常用样式（方正仿宋简）"/>
    <w:basedOn w:val="1"/>
    <w:qFormat/>
    <w:uiPriority w:val="0"/>
    <w:pPr>
      <w:spacing w:line="560" w:lineRule="exact"/>
      <w:ind w:firstLine="640" w:firstLineChars="200"/>
    </w:pPr>
    <w:rPr>
      <w:rFonts w:eastAsia="方正仿宋简体"/>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F:\2024&#24180;&#20197;&#21518;&#27665;&#25919;&#25991;&#20214;\2025&#27665;&#25919;\2024&#20915;&#31639;&#20844;&#24320;\2024&#24180;&#20915;&#31639;&#20844;&#24320;\&#20915;&#31639;&#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F:\2024&#24180;&#20197;&#21518;&#27665;&#25919;&#25991;&#20214;\2025&#27665;&#25919;\2024&#20915;&#31639;&#20844;&#24320;\2024&#24180;&#20915;&#31639;&#20844;&#24320;\&#20915;&#31639;&#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F:\2024&#24180;&#20197;&#21518;&#27665;&#25919;&#25991;&#20214;\2025&#27665;&#25919;\2024&#20915;&#31639;&#20844;&#24320;\2024&#24180;&#20915;&#31639;&#20844;&#24320;\&#20915;&#31639;&#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F:\2024&#24180;&#20197;&#21518;&#27665;&#25919;&#25991;&#20214;\2025&#27665;&#25919;\2024&#20915;&#31639;&#20844;&#24320;\2024&#24180;&#20915;&#31639;&#20844;&#24320;\&#20915;&#31639;&#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9992;&#25143;&#30446;&#24405;\Desktop\2026&#24180;&#27665;&#25919;\2025&#24180;&#20915;&#31639;&#20844;&#24320;\&#20915;&#31639;&#22270;&#34920;&#65288;&#27665;&#25919;&#23616;&#65289;.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F:\2024&#24180;&#20197;&#21518;&#27665;&#25919;&#25991;&#20214;\2025&#27665;&#25919;\2024&#20915;&#31639;&#20844;&#24320;\2024&#24180;&#20915;&#31639;&#20844;&#24320;\&#20915;&#31639;&#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F:\2024&#24180;&#20197;&#21518;&#27665;&#25919;&#25991;&#20214;\2025&#27665;&#25919;\2024&#20915;&#31639;&#20844;&#24320;\2024&#24180;&#20915;&#31639;&#20844;&#24320;\&#20915;&#31639;&#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a:t>
            </a:r>
          </a:p>
        </c:rich>
      </c:tx>
      <c:layout/>
      <c:overlay val="0"/>
      <c:spPr>
        <a:noFill/>
        <a:ln>
          <a:noFill/>
        </a:ln>
        <a:effectLst/>
      </c:spPr>
    </c:title>
    <c:autoTitleDeleted val="0"/>
    <c:plotArea>
      <c:layout/>
      <c:barChart>
        <c:barDir val="col"/>
        <c:grouping val="clustered"/>
        <c:varyColors val="0"/>
        <c:ser>
          <c:idx val="0"/>
          <c:order val="0"/>
          <c:tx>
            <c:strRef>
              <c:f>[决算图表.xlsx]Sheet1!$A$9</c:f>
              <c:strCache>
                <c:ptCount val="1"/>
                <c:pt idx="0">
                  <c:v>2025年</c:v>
                </c:pt>
              </c:strCache>
            </c:strRef>
          </c:tx>
          <c:spPr>
            <a:solidFill>
              <a:schemeClr val="accent6"/>
            </a:solidFill>
            <a:ln>
              <a:noFill/>
            </a:ln>
            <a:effectLst/>
          </c:spPr>
          <c:invertIfNegative val="0"/>
          <c:dLbls>
            <c:delete val="1"/>
          </c:dLbls>
          <c:cat>
            <c:strRef>
              <c:f>[决算图表.xlsx]Sheet1!$B$8:$C$8</c:f>
              <c:strCache>
                <c:ptCount val="2"/>
                <c:pt idx="0">
                  <c:v>收入（万元）</c:v>
                </c:pt>
                <c:pt idx="1">
                  <c:v>支出（万元）</c:v>
                </c:pt>
              </c:strCache>
            </c:strRef>
          </c:cat>
          <c:val>
            <c:numRef>
              <c:f>[决算图表.xlsx]Sheet1!$B$9:$C$9</c:f>
              <c:numCache>
                <c:formatCode>General</c:formatCode>
                <c:ptCount val="2"/>
                <c:pt idx="0">
                  <c:v>4212.21</c:v>
                </c:pt>
                <c:pt idx="1">
                  <c:v>4212.21</c:v>
                </c:pt>
              </c:numCache>
            </c:numRef>
          </c:val>
        </c:ser>
        <c:ser>
          <c:idx val="1"/>
          <c:order val="1"/>
          <c:tx>
            <c:strRef>
              <c:f>[决算图表.xlsx]Sheet1!$A$10</c:f>
              <c:strCache>
                <c:ptCount val="1"/>
                <c:pt idx="0">
                  <c:v>2024年</c:v>
                </c:pt>
              </c:strCache>
            </c:strRef>
          </c:tx>
          <c:spPr>
            <a:solidFill>
              <a:schemeClr val="accent5"/>
            </a:solidFill>
            <a:ln>
              <a:noFill/>
            </a:ln>
            <a:effectLst/>
          </c:spPr>
          <c:invertIfNegative val="0"/>
          <c:dLbls>
            <c:delete val="1"/>
          </c:dLbls>
          <c:cat>
            <c:strRef>
              <c:f>[决算图表.xlsx]Sheet1!$B$8:$C$8</c:f>
              <c:strCache>
                <c:ptCount val="2"/>
                <c:pt idx="0">
                  <c:v>收入（万元）</c:v>
                </c:pt>
                <c:pt idx="1">
                  <c:v>支出（万元）</c:v>
                </c:pt>
              </c:strCache>
            </c:strRef>
          </c:cat>
          <c:val>
            <c:numRef>
              <c:f>[决算图表.xlsx]Sheet1!$B$10:$C$10</c:f>
              <c:numCache>
                <c:formatCode>#,##0.00</c:formatCode>
                <c:ptCount val="2"/>
                <c:pt idx="0">
                  <c:v>4387.36</c:v>
                </c:pt>
                <c:pt idx="1">
                  <c:v>4387.36</c:v>
                </c:pt>
              </c:numCache>
            </c:numRef>
          </c:val>
        </c:ser>
        <c:dLbls>
          <c:showLegendKey val="0"/>
          <c:showVal val="0"/>
          <c:showCatName val="0"/>
          <c:showSerName val="0"/>
          <c:showPercent val="0"/>
          <c:showBubbleSize val="0"/>
        </c:dLbls>
        <c:gapWidth val="219"/>
        <c:overlap val="-27"/>
        <c:axId val="942254332"/>
        <c:axId val="164682405"/>
      </c:barChart>
      <c:catAx>
        <c:axId val="942254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2405"/>
        <c:crosses val="autoZero"/>
        <c:auto val="1"/>
        <c:lblAlgn val="ctr"/>
        <c:lblOffset val="100"/>
        <c:noMultiLvlLbl val="0"/>
      </c:catAx>
      <c:valAx>
        <c:axId val="1646824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543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a753788-583d-4af9-8e39-a3a9d8d284b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[决算图表.xlsx]Sheet1!$A$12:$H$12</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[决算图表.xlsx]Sheet1!$A$13:$H$13</c:f>
              <c:numCache>
                <c:formatCode>General</c:formatCode>
                <c:ptCount val="8"/>
                <c:pt idx="0">
                  <c:v>4053</c:v>
                </c:pt>
                <c:pt idx="1">
                  <c:v>113.39</c:v>
                </c:pt>
                <c:pt idx="2">
                  <c:v>0</c:v>
                </c:pt>
                <c:pt idx="3">
                  <c:v>0</c:v>
                </c:pt>
                <c:pt idx="4">
                  <c:v>0</c:v>
                </c:pt>
                <c:pt idx="5">
                  <c:v>0</c:v>
                </c:pt>
                <c:pt idx="6">
                  <c:v>0</c:v>
                </c:pt>
                <c:pt idx="7">
                  <c:v>45.82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7f107a7-7880-4853-b5cc-9434465cb71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manualLayout>
          <c:xMode val="edge"/>
          <c:yMode val="edge"/>
          <c:x val="0.414444444444444"/>
          <c:y val="0.0243055555555556"/>
        </c:manualLayout>
      </c:layout>
      <c:overlay val="0"/>
      <c:spPr>
        <a:noFill/>
        <a:ln>
          <a:noFill/>
        </a:ln>
        <a:effectLst/>
      </c:spPr>
    </c:title>
    <c:autoTitleDeleted val="0"/>
    <c:plotArea>
      <c:layout/>
      <c:pieChart>
        <c:varyColors val="1"/>
        <c:ser>
          <c:idx val="0"/>
          <c:order val="0"/>
          <c:spPr/>
          <c:explosion val="0"/>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dPt>
            <c:idx val="3"/>
            <c:bubble3D val="0"/>
            <c:spPr>
              <a:solidFill>
                <a:schemeClr val="accent6">
                  <a:lumMod val="60000"/>
                </a:schemeClr>
              </a:solidFill>
              <a:ln w="19050">
                <a:solidFill>
                  <a:schemeClr val="lt1"/>
                </a:solidFill>
              </a:ln>
              <a:effectLst/>
            </c:spPr>
          </c:dPt>
          <c:dPt>
            <c:idx val="4"/>
            <c:bubble3D val="0"/>
            <c:spPr>
              <a:solidFill>
                <a:schemeClr val="accent5">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[决算图表.xlsx]Sheet1!$A$15:$E$15</c:f>
              <c:strCache>
                <c:ptCount val="5"/>
                <c:pt idx="0">
                  <c:v>基本支出</c:v>
                </c:pt>
                <c:pt idx="1">
                  <c:v>项目支出</c:v>
                </c:pt>
                <c:pt idx="2">
                  <c:v>上缴上级支出</c:v>
                </c:pt>
                <c:pt idx="3">
                  <c:v>经营支出</c:v>
                </c:pt>
                <c:pt idx="4">
                  <c:v>对附属单位补助支出</c:v>
                </c:pt>
              </c:strCache>
            </c:strRef>
          </c:cat>
          <c:val>
            <c:numRef>
              <c:f>[决算图表.xlsx]Sheet1!$A$16:$E$16</c:f>
              <c:numCache>
                <c:formatCode>General</c:formatCode>
                <c:ptCount val="5"/>
                <c:pt idx="0">
                  <c:v>231.14</c:v>
                </c:pt>
                <c:pt idx="1">
                  <c:v>3981.07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3130861-eace-467b-b4e5-9c78250a6c7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财政拨款收入、支出决算总计变动情况</a:t>
            </a:r>
          </a:p>
        </c:rich>
      </c:tx>
      <c:layout/>
      <c:overlay val="0"/>
      <c:spPr>
        <a:noFill/>
        <a:ln>
          <a:noFill/>
        </a:ln>
        <a:effectLst/>
      </c:spPr>
    </c:title>
    <c:autoTitleDeleted val="0"/>
    <c:plotArea>
      <c:layout/>
      <c:barChart>
        <c:barDir val="col"/>
        <c:grouping val="clustered"/>
        <c:varyColors val="0"/>
        <c:ser>
          <c:idx val="0"/>
          <c:order val="0"/>
          <c:tx>
            <c:strRef>
              <c:f>[决算图表.xlsx]Sheet1!$A$9</c:f>
              <c:strCache>
                <c:ptCount val="1"/>
                <c:pt idx="0">
                  <c:v>2025年</c:v>
                </c:pt>
              </c:strCache>
            </c:strRef>
          </c:tx>
          <c:spPr>
            <a:solidFill>
              <a:schemeClr val="accent2"/>
            </a:solidFill>
            <a:ln>
              <a:noFill/>
            </a:ln>
            <a:effectLst/>
          </c:spPr>
          <c:invertIfNegative val="0"/>
          <c:dLbls>
            <c:delete val="1"/>
          </c:dLbls>
          <c:cat>
            <c:strRef>
              <c:f>[决算图表.xlsx]Sheet1!$B$8:$C$8</c:f>
              <c:strCache>
                <c:ptCount val="2"/>
                <c:pt idx="0">
                  <c:v>收入（万元）</c:v>
                </c:pt>
                <c:pt idx="1">
                  <c:v>支出（万元）</c:v>
                </c:pt>
              </c:strCache>
            </c:strRef>
          </c:cat>
          <c:val>
            <c:numRef>
              <c:f>[决算图表.xlsx]Sheet1!$B$9:$C$9</c:f>
              <c:numCache>
                <c:formatCode>General</c:formatCode>
                <c:ptCount val="2"/>
                <c:pt idx="0">
                  <c:v>4166.39</c:v>
                </c:pt>
                <c:pt idx="1">
                  <c:v>4166.39</c:v>
                </c:pt>
              </c:numCache>
            </c:numRef>
          </c:val>
        </c:ser>
        <c:ser>
          <c:idx val="1"/>
          <c:order val="1"/>
          <c:tx>
            <c:strRef>
              <c:f>[决算图表.xlsx]Sheet1!$A$10</c:f>
              <c:strCache>
                <c:ptCount val="1"/>
                <c:pt idx="0">
                  <c:v>2024年</c:v>
                </c:pt>
              </c:strCache>
            </c:strRef>
          </c:tx>
          <c:spPr>
            <a:solidFill>
              <a:schemeClr val="accent4"/>
            </a:solidFill>
            <a:ln>
              <a:noFill/>
            </a:ln>
            <a:effectLst/>
          </c:spPr>
          <c:invertIfNegative val="0"/>
          <c:dLbls>
            <c:delete val="1"/>
          </c:dLbls>
          <c:cat>
            <c:strRef>
              <c:f>[决算图表.xlsx]Sheet1!$B$8:$C$8</c:f>
              <c:strCache>
                <c:ptCount val="2"/>
                <c:pt idx="0">
                  <c:v>收入（万元）</c:v>
                </c:pt>
                <c:pt idx="1">
                  <c:v>支出（万元）</c:v>
                </c:pt>
              </c:strCache>
            </c:strRef>
          </c:cat>
          <c:val>
            <c:numRef>
              <c:f>[决算图表.xlsx]Sheet1!$B$10:$C$10</c:f>
              <c:numCache>
                <c:formatCode>#,##0.00</c:formatCode>
                <c:ptCount val="2"/>
                <c:pt idx="0">
                  <c:v>4387.36</c:v>
                </c:pt>
                <c:pt idx="1">
                  <c:v>4387.36</c:v>
                </c:pt>
              </c:numCache>
            </c:numRef>
          </c:val>
        </c:ser>
        <c:dLbls>
          <c:showLegendKey val="0"/>
          <c:showVal val="0"/>
          <c:showCatName val="0"/>
          <c:showSerName val="0"/>
          <c:showPercent val="0"/>
          <c:showBubbleSize val="0"/>
        </c:dLbls>
        <c:gapWidth val="219"/>
        <c:overlap val="-27"/>
        <c:axId val="942254332"/>
        <c:axId val="164682405"/>
      </c:barChart>
      <c:catAx>
        <c:axId val="942254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2405"/>
        <c:crosses val="autoZero"/>
        <c:auto val="1"/>
        <c:lblAlgn val="ctr"/>
        <c:lblOffset val="100"/>
        <c:noMultiLvlLbl val="0"/>
      </c:catAx>
      <c:valAx>
        <c:axId val="1646824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543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c3b7a5-80e6-4aa3-b748-45d396af75e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120694444444444"/>
          <c:y val="0.0173611111111111"/>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'[决算图表（民政局）.xlsx]Sheet1'!$A$18:$B$18</c:f>
              <c:strCache>
                <c:ptCount val="2"/>
                <c:pt idx="0">
                  <c:v>2025年</c:v>
                </c:pt>
                <c:pt idx="1">
                  <c:v>2024年</c:v>
                </c:pt>
              </c:strCache>
            </c:strRef>
          </c:cat>
          <c:val>
            <c:numRef>
              <c:f>[决算图表.xlsx]Sheet1!$A$19:$B$19</c:f>
              <c:numCache>
                <c:formatCode>General</c:formatCode>
                <c:ptCount val="2"/>
                <c:pt idx="0">
                  <c:v>4053</c:v>
                </c:pt>
                <c:pt idx="1">
                  <c:v>4023.44</c:v>
                </c:pt>
              </c:numCache>
            </c:numRef>
          </c:val>
        </c:ser>
        <c:dLbls>
          <c:showLegendKey val="0"/>
          <c:showVal val="1"/>
          <c:showCatName val="0"/>
          <c:showSerName val="0"/>
          <c:showPercent val="0"/>
          <c:showBubbleSize val="0"/>
        </c:dLbls>
        <c:gapWidth val="219"/>
        <c:overlap val="-27"/>
        <c:axId val="258168322"/>
        <c:axId val="232642568"/>
      </c:barChart>
      <c:catAx>
        <c:axId val="25816832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642568"/>
        <c:crosses val="autoZero"/>
        <c:auto val="1"/>
        <c:lblAlgn val="ctr"/>
        <c:lblOffset val="100"/>
        <c:noMultiLvlLbl val="0"/>
      </c:catAx>
      <c:valAx>
        <c:axId val="232642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168322"/>
        <c:crosses val="autoZero"/>
        <c:crossBetween val="between"/>
      </c:valAx>
      <c:spPr>
        <a:noFill/>
        <a:ln>
          <a:noFill/>
        </a:ln>
        <a:effectLst/>
      </c:spPr>
    </c:plotArea>
    <c:plotVisOnly val="1"/>
    <c:dispBlanksAs val="gap"/>
    <c:showDLblsOverMax val="0"/>
    <c:extLst>
      <c:ext uri="{0b15fc19-7d7d-44ad-8c2d-2c3a37ce22c3}">
        <chartProps xmlns="https://web.wps.cn/et/2018/main" chartId="{3a38ebc6-fbea-4fa4-9d25-ef0d4944817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121774248173299"/>
          <c:y val="0.049707338099944"/>
        </c:manualLayout>
      </c:layout>
      <c:overlay val="0"/>
      <c:spPr>
        <a:noFill/>
        <a:ln>
          <a:noFill/>
        </a:ln>
        <a:effectLst/>
      </c:spPr>
    </c:title>
    <c:autoTitleDeleted val="0"/>
    <c:plotArea>
      <c:layout>
        <c:manualLayout>
          <c:layoutTarget val="inner"/>
          <c:xMode val="edge"/>
          <c:yMode val="edge"/>
          <c:x val="0.0696111111111111"/>
          <c:y val="0.159722222222222"/>
          <c:w val="0.826222222222222"/>
          <c:h val="0.587685185185185"/>
        </c:manualLayout>
      </c:layout>
      <c:ofPieChart>
        <c:ofPieType val="pie"/>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[决算图表.xlsx]Sheet1!$A$21:$D$21</c:f>
              <c:strCache>
                <c:ptCount val="4"/>
                <c:pt idx="0">
                  <c:v>农林水支出</c:v>
                </c:pt>
                <c:pt idx="1">
                  <c:v>社会保障和就业支出</c:v>
                </c:pt>
                <c:pt idx="2">
                  <c:v>卫生健康支出</c:v>
                </c:pt>
                <c:pt idx="3">
                  <c:v>住房保障支出</c:v>
                </c:pt>
              </c:strCache>
            </c:strRef>
          </c:cat>
          <c:val>
            <c:numRef>
              <c:f>[决算图表.xlsx]Sheet1!$A$22:$D$22</c:f>
              <c:numCache>
                <c:formatCode>General</c:formatCode>
                <c:ptCount val="4"/>
                <c:pt idx="0">
                  <c:v>280.1</c:v>
                </c:pt>
                <c:pt idx="1">
                  <c:v>3748.34</c:v>
                </c:pt>
                <c:pt idx="2">
                  <c:v>9.68</c:v>
                </c:pt>
                <c:pt idx="3">
                  <c:v>14.89</c:v>
                </c:pt>
              </c:numCache>
            </c:numRef>
          </c:val>
        </c:ser>
        <c:dLbls>
          <c:showLegendKey val="0"/>
          <c:showVal val="1"/>
          <c:showCatName val="0"/>
          <c:showSerName val="0"/>
          <c:showPercent val="0"/>
          <c:showBubbleSize val="0"/>
          <c:showLeaderLines val="1"/>
        </c:dLbls>
        <c:gapWidth val="15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c7d455-669a-464d-92de-3d31bd72649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[决算图表.xlsx]Sheet1!$A$1:$C$1</c:f>
              <c:strCache>
                <c:ptCount val="3"/>
                <c:pt idx="0">
                  <c:v>因公出国（境）费</c:v>
                </c:pt>
                <c:pt idx="1">
                  <c:v>公务用车购置及运行维护费</c:v>
                </c:pt>
                <c:pt idx="2">
                  <c:v>公务接待费</c:v>
                </c:pt>
              </c:strCache>
            </c:strRef>
          </c:cat>
          <c:val>
            <c:numRef>
              <c:f>[决算图表.xlsx]Sheet1!$A$2:$C$2</c:f>
              <c:numCache>
                <c:formatCode>General</c:formatCode>
                <c:ptCount val="3"/>
                <c:pt idx="0">
                  <c:v>0</c:v>
                </c:pt>
                <c:pt idx="1">
                  <c:v>6</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034dfd7-16a6-49e2-a6ec-9722da7d082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cf8d74-5a87-483c-9d72-529a6746d445}">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52</Pages>
  <Words>21380</Words>
  <Characters>22423</Characters>
  <Lines>61</Lines>
  <Paragraphs>17</Paragraphs>
  <TotalTime>35</TotalTime>
  <ScaleCrop>false</ScaleCrop>
  <LinksUpToDate>false</LinksUpToDate>
  <CharactersWithSpaces>22618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2026-10-14T07:07:37Z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