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74F4B">
      <w:pPr>
        <w:pStyle w:val="6"/>
        <w:rPr>
          <w:rFonts w:hint="eastAsia" w:ascii="黑体" w:hAnsi="黑体" w:eastAsia="黑体" w:cs="黑体"/>
          <w:color w:val="auto"/>
          <w:kern w:val="2"/>
          <w:sz w:val="32"/>
          <w:szCs w:val="32"/>
          <w:highlight w:val="none"/>
          <w:lang w:val="en-US" w:eastAsia="zh-CN" w:bidi="ar-SA"/>
        </w:rPr>
      </w:pPr>
      <w:bookmarkStart w:id="0" w:name="_Toc15377193"/>
      <w:bookmarkStart w:id="1" w:name="_Toc15396475"/>
      <w:bookmarkStart w:id="2" w:name="_Toc15377425"/>
      <w:bookmarkStart w:id="3" w:name="_Toc15396597"/>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12D3AC4E">
      <w:pPr>
        <w:pStyle w:val="6"/>
        <w:rPr>
          <w:rFonts w:hint="eastAsia" w:ascii="Times New Roman" w:hAnsi="Times New Roman" w:eastAsia="方正小标宋简体" w:cs="Times New Roman"/>
          <w:color w:val="auto"/>
          <w:kern w:val="2"/>
          <w:sz w:val="72"/>
          <w:szCs w:val="72"/>
          <w:highlight w:val="none"/>
          <w:lang w:val="en-US" w:eastAsia="zh-CN" w:bidi="ar-SA"/>
        </w:rPr>
      </w:pPr>
    </w:p>
    <w:p w14:paraId="0E48D8DB">
      <w:pPr>
        <w:pStyle w:val="6"/>
        <w:rPr>
          <w:rFonts w:hint="eastAsia" w:ascii="Times New Roman" w:hAnsi="Times New Roman" w:eastAsia="方正小标宋简体" w:cs="Times New Roman"/>
          <w:color w:val="auto"/>
          <w:kern w:val="2"/>
          <w:sz w:val="72"/>
          <w:szCs w:val="72"/>
          <w:highlight w:val="none"/>
          <w:lang w:val="en-US" w:eastAsia="zh-CN" w:bidi="ar-SA"/>
        </w:rPr>
      </w:pPr>
    </w:p>
    <w:p w14:paraId="1D2AC173">
      <w:pPr>
        <w:pStyle w:val="6"/>
        <w:rPr>
          <w:rFonts w:hint="eastAsia" w:ascii="Times New Roman" w:hAnsi="Times New Roman" w:eastAsia="方正小标宋简体" w:cs="Times New Roman"/>
          <w:color w:val="auto"/>
          <w:kern w:val="2"/>
          <w:sz w:val="72"/>
          <w:szCs w:val="72"/>
          <w:highlight w:val="none"/>
          <w:lang w:val="en-US" w:eastAsia="zh-CN" w:bidi="ar-SA"/>
        </w:rPr>
      </w:pPr>
    </w:p>
    <w:p w14:paraId="2D1D83B9">
      <w:pPr>
        <w:pStyle w:val="6"/>
        <w:rPr>
          <w:rFonts w:hint="eastAsia" w:ascii="Times New Roman" w:hAnsi="Times New Roman" w:eastAsia="方正小标宋简体" w:cs="Times New Roman"/>
          <w:color w:val="auto"/>
          <w:kern w:val="2"/>
          <w:sz w:val="72"/>
          <w:szCs w:val="72"/>
          <w:highlight w:val="none"/>
          <w:lang w:val="en-US" w:eastAsia="zh-CN" w:bidi="ar-SA"/>
        </w:rPr>
      </w:pPr>
    </w:p>
    <w:p w14:paraId="2472C014">
      <w:pPr>
        <w:pStyle w:val="6"/>
        <w:jc w:val="center"/>
        <w:rPr>
          <w:rFonts w:hint="eastAsia" w:ascii="Times New Roman" w:eastAsia="方正小标宋简体" w:cs="Times New Roman"/>
          <w:color w:val="auto"/>
          <w:kern w:val="2"/>
          <w:sz w:val="44"/>
          <w:szCs w:val="44"/>
          <w:highlight w:val="none"/>
          <w:lang w:val="en-US" w:eastAsia="zh-CN"/>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rPr>
        <w:t>松潘县社会救助福利服务中心</w:t>
      </w:r>
    </w:p>
    <w:p w14:paraId="52AD8843">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决算公开文字说明</w:t>
      </w:r>
    </w:p>
    <w:p w14:paraId="2D14B6EF">
      <w:pPr>
        <w:spacing w:line="600" w:lineRule="exact"/>
        <w:jc w:val="center"/>
        <w:outlineLvl w:val="0"/>
        <w:rPr>
          <w:rFonts w:ascii="Times New Roman" w:hAnsi="Times New Roman" w:eastAsia="方正小标宋简体"/>
          <w:color w:val="auto"/>
          <w:sz w:val="72"/>
          <w:szCs w:val="72"/>
          <w:highlight w:val="none"/>
        </w:rPr>
      </w:pPr>
    </w:p>
    <w:p w14:paraId="25E944DA">
      <w:pPr>
        <w:pStyle w:val="20"/>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91B4D82">
      <w:pPr>
        <w:rPr>
          <w:rFonts w:ascii="Times New Roman" w:hAnsi="Times New Roman"/>
        </w:rPr>
      </w:pPr>
    </w:p>
    <w:p w14:paraId="18DDFEA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3A1F88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7BB6933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DD8EA3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AF43D03">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78442"/>
      <w:bookmarkStart w:id="8" w:name="_Toc15377426"/>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rPr>
        <w:t>阿坝州松潘县社会救助福利服务中心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35B76FF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14:paraId="378FB92D">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07D3E18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69A40E8">
      <w:pPr>
        <w:widowControl/>
        <w:jc w:val="center"/>
        <w:rPr>
          <w:rFonts w:ascii="Times New Roman" w:hAnsi="Times New Roman" w:eastAsia="黑体" w:cstheme="minorBidi"/>
          <w:color w:val="auto"/>
          <w:sz w:val="28"/>
          <w:szCs w:val="28"/>
          <w:highlight w:val="none"/>
        </w:rPr>
      </w:pPr>
    </w:p>
    <w:p w14:paraId="06B2EE9B">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w:t>
      </w:r>
      <w:bookmarkStart w:id="66" w:name="_GoBack"/>
      <w:bookmarkEnd w:id="66"/>
      <w:r>
        <w:rPr>
          <w:rFonts w:hint="eastAsia" w:ascii="Times New Roman" w:hAnsi="Times New Roman" w:eastAsia="仿宋_GB2312" w:cs="仿宋_GB2312"/>
          <w:color w:val="auto"/>
          <w:sz w:val="32"/>
          <w:szCs w:val="32"/>
          <w:highlight w:val="none"/>
        </w:rPr>
        <w:t>日</w:t>
      </w:r>
    </w:p>
    <w:p w14:paraId="0F583A9F">
      <w:pPr>
        <w:rPr>
          <w:rFonts w:ascii="Times New Roman" w:hAnsi="Times New Roman"/>
          <w:color w:val="auto"/>
          <w:highlight w:val="none"/>
        </w:rPr>
      </w:pPr>
    </w:p>
    <w:p w14:paraId="1D79F8C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F9CA94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p>
    <w:p w14:paraId="3B2981E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p>
    <w:p w14:paraId="49D3139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E23C2E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14:paraId="4CEB07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p>
    <w:p w14:paraId="717302D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p>
    <w:p w14:paraId="636F459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p>
    <w:p w14:paraId="30ADDA9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14:paraId="5139D88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p>
    <w:p w14:paraId="43D617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p>
    <w:p w14:paraId="54C023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-10-</w:t>
      </w:r>
    </w:p>
    <w:p w14:paraId="7269455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-10-</w:t>
      </w:r>
    </w:p>
    <w:p w14:paraId="39B3C21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-10-</w:t>
      </w:r>
    </w:p>
    <w:p w14:paraId="14A4B9C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-12-</w:t>
      </w:r>
    </w:p>
    <w:p w14:paraId="074284D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四</w:t>
      </w:r>
      <w:r>
        <w:rPr>
          <w:rFonts w:hint="eastAsia" w:ascii="Times New Roman" w:hAnsi="Times New Roman" w:eastAsia="黑体" w:cs="黑体"/>
          <w:color w:val="auto"/>
          <w:sz w:val="32"/>
          <w:szCs w:val="32"/>
          <w:highlight w:val="none"/>
        </w:rPr>
        <w:t>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662CB21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4FACFE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0C516D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5F42096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0A84BC0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08FF814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7E2C03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2EFA872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42F817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3F8A28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6B72220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lang w:val="en-US" w:eastAsia="zh-CN"/>
        </w:rPr>
        <w:t>-15-</w:t>
      </w:r>
    </w:p>
    <w:p w14:paraId="6C5989F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3FD2E28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-15-</w:t>
      </w:r>
    </w:p>
    <w:p w14:paraId="4A0236E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3E810899">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1969C16A">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0006028D">
      <w:pPr>
        <w:widowControl/>
        <w:jc w:val="left"/>
        <w:rPr>
          <w:rFonts w:ascii="Times New Roman" w:hAnsi="Times New Roman" w:eastAsia="黑体"/>
          <w:color w:val="auto"/>
          <w:sz w:val="32"/>
          <w:szCs w:val="32"/>
          <w:highlight w:val="none"/>
        </w:rPr>
      </w:pPr>
    </w:p>
    <w:p w14:paraId="401EFEEA">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64646261">
      <w:pPr>
        <w:ind w:firstLine="800" w:firstLineChars="250"/>
        <w:rPr>
          <w:rFonts w:hint="eastAsia"/>
          <w:lang w:eastAsia="zh-CN"/>
        </w:rPr>
      </w:pPr>
      <w:r>
        <w:rPr>
          <w:rFonts w:hint="eastAsia" w:ascii="Times New Roman" w:hAnsi="Times New Roman" w:eastAsia="仿宋_GB2312" w:cs="仿宋_GB2312"/>
          <w:color w:val="auto"/>
          <w:sz w:val="32"/>
          <w:szCs w:val="32"/>
          <w:highlight w:val="none"/>
          <w:lang w:eastAsia="zh-CN"/>
        </w:rPr>
        <w:t>松潘县社会救助福利服务中心根据集中供养的特困老人实际需求，创新为老服务模式，提升养老服务</w:t>
      </w:r>
      <w:r>
        <w:rPr>
          <w:rFonts w:hint="eastAsia" w:eastAsia="仿宋_GB2312" w:cs="仿宋_GB2312"/>
          <w:color w:val="auto"/>
          <w:sz w:val="32"/>
          <w:szCs w:val="32"/>
          <w:highlight w:val="none"/>
          <w:lang w:eastAsia="zh-CN"/>
        </w:rPr>
        <w:t>质量</w:t>
      </w:r>
      <w:r>
        <w:rPr>
          <w:rFonts w:hint="eastAsia" w:ascii="Times New Roman" w:hAnsi="Times New Roman" w:eastAsia="仿宋_GB2312" w:cs="仿宋_GB2312"/>
          <w:color w:val="auto"/>
          <w:sz w:val="32"/>
          <w:szCs w:val="32"/>
          <w:highlight w:val="none"/>
          <w:lang w:eastAsia="zh-CN"/>
        </w:rPr>
        <w:t>，持续营造爱老助老的良好社会氛围，按照“以民为本，为民解困，为民服务”的宗旨，围绕“尊老、敬老、爱老、助老”的中华民族传统美德，努力让集中供养特困老年群体老有所养、老有所依、老有所乐、老有所学，为全县集中供养特困老人的幸福生活保驾护航。</w:t>
      </w:r>
    </w:p>
    <w:p w14:paraId="0FB2CD4E">
      <w:pPr>
        <w:pStyle w:val="4"/>
        <w:rPr>
          <w:rStyle w:val="30"/>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3248E331">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松潘县社会救助福利服务中心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487801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EDB4EE4">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7F7688F2">
      <w:pPr>
        <w:rPr>
          <w:rFonts w:ascii="Times New Roman" w:hAnsi="Times New Roman"/>
          <w:color w:val="auto"/>
          <w:highlight w:val="none"/>
        </w:rPr>
      </w:pPr>
    </w:p>
    <w:p w14:paraId="1B434FF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6F2C39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11.66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1.94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社会工作者</w:t>
      </w:r>
      <w:r>
        <w:rPr>
          <w:rFonts w:hint="eastAsia" w:eastAsia="仿宋_GB2312" w:cs="仿宋_GB2312"/>
          <w:color w:val="auto"/>
          <w:sz w:val="32"/>
          <w:szCs w:val="32"/>
          <w:highlight w:val="none"/>
          <w:lang w:val="en-US" w:eastAsia="zh-CN"/>
        </w:rPr>
        <w:t>2025年9月到期解聘。</w:t>
      </w:r>
    </w:p>
    <w:p w14:paraId="2F1B7A1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E779F6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4858F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32376D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14E003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40DE226">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550F7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1DDCF40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572.08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97.31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15.78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2.68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B1127D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538FAE5F">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B2D80C">
      <w:pPr>
        <w:spacing w:line="600" w:lineRule="exact"/>
        <w:ind w:firstLine="640" w:firstLineChars="200"/>
        <w:outlineLvl w:val="1"/>
        <w:rPr>
          <w:rStyle w:val="30"/>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65FEF2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sz w:val="32"/>
          <w:szCs w:val="32"/>
          <w:highlight w:val="none"/>
          <w:lang w:val="en-US" w:eastAsia="zh-CN"/>
        </w:rPr>
        <w:t>11.66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1.94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社会工作者</w:t>
      </w:r>
      <w:r>
        <w:rPr>
          <w:rFonts w:hint="eastAsia" w:eastAsia="仿宋_GB2312" w:cs="仿宋_GB2312"/>
          <w:color w:val="auto"/>
          <w:sz w:val="32"/>
          <w:szCs w:val="32"/>
          <w:highlight w:val="none"/>
          <w:lang w:val="en-US" w:eastAsia="zh-CN"/>
        </w:rPr>
        <w:t>2025年9月到期解聘。</w:t>
      </w:r>
    </w:p>
    <w:p w14:paraId="2E74BB8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6C7D2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333375</wp:posOffset>
            </wp:positionH>
            <wp:positionV relativeFrom="paragraph">
              <wp:posOffset>345440</wp:posOffset>
            </wp:positionV>
            <wp:extent cx="4572000" cy="2828925"/>
            <wp:effectExtent l="4445" t="4445" r="14605" b="5080"/>
            <wp:wrapTopAndBottom/>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2CEA701">
      <w:pPr>
        <w:spacing w:line="600" w:lineRule="exact"/>
        <w:ind w:firstLine="640" w:firstLineChars="200"/>
        <w:outlineLvl w:val="1"/>
        <w:rPr>
          <w:rStyle w:val="30"/>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5A81140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787F9F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11.66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1.94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社会工作者</w:t>
      </w:r>
      <w:r>
        <w:rPr>
          <w:rFonts w:hint="eastAsia" w:eastAsia="仿宋_GB2312" w:cs="仿宋_GB2312"/>
          <w:color w:val="auto"/>
          <w:sz w:val="32"/>
          <w:szCs w:val="32"/>
          <w:highlight w:val="none"/>
          <w:lang w:val="en-US" w:eastAsia="zh-CN"/>
        </w:rPr>
        <w:t>2025年9月到期解聘。</w:t>
      </w:r>
    </w:p>
    <w:p w14:paraId="694C37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0991A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454025</wp:posOffset>
            </wp:positionH>
            <wp:positionV relativeFrom="paragraph">
              <wp:posOffset>266700</wp:posOffset>
            </wp:positionV>
            <wp:extent cx="4572000" cy="2743200"/>
            <wp:effectExtent l="4445" t="4445" r="14605" b="14605"/>
            <wp:wrapTopAndBottom/>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BD9C46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3E3DCB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521.7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88.75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39.24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22A10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523240</wp:posOffset>
            </wp:positionH>
            <wp:positionV relativeFrom="paragraph">
              <wp:posOffset>702310</wp:posOffset>
            </wp:positionV>
            <wp:extent cx="4572000" cy="2743200"/>
            <wp:effectExtent l="4445" t="4445" r="14605" b="14605"/>
            <wp:wrapTopAndBottom/>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42CB9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80BC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49957A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587.86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71500BF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rPr>
        <w:t>1.</w:t>
      </w:r>
      <w:r>
        <w:rPr>
          <w:rFonts w:hint="eastAsia" w:ascii="Times New Roman" w:hAnsi="Times New Roman" w:eastAsia="仿宋_GB2312" w:cs="仿宋_GB2312"/>
          <w:color w:val="auto"/>
          <w:kern w:val="2"/>
          <w:sz w:val="32"/>
          <w:szCs w:val="32"/>
          <w:highlight w:val="none"/>
          <w:lang w:val="en-US" w:eastAsia="zh-CN"/>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 xml:space="preserve"> 支出决算为</w:t>
      </w:r>
      <w:r>
        <w:rPr>
          <w:rFonts w:hint="eastAsia" w:eastAsia="仿宋_GB2312" w:cs="仿宋_GB2312"/>
          <w:color w:val="auto"/>
          <w:kern w:val="2"/>
          <w:sz w:val="32"/>
          <w:szCs w:val="32"/>
          <w:highlight w:val="none"/>
          <w:lang w:val="en-US" w:eastAsia="zh-CN"/>
        </w:rPr>
        <w:t>48.13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r>
        <w:rPr>
          <w:rFonts w:hint="eastAsia" w:eastAsia="仿宋_GB2312" w:cs="仿宋_GB2312"/>
          <w:color w:val="auto"/>
          <w:kern w:val="2"/>
          <w:sz w:val="32"/>
          <w:szCs w:val="32"/>
          <w:highlight w:val="none"/>
          <w:lang w:val="en-US" w:eastAsia="zh-CN"/>
        </w:rPr>
        <w:t>。</w:t>
      </w:r>
    </w:p>
    <w:p w14:paraId="124142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_GB2312" w:cs="仿宋_GB2312"/>
          <w:color w:val="auto"/>
          <w:kern w:val="2"/>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rPr>
        <w:t>2.社会保障和就业（类）行政事业单位养老支出（款）机关事业单位职业年金缴费支出（项）：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rPr>
        <w:t>14.12</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r>
        <w:rPr>
          <w:rFonts w:hint="eastAsia" w:eastAsia="仿宋_GB2312" w:cs="仿宋_GB2312"/>
          <w:color w:val="auto"/>
          <w:kern w:val="2"/>
          <w:sz w:val="32"/>
          <w:szCs w:val="32"/>
          <w:highlight w:val="none"/>
          <w:lang w:val="en-US" w:eastAsia="zh-CN"/>
        </w:rPr>
        <w:t>。</w:t>
      </w:r>
    </w:p>
    <w:p w14:paraId="2C27087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rPr>
        <w:t>3.</w:t>
      </w:r>
      <w:r>
        <w:rPr>
          <w:rFonts w:hint="eastAsia" w:ascii="Times New Roman" w:hAnsi="Times New Roman" w:eastAsia="仿宋_GB2312" w:cs="仿宋_GB2312"/>
          <w:color w:val="auto"/>
          <w:kern w:val="2"/>
          <w:sz w:val="32"/>
          <w:szCs w:val="32"/>
          <w:highlight w:val="none"/>
          <w:lang w:val="en-US" w:eastAsia="zh-CN"/>
        </w:rPr>
        <w:t>社会保障和就业（类）社会福利（款）社会福利事业单位（项）：</w:t>
      </w:r>
      <w:r>
        <w:rPr>
          <w:rFonts w:hint="eastAsia" w:eastAsia="仿宋_GB2312" w:cs="仿宋_GB2312"/>
          <w:color w:val="auto"/>
          <w:kern w:val="2"/>
          <w:sz w:val="32"/>
          <w:szCs w:val="32"/>
          <w:highlight w:val="none"/>
          <w:lang w:val="en-US" w:eastAsia="zh-CN"/>
        </w:rPr>
        <w:t>459.44</w:t>
      </w:r>
      <w:r>
        <w:rPr>
          <w:rFonts w:hint="eastAsia" w:ascii="Times New Roman" w:hAnsi="Times New Roman" w:eastAsia="仿宋_GB2312" w:cs="仿宋_GB2312"/>
          <w:color w:val="auto"/>
          <w:kern w:val="2"/>
          <w:sz w:val="32"/>
          <w:szCs w:val="32"/>
          <w:highlight w:val="none"/>
          <w:lang w:val="en-US" w:eastAsia="zh-CN"/>
        </w:rPr>
        <w:t>万元</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完成预算100%，决算数等于预算数</w:t>
      </w:r>
      <w:r>
        <w:rPr>
          <w:rFonts w:hint="eastAsia" w:eastAsia="仿宋_GB2312" w:cs="仿宋_GB2312"/>
          <w:color w:val="auto"/>
          <w:kern w:val="2"/>
          <w:sz w:val="32"/>
          <w:szCs w:val="32"/>
          <w:highlight w:val="none"/>
          <w:lang w:val="en-US" w:eastAsia="zh-CN"/>
        </w:rPr>
        <w:t>。</w:t>
      </w:r>
    </w:p>
    <w:p w14:paraId="1FD4D4CC">
      <w:pPr>
        <w:spacing w:line="600" w:lineRule="exact"/>
        <w:ind w:firstLine="640"/>
        <w:rPr>
          <w:rFonts w:hint="eastAsia"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rPr>
        <w:t>4</w:t>
      </w:r>
      <w:r>
        <w:rPr>
          <w:rFonts w:hint="eastAsia" w:ascii="Times New Roman" w:hAnsi="Times New Roman" w:eastAsia="仿宋_GB2312" w:cs="仿宋_GB2312"/>
          <w:color w:val="auto"/>
          <w:kern w:val="2"/>
          <w:sz w:val="32"/>
          <w:szCs w:val="32"/>
          <w:highlight w:val="none"/>
          <w:lang w:val="en-US" w:eastAsia="zh-CN"/>
        </w:rPr>
        <w:t>.卫生健康（类）行政事业单位医疗（款）事业单位医疗（项）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24.4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r>
        <w:rPr>
          <w:rFonts w:hint="eastAsia" w:eastAsia="仿宋_GB2312" w:cs="仿宋_GB2312"/>
          <w:color w:val="auto"/>
          <w:kern w:val="2"/>
          <w:sz w:val="32"/>
          <w:szCs w:val="32"/>
          <w:highlight w:val="none"/>
          <w:lang w:val="en-US" w:eastAsia="zh-CN"/>
        </w:rPr>
        <w:t>。</w:t>
      </w:r>
    </w:p>
    <w:p w14:paraId="1E429831">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rPr>
        <w:t>5.</w:t>
      </w:r>
      <w:r>
        <w:rPr>
          <w:rFonts w:hint="eastAsia" w:ascii="Times New Roman" w:hAnsi="Times New Roman" w:eastAsia="仿宋_GB2312" w:cs="仿宋_GB2312"/>
          <w:color w:val="auto"/>
          <w:kern w:val="2"/>
          <w:sz w:val="32"/>
          <w:szCs w:val="32"/>
          <w:highlight w:val="none"/>
          <w:lang w:val="en-US" w:eastAsia="zh-CN"/>
        </w:rPr>
        <w:t>卫生健康（类）行政事业单位医疗（款）其他行政事业单位医疗支出（项）</w:t>
      </w:r>
      <w:r>
        <w:rPr>
          <w:rFonts w:hint="eastAsia" w:eastAsia="仿宋_GB2312" w:cs="仿宋_GB2312"/>
          <w:color w:val="auto"/>
          <w:kern w:val="2"/>
          <w:sz w:val="32"/>
          <w:szCs w:val="32"/>
          <w:highlight w:val="none"/>
          <w:lang w:val="en-US" w:eastAsia="zh-CN"/>
        </w:rPr>
        <w:t>：</w:t>
      </w:r>
      <w:r>
        <w:rPr>
          <w:rFonts w:hint="eastAsia" w:ascii="Times New Roman" w:hAnsi="Times New Roman" w:eastAsia="仿宋_GB2312" w:cs="仿宋_GB2312"/>
          <w:color w:val="auto"/>
          <w:kern w:val="2"/>
          <w:sz w:val="32"/>
          <w:szCs w:val="32"/>
          <w:highlight w:val="none"/>
          <w:lang w:val="en-US" w:eastAsia="zh-CN"/>
        </w:rPr>
        <w:t>支出决算为</w:t>
      </w:r>
      <w:r>
        <w:rPr>
          <w:rFonts w:hint="eastAsia" w:eastAsia="仿宋_GB2312" w:cs="仿宋_GB2312"/>
          <w:color w:val="auto"/>
          <w:kern w:val="2"/>
          <w:sz w:val="32"/>
          <w:szCs w:val="32"/>
          <w:highlight w:val="none"/>
          <w:lang w:val="en-US" w:eastAsia="zh-CN"/>
        </w:rPr>
        <w:t>2.53</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650F1E57">
      <w:pPr>
        <w:spacing w:line="600" w:lineRule="exact"/>
        <w:ind w:firstLine="640"/>
        <w:rPr>
          <w:rFonts w:hint="eastAsia" w:ascii="Times New Roman" w:hAnsi="Times New Roman" w:eastAsia="仿宋_GB2312" w:cs="仿宋_GB2312"/>
          <w:color w:val="auto"/>
          <w:kern w:val="2"/>
          <w:sz w:val="32"/>
          <w:szCs w:val="32"/>
          <w:highlight w:val="none"/>
          <w:lang w:val="en-US" w:eastAsia="zh-CN"/>
        </w:rPr>
      </w:pPr>
      <w:r>
        <w:rPr>
          <w:rFonts w:hint="eastAsia" w:eastAsia="仿宋_GB2312" w:cs="仿宋_GB2312"/>
          <w:color w:val="auto"/>
          <w:kern w:val="2"/>
          <w:sz w:val="32"/>
          <w:szCs w:val="32"/>
          <w:highlight w:val="none"/>
          <w:lang w:val="en-US" w:eastAsia="zh-CN"/>
        </w:rPr>
        <w:t>6</w:t>
      </w:r>
      <w:r>
        <w:rPr>
          <w:rFonts w:hint="eastAsia" w:ascii="Times New Roman" w:hAnsi="Times New Roman" w:eastAsia="仿宋_GB2312" w:cs="仿宋_GB2312"/>
          <w:color w:val="auto"/>
          <w:kern w:val="2"/>
          <w:sz w:val="32"/>
          <w:szCs w:val="32"/>
          <w:highlight w:val="none"/>
          <w:lang w:val="en-US" w:eastAsia="zh-CN"/>
        </w:rPr>
        <w:t>.住房保障（类）住房改革支出（款）住房公积金（项）：支出决算为</w:t>
      </w:r>
      <w:r>
        <w:rPr>
          <w:rFonts w:hint="eastAsia" w:eastAsia="仿宋_GB2312" w:cs="仿宋_GB2312"/>
          <w:color w:val="auto"/>
          <w:kern w:val="2"/>
          <w:sz w:val="32"/>
          <w:szCs w:val="32"/>
          <w:highlight w:val="none"/>
          <w:lang w:val="en-US" w:eastAsia="zh-CN"/>
        </w:rPr>
        <w:t>39.24</w:t>
      </w:r>
      <w:r>
        <w:rPr>
          <w:rFonts w:hint="eastAsia" w:ascii="Times New Roman" w:hAnsi="Times New Roman" w:eastAsia="仿宋_GB2312" w:cs="仿宋_GB2312"/>
          <w:color w:val="auto"/>
          <w:kern w:val="2"/>
          <w:sz w:val="32"/>
          <w:szCs w:val="32"/>
          <w:highlight w:val="none"/>
          <w:lang w:val="en-US" w:eastAsia="zh-CN"/>
        </w:rPr>
        <w:t>万元，完成预算100%，决算数等于预算数。</w:t>
      </w:r>
    </w:p>
    <w:p w14:paraId="501958E3">
      <w:pPr>
        <w:tabs>
          <w:tab w:val="right" w:pos="8306"/>
        </w:tabs>
        <w:spacing w:line="600" w:lineRule="exact"/>
        <w:ind w:firstLine="640"/>
        <w:outlineLvl w:val="1"/>
        <w:rPr>
          <w:rStyle w:val="30"/>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2649F3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572.08</w:t>
      </w:r>
      <w:r>
        <w:rPr>
          <w:rFonts w:hint="eastAsia" w:ascii="Times New Roman" w:hAnsi="Times New Roman" w:eastAsia="仿宋_GB2312" w:cs="仿宋_GB2312"/>
          <w:color w:val="auto"/>
          <w:kern w:val="2"/>
          <w:sz w:val="32"/>
          <w:szCs w:val="32"/>
          <w:highlight w:val="none"/>
          <w:lang w:val="en-US" w:eastAsia="zh-CN" w:bidi="ar-SA"/>
        </w:rPr>
        <w:t>万元，其中：</w:t>
      </w:r>
    </w:p>
    <w:p w14:paraId="1B9171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558.25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13.82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3158402">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473813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3C9BBFA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146CF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373C1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C835F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70728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28D76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266F22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2297AF3">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40" w:name="_Toc15396610"/>
      <w:bookmarkStart w:id="41" w:name="_Toc15377218"/>
    </w:p>
    <w:p w14:paraId="77354165">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315718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6E111E0">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77219"/>
      <w:bookmarkStart w:id="43"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54AFCA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10384CB">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77221"/>
      <w:bookmarkStart w:id="45"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7086DE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611574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松潘县社会救助福利服务中心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7D161EE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53382A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松潘县社会救助福利服务中心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1.35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1.35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车辆维修及保险费用</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16989C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65F9E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松潘县社会救助福利服务中心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365023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B5EDF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福利院运行经费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15.78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FBFE4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878910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120B261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E6965F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A04CB3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9AA07CA">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5DCCCE44">
      <w:pPr>
        <w:spacing w:line="600" w:lineRule="exact"/>
        <w:jc w:val="left"/>
        <w:rPr>
          <w:rFonts w:ascii="Times New Roman" w:hAnsi="Times New Roman"/>
          <w:b/>
          <w:color w:val="auto"/>
          <w:sz w:val="44"/>
          <w:szCs w:val="44"/>
          <w:highlight w:val="none"/>
        </w:rPr>
      </w:pPr>
    </w:p>
    <w:p w14:paraId="1335D7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3977E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308746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08244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752479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830BC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2F240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D52A5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551DC86">
      <w:pPr>
        <w:spacing w:line="576" w:lineRule="atLeast"/>
        <w:ind w:firstLine="640" w:firstLineChars="200"/>
        <w:rPr>
          <w:rStyle w:val="18"/>
          <w:rFonts w:ascii="仿宋_GB2312" w:hAnsi="仿宋_GB2312" w:eastAsia="仿宋_GB2312"/>
          <w:b w:val="0"/>
          <w:color w:val="000000"/>
          <w:sz w:val="32"/>
          <w:szCs w:val="32"/>
        </w:rPr>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社会保障和就业（类）</w:t>
      </w:r>
      <w:r>
        <w:rPr>
          <w:rFonts w:hint="eastAsia" w:ascii="仿宋_GB2312" w:eastAsia="仿宋_GB2312"/>
          <w:sz w:val="32"/>
          <w:szCs w:val="32"/>
          <w:lang w:eastAsia="zh-CN"/>
        </w:rPr>
        <w:t>行政事业单位养老支出</w:t>
      </w:r>
      <w:r>
        <w:rPr>
          <w:rFonts w:hint="eastAsia" w:ascii="仿宋_GB2312" w:eastAsia="仿宋_GB2312"/>
          <w:sz w:val="32"/>
          <w:szCs w:val="32"/>
        </w:rPr>
        <w:t>（款）</w:t>
      </w:r>
      <w:r>
        <w:rPr>
          <w:rFonts w:hint="eastAsia" w:ascii="仿宋_GB2312" w:eastAsia="仿宋_GB2312"/>
          <w:sz w:val="32"/>
          <w:szCs w:val="32"/>
          <w:lang w:eastAsia="zh-CN"/>
        </w:rPr>
        <w:t>机关事业单位基本养老保险缴费支出</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单位实施养老保险制度由单位缴纳的养老保险费的支出</w:t>
      </w:r>
      <w:r>
        <w:rPr>
          <w:rStyle w:val="18"/>
          <w:rFonts w:hint="eastAsia" w:ascii="仿宋_GB2312" w:hAnsi="仿宋_GB2312" w:eastAsia="仿宋_GB2312" w:cs="仿宋_GB2312"/>
          <w:b w:val="0"/>
          <w:color w:val="000000"/>
          <w:sz w:val="32"/>
          <w:szCs w:val="32"/>
        </w:rPr>
        <w:t>。</w:t>
      </w:r>
    </w:p>
    <w:p w14:paraId="67627ECA">
      <w:pPr>
        <w:ind w:firstLine="640" w:firstLineChars="200"/>
        <w:rPr>
          <w:rStyle w:val="18"/>
          <w:rFonts w:hint="eastAsia" w:ascii="仿宋_GB2312" w:hAnsi="仿宋_GB2312" w:eastAsia="仿宋_GB2312" w:cs="仿宋_GB2312"/>
          <w:b w:val="0"/>
          <w:color w:val="000000"/>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社会保障和就业（类）</w:t>
      </w:r>
      <w:r>
        <w:rPr>
          <w:rFonts w:hint="eastAsia" w:ascii="仿宋_GB2312" w:eastAsia="仿宋_GB2312"/>
          <w:sz w:val="32"/>
          <w:szCs w:val="32"/>
          <w:lang w:eastAsia="zh-CN"/>
        </w:rPr>
        <w:t>行政事业单位养老支出</w:t>
      </w:r>
      <w:r>
        <w:rPr>
          <w:rFonts w:hint="eastAsia" w:ascii="仿宋_GB2312" w:eastAsia="仿宋_GB2312"/>
          <w:sz w:val="32"/>
          <w:szCs w:val="32"/>
        </w:rPr>
        <w:t>（款）</w:t>
      </w:r>
      <w:r>
        <w:rPr>
          <w:rFonts w:hint="eastAsia" w:ascii="仿宋_GB2312" w:eastAsia="仿宋_GB2312"/>
          <w:sz w:val="32"/>
          <w:szCs w:val="32"/>
          <w:lang w:eastAsia="zh-CN"/>
        </w:rPr>
        <w:t>机关事业单位基本职业年金缴费支出</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单位实施养老保险制度由单位缴纳的</w:t>
      </w:r>
      <w:r>
        <w:rPr>
          <w:rFonts w:hint="eastAsia" w:ascii="仿宋_GB2312" w:hAnsi="仿宋_GB2312" w:eastAsia="仿宋_GB2312" w:cs="仿宋_GB2312"/>
          <w:color w:val="000000"/>
          <w:kern w:val="0"/>
          <w:sz w:val="32"/>
          <w:szCs w:val="32"/>
          <w:lang w:eastAsia="zh-CN"/>
        </w:rPr>
        <w:t>职业年金</w:t>
      </w:r>
      <w:r>
        <w:rPr>
          <w:rFonts w:hint="eastAsia" w:ascii="仿宋_GB2312" w:hAnsi="仿宋_GB2312" w:eastAsia="仿宋_GB2312" w:cs="仿宋_GB2312"/>
          <w:color w:val="000000"/>
          <w:kern w:val="0"/>
          <w:sz w:val="32"/>
          <w:szCs w:val="32"/>
        </w:rPr>
        <w:t>的支出</w:t>
      </w:r>
      <w:r>
        <w:rPr>
          <w:rStyle w:val="18"/>
          <w:rFonts w:hint="eastAsia" w:ascii="仿宋_GB2312" w:hAnsi="仿宋_GB2312" w:eastAsia="仿宋_GB2312" w:cs="仿宋_GB2312"/>
          <w:b w:val="0"/>
          <w:color w:val="000000"/>
          <w:sz w:val="32"/>
          <w:szCs w:val="32"/>
        </w:rPr>
        <w:t>。</w:t>
      </w:r>
    </w:p>
    <w:p w14:paraId="474A6560">
      <w:pPr>
        <w:pStyle w:val="2"/>
        <w:ind w:left="0" w:leftChars="0" w:firstLine="0" w:firstLineChars="0"/>
        <w:rPr>
          <w:rFonts w:hint="eastAsia" w:eastAsia="仿宋_GB2312"/>
          <w:lang w:val="en-US" w:eastAsia="zh-CN"/>
        </w:rPr>
      </w:pPr>
      <w:r>
        <w:rPr>
          <w:rFonts w:hint="eastAsia"/>
          <w:lang w:val="en-US" w:eastAsia="zh-CN"/>
        </w:rPr>
        <w:t xml:space="preserve">      </w:t>
      </w:r>
      <w:r>
        <w:rPr>
          <w:rFonts w:hint="eastAsia" w:ascii="仿宋_GB2312" w:eastAsia="仿宋_GB2312"/>
          <w:sz w:val="32"/>
          <w:szCs w:val="32"/>
          <w:lang w:val="en-US" w:eastAsia="zh-CN"/>
        </w:rPr>
        <w:t>11.</w:t>
      </w:r>
      <w:r>
        <w:rPr>
          <w:rFonts w:hint="eastAsia" w:ascii="仿宋_GB2312" w:eastAsia="仿宋_GB2312"/>
          <w:sz w:val="32"/>
          <w:szCs w:val="32"/>
        </w:rPr>
        <w:t>社会保障和就业（类）</w:t>
      </w:r>
      <w:r>
        <w:rPr>
          <w:rFonts w:hint="eastAsia" w:ascii="仿宋_GB2312" w:eastAsia="仿宋_GB2312"/>
          <w:sz w:val="32"/>
          <w:szCs w:val="32"/>
          <w:lang w:eastAsia="zh-CN"/>
        </w:rPr>
        <w:t>社会福利</w:t>
      </w:r>
      <w:r>
        <w:rPr>
          <w:rFonts w:hint="eastAsia" w:ascii="仿宋_GB2312" w:eastAsia="仿宋_GB2312"/>
          <w:sz w:val="32"/>
          <w:szCs w:val="32"/>
        </w:rPr>
        <w:t>（款）</w:t>
      </w:r>
      <w:r>
        <w:rPr>
          <w:rFonts w:hint="eastAsia" w:ascii="仿宋_GB2312" w:eastAsia="仿宋_GB2312"/>
          <w:sz w:val="32"/>
          <w:szCs w:val="32"/>
          <w:lang w:eastAsia="zh-CN"/>
        </w:rPr>
        <w:t>社会福利事业单位</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w:t>
      </w:r>
      <w:r>
        <w:rPr>
          <w:rFonts w:hint="eastAsia" w:ascii="仿宋_GB2312" w:hAnsi="仿宋_GB2312" w:eastAsia="仿宋_GB2312" w:cs="仿宋_GB2312"/>
          <w:color w:val="000000"/>
          <w:kern w:val="0"/>
          <w:sz w:val="32"/>
          <w:szCs w:val="32"/>
          <w:lang w:eastAsia="zh-CN"/>
        </w:rPr>
        <w:t>发放的工资福利支出。</w:t>
      </w:r>
    </w:p>
    <w:p w14:paraId="27C83F28">
      <w:pPr>
        <w:spacing w:line="576" w:lineRule="atLeast"/>
        <w:ind w:firstLine="640" w:firstLineChars="200"/>
        <w:rPr>
          <w:rStyle w:val="18"/>
          <w:rFonts w:ascii="仿宋_GB2312" w:hAnsi="仿宋_GB2312" w:eastAsia="仿宋_GB2312"/>
          <w:b w:val="0"/>
          <w:color w:val="000000"/>
          <w:sz w:val="32"/>
          <w:szCs w:val="32"/>
        </w:rPr>
      </w:pPr>
      <w:r>
        <w:rPr>
          <w:rFonts w:ascii="仿宋_GB2312" w:eastAsia="仿宋_GB2312"/>
          <w:sz w:val="32"/>
          <w:szCs w:val="32"/>
        </w:rPr>
        <w:t>1</w:t>
      </w: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卫生健康（类）</w:t>
      </w:r>
      <w:r>
        <w:rPr>
          <w:rFonts w:hint="eastAsia" w:ascii="仿宋_GB2312" w:eastAsia="仿宋_GB2312"/>
          <w:sz w:val="32"/>
          <w:szCs w:val="32"/>
          <w:lang w:eastAsia="zh-CN"/>
        </w:rPr>
        <w:t>行政事业单位医疗</w:t>
      </w:r>
      <w:r>
        <w:rPr>
          <w:rFonts w:hint="eastAsia" w:ascii="仿宋_GB2312" w:eastAsia="仿宋_GB2312"/>
          <w:sz w:val="32"/>
          <w:szCs w:val="32"/>
        </w:rPr>
        <w:t>（款）</w:t>
      </w:r>
      <w:r>
        <w:rPr>
          <w:rFonts w:hint="eastAsia" w:ascii="仿宋_GB2312" w:eastAsia="仿宋_GB2312"/>
          <w:sz w:val="32"/>
          <w:szCs w:val="32"/>
          <w:lang w:eastAsia="zh-CN"/>
        </w:rPr>
        <w:t>事业单位医疗</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单位用于缴纳单位基本医疗保险支出</w:t>
      </w:r>
      <w:r>
        <w:rPr>
          <w:rStyle w:val="18"/>
          <w:rFonts w:hint="eastAsia" w:ascii="仿宋_GB2312" w:hAnsi="仿宋_GB2312" w:eastAsia="仿宋_GB2312" w:cs="仿宋_GB2312"/>
          <w:b w:val="0"/>
          <w:color w:val="000000"/>
          <w:sz w:val="32"/>
          <w:szCs w:val="32"/>
        </w:rPr>
        <w:t>。</w:t>
      </w:r>
    </w:p>
    <w:p w14:paraId="715EEEF4">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rPr>
        <w:t>卫生健康（类）</w:t>
      </w:r>
      <w:r>
        <w:rPr>
          <w:rFonts w:hint="eastAsia" w:ascii="仿宋_GB2312" w:eastAsia="仿宋_GB2312"/>
          <w:sz w:val="32"/>
          <w:szCs w:val="32"/>
          <w:lang w:eastAsia="zh-CN"/>
        </w:rPr>
        <w:t>行政事业单位医疗</w:t>
      </w:r>
      <w:r>
        <w:rPr>
          <w:rFonts w:hint="eastAsia" w:ascii="仿宋_GB2312" w:eastAsia="仿宋_GB2312"/>
          <w:sz w:val="32"/>
          <w:szCs w:val="32"/>
        </w:rPr>
        <w:t>（款）</w:t>
      </w:r>
      <w:r>
        <w:rPr>
          <w:rFonts w:hint="eastAsia" w:ascii="仿宋_GB2312" w:eastAsia="仿宋_GB2312"/>
          <w:sz w:val="32"/>
          <w:szCs w:val="32"/>
          <w:lang w:eastAsia="zh-CN"/>
        </w:rPr>
        <w:t>其他行政事业单位医疗</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单位用于缴纳单位医疗保险</w:t>
      </w:r>
      <w:r>
        <w:rPr>
          <w:rFonts w:hint="eastAsia" w:ascii="仿宋_GB2312" w:hAnsi="仿宋_GB2312" w:eastAsia="仿宋_GB2312" w:cs="仿宋_GB2312"/>
          <w:color w:val="000000"/>
          <w:kern w:val="0"/>
          <w:sz w:val="32"/>
          <w:szCs w:val="32"/>
          <w:lang w:eastAsia="zh-CN"/>
        </w:rPr>
        <w:t>补助</w:t>
      </w:r>
      <w:r>
        <w:rPr>
          <w:rFonts w:hint="eastAsia" w:ascii="仿宋_GB2312" w:hAnsi="仿宋_GB2312" w:eastAsia="仿宋_GB2312" w:cs="仿宋_GB2312"/>
          <w:color w:val="000000"/>
          <w:kern w:val="0"/>
          <w:sz w:val="32"/>
          <w:szCs w:val="32"/>
        </w:rPr>
        <w:t>支出</w:t>
      </w:r>
      <w:r>
        <w:rPr>
          <w:rStyle w:val="18"/>
          <w:rFonts w:hint="eastAsia" w:ascii="仿宋_GB2312" w:hAnsi="仿宋_GB2312" w:eastAsia="仿宋_GB2312" w:cs="仿宋_GB2312"/>
          <w:b w:val="0"/>
          <w:color w:val="000000"/>
          <w:sz w:val="32"/>
          <w:szCs w:val="32"/>
        </w:rPr>
        <w:t>。</w:t>
      </w:r>
    </w:p>
    <w:p w14:paraId="570FFE5C">
      <w:pPr>
        <w:spacing w:line="600" w:lineRule="exact"/>
        <w:ind w:firstLine="640"/>
        <w:rPr>
          <w:rFonts w:hint="eastAsia" w:ascii="仿宋_GB2312" w:eastAsia="仿宋_GB2312"/>
          <w:sz w:val="32"/>
          <w:szCs w:val="32"/>
        </w:rPr>
      </w:pPr>
      <w:r>
        <w:rPr>
          <w:rFonts w:hint="eastAsia" w:ascii="仿宋_GB2312" w:eastAsia="仿宋_GB2312"/>
          <w:sz w:val="32"/>
          <w:szCs w:val="32"/>
          <w:lang w:val="en-US" w:eastAsia="zh-CN"/>
        </w:rPr>
        <w:t>14</w:t>
      </w:r>
      <w:r>
        <w:rPr>
          <w:rFonts w:ascii="仿宋_GB2312" w:eastAsia="仿宋_GB2312"/>
          <w:sz w:val="32"/>
          <w:szCs w:val="32"/>
        </w:rPr>
        <w:t>.</w:t>
      </w:r>
      <w:r>
        <w:rPr>
          <w:rFonts w:hint="eastAsia" w:ascii="仿宋_GB2312" w:eastAsia="仿宋_GB2312"/>
          <w:sz w:val="32"/>
          <w:szCs w:val="32"/>
        </w:rPr>
        <w:t>住房保障（类）</w:t>
      </w:r>
      <w:r>
        <w:rPr>
          <w:rFonts w:hint="eastAsia" w:ascii="仿宋_GB2312" w:eastAsia="仿宋_GB2312"/>
          <w:sz w:val="32"/>
          <w:szCs w:val="32"/>
          <w:lang w:eastAsia="zh-CN"/>
        </w:rPr>
        <w:t>住房改革</w:t>
      </w:r>
      <w:r>
        <w:rPr>
          <w:rFonts w:hint="eastAsia" w:ascii="仿宋_GB2312" w:eastAsia="仿宋_GB2312"/>
          <w:sz w:val="32"/>
          <w:szCs w:val="32"/>
        </w:rPr>
        <w:t>（款）</w:t>
      </w:r>
      <w:r>
        <w:rPr>
          <w:rFonts w:hint="eastAsia" w:ascii="仿宋_GB2312" w:eastAsia="仿宋_GB2312"/>
          <w:sz w:val="32"/>
          <w:szCs w:val="32"/>
          <w:lang w:eastAsia="zh-CN"/>
        </w:rPr>
        <w:t>住房公积金</w:t>
      </w:r>
      <w:r>
        <w:rPr>
          <w:rFonts w:hint="eastAsia" w:ascii="仿宋_GB2312" w:eastAsia="仿宋_GB2312"/>
          <w:sz w:val="32"/>
          <w:szCs w:val="32"/>
        </w:rPr>
        <w:t>（项）：</w:t>
      </w:r>
      <w:r>
        <w:rPr>
          <w:rStyle w:val="18"/>
          <w:rFonts w:hint="eastAsia" w:ascii="仿宋_GB2312" w:hAnsi="仿宋_GB2312" w:eastAsia="仿宋_GB2312" w:cs="仿宋_GB2312"/>
          <w:b w:val="0"/>
          <w:color w:val="000000"/>
          <w:sz w:val="32"/>
          <w:szCs w:val="32"/>
        </w:rPr>
        <w:t>指</w:t>
      </w:r>
      <w:r>
        <w:rPr>
          <w:rFonts w:hint="eastAsia" w:ascii="仿宋_GB2312" w:hAnsi="仿宋_GB2312" w:eastAsia="仿宋_GB2312" w:cs="仿宋_GB2312"/>
          <w:color w:val="000000"/>
          <w:kern w:val="0"/>
          <w:sz w:val="32"/>
          <w:szCs w:val="32"/>
        </w:rPr>
        <w:t>反映行政事业单位按规定为职工缴纳的住房公积金</w:t>
      </w:r>
      <w:r>
        <w:rPr>
          <w:rFonts w:hint="eastAsia" w:ascii="仿宋_GB2312" w:eastAsia="仿宋_GB2312"/>
          <w:sz w:val="32"/>
          <w:szCs w:val="32"/>
        </w:rPr>
        <w:t>。</w:t>
      </w:r>
    </w:p>
    <w:p w14:paraId="471662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02E0A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E6553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169F69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A50DD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12681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77226"/>
      <w:bookmarkStart w:id="5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3165BAB">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eastAsia="黑体"/>
          <w:b w:val="0"/>
          <w:color w:val="auto"/>
          <w:highlight w:val="none"/>
          <w:lang w:eastAsia="zh-CN"/>
        </w:rPr>
        <w:t>四</w:t>
      </w:r>
      <w:r>
        <w:rPr>
          <w:rStyle w:val="29"/>
          <w:rFonts w:hint="eastAsia" w:ascii="Times New Roman" w:hAnsi="Times New Roman" w:eastAsia="黑体"/>
          <w:b w:val="0"/>
          <w:color w:val="auto"/>
          <w:highlight w:val="none"/>
        </w:rPr>
        <w:t>部分 附表</w:t>
      </w:r>
      <w:bookmarkEnd w:id="51"/>
      <w:bookmarkEnd w:id="52"/>
      <w:bookmarkStart w:id="53" w:name="_Toc15396619"/>
    </w:p>
    <w:p w14:paraId="2DA788B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68EB2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3"/>
    </w:p>
    <w:p w14:paraId="6AB79E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0"/>
      <w:r>
        <w:rPr>
          <w:rFonts w:hint="eastAsia" w:ascii="Times New Roman" w:hAnsi="Times New Roman" w:eastAsia="仿宋_GB2312" w:cs="仿宋_GB2312"/>
          <w:color w:val="auto"/>
          <w:sz w:val="32"/>
          <w:szCs w:val="32"/>
          <w:highlight w:val="none"/>
        </w:rPr>
        <w:t>二、收入决算表</w:t>
      </w:r>
      <w:bookmarkEnd w:id="54"/>
    </w:p>
    <w:p w14:paraId="5275768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1"/>
      <w:r>
        <w:rPr>
          <w:rFonts w:hint="eastAsia" w:ascii="Times New Roman" w:hAnsi="Times New Roman" w:eastAsia="仿宋_GB2312" w:cs="仿宋_GB2312"/>
          <w:color w:val="auto"/>
          <w:sz w:val="32"/>
          <w:szCs w:val="32"/>
          <w:highlight w:val="none"/>
        </w:rPr>
        <w:t>三、支出决算表</w:t>
      </w:r>
      <w:bookmarkEnd w:id="55"/>
    </w:p>
    <w:p w14:paraId="0DADD3D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2"/>
      <w:r>
        <w:rPr>
          <w:rFonts w:hint="eastAsia" w:ascii="Times New Roman" w:hAnsi="Times New Roman" w:eastAsia="仿宋_GB2312" w:cs="仿宋_GB2312"/>
          <w:color w:val="auto"/>
          <w:sz w:val="32"/>
          <w:szCs w:val="32"/>
          <w:highlight w:val="none"/>
        </w:rPr>
        <w:t>四、财政拨款收入支出决算总表</w:t>
      </w:r>
      <w:bookmarkEnd w:id="56"/>
    </w:p>
    <w:p w14:paraId="2865EF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3"/>
      <w:r>
        <w:rPr>
          <w:rFonts w:hint="eastAsia" w:ascii="Times New Roman" w:hAnsi="Times New Roman" w:eastAsia="仿宋_GB2312" w:cs="仿宋_GB2312"/>
          <w:color w:val="auto"/>
          <w:sz w:val="32"/>
          <w:szCs w:val="32"/>
          <w:highlight w:val="none"/>
        </w:rPr>
        <w:t>五、财政拨款支出决算明细表</w:t>
      </w:r>
      <w:bookmarkEnd w:id="57"/>
      <w:bookmarkStart w:id="58" w:name="_Toc15396624"/>
    </w:p>
    <w:p w14:paraId="13D5980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8"/>
    </w:p>
    <w:p w14:paraId="26FE08F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5"/>
      <w:r>
        <w:rPr>
          <w:rFonts w:hint="eastAsia" w:ascii="Times New Roman" w:hAnsi="Times New Roman" w:eastAsia="仿宋_GB2312" w:cs="仿宋_GB2312"/>
          <w:color w:val="auto"/>
          <w:sz w:val="32"/>
          <w:szCs w:val="32"/>
          <w:highlight w:val="none"/>
        </w:rPr>
        <w:t>七、一般公共预算财政拨款支出决算明细表</w:t>
      </w:r>
      <w:bookmarkEnd w:id="59"/>
    </w:p>
    <w:p w14:paraId="4563EE3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6"/>
      <w:r>
        <w:rPr>
          <w:rFonts w:hint="eastAsia" w:ascii="Times New Roman" w:hAnsi="Times New Roman" w:eastAsia="仿宋_GB2312" w:cs="仿宋_GB2312"/>
          <w:color w:val="auto"/>
          <w:sz w:val="32"/>
          <w:szCs w:val="32"/>
          <w:highlight w:val="none"/>
        </w:rPr>
        <w:t>八、一般公共预算财政拨款基本支出决算表</w:t>
      </w:r>
      <w:bookmarkEnd w:id="60"/>
    </w:p>
    <w:p w14:paraId="12D28AE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7"/>
      <w:r>
        <w:rPr>
          <w:rFonts w:hint="eastAsia" w:ascii="Times New Roman" w:hAnsi="Times New Roman" w:eastAsia="仿宋_GB2312" w:cs="仿宋_GB2312"/>
          <w:color w:val="auto"/>
          <w:sz w:val="32"/>
          <w:szCs w:val="32"/>
          <w:highlight w:val="none"/>
        </w:rPr>
        <w:t>九、一般公共预算财政拨款项目支出决算表</w:t>
      </w:r>
      <w:bookmarkEnd w:id="61"/>
    </w:p>
    <w:p w14:paraId="06D3BC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8"/>
      <w:r>
        <w:rPr>
          <w:rFonts w:hint="eastAsia" w:ascii="Times New Roman" w:hAnsi="Times New Roman" w:eastAsia="仿宋_GB2312" w:cs="仿宋_GB2312"/>
          <w:color w:val="auto"/>
          <w:sz w:val="32"/>
          <w:szCs w:val="32"/>
          <w:highlight w:val="none"/>
        </w:rPr>
        <w:t>十、</w:t>
      </w:r>
      <w:bookmarkEnd w:id="62"/>
      <w:r>
        <w:rPr>
          <w:rFonts w:hint="eastAsia" w:ascii="Times New Roman" w:hAnsi="Times New Roman" w:eastAsia="仿宋_GB2312" w:cs="仿宋_GB2312"/>
          <w:color w:val="auto"/>
          <w:sz w:val="32"/>
          <w:szCs w:val="32"/>
          <w:highlight w:val="none"/>
        </w:rPr>
        <w:t>政府性基金预算财政拨款收入支出决算表</w:t>
      </w:r>
    </w:p>
    <w:p w14:paraId="6BDEFA5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9"/>
      <w:r>
        <w:rPr>
          <w:rFonts w:hint="eastAsia" w:ascii="Times New Roman" w:hAnsi="Times New Roman" w:eastAsia="仿宋_GB2312" w:cs="仿宋_GB2312"/>
          <w:color w:val="auto"/>
          <w:sz w:val="32"/>
          <w:szCs w:val="32"/>
          <w:highlight w:val="none"/>
        </w:rPr>
        <w:t>十一、</w:t>
      </w:r>
      <w:bookmarkEnd w:id="6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772F3A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30"/>
      <w:r>
        <w:rPr>
          <w:rFonts w:hint="eastAsia" w:ascii="Times New Roman" w:hAnsi="Times New Roman" w:eastAsia="仿宋_GB2312" w:cs="仿宋_GB2312"/>
          <w:color w:val="auto"/>
          <w:sz w:val="32"/>
          <w:szCs w:val="32"/>
          <w:highlight w:val="none"/>
        </w:rPr>
        <w:t>十二、</w:t>
      </w:r>
      <w:bookmarkEnd w:id="64"/>
      <w:r>
        <w:rPr>
          <w:rFonts w:hint="eastAsia" w:ascii="Times New Roman" w:hAnsi="Times New Roman" w:eastAsia="仿宋_GB2312" w:cs="仿宋_GB2312"/>
          <w:color w:val="auto"/>
          <w:sz w:val="32"/>
          <w:szCs w:val="32"/>
          <w:highlight w:val="none"/>
          <w:lang w:eastAsia="zh-CN"/>
        </w:rPr>
        <w:t>国有资本经营预算财政拨款支出决算表</w:t>
      </w:r>
    </w:p>
    <w:p w14:paraId="4FA5F26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5" w:name="_Toc15396631"/>
      <w:r>
        <w:rPr>
          <w:rFonts w:hint="eastAsia" w:ascii="Times New Roman" w:hAnsi="Times New Roman" w:eastAsia="仿宋_GB2312" w:cs="仿宋_GB2312"/>
          <w:color w:val="auto"/>
          <w:sz w:val="32"/>
          <w:szCs w:val="32"/>
          <w:highlight w:val="none"/>
        </w:rPr>
        <w:t>十三、</w:t>
      </w:r>
      <w:bookmarkEnd w:id="65"/>
      <w:r>
        <w:rPr>
          <w:rFonts w:hint="eastAsia" w:ascii="Times New Roman" w:hAnsi="Times New Roman" w:eastAsia="仿宋_GB2312" w:cs="仿宋_GB2312"/>
          <w:color w:val="auto"/>
          <w:sz w:val="32"/>
          <w:szCs w:val="32"/>
          <w:highlight w:val="none"/>
          <w:lang w:eastAsia="zh-CN"/>
        </w:rPr>
        <w:t>财政拨款“三公”经费支出决算表</w:t>
      </w:r>
    </w:p>
    <w:p w14:paraId="6B91E882">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4E1D569-7DBE-48E7-A169-B6F087A2A0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C3CBB50-6289-4E38-8A13-ABA00E4F8E86}"/>
  </w:font>
  <w:font w:name="仿宋">
    <w:panose1 w:val="02010609060101010101"/>
    <w:charset w:val="86"/>
    <w:family w:val="modern"/>
    <w:pitch w:val="default"/>
    <w:sig w:usb0="800002BF" w:usb1="38CF7CFA" w:usb2="00000016" w:usb3="00000000" w:csb0="00040001" w:csb1="00000000"/>
    <w:embedRegular r:id="rId3" w:fontKey="{20EA13A1-B324-4750-BF93-2C2D9DB954E0}"/>
  </w:font>
  <w:font w:name="??">
    <w:altName w:val="Courier New"/>
    <w:panose1 w:val="00000000000000000000"/>
    <w:charset w:val="00"/>
    <w:family w:val="roman"/>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4" w:fontKey="{3C232144-F85B-409F-B009-68630EF8A4FD}"/>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E6512AF3-0E6B-4EA1-ADC0-1D2119E3B6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EEC5F">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0B1E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80B1E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1C7F71D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0F2D">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3F63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EA3F63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357D2">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DC9B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D3DC9B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308E8BE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71ED4">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3466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263466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2A334">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D48FA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5D48FA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19261095">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49E">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2490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972490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509E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F128B3"/>
    <w:multiLevelType w:val="singleLevel"/>
    <w:tmpl w:val="ECF128B3"/>
    <w:lvl w:ilvl="0" w:tentative="0">
      <w:start w:val="1"/>
      <w:numFmt w:val="chineseCounting"/>
      <w:suff w:val="nothing"/>
      <w:lvlText w:val="%1、"/>
      <w:lvlJc w:val="left"/>
      <w:rPr>
        <w:rFonts w:hint="eastAsia"/>
      </w:rPr>
    </w:lvl>
  </w:abstractNum>
  <w:abstractNum w:abstractNumId="1">
    <w:nsid w:val="59B878A8"/>
    <w:multiLevelType w:val="singleLevel"/>
    <w:tmpl w:val="59B878A8"/>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377BA3"/>
    <w:rsid w:val="1B7D550C"/>
    <w:rsid w:val="1BE8440E"/>
    <w:rsid w:val="1D155CEE"/>
    <w:rsid w:val="1DE178F3"/>
    <w:rsid w:val="1E740ACF"/>
    <w:rsid w:val="1ED9449A"/>
    <w:rsid w:val="1FF35744"/>
    <w:rsid w:val="1FF6BC77"/>
    <w:rsid w:val="21962A9E"/>
    <w:rsid w:val="21AE7C77"/>
    <w:rsid w:val="22BC3C41"/>
    <w:rsid w:val="23735D67"/>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2022817"/>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0D26DE"/>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74D3C"/>
    <w:rsid w:val="72233669"/>
    <w:rsid w:val="72734D90"/>
    <w:rsid w:val="7332FE48"/>
    <w:rsid w:val="73AB61DA"/>
    <w:rsid w:val="73AD73D5"/>
    <w:rsid w:val="73B6EB34"/>
    <w:rsid w:val="73FA497D"/>
    <w:rsid w:val="744731E5"/>
    <w:rsid w:val="74527205"/>
    <w:rsid w:val="74BBD01D"/>
    <w:rsid w:val="74ED5379"/>
    <w:rsid w:val="74FC2395"/>
    <w:rsid w:val="752C0E78"/>
    <w:rsid w:val="75DEEEC2"/>
    <w:rsid w:val="76E3355F"/>
    <w:rsid w:val="76FF5125"/>
    <w:rsid w:val="776F6FFA"/>
    <w:rsid w:val="778769C8"/>
    <w:rsid w:val="77DC22F5"/>
    <w:rsid w:val="79086DAD"/>
    <w:rsid w:val="79974F09"/>
    <w:rsid w:val="79D7FD79"/>
    <w:rsid w:val="79EE5BA4"/>
    <w:rsid w:val="7A0A15B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keepNext w:val="0"/>
      <w:keepLines w:val="0"/>
      <w:widowControl w:val="0"/>
      <w:suppressLineNumbers w:val="0"/>
      <w:suppressAutoHyphens/>
      <w:ind w:left="400" w:leftChars="200" w:hanging="200" w:hangingChars="200"/>
      <w:jc w:val="both"/>
    </w:pPr>
    <w:rPr>
      <w:rFonts w:hint="default" w:ascii="Calibri" w:hAnsi="Calibri" w:eastAsia="宋体" w:cs="Arial"/>
      <w:kern w:val="2"/>
      <w:sz w:val="21"/>
      <w:szCs w:val="21"/>
      <w:lang w:val="en-US" w:eastAsia="zh-CN" w:bidi="ar"/>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2025年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[工作簿1]Sheet1!$B$1:$C$1</c:f>
              <c:strCache>
                <c:ptCount val="2"/>
                <c:pt idx="0">
                  <c:v>收入（万元）</c:v>
                </c:pt>
                <c:pt idx="1">
                  <c:v>支出（万元）</c:v>
                </c:pt>
              </c:strCache>
            </c:strRef>
          </c:cat>
          <c:val>
            <c:numRef>
              <c:f>[工作簿1]Sheet1!$B$2:$C$2</c:f>
              <c:numCache>
                <c:formatCode>General</c:formatCode>
                <c:ptCount val="2"/>
                <c:pt idx="0">
                  <c:v>587.86</c:v>
                </c:pt>
                <c:pt idx="1">
                  <c:v>587.86</c:v>
                </c:pt>
              </c:numCache>
            </c:numRef>
          </c:val>
        </c:ser>
        <c:ser>
          <c:idx val="1"/>
          <c:order val="1"/>
          <c:tx>
            <c:strRef>
              <c:f>[工作簿1]Sheet1!$A$3</c:f>
              <c:strCache>
                <c:ptCount val="1"/>
                <c:pt idx="0">
                  <c:v>2024年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[工作簿1]Sheet1!$B$1:$C$1</c:f>
              <c:strCache>
                <c:ptCount val="2"/>
                <c:pt idx="0">
                  <c:v>收入（万元）</c:v>
                </c:pt>
                <c:pt idx="1">
                  <c:v>支出（万元）</c:v>
                </c:pt>
              </c:strCache>
            </c:strRef>
          </c:cat>
          <c:val>
            <c:numRef>
              <c:f>[工作簿1]Sheet1!$B$3:$C$3</c:f>
              <c:numCache>
                <c:formatCode>#,##0.00</c:formatCode>
                <c:ptCount val="2"/>
                <c:pt idx="0">
                  <c:v>599.52</c:v>
                </c:pt>
                <c:pt idx="1">
                  <c:v>599.52</c:v>
                </c:pt>
              </c:numCache>
            </c:numRef>
          </c:val>
        </c:ser>
        <c:dLbls>
          <c:showLegendKey val="0"/>
          <c:showVal val="1"/>
          <c:showCatName val="0"/>
          <c:showSerName val="0"/>
          <c:showPercent val="0"/>
          <c:showBubbleSize val="0"/>
        </c:dLbls>
        <c:gapWidth val="150"/>
        <c:overlap val="0"/>
        <c:axId val="163415498"/>
        <c:axId val="240005690"/>
      </c:barChart>
      <c:catAx>
        <c:axId val="16341549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40005690"/>
        <c:crosses val="autoZero"/>
        <c:auto val="1"/>
        <c:lblAlgn val="ctr"/>
        <c:lblOffset val="100"/>
        <c:noMultiLvlLbl val="0"/>
      </c:catAx>
      <c:valAx>
        <c:axId val="240005690"/>
        <c:scaling>
          <c:orientation val="minMax"/>
        </c:scaling>
        <c:delete val="0"/>
        <c:axPos val="l"/>
        <c:numFmt formatCode="General" sourceLinked="1"/>
        <c:majorTickMark val="none"/>
        <c:minorTickMark val="none"/>
        <c:tickLblPos val="nextTo"/>
        <c:spPr>
          <a:noFill/>
          <a:ln w="6350">
            <a:solidFill>
              <a:schemeClr val="tx1">
                <a:lumMod val="50000"/>
                <a:lumOff val="50000"/>
                <a:alpha val="2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16341549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Table>
      <c:spPr>
        <a:noFill/>
        <a:ln>
          <a:noFill/>
        </a:ln>
        <a:effectLst/>
      </c:spPr>
    </c:plotArea>
    <c:plotVisOnly val="1"/>
    <c:dispBlanksAs val="gap"/>
    <c:showDLblsOverMax val="0"/>
    <c:extLst>
      <c:ext uri="{0b15fc19-7d7d-44ad-8c2d-2c3a37ce22c3}">
        <chartProps xmlns="https://web.wps.cn/et/2018/main" chartId="{593cf376-6dea-444c-a6a5-656b29a7196f}"/>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[工作簿1]Sheet1!$A$6:$H$6</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[工作簿1]Sheet1!$A$7:$H$7</c:f>
              <c:numCache>
                <c:formatCode>General</c:formatCode>
                <c:ptCount val="8"/>
                <c:pt idx="0">
                  <c:v>587.86</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36246d-2a4d-4f80-9a80-641e389aaad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Pt>
            <c:idx val="3"/>
            <c:bubble3D val="0"/>
            <c:spPr>
              <a:solidFill>
                <a:schemeClr val="accent2">
                  <a:lumMod val="60000"/>
                </a:schemeClr>
              </a:solidFill>
              <a:ln w="19050">
                <a:solidFill>
                  <a:schemeClr val="lt1"/>
                </a:solidFill>
              </a:ln>
              <a:effectLst/>
            </c:spPr>
          </c:dPt>
          <c:dPt>
            <c:idx val="4"/>
            <c:bubble3D val="0"/>
            <c:spPr>
              <a:solidFill>
                <a:schemeClr val="accent4">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[工作簿1]Sheet1!$A$15:$E$15</c:f>
              <c:strCache>
                <c:ptCount val="5"/>
                <c:pt idx="0">
                  <c:v>基本支出</c:v>
                </c:pt>
                <c:pt idx="1">
                  <c:v>项目支出</c:v>
                </c:pt>
                <c:pt idx="2">
                  <c:v>上缴上级支出</c:v>
                </c:pt>
                <c:pt idx="3">
                  <c:v>经营支出</c:v>
                </c:pt>
                <c:pt idx="4">
                  <c:v>对附属单位补助支出</c:v>
                </c:pt>
              </c:strCache>
            </c:strRef>
          </c:cat>
          <c:val>
            <c:numRef>
              <c:f>[工作簿1]Sheet1!$A$16:$E$16</c:f>
              <c:numCache>
                <c:formatCode>General</c:formatCode>
                <c:ptCount val="5"/>
                <c:pt idx="0">
                  <c:v>572.08</c:v>
                </c:pt>
                <c:pt idx="1">
                  <c:v>15.78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85a269-aabc-4e1b-83af-aab314deb4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[工作簿1]Sheet1!$A$2</c:f>
              <c:strCache>
                <c:ptCount val="1"/>
                <c:pt idx="0">
                  <c:v>2025年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[工作簿1]Sheet1!$B$1:$C$1</c:f>
              <c:strCache>
                <c:ptCount val="2"/>
                <c:pt idx="0">
                  <c:v>收入（万元）</c:v>
                </c:pt>
                <c:pt idx="1">
                  <c:v>支出（万元）</c:v>
                </c:pt>
              </c:strCache>
            </c:strRef>
          </c:cat>
          <c:val>
            <c:numRef>
              <c:f>[工作簿1]Sheet1!$B$2:$C$2</c:f>
              <c:numCache>
                <c:formatCode>General</c:formatCode>
                <c:ptCount val="2"/>
                <c:pt idx="0">
                  <c:v>587.86</c:v>
                </c:pt>
                <c:pt idx="1">
                  <c:v>587.86</c:v>
                </c:pt>
              </c:numCache>
            </c:numRef>
          </c:val>
        </c:ser>
        <c:ser>
          <c:idx val="1"/>
          <c:order val="1"/>
          <c:tx>
            <c:strRef>
              <c:f>[工作簿1]Sheet1!$A$3</c:f>
              <c:strCache>
                <c:ptCount val="1"/>
                <c:pt idx="0">
                  <c:v>2024年</c:v>
                </c:pt>
              </c:strCache>
            </c:strRef>
          </c:tx>
          <c:spPr>
            <a:solidFill>
              <a:schemeClr val="accent4"/>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[工作簿1]Sheet1!$B$1:$C$1</c:f>
              <c:strCache>
                <c:ptCount val="2"/>
                <c:pt idx="0">
                  <c:v>收入（万元）</c:v>
                </c:pt>
                <c:pt idx="1">
                  <c:v>支出（万元）</c:v>
                </c:pt>
              </c:strCache>
            </c:strRef>
          </c:cat>
          <c:val>
            <c:numRef>
              <c:f>[工作簿1]Sheet1!$B$3:$C$3</c:f>
              <c:numCache>
                <c:formatCode>#,##0.00</c:formatCode>
                <c:ptCount val="2"/>
                <c:pt idx="0">
                  <c:v>599.52</c:v>
                </c:pt>
                <c:pt idx="1">
                  <c:v>599.52</c:v>
                </c:pt>
              </c:numCache>
            </c:numRef>
          </c:val>
        </c:ser>
        <c:dLbls>
          <c:showLegendKey val="0"/>
          <c:showVal val="1"/>
          <c:showCatName val="0"/>
          <c:showSerName val="0"/>
          <c:showPercent val="0"/>
          <c:showBubbleSize val="0"/>
        </c:dLbls>
        <c:gapWidth val="150"/>
        <c:overlap val="0"/>
        <c:axId val="163415498"/>
        <c:axId val="240005690"/>
      </c:barChart>
      <c:catAx>
        <c:axId val="163415498"/>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40005690"/>
        <c:crosses val="autoZero"/>
        <c:auto val="1"/>
        <c:lblAlgn val="ctr"/>
        <c:lblOffset val="100"/>
        <c:noMultiLvlLbl val="0"/>
      </c:catAx>
      <c:valAx>
        <c:axId val="240005690"/>
        <c:scaling>
          <c:orientation val="minMax"/>
        </c:scaling>
        <c:delete val="0"/>
        <c:axPos val="l"/>
        <c:numFmt formatCode="General" sourceLinked="1"/>
        <c:majorTickMark val="none"/>
        <c:minorTickMark val="none"/>
        <c:tickLblPos val="nextTo"/>
        <c:spPr>
          <a:noFill/>
          <a:ln w="6350">
            <a:solidFill>
              <a:schemeClr val="tx1">
                <a:lumMod val="50000"/>
                <a:lumOff val="50000"/>
                <a:alpha val="2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16341549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Table>
      <c:spPr>
        <a:noFill/>
        <a:ln>
          <a:noFill/>
        </a:ln>
        <a:effectLst/>
      </c:spPr>
    </c:plotArea>
    <c:plotVisOnly val="1"/>
    <c:dispBlanksAs val="gap"/>
    <c:showDLblsOverMax val="0"/>
    <c:extLst>
      <c:ext uri="{0b15fc19-7d7d-44ad-8c2d-2c3a37ce22c3}">
        <chartProps xmlns="https://web.wps.cn/et/2018/main" chartId="{9a7725b7-a30c-4676-bd36-0b27c3cd08f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[工作簿1]Sheet1!$A$23:$B$23</c:f>
              <c:strCache>
                <c:ptCount val="2"/>
                <c:pt idx="0">
                  <c:v>2024年</c:v>
                </c:pt>
                <c:pt idx="1">
                  <c:v>2025年</c:v>
                </c:pt>
              </c:strCache>
            </c:strRef>
          </c:cat>
          <c:val>
            <c:numRef>
              <c:f>[工作簿1]Sheet1!$A$24:$B$24</c:f>
              <c:numCache>
                <c:formatCode>#,##0.00</c:formatCode>
                <c:ptCount val="2"/>
                <c:pt idx="0">
                  <c:v>599.52</c:v>
                </c:pt>
                <c:pt idx="1" c:formatCode="General">
                  <c:v>587.86</c:v>
                </c:pt>
              </c:numCache>
            </c:numRef>
          </c:val>
        </c:ser>
        <c:dLbls>
          <c:showLegendKey val="0"/>
          <c:showVal val="1"/>
          <c:showCatName val="0"/>
          <c:showSerName val="0"/>
          <c:showPercent val="0"/>
          <c:showBubbleSize val="0"/>
        </c:dLbls>
        <c:gapWidth val="219"/>
        <c:overlap val="-27"/>
        <c:axId val="23670135"/>
        <c:axId val="818903914"/>
      </c:barChart>
      <c:catAx>
        <c:axId val="236701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903914"/>
        <c:crosses val="autoZero"/>
        <c:auto val="1"/>
        <c:lblAlgn val="ctr"/>
        <c:lblOffset val="100"/>
        <c:noMultiLvlLbl val="0"/>
      </c:catAx>
      <c:valAx>
        <c:axId val="8189039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70135"/>
        <c:crosses val="autoZero"/>
        <c:crossBetween val="between"/>
      </c:valAx>
      <c:spPr>
        <a:noFill/>
        <a:ln>
          <a:noFill/>
        </a:ln>
        <a:effectLst/>
      </c:spPr>
    </c:plotArea>
    <c:plotVisOnly val="1"/>
    <c:dispBlanksAs val="gap"/>
    <c:showDLblsOverMax val="0"/>
    <c:extLst>
      <c:ext uri="{0b15fc19-7d7d-44ad-8c2d-2c3a37ce22c3}">
        <chartProps xmlns="https://web.wps.cn/et/2018/main" chartId="{2a00d2d7-ef24-47a9-8888-909a9bf31e0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spPr/>
          <c:explosion val="0"/>
          <c:dPt>
            <c:idx val="0"/>
            <c:bubble3D val="0"/>
            <c:spPr>
              <a:solidFill>
                <a:schemeClr val="accent2"/>
              </a:solidFill>
              <a:ln w="19050">
                <a:solidFill>
                  <a:schemeClr val="lt1"/>
                </a:solidFill>
              </a:ln>
              <a:effectLst/>
            </c:spPr>
          </c:dPt>
          <c:dPt>
            <c:idx val="1"/>
            <c:bubble3D val="0"/>
            <c:spPr>
              <a:solidFill>
                <a:schemeClr val="accent4"/>
              </a:solidFill>
              <a:ln w="19050">
                <a:solidFill>
                  <a:schemeClr val="lt1"/>
                </a:solidFill>
              </a:ln>
              <a:effectLst/>
            </c:spPr>
          </c:dPt>
          <c:dPt>
            <c:idx val="2"/>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[工作簿1]Sheet1!$B$26:$D$26</c:f>
              <c:strCache>
                <c:ptCount val="3"/>
                <c:pt idx="0">
                  <c:v>社会保障和就业支出</c:v>
                </c:pt>
                <c:pt idx="1">
                  <c:v>卫生健康支出</c:v>
                </c:pt>
                <c:pt idx="2">
                  <c:v>住房保障支出</c:v>
                </c:pt>
              </c:strCache>
            </c:strRef>
          </c:cat>
          <c:val>
            <c:numRef>
              <c:f>[工作簿1]Sheet1!$B$27:$D$27</c:f>
              <c:numCache>
                <c:formatCode>General</c:formatCode>
                <c:ptCount val="3"/>
                <c:pt idx="0">
                  <c:v>521.7</c:v>
                </c:pt>
                <c:pt idx="1">
                  <c:v>26.93</c:v>
                </c:pt>
                <c:pt idx="2">
                  <c:v>39.24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15db50-90f0-457d-b828-54f479d9437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a3f8ae-0cb4-45c9-95fd-87c2eaed14d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4551</Words>
  <Characters>4946</Characters>
  <Lines>61</Lines>
  <Paragraphs>17</Paragraphs>
  <TotalTime>66</TotalTime>
  <ScaleCrop>false</ScaleCrop>
  <LinksUpToDate>false</LinksUpToDate>
  <CharactersWithSpaces>5001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2026-10-14T07:06:44Z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4BA2A9A086F147F7BCEAB0BE45857F23_13</vt:lpwstr>
  </property>
  <property fmtid="{D5CDD505-2E9C-101B-9397-08002B2CF9AE}" pid="4" name="KSOTemplateDocerSaveRecord">
    <vt:lpwstr>eyJoZGlkIjoiNTU1MWNhN2ZmY2ZhZmY3ODhlYTg0MWU5OGMyY2QwZmUiLCJ1c2VySWQiOiI0MzQ2NTM0NzEifQ==</vt:lpwstr>
  </property>
</Properties>
</file>