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25805">
      <w:pPr>
        <w:rPr>
          <w:rFonts w:ascii="Times New Roman" w:hAnsi="Times New Roman"/>
        </w:rPr>
      </w:pPr>
      <w:bookmarkStart w:id="0" w:name="_Toc15396597"/>
      <w:bookmarkStart w:id="1" w:name="_Toc15377425"/>
      <w:bookmarkStart w:id="2" w:name="_Toc15396475"/>
      <w:bookmarkStart w:id="3" w:name="_Toc15377193"/>
      <w:bookmarkStart w:id="4" w:name="_Toc15378441"/>
      <w:bookmarkStart w:id="5" w:name="_Toc15306267"/>
    </w:p>
    <w:p w14:paraId="0ECEDB62">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04A9F69F">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9A9284B">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AE6BB6A">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1B32851D">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96598"/>
      <w:bookmarkStart w:id="9" w:name="_Toc15396476"/>
      <w:bookmarkStart w:id="10" w:name="_Toc15377426"/>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松潘县公安局单位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6C62DA48">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0A03EA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10D0299">
      <w:pPr>
        <w:widowControl/>
        <w:jc w:val="center"/>
        <w:rPr>
          <w:rFonts w:ascii="Times New Roman" w:hAnsi="Times New Roman" w:eastAsia="黑体" w:cstheme="minorBidi"/>
          <w:color w:val="auto"/>
          <w:sz w:val="28"/>
          <w:szCs w:val="28"/>
          <w:highlight w:val="none"/>
        </w:rPr>
      </w:pPr>
    </w:p>
    <w:p w14:paraId="5D79A3A3">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03EEFD9D">
      <w:pPr>
        <w:rPr>
          <w:rFonts w:ascii="Times New Roman" w:hAnsi="Times New Roman"/>
          <w:color w:val="auto"/>
          <w:highlight w:val="none"/>
        </w:rPr>
      </w:pPr>
    </w:p>
    <w:p w14:paraId="78F2094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14:paraId="25114C4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1C8E428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.....................................................................3</w:t>
      </w:r>
    </w:p>
    <w:p w14:paraId="717BA84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仿宋_GB2312" w:cs="仿宋_GB2312"/>
          <w:color w:val="auto"/>
          <w:kern w:val="2"/>
          <w:sz w:val="32"/>
          <w:szCs w:val="32"/>
          <w:highlight w:val="none"/>
          <w:lang w:val="en-US" w:eastAsia="zh-CN" w:bidi="ar-SA"/>
        </w:rPr>
        <w:t>..................................4</w:t>
      </w:r>
    </w:p>
    <w:p w14:paraId="7CC1EF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.....................................4</w:t>
      </w:r>
    </w:p>
    <w:p w14:paraId="39E2C5B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.....................................................4</w:t>
      </w:r>
    </w:p>
    <w:p w14:paraId="17734D7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.....................................................5</w:t>
      </w:r>
    </w:p>
    <w:p w14:paraId="7D459C5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.....................6</w:t>
      </w:r>
    </w:p>
    <w:p w14:paraId="4B9FF1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.............6</w:t>
      </w:r>
    </w:p>
    <w:p w14:paraId="71EF322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bookmarkStart w:id="68" w:name="_GoBack"/>
      <w:r>
        <w:rPr>
          <w:rFonts w:hint="eastAsia" w:eastAsia="仿宋_GB2312" w:cs="仿宋_GB2312"/>
          <w:color w:val="auto"/>
          <w:sz w:val="32"/>
          <w:szCs w:val="32"/>
          <w:highlight w:val="none"/>
          <w:lang w:eastAsia="zh-CN"/>
        </w:rPr>
        <w:t>……</w:t>
      </w:r>
      <w:bookmarkEnd w:id="68"/>
      <w:r>
        <w:rPr>
          <w:rFonts w:hint="eastAsia" w:eastAsia="仿宋_GB2312" w:cs="仿宋_GB2312"/>
          <w:color w:val="auto"/>
          <w:sz w:val="32"/>
          <w:szCs w:val="32"/>
          <w:highlight w:val="none"/>
          <w:lang w:val="en-US" w:eastAsia="zh-CN"/>
        </w:rPr>
        <w:t>8</w:t>
      </w:r>
    </w:p>
    <w:p w14:paraId="753C6CB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.............9</w:t>
      </w:r>
    </w:p>
    <w:p w14:paraId="12147FE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.......................11</w:t>
      </w:r>
    </w:p>
    <w:p w14:paraId="6A76D1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...................11</w:t>
      </w:r>
    </w:p>
    <w:p w14:paraId="6AAC07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.......................................11</w:t>
      </w:r>
    </w:p>
    <w:p w14:paraId="2404A9B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仿宋_GB2312" w:cs="仿宋_GB2312"/>
          <w:color w:val="auto"/>
          <w:kern w:val="2"/>
          <w:sz w:val="32"/>
          <w:szCs w:val="32"/>
          <w:highlight w:val="none"/>
          <w:lang w:val="en-US" w:eastAsia="zh-CN" w:bidi="ar-SA"/>
        </w:rPr>
        <w:t>.................................................................12</w:t>
      </w:r>
    </w:p>
    <w:p w14:paraId="2DDAE51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四</w:t>
      </w:r>
      <w:r>
        <w:rPr>
          <w:rFonts w:hint="eastAsia" w:ascii="Times New Roman" w:hAnsi="Times New Roman" w:eastAsia="黑体" w:cs="黑体"/>
          <w:color w:val="auto"/>
          <w:sz w:val="32"/>
          <w:szCs w:val="32"/>
          <w:highlight w:val="none"/>
        </w:rPr>
        <w:t>部分 附表</w:t>
      </w:r>
      <w:r>
        <w:rPr>
          <w:rFonts w:hint="eastAsia" w:ascii="Times New Roman" w:hAnsi="Times New Roman" w:eastAsia="仿宋_GB2312" w:cs="仿宋_GB2312"/>
          <w:color w:val="auto"/>
          <w:kern w:val="2"/>
          <w:sz w:val="32"/>
          <w:szCs w:val="32"/>
          <w:highlight w:val="none"/>
          <w:lang w:val="en-US" w:eastAsia="zh-CN" w:bidi="ar-SA"/>
        </w:rPr>
        <w:t>.........................................................................15</w:t>
      </w:r>
    </w:p>
    <w:p w14:paraId="41D6A6D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09FF5BD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7D2603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021945A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06C96F7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6D5349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1162BDF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3474267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0E04205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091D2E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524DBBE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3A86C8E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15</w:t>
      </w:r>
    </w:p>
    <w:p w14:paraId="6612CD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29B841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十三、财政拨款“三公”经费支出决算表</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..........15</w:t>
      </w:r>
    </w:p>
    <w:p w14:paraId="0D4A49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03381EA8">
      <w:pPr>
        <w:pStyle w:val="5"/>
        <w:jc w:val="center"/>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bookmarkStart w:id="12" w:name="_Toc15396599"/>
      <w:bookmarkStart w:id="13" w:name="_Toc15377196"/>
    </w:p>
    <w:p w14:paraId="00FD2CB5">
      <w:pPr>
        <w:pStyle w:val="5"/>
        <w:pageBreakBefore w:val="0"/>
        <w:kinsoku/>
        <w:wordWrap/>
        <w:overflowPunct/>
        <w:topLinePunct w:val="0"/>
        <w:autoSpaceDN/>
        <w:bidi w:val="0"/>
        <w:spacing w:line="578" w:lineRule="exact"/>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2E42441D">
      <w:pPr>
        <w:pStyle w:val="6"/>
        <w:keepNext/>
        <w:keepLines/>
        <w:pageBreakBefore w:val="0"/>
        <w:widowControl w:val="0"/>
        <w:kinsoku/>
        <w:wordWrap/>
        <w:overflowPunct/>
        <w:topLinePunct w:val="0"/>
        <w:autoSpaceDE/>
        <w:autoSpaceDN/>
        <w:bidi w:val="0"/>
        <w:adjustRightInd/>
        <w:snapToGrid/>
        <w:spacing w:before="0" w:after="0" w:line="578" w:lineRule="exact"/>
        <w:textAlignment w:val="auto"/>
        <w:rPr>
          <w:rFonts w:hint="eastAsia" w:ascii="Times New Roman" w:hAnsi="Times New Roman" w:eastAsia="黑体"/>
          <w:b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24C721D7">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松潘县公安局是负责治安行政管理和刑事执法的县政府工作机构。</w:t>
      </w:r>
    </w:p>
    <w:p w14:paraId="6C6EEAA0">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w:t>
      </w:r>
      <w:r>
        <w:rPr>
          <w:rFonts w:hint="eastAsia" w:ascii="仿宋_GB2312" w:hAnsi="仿宋_GB2312" w:eastAsia="仿宋_GB2312" w:cs="仿宋_GB2312"/>
          <w:kern w:val="0"/>
          <w:sz w:val="32"/>
          <w:szCs w:val="32"/>
        </w:rPr>
        <w:t>贯彻执行公安工作的方针</w:t>
      </w:r>
      <w:r>
        <w:rPr>
          <w:rFonts w:hint="eastAsia" w:ascii="仿宋_GB2312" w:hAnsi="仿宋_GB2312" w:eastAsia="仿宋_GB2312" w:cs="仿宋_GB2312"/>
          <w:kern w:val="0"/>
          <w:sz w:val="32"/>
          <w:szCs w:val="32"/>
          <w:lang w:val="en-US" w:eastAsia="zh-CN"/>
        </w:rPr>
        <w:t>政策、法规</w:t>
      </w:r>
      <w:r>
        <w:rPr>
          <w:rFonts w:hint="eastAsia" w:ascii="仿宋_GB2312" w:hAnsi="仿宋_GB2312" w:eastAsia="仿宋_GB2312" w:cs="仿宋_GB2312"/>
          <w:kern w:val="0"/>
          <w:sz w:val="32"/>
          <w:szCs w:val="32"/>
        </w:rPr>
        <w:t>、规章；起草有关地方性公安法规、政策、规定；指导、监督、检查全县公安工作。</w:t>
      </w:r>
    </w:p>
    <w:p w14:paraId="7492A74C">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2.</w:t>
      </w:r>
      <w:r>
        <w:rPr>
          <w:rFonts w:hint="eastAsia" w:ascii="仿宋_GB2312" w:hAnsi="仿宋_GB2312" w:eastAsia="仿宋_GB2312" w:cs="仿宋_GB2312"/>
          <w:kern w:val="0"/>
          <w:sz w:val="32"/>
          <w:szCs w:val="32"/>
        </w:rPr>
        <w:t>收集、掌握影响稳定、危害国内安全和社会治安的情况，分析形势，研究公安工作出现的新情况、新问题，为县委、县政府和州公安局提供信息，制定对策。</w:t>
      </w:r>
    </w:p>
    <w:p w14:paraId="427F08A1">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3.</w:t>
      </w:r>
      <w:r>
        <w:rPr>
          <w:rFonts w:hint="eastAsia" w:ascii="仿宋_GB2312" w:hAnsi="仿宋_GB2312" w:eastAsia="仿宋_GB2312" w:cs="仿宋_GB2312"/>
          <w:kern w:val="0"/>
          <w:sz w:val="32"/>
          <w:szCs w:val="32"/>
        </w:rPr>
        <w:t>加强全县公安</w:t>
      </w:r>
      <w:r>
        <w:rPr>
          <w:rFonts w:hint="eastAsia" w:hAnsi="仿宋_GB2312" w:cs="仿宋_GB2312"/>
          <w:kern w:val="0"/>
          <w:sz w:val="32"/>
          <w:szCs w:val="32"/>
          <w:lang w:eastAsia="zh-CN"/>
        </w:rPr>
        <w:t>法治建设</w:t>
      </w:r>
      <w:r>
        <w:rPr>
          <w:rFonts w:hint="eastAsia" w:ascii="仿宋_GB2312" w:hAnsi="仿宋_GB2312" w:eastAsia="仿宋_GB2312" w:cs="仿宋_GB2312"/>
          <w:kern w:val="0"/>
          <w:sz w:val="32"/>
          <w:szCs w:val="32"/>
        </w:rPr>
        <w:t>，按管辖办理行政诉讼行政复议案件。</w:t>
      </w:r>
    </w:p>
    <w:p w14:paraId="48D04737">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4.</w:t>
      </w:r>
      <w:r>
        <w:rPr>
          <w:rFonts w:hint="eastAsia" w:ascii="仿宋_GB2312" w:hAnsi="仿宋_GB2312" w:eastAsia="仿宋_GB2312" w:cs="仿宋_GB2312"/>
          <w:kern w:val="0"/>
          <w:sz w:val="32"/>
          <w:szCs w:val="32"/>
        </w:rPr>
        <w:t>负责全县公安侦查工作；组织处置刑事案件、治安灾害事故、骚乱和群体性突发事件；组织实施重大活动的安全保卫工作。</w:t>
      </w:r>
    </w:p>
    <w:p w14:paraId="0BCF7091">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5.</w:t>
      </w:r>
      <w:r>
        <w:rPr>
          <w:rFonts w:hint="eastAsia" w:ascii="仿宋_GB2312" w:hAnsi="仿宋_GB2312" w:eastAsia="仿宋_GB2312" w:cs="仿宋_GB2312"/>
          <w:kern w:val="0"/>
          <w:sz w:val="32"/>
          <w:szCs w:val="32"/>
        </w:rPr>
        <w:t>查处危害社会治安秩序的行为；依法开展各项行政审批依法进行管理户口、居民身份证、枪支弹药、危险物品、特种行业等工作，依法管理集会、游行示威活动。</w:t>
      </w:r>
    </w:p>
    <w:p w14:paraId="30E87CC7">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6.</w:t>
      </w:r>
      <w:r>
        <w:rPr>
          <w:rFonts w:hint="eastAsia" w:ascii="仿宋_GB2312" w:hAnsi="仿宋_GB2312" w:eastAsia="仿宋_GB2312" w:cs="仿宋_GB2312"/>
          <w:kern w:val="0"/>
          <w:sz w:val="32"/>
          <w:szCs w:val="32"/>
        </w:rPr>
        <w:t>维护道路交通安全、交通秩序；组织处置重特大交通事故；依法开展机动</w:t>
      </w:r>
      <w:r>
        <w:rPr>
          <w:rFonts w:hint="eastAsia" w:ascii="仿宋_GB2312" w:hAnsi="仿宋_GB2312" w:eastAsia="仿宋_GB2312" w:cs="仿宋_GB2312"/>
          <w:kern w:val="0"/>
          <w:sz w:val="32"/>
          <w:szCs w:val="32"/>
          <w:lang w:val="en-US" w:eastAsia="zh-CN"/>
        </w:rPr>
        <w:t>车</w:t>
      </w:r>
      <w:r>
        <w:rPr>
          <w:rFonts w:hint="eastAsia" w:ascii="仿宋_GB2312" w:hAnsi="仿宋_GB2312" w:eastAsia="仿宋_GB2312" w:cs="仿宋_GB2312"/>
          <w:kern w:val="0"/>
          <w:sz w:val="32"/>
          <w:szCs w:val="32"/>
        </w:rPr>
        <w:t>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含农用运输车辆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和驾驶员管理工作。</w:t>
      </w:r>
    </w:p>
    <w:p w14:paraId="6E18864C">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7.</w:t>
      </w:r>
      <w:r>
        <w:rPr>
          <w:rFonts w:hint="eastAsia" w:ascii="仿宋_GB2312" w:hAnsi="仿宋_GB2312" w:eastAsia="仿宋_GB2312" w:cs="仿宋_GB2312"/>
          <w:kern w:val="0"/>
          <w:sz w:val="32"/>
          <w:szCs w:val="32"/>
        </w:rPr>
        <w:t>组织实施全县消防监督、火灾预防和扑救工作。</w:t>
      </w:r>
    </w:p>
    <w:p w14:paraId="4C8AB22D">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8.</w:t>
      </w:r>
      <w:r>
        <w:rPr>
          <w:rFonts w:hint="eastAsia" w:ascii="仿宋_GB2312" w:hAnsi="仿宋_GB2312" w:eastAsia="仿宋_GB2312" w:cs="仿宋_GB2312"/>
          <w:kern w:val="0"/>
          <w:sz w:val="32"/>
          <w:szCs w:val="32"/>
        </w:rPr>
        <w:t>组织全县公安警卫业务工作，拟定警卫方案，组织实施对党和国家领导人以及重要外宾的安全警卫工作。</w:t>
      </w:r>
    </w:p>
    <w:p w14:paraId="4D48FE64">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9.</w:t>
      </w:r>
      <w:r>
        <w:rPr>
          <w:rFonts w:hint="eastAsia" w:ascii="仿宋_GB2312" w:hAnsi="仿宋_GB2312" w:eastAsia="仿宋_GB2312" w:cs="仿宋_GB2312"/>
          <w:kern w:val="0"/>
          <w:sz w:val="32"/>
          <w:szCs w:val="32"/>
        </w:rPr>
        <w:t>依法管理国籍、出境入境和外国人在中国境内居留、旅行的有关工作。</w:t>
      </w:r>
    </w:p>
    <w:p w14:paraId="44A4DFE1">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10.</w:t>
      </w:r>
      <w:r>
        <w:rPr>
          <w:rFonts w:hint="eastAsia" w:ascii="仿宋_GB2312" w:hAnsi="仿宋_GB2312" w:eastAsia="仿宋_GB2312" w:cs="仿宋_GB2312"/>
          <w:kern w:val="0"/>
          <w:sz w:val="32"/>
          <w:szCs w:val="32"/>
        </w:rPr>
        <w:t>依法</w:t>
      </w:r>
      <w:r>
        <w:rPr>
          <w:rFonts w:hint="eastAsia" w:hAnsi="仿宋_GB2312" w:cs="仿宋_GB2312"/>
          <w:kern w:val="0"/>
          <w:sz w:val="32"/>
          <w:szCs w:val="32"/>
          <w:lang w:eastAsia="zh-CN"/>
        </w:rPr>
        <w:t>承担</w:t>
      </w:r>
      <w:r>
        <w:rPr>
          <w:rFonts w:hint="eastAsia" w:ascii="仿宋_GB2312" w:hAnsi="仿宋_GB2312" w:eastAsia="仿宋_GB2312" w:cs="仿宋_GB2312"/>
          <w:kern w:val="0"/>
          <w:sz w:val="32"/>
          <w:szCs w:val="32"/>
        </w:rPr>
        <w:t>执行刑罚和监督、考察工作；管理县看守所。</w:t>
      </w:r>
    </w:p>
    <w:p w14:paraId="47540011">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11.</w:t>
      </w:r>
      <w:r>
        <w:rPr>
          <w:rFonts w:hint="eastAsia" w:ascii="仿宋_GB2312" w:hAnsi="仿宋_GB2312" w:eastAsia="仿宋_GB2312" w:cs="仿宋_GB2312"/>
          <w:kern w:val="0"/>
          <w:sz w:val="32"/>
          <w:szCs w:val="32"/>
        </w:rPr>
        <w:t>加强对公共信息网络的安全监察工作。</w:t>
      </w:r>
    </w:p>
    <w:p w14:paraId="4935019A">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12.</w:t>
      </w:r>
      <w:r>
        <w:rPr>
          <w:rFonts w:hint="eastAsia" w:ascii="仿宋_GB2312" w:hAnsi="仿宋_GB2312" w:eastAsia="仿宋_GB2312" w:cs="仿宋_GB2312"/>
          <w:kern w:val="0"/>
          <w:sz w:val="32"/>
          <w:szCs w:val="32"/>
        </w:rPr>
        <w:t>实施全县公安机关对国家机关、社会团体、企事业单位和重点建设工程的治安保卫工作以及群众性组织的治安防范工作。</w:t>
      </w:r>
    </w:p>
    <w:p w14:paraId="43A1AA83">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13.</w:t>
      </w:r>
      <w:r>
        <w:rPr>
          <w:rFonts w:hint="eastAsia" w:ascii="仿宋_GB2312" w:hAnsi="仿宋_GB2312" w:eastAsia="仿宋_GB2312" w:cs="仿宋_GB2312"/>
          <w:kern w:val="0"/>
          <w:sz w:val="32"/>
          <w:szCs w:val="32"/>
        </w:rPr>
        <w:t>统一领导全县公安消防部队建设；组织指挥武警内卫部队执行公安任务。</w:t>
      </w:r>
    </w:p>
    <w:p w14:paraId="7B920402">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14.</w:t>
      </w:r>
      <w:r>
        <w:rPr>
          <w:rFonts w:hint="eastAsia" w:ascii="仿宋_GB2312" w:hAnsi="仿宋_GB2312" w:eastAsia="仿宋_GB2312" w:cs="仿宋_GB2312"/>
          <w:kern w:val="0"/>
          <w:sz w:val="32"/>
          <w:szCs w:val="32"/>
        </w:rPr>
        <w:t>分析全县公安队伍状况，研究、制定公安队伍建设、民警教育训练和公安宣传的规章制度、监督检查落实情况；组织、指导、实施全县公安队伍建设、干警教育训练和公安宣传工作；按规定权限管理干部。</w:t>
      </w:r>
    </w:p>
    <w:p w14:paraId="3A9E1C51">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15.</w:t>
      </w:r>
      <w:r>
        <w:rPr>
          <w:rFonts w:hint="eastAsia" w:ascii="仿宋_GB2312" w:hAnsi="仿宋_GB2312" w:eastAsia="仿宋_GB2312" w:cs="仿宋_GB2312"/>
          <w:kern w:val="0"/>
          <w:sz w:val="32"/>
          <w:szCs w:val="32"/>
        </w:rPr>
        <w:t>强化公安纪检监察和警务督察工作；对全县公安机关及人民警察的执法情况进行监督；按规定权限对干部实施监督；查处违纪案件。</w:t>
      </w:r>
    </w:p>
    <w:p w14:paraId="5C44B066">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16.</w:t>
      </w:r>
      <w:r>
        <w:rPr>
          <w:rFonts w:hint="eastAsia" w:ascii="仿宋_GB2312" w:hAnsi="仿宋_GB2312" w:eastAsia="仿宋_GB2312" w:cs="仿宋_GB2312"/>
          <w:kern w:val="0"/>
          <w:sz w:val="32"/>
          <w:szCs w:val="32"/>
        </w:rPr>
        <w:t>组织实施公安科技强警工作，规划全县公安信息技术、刑事技术和行动技术建设。</w:t>
      </w:r>
    </w:p>
    <w:p w14:paraId="5441B274">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17.</w:t>
      </w:r>
      <w:r>
        <w:rPr>
          <w:rFonts w:hint="eastAsia" w:ascii="仿宋_GB2312" w:hAnsi="仿宋_GB2312" w:eastAsia="仿宋_GB2312" w:cs="仿宋_GB2312"/>
          <w:kern w:val="0"/>
          <w:sz w:val="32"/>
          <w:szCs w:val="32"/>
        </w:rPr>
        <w:t>制定全县公安基础设施建设、装备、经费等警务保障计划和标准；组织和发放全县公安装备；被装等。</w:t>
      </w:r>
    </w:p>
    <w:p w14:paraId="2818E59E">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18.</w:t>
      </w:r>
      <w:r>
        <w:rPr>
          <w:rFonts w:hint="eastAsia" w:ascii="仿宋_GB2312" w:hAnsi="仿宋_GB2312" w:eastAsia="仿宋_GB2312" w:cs="仿宋_GB2312"/>
          <w:kern w:val="0"/>
          <w:sz w:val="32"/>
          <w:szCs w:val="32"/>
        </w:rPr>
        <w:t>管理县林业专门公安机关的业务工作。</w:t>
      </w:r>
    </w:p>
    <w:p w14:paraId="1CE31D74">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Autospacing="0" w:line="578" w:lineRule="exact"/>
        <w:ind w:left="0" w:right="0" w:firstLine="672" w:firstLineChars="210"/>
        <w:jc w:val="both"/>
        <w:textAlignment w:val="auto"/>
        <w:outlineLvl w:val="2"/>
        <w:rPr>
          <w:rFonts w:hint="eastAsia" w:ascii="仿宋_GB2312" w:hAnsi="仿宋_GB2312" w:eastAsia="仿宋_GB2312" w:cs="仿宋_GB2312"/>
          <w:kern w:val="0"/>
          <w:sz w:val="32"/>
          <w:szCs w:val="32"/>
        </w:rPr>
      </w:pPr>
      <w:r>
        <w:rPr>
          <w:rFonts w:hint="eastAsia" w:hAnsi="仿宋_GB2312" w:cs="仿宋_GB2312"/>
          <w:kern w:val="0"/>
          <w:sz w:val="32"/>
          <w:szCs w:val="32"/>
          <w:lang w:eastAsia="zh-CN"/>
        </w:rPr>
        <w:t>19.</w:t>
      </w:r>
      <w:r>
        <w:rPr>
          <w:rFonts w:hint="eastAsia" w:ascii="仿宋_GB2312" w:hAnsi="仿宋_GB2312" w:eastAsia="仿宋_GB2312" w:cs="仿宋_GB2312"/>
          <w:kern w:val="0"/>
          <w:sz w:val="32"/>
          <w:szCs w:val="32"/>
        </w:rPr>
        <w:t>承办县政府禁毒委员会日常工作。</w:t>
      </w:r>
    </w:p>
    <w:p w14:paraId="13A8963E">
      <w:pPr>
        <w:pageBreakBefore w:val="0"/>
        <w:kinsoku/>
        <w:wordWrap/>
        <w:overflowPunct/>
        <w:topLinePunct w:val="0"/>
        <w:autoSpaceDN/>
        <w:bidi w:val="0"/>
        <w:spacing w:line="578" w:lineRule="exact"/>
        <w:textAlignment w:val="auto"/>
        <w:rPr>
          <w:rFonts w:hint="eastAsia"/>
          <w:lang w:eastAsia="zh-CN"/>
        </w:rPr>
      </w:pPr>
      <w:r>
        <w:rPr>
          <w:rFonts w:hint="eastAsia" w:ascii="仿宋_GB2312" w:hAnsi="仿宋_GB2312" w:eastAsia="仿宋_GB2312" w:cs="仿宋_GB2312"/>
          <w:kern w:val="0"/>
          <w:sz w:val="32"/>
          <w:szCs w:val="32"/>
          <w:lang w:eastAsia="zh-CN"/>
        </w:rPr>
        <w:t>20.</w:t>
      </w:r>
      <w:r>
        <w:rPr>
          <w:rFonts w:hint="eastAsia" w:ascii="仿宋_GB2312" w:hAnsi="仿宋_GB2312" w:eastAsia="仿宋_GB2312" w:cs="仿宋_GB2312"/>
          <w:kern w:val="0"/>
          <w:sz w:val="32"/>
          <w:szCs w:val="32"/>
        </w:rPr>
        <w:t>承办县委、县政府和州公安局</w:t>
      </w:r>
      <w:r>
        <w:rPr>
          <w:rFonts w:hint="eastAsia" w:ascii="仿宋_GB2312" w:hAnsi="仿宋_GB2312" w:eastAsia="仿宋_GB2312" w:cs="仿宋_GB2312"/>
          <w:kern w:val="0"/>
          <w:sz w:val="32"/>
          <w:szCs w:val="32"/>
          <w:lang w:eastAsia="zh-CN"/>
        </w:rPr>
        <w:t>的其他事项</w:t>
      </w:r>
      <w:r>
        <w:rPr>
          <w:rFonts w:hint="eastAsia" w:ascii="仿宋_GB2312" w:hAnsi="仿宋_GB2312" w:eastAsia="仿宋_GB2312" w:cs="仿宋_GB2312"/>
          <w:kern w:val="0"/>
          <w:sz w:val="32"/>
          <w:szCs w:val="32"/>
        </w:rPr>
        <w:t>。</w:t>
      </w:r>
    </w:p>
    <w:p w14:paraId="6FF628B0">
      <w:pPr>
        <w:pStyle w:val="6"/>
        <w:keepNext/>
        <w:keepLines/>
        <w:pageBreakBefore w:val="0"/>
        <w:widowControl w:val="0"/>
        <w:kinsoku/>
        <w:wordWrap/>
        <w:overflowPunct/>
        <w:topLinePunct w:val="0"/>
        <w:autoSpaceDE/>
        <w:autoSpaceDN/>
        <w:bidi w:val="0"/>
        <w:adjustRightInd/>
        <w:snapToGrid/>
        <w:spacing w:before="0" w:after="0" w:line="578" w:lineRule="exact"/>
        <w:textAlignment w:val="auto"/>
        <w:rPr>
          <w:rStyle w:val="29"/>
          <w:rFonts w:ascii="Times New Roman" w:hAnsi="Times New Roman"/>
          <w:b w:val="0"/>
          <w:bCs w:val="0"/>
          <w:color w:val="auto"/>
          <w:highlight w:val="none"/>
        </w:rPr>
      </w:pPr>
      <w:bookmarkStart w:id="16" w:name="_Toc15396601"/>
      <w:bookmarkStart w:id="17"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408E0443">
      <w:pPr>
        <w:pageBreakBefore w:val="0"/>
        <w:kinsoku/>
        <w:wordWrap/>
        <w:overflowPunct/>
        <w:topLinePunct w:val="0"/>
        <w:autoSpaceDN/>
        <w:bidi w:val="0"/>
        <w:spacing w:line="578" w:lineRule="exact"/>
        <w:ind w:firstLine="800" w:firstLineChars="250"/>
        <w:textAlignment w:val="auto"/>
        <w:rPr>
          <w:rFonts w:hint="eastAsia" w:ascii="Times New Roman" w:hAnsi="Times New Roman" w:eastAsia="仿宋_GB2312" w:cs="仿宋_GB2312"/>
          <w:color w:val="auto"/>
          <w:sz w:val="32"/>
          <w:szCs w:val="32"/>
          <w:highlight w:val="none"/>
        </w:rPr>
      </w:pPr>
      <w:bookmarkStart w:id="18" w:name="_Toc15377204"/>
      <w:bookmarkStart w:id="19" w:name="_Toc15396602"/>
      <w:r>
        <w:rPr>
          <w:rFonts w:hint="eastAsia" w:ascii="仿宋_GB2312" w:hAnsi="仿宋_GB2312" w:eastAsia="仿宋_GB2312" w:cs="仿宋_GB2312"/>
          <w:color w:val="auto"/>
          <w:sz w:val="32"/>
          <w:szCs w:val="32"/>
          <w:highlight w:val="none"/>
        </w:rPr>
        <w:t>松潘县公安局</w:t>
      </w:r>
      <w:r>
        <w:rPr>
          <w:rFonts w:hint="eastAsia" w:ascii="仿宋_GB2312" w:hAnsi="仿宋_GB2312" w:eastAsia="仿宋_GB2312" w:cs="仿宋_GB2312"/>
          <w:color w:val="auto"/>
          <w:sz w:val="32"/>
          <w:szCs w:val="32"/>
          <w:highlight w:val="none"/>
          <w:lang w:eastAsia="zh-CN"/>
        </w:rPr>
        <w:t>无</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p>
    <w:p w14:paraId="5B4B6253">
      <w:pPr>
        <w:pStyle w:val="2"/>
        <w:pageBreakBefore w:val="0"/>
        <w:kinsoku/>
        <w:wordWrap/>
        <w:overflowPunct/>
        <w:topLinePunct w:val="0"/>
        <w:autoSpaceDN/>
        <w:bidi w:val="0"/>
        <w:spacing w:line="578" w:lineRule="exact"/>
        <w:textAlignment w:val="auto"/>
        <w:rPr>
          <w:rFonts w:hint="eastAsia"/>
        </w:rPr>
      </w:pPr>
    </w:p>
    <w:p w14:paraId="62A173C8">
      <w:pPr>
        <w:pStyle w:val="3"/>
        <w:pageBreakBefore w:val="0"/>
        <w:kinsoku/>
        <w:wordWrap/>
        <w:overflowPunct/>
        <w:topLinePunct w:val="0"/>
        <w:autoSpaceDN/>
        <w:bidi w:val="0"/>
        <w:spacing w:line="578" w:lineRule="exact"/>
        <w:textAlignment w:val="auto"/>
        <w:rPr>
          <w:rFonts w:hint="eastAsia"/>
        </w:rPr>
      </w:pPr>
    </w:p>
    <w:p w14:paraId="16B3398D">
      <w:pPr>
        <w:pageBreakBefore w:val="0"/>
        <w:kinsoku/>
        <w:wordWrap/>
        <w:overflowPunct/>
        <w:topLinePunct w:val="0"/>
        <w:autoSpaceDN/>
        <w:bidi w:val="0"/>
        <w:spacing w:line="578" w:lineRule="exact"/>
        <w:textAlignment w:val="auto"/>
        <w:rPr>
          <w:rFonts w:hint="eastAsia"/>
        </w:rPr>
      </w:pPr>
    </w:p>
    <w:p w14:paraId="5AD6A920">
      <w:pPr>
        <w:pStyle w:val="2"/>
        <w:pageBreakBefore w:val="0"/>
        <w:kinsoku/>
        <w:wordWrap/>
        <w:overflowPunct/>
        <w:topLinePunct w:val="0"/>
        <w:autoSpaceDN/>
        <w:bidi w:val="0"/>
        <w:spacing w:line="578" w:lineRule="exact"/>
        <w:textAlignment w:val="auto"/>
        <w:rPr>
          <w:rFonts w:hint="eastAsia"/>
        </w:rPr>
      </w:pPr>
    </w:p>
    <w:p w14:paraId="39DEFC80">
      <w:pPr>
        <w:pStyle w:val="3"/>
        <w:pageBreakBefore w:val="0"/>
        <w:kinsoku/>
        <w:wordWrap/>
        <w:overflowPunct/>
        <w:topLinePunct w:val="0"/>
        <w:autoSpaceDN/>
        <w:bidi w:val="0"/>
        <w:spacing w:line="578" w:lineRule="exact"/>
        <w:textAlignment w:val="auto"/>
        <w:rPr>
          <w:rFonts w:hint="eastAsia"/>
        </w:rPr>
      </w:pPr>
    </w:p>
    <w:p w14:paraId="160BF4A0">
      <w:pPr>
        <w:pageBreakBefore w:val="0"/>
        <w:kinsoku/>
        <w:wordWrap/>
        <w:overflowPunct/>
        <w:topLinePunct w:val="0"/>
        <w:autoSpaceDN/>
        <w:bidi w:val="0"/>
        <w:spacing w:line="578" w:lineRule="exact"/>
        <w:textAlignment w:val="auto"/>
        <w:rPr>
          <w:rFonts w:hint="eastAsia"/>
        </w:rPr>
      </w:pPr>
    </w:p>
    <w:p w14:paraId="7FEFF934">
      <w:pPr>
        <w:pStyle w:val="2"/>
        <w:pageBreakBefore w:val="0"/>
        <w:kinsoku/>
        <w:wordWrap/>
        <w:overflowPunct/>
        <w:topLinePunct w:val="0"/>
        <w:autoSpaceDN/>
        <w:bidi w:val="0"/>
        <w:spacing w:line="578" w:lineRule="exact"/>
        <w:textAlignment w:val="auto"/>
        <w:rPr>
          <w:rFonts w:hint="eastAsia"/>
        </w:rPr>
      </w:pPr>
    </w:p>
    <w:p w14:paraId="323C1C6B">
      <w:pPr>
        <w:pStyle w:val="3"/>
        <w:pageBreakBefore w:val="0"/>
        <w:kinsoku/>
        <w:wordWrap/>
        <w:overflowPunct/>
        <w:topLinePunct w:val="0"/>
        <w:autoSpaceDN/>
        <w:bidi w:val="0"/>
        <w:spacing w:line="578" w:lineRule="exact"/>
        <w:textAlignment w:val="auto"/>
        <w:rPr>
          <w:rFonts w:hint="eastAsia"/>
        </w:rPr>
      </w:pPr>
    </w:p>
    <w:p w14:paraId="0B756D49">
      <w:pPr>
        <w:pageBreakBefore w:val="0"/>
        <w:kinsoku/>
        <w:wordWrap/>
        <w:overflowPunct/>
        <w:topLinePunct w:val="0"/>
        <w:autoSpaceDN/>
        <w:bidi w:val="0"/>
        <w:spacing w:line="578" w:lineRule="exact"/>
        <w:textAlignment w:val="auto"/>
        <w:rPr>
          <w:rFonts w:hint="eastAsia"/>
        </w:rPr>
      </w:pPr>
    </w:p>
    <w:p w14:paraId="2995A9C3">
      <w:pPr>
        <w:pStyle w:val="2"/>
        <w:pageBreakBefore w:val="0"/>
        <w:kinsoku/>
        <w:wordWrap/>
        <w:overflowPunct/>
        <w:topLinePunct w:val="0"/>
        <w:autoSpaceDN/>
        <w:bidi w:val="0"/>
        <w:spacing w:line="578" w:lineRule="exact"/>
        <w:textAlignment w:val="auto"/>
        <w:rPr>
          <w:rFonts w:hint="eastAsia"/>
        </w:rPr>
      </w:pPr>
    </w:p>
    <w:p w14:paraId="3A0ABA1C">
      <w:pPr>
        <w:pStyle w:val="3"/>
        <w:pageBreakBefore w:val="0"/>
        <w:kinsoku/>
        <w:wordWrap/>
        <w:overflowPunct/>
        <w:topLinePunct w:val="0"/>
        <w:autoSpaceDN/>
        <w:bidi w:val="0"/>
        <w:spacing w:line="578" w:lineRule="exact"/>
        <w:textAlignment w:val="auto"/>
        <w:rPr>
          <w:rFonts w:hint="eastAsia"/>
        </w:rPr>
      </w:pPr>
    </w:p>
    <w:p w14:paraId="40191D77">
      <w:pPr>
        <w:pageBreakBefore w:val="0"/>
        <w:kinsoku/>
        <w:wordWrap/>
        <w:overflowPunct/>
        <w:topLinePunct w:val="0"/>
        <w:autoSpaceDN/>
        <w:bidi w:val="0"/>
        <w:spacing w:line="578" w:lineRule="exact"/>
        <w:textAlignment w:val="auto"/>
        <w:rPr>
          <w:rFonts w:hint="eastAsia"/>
        </w:rPr>
      </w:pPr>
    </w:p>
    <w:p w14:paraId="4EB8906C">
      <w:pPr>
        <w:pStyle w:val="2"/>
        <w:pageBreakBefore w:val="0"/>
        <w:kinsoku/>
        <w:wordWrap/>
        <w:overflowPunct/>
        <w:topLinePunct w:val="0"/>
        <w:autoSpaceDN/>
        <w:bidi w:val="0"/>
        <w:spacing w:line="578" w:lineRule="exact"/>
        <w:textAlignment w:val="auto"/>
        <w:rPr>
          <w:rFonts w:hint="eastAsia"/>
        </w:rPr>
      </w:pPr>
    </w:p>
    <w:p w14:paraId="5A725705">
      <w:pPr>
        <w:pStyle w:val="3"/>
        <w:pageBreakBefore w:val="0"/>
        <w:kinsoku/>
        <w:wordWrap/>
        <w:overflowPunct/>
        <w:topLinePunct w:val="0"/>
        <w:autoSpaceDN/>
        <w:bidi w:val="0"/>
        <w:spacing w:line="578" w:lineRule="exact"/>
        <w:textAlignment w:val="auto"/>
        <w:rPr>
          <w:rFonts w:hint="eastAsia"/>
        </w:rPr>
      </w:pPr>
    </w:p>
    <w:p w14:paraId="0CACFFFA">
      <w:pPr>
        <w:pageBreakBefore w:val="0"/>
        <w:kinsoku/>
        <w:wordWrap/>
        <w:overflowPunct/>
        <w:topLinePunct w:val="0"/>
        <w:autoSpaceDN/>
        <w:bidi w:val="0"/>
        <w:spacing w:line="578" w:lineRule="exact"/>
        <w:textAlignment w:val="auto"/>
        <w:rPr>
          <w:rFonts w:hint="eastAsia"/>
        </w:rPr>
      </w:pPr>
    </w:p>
    <w:p w14:paraId="2BBE2E7E">
      <w:pPr>
        <w:pStyle w:val="2"/>
        <w:pageBreakBefore w:val="0"/>
        <w:kinsoku/>
        <w:wordWrap/>
        <w:overflowPunct/>
        <w:topLinePunct w:val="0"/>
        <w:autoSpaceDN/>
        <w:bidi w:val="0"/>
        <w:spacing w:line="578" w:lineRule="exact"/>
        <w:textAlignment w:val="auto"/>
        <w:rPr>
          <w:rFonts w:hint="eastAsia"/>
        </w:rPr>
      </w:pPr>
    </w:p>
    <w:p w14:paraId="3A3B33AB">
      <w:pPr>
        <w:pStyle w:val="3"/>
        <w:pageBreakBefore w:val="0"/>
        <w:kinsoku/>
        <w:wordWrap/>
        <w:overflowPunct/>
        <w:topLinePunct w:val="0"/>
        <w:autoSpaceDN/>
        <w:bidi w:val="0"/>
        <w:spacing w:line="578" w:lineRule="exact"/>
        <w:textAlignment w:val="auto"/>
        <w:rPr>
          <w:rFonts w:hint="eastAsia"/>
        </w:rPr>
      </w:pPr>
    </w:p>
    <w:p w14:paraId="1D1C853E">
      <w:pPr>
        <w:pageBreakBefore w:val="0"/>
        <w:kinsoku/>
        <w:wordWrap/>
        <w:overflowPunct/>
        <w:topLinePunct w:val="0"/>
        <w:autoSpaceDN/>
        <w:bidi w:val="0"/>
        <w:spacing w:line="578" w:lineRule="exact"/>
        <w:textAlignment w:val="auto"/>
        <w:rPr>
          <w:rFonts w:hint="eastAsia"/>
        </w:rPr>
      </w:pPr>
    </w:p>
    <w:p w14:paraId="467F12CC">
      <w:pPr>
        <w:pStyle w:val="5"/>
        <w:keepNext/>
        <w:keepLines/>
        <w:pageBreakBefore w:val="0"/>
        <w:widowControl w:val="0"/>
        <w:kinsoku/>
        <w:wordWrap/>
        <w:overflowPunct/>
        <w:topLinePunct w:val="0"/>
        <w:autoSpaceDE/>
        <w:autoSpaceDN/>
        <w:bidi w:val="0"/>
        <w:adjustRightInd/>
        <w:snapToGrid/>
        <w:spacing w:after="0" w:line="578" w:lineRule="exact"/>
        <w:jc w:val="center"/>
        <w:textAlignment w:val="auto"/>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5DC2E18A">
      <w:pPr>
        <w:rPr>
          <w:rFonts w:hint="eastAsia"/>
        </w:rPr>
      </w:pPr>
    </w:p>
    <w:p w14:paraId="377F005B">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14:paraId="07063D28">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2241.05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25.40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人员增加导致人员及公用经费增加，项目建设数量较上年度高。</w:t>
      </w:r>
    </w:p>
    <w:p w14:paraId="2FF479BC">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56C78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118610" cy="2887980"/>
            <wp:effectExtent l="4445" t="4445" r="10795" b="222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5874674">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14:paraId="16591669">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3AC7549B">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7B7D65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309110" cy="2628900"/>
            <wp:effectExtent l="4445" t="4445" r="1079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CE0435">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77207"/>
      <w:bookmarkStart w:id="2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14:paraId="005615EA">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8069.12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72.93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2994.48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27.06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67E541A1">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5C2F2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347210" cy="2762885"/>
            <wp:effectExtent l="4445" t="4445" r="10795" b="1397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310C0A">
      <w:pPr>
        <w:pageBreakBefore w:val="0"/>
        <w:kinsoku/>
        <w:wordWrap/>
        <w:overflowPunct/>
        <w:topLinePunct w:val="0"/>
        <w:autoSpaceDN/>
        <w:bidi w:val="0"/>
        <w:spacing w:line="578" w:lineRule="exact"/>
        <w:ind w:firstLine="640" w:firstLineChars="200"/>
        <w:textAlignment w:val="auto"/>
        <w:outlineLvl w:val="1"/>
        <w:rPr>
          <w:rStyle w:val="29"/>
          <w:rFonts w:ascii="Times New Roman" w:hAnsi="Times New Roman" w:eastAsia="黑体"/>
          <w:b w:val="0"/>
          <w:color w:val="auto"/>
          <w:highlight w:val="none"/>
        </w:rPr>
      </w:pPr>
      <w:bookmarkStart w:id="26" w:name="_Toc15377208"/>
      <w:bookmarkStart w:id="27"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14:paraId="4B775B68">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2241.05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25.40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人员增加导致人员及公用经费增加，项目建设数量较上年度高。</w:t>
      </w:r>
    </w:p>
    <w:p w14:paraId="77251FA2">
      <w:pPr>
        <w:pageBreakBefore w:val="0"/>
        <w:kinsoku/>
        <w:wordWrap/>
        <w:overflowPunct/>
        <w:topLinePunct w:val="0"/>
        <w:autoSpaceDN/>
        <w:bidi w:val="0"/>
        <w:spacing w:line="578" w:lineRule="exact"/>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7E27792">
      <w:pPr>
        <w:pStyle w:val="3"/>
        <w:ind w:left="0" w:leftChars="0" w:firstLine="0" w:firstLineChars="0"/>
        <w:rPr>
          <w:rFonts w:hint="eastAsia"/>
          <w:lang w:val="en-US" w:eastAsia="zh-CN"/>
        </w:rPr>
      </w:pPr>
    </w:p>
    <w:p w14:paraId="73C365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inline distT="0" distB="0" distL="114300" distR="114300">
            <wp:extent cx="4291330" cy="3040380"/>
            <wp:effectExtent l="4445" t="5080" r="9525" b="2159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6E0FA4">
      <w:pPr>
        <w:pageBreakBefore w:val="0"/>
        <w:kinsoku/>
        <w:wordWrap/>
        <w:overflowPunct/>
        <w:topLinePunct w:val="0"/>
        <w:autoSpaceDN/>
        <w:bidi w:val="0"/>
        <w:spacing w:line="578" w:lineRule="exact"/>
        <w:ind w:firstLine="640" w:firstLineChars="200"/>
        <w:textAlignment w:val="auto"/>
        <w:outlineLvl w:val="1"/>
        <w:rPr>
          <w:rStyle w:val="29"/>
          <w:rFonts w:ascii="Times New Roman" w:hAnsi="Times New Roman" w:eastAsia="黑体"/>
          <w:b w:val="0"/>
          <w:color w:val="auto"/>
          <w:highlight w:val="none"/>
        </w:rPr>
      </w:pPr>
      <w:bookmarkStart w:id="28" w:name="_Toc15396607"/>
      <w:bookmarkStart w:id="2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14:paraId="03AB108D">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533DC21C">
      <w:pPr>
        <w:pageBreakBefore w:val="0"/>
        <w:kinsoku/>
        <w:wordWrap/>
        <w:overflowPunct/>
        <w:topLinePunct w:val="0"/>
        <w:autoSpaceDN/>
        <w:bidi w:val="0"/>
        <w:spacing w:line="578" w:lineRule="exact"/>
        <w:ind w:firstLine="640"/>
        <w:textAlignment w:val="auto"/>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2241.05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25.40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人员增加导致人员及公用经费增加，项目建设数量较上年度高。</w:t>
      </w:r>
    </w:p>
    <w:p w14:paraId="51EB4260">
      <w:pPr>
        <w:pStyle w:val="2"/>
        <w:rPr>
          <w:rFonts w:hint="eastAsia" w:eastAsia="仿宋_GB2312" w:cs="仿宋_GB2312"/>
          <w:color w:val="auto"/>
          <w:sz w:val="32"/>
          <w:szCs w:val="32"/>
          <w:highlight w:val="none"/>
          <w:lang w:eastAsia="zh-CN"/>
        </w:rPr>
      </w:pPr>
    </w:p>
    <w:p w14:paraId="0C85D7E7">
      <w:pPr>
        <w:pStyle w:val="3"/>
        <w:rPr>
          <w:rFonts w:hint="eastAsia"/>
          <w:lang w:val="en-US" w:eastAsia="zh-CN"/>
        </w:rPr>
      </w:pPr>
    </w:p>
    <w:p w14:paraId="4571A2D1">
      <w:pPr>
        <w:pageBreakBefore w:val="0"/>
        <w:kinsoku/>
        <w:wordWrap/>
        <w:overflowPunct/>
        <w:topLinePunct w:val="0"/>
        <w:autoSpaceDN/>
        <w:bidi w:val="0"/>
        <w:spacing w:line="578" w:lineRule="exact"/>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0BA82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inline distT="0" distB="0" distL="114300" distR="114300">
            <wp:extent cx="4500880" cy="2832100"/>
            <wp:effectExtent l="4445" t="5080" r="9525" b="2032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956FE4">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273F5156">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公共安全支出9590.3</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86.68</w:t>
      </w:r>
      <w:r>
        <w:rPr>
          <w:rFonts w:hint="eastAsia" w:ascii="Times New Roman" w:hAnsi="Times New Roman" w:eastAsia="仿宋_GB2312" w:cs="仿宋_GB2312"/>
          <w:color w:val="auto"/>
          <w:kern w:val="2"/>
          <w:sz w:val="32"/>
          <w:szCs w:val="32"/>
          <w:highlight w:val="none"/>
          <w:lang w:val="en-US" w:eastAsia="zh-CN" w:bidi="ar-SA"/>
        </w:rPr>
        <w:t>%；社会保障和就业支出765.71万元，占</w:t>
      </w:r>
      <w:r>
        <w:rPr>
          <w:rFonts w:hint="eastAsia" w:eastAsia="仿宋_GB2312" w:cs="仿宋_GB2312"/>
          <w:color w:val="auto"/>
          <w:kern w:val="2"/>
          <w:sz w:val="32"/>
          <w:szCs w:val="32"/>
          <w:highlight w:val="none"/>
          <w:lang w:val="en-US" w:eastAsia="zh-CN" w:bidi="ar-SA"/>
        </w:rPr>
        <w:t>6.92</w:t>
      </w:r>
      <w:r>
        <w:rPr>
          <w:rFonts w:hint="eastAsia" w:ascii="Times New Roman" w:hAnsi="Times New Roman" w:eastAsia="仿宋_GB2312" w:cs="仿宋_GB2312"/>
          <w:color w:val="auto"/>
          <w:kern w:val="2"/>
          <w:sz w:val="32"/>
          <w:szCs w:val="32"/>
          <w:highlight w:val="none"/>
          <w:lang w:val="en-US" w:eastAsia="zh-CN" w:bidi="ar-SA"/>
        </w:rPr>
        <w:t>%；卫生健康支出296.4</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2.68</w:t>
      </w:r>
      <w:r>
        <w:rPr>
          <w:rFonts w:hint="eastAsia" w:ascii="Times New Roman" w:hAnsi="Times New Roman" w:eastAsia="仿宋_GB2312" w:cs="仿宋_GB2312"/>
          <w:color w:val="auto"/>
          <w:kern w:val="2"/>
          <w:sz w:val="32"/>
          <w:szCs w:val="32"/>
          <w:highlight w:val="none"/>
          <w:lang w:val="en-US" w:eastAsia="zh-CN" w:bidi="ar-SA"/>
        </w:rPr>
        <w:t>%；住房保障支出411.18万元，占</w:t>
      </w:r>
      <w:r>
        <w:rPr>
          <w:rFonts w:hint="eastAsia" w:eastAsia="仿宋_GB2312" w:cs="仿宋_GB2312"/>
          <w:color w:val="auto"/>
          <w:kern w:val="2"/>
          <w:sz w:val="32"/>
          <w:szCs w:val="32"/>
          <w:highlight w:val="none"/>
          <w:lang w:val="en-US" w:eastAsia="zh-CN" w:bidi="ar-SA"/>
        </w:rPr>
        <w:t>3.72</w:t>
      </w:r>
      <w:r>
        <w:rPr>
          <w:rFonts w:hint="eastAsia" w:ascii="Times New Roman" w:hAnsi="Times New Roman" w:eastAsia="仿宋_GB2312" w:cs="仿宋_GB2312"/>
          <w:color w:val="auto"/>
          <w:kern w:val="2"/>
          <w:sz w:val="32"/>
          <w:szCs w:val="32"/>
          <w:highlight w:val="none"/>
          <w:lang w:val="en-US" w:eastAsia="zh-CN" w:bidi="ar-SA"/>
        </w:rPr>
        <w:t>%。</w:t>
      </w:r>
    </w:p>
    <w:p w14:paraId="035F7C34">
      <w:pPr>
        <w:pageBreakBefore w:val="0"/>
        <w:kinsoku/>
        <w:wordWrap/>
        <w:overflowPunct/>
        <w:topLinePunct w:val="0"/>
        <w:autoSpaceDN/>
        <w:bidi w:val="0"/>
        <w:spacing w:line="578" w:lineRule="exact"/>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D7939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758690" cy="3235960"/>
            <wp:effectExtent l="5080" t="4445" r="1778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38A4B4">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731DF3C8">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8460"/>
      <w:bookmarkStart w:id="35"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11063.6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90.2</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66BC653D">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1.公共安全（2040201、2040202、2040219、2040220、2040299）：支出决算为9590.3</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88.86</w:t>
      </w:r>
      <w:r>
        <w:rPr>
          <w:rFonts w:hint="eastAsia" w:ascii="Times New Roman" w:hAnsi="Times New Roman" w:eastAsia="仿宋_GB2312" w:cs="仿宋_GB2312"/>
          <w:color w:val="auto"/>
          <w:kern w:val="2"/>
          <w:sz w:val="32"/>
          <w:szCs w:val="32"/>
          <w:highlight w:val="none"/>
          <w:lang w:val="en-US" w:eastAsia="zh-CN" w:bidi="ar-SA"/>
        </w:rPr>
        <w:t>%，决算数小于预算数，因为部分项目年底前未按工期完成。</w:t>
      </w:r>
    </w:p>
    <w:p w14:paraId="055220C6">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2.社会保障和就业（2080505、2080506）：支出决算为765.71万元，完成预算100%，决算数等于预算数。</w:t>
      </w:r>
    </w:p>
    <w:p w14:paraId="24870091">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3.卫生健康（2101101、2101103）：支出决算为296.4</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D7A1223">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住房保障（2210201）：支出决算为411.18万元，完成预算100%，决算数等于预算数。</w:t>
      </w:r>
    </w:p>
    <w:p w14:paraId="08D77EFC">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2F6D30BA">
      <w:pPr>
        <w:pageBreakBefore w:val="0"/>
        <w:tabs>
          <w:tab w:val="right" w:pos="8306"/>
        </w:tabs>
        <w:kinsoku/>
        <w:wordWrap/>
        <w:overflowPunct/>
        <w:topLinePunct w:val="0"/>
        <w:autoSpaceDN/>
        <w:bidi w:val="0"/>
        <w:spacing w:line="578" w:lineRule="exact"/>
        <w:ind w:firstLine="640"/>
        <w:textAlignment w:val="auto"/>
        <w:outlineLvl w:val="1"/>
        <w:rPr>
          <w:rStyle w:val="29"/>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14:paraId="13633892">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8069.12</w:t>
      </w:r>
      <w:r>
        <w:rPr>
          <w:rFonts w:hint="eastAsia" w:ascii="Times New Roman" w:hAnsi="Times New Roman" w:eastAsia="仿宋_GB2312" w:cs="仿宋_GB2312"/>
          <w:color w:val="auto"/>
          <w:kern w:val="2"/>
          <w:sz w:val="32"/>
          <w:szCs w:val="32"/>
          <w:highlight w:val="none"/>
          <w:lang w:val="en-US" w:eastAsia="zh-CN" w:bidi="ar-SA"/>
        </w:rPr>
        <w:t>万元，其中：</w:t>
      </w:r>
    </w:p>
    <w:p w14:paraId="53F65AF8">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7463.85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605.27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2508383">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89A4E62">
      <w:pPr>
        <w:pageBreakBefore w:val="0"/>
        <w:kinsoku/>
        <w:wordWrap/>
        <w:overflowPunct/>
        <w:topLinePunct w:val="0"/>
        <w:autoSpaceDN/>
        <w:bidi w:val="0"/>
        <w:spacing w:line="578" w:lineRule="exact"/>
        <w:ind w:firstLine="640"/>
        <w:textAlignment w:val="auto"/>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14:paraId="6324560C">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082A1CC1">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490.77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99.75</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130.74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36.31</w:t>
      </w:r>
      <w:r>
        <w:rPr>
          <w:rFonts w:hint="eastAsia" w:ascii="Times New Roman" w:hAnsi="Times New Roman" w:eastAsia="仿宋_GB2312" w:cs="仿宋_GB2312"/>
          <w:color w:val="auto"/>
          <w:kern w:val="2"/>
          <w:sz w:val="32"/>
          <w:szCs w:val="32"/>
          <w:highlight w:val="none"/>
          <w:lang w:val="en-US" w:eastAsia="zh-CN" w:bidi="ar-SA"/>
        </w:rPr>
        <w:t>%。决算数低于预算数，公务接待较少，公务用车报废更新周期较长导致公务用车运行支出减少。</w:t>
      </w:r>
    </w:p>
    <w:p w14:paraId="016B5CE0">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61E3F89E">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09B9A605">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490.77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2D15E0B">
      <w:pPr>
        <w:pageBreakBefore w:val="0"/>
        <w:kinsoku/>
        <w:wordWrap/>
        <w:overflowPunct/>
        <w:topLinePunct w:val="0"/>
        <w:autoSpaceDN/>
        <w:bidi w:val="0"/>
        <w:spacing w:line="578" w:lineRule="exact"/>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4BDF305">
      <w:pPr>
        <w:pStyle w:val="2"/>
        <w:jc w:val="center"/>
        <w:rPr>
          <w:rFonts w:hint="eastAsia"/>
          <w:lang w:val="en-US" w:eastAsia="zh-CN"/>
        </w:rPr>
      </w:pPr>
      <w:r>
        <w:rPr>
          <w:rFonts w:hint="eastAsia"/>
          <w:lang w:val="en-US"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A4B6C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持平。</w:t>
      </w:r>
    </w:p>
    <w:p w14:paraId="6F30900A">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490.77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99.76</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132.40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36.94</w:t>
      </w:r>
      <w:r>
        <w:rPr>
          <w:rFonts w:hint="eastAsia" w:ascii="Times New Roman" w:hAnsi="Times New Roman" w:eastAsia="仿宋_GB2312" w:cs="仿宋_GB2312"/>
          <w:color w:val="auto"/>
          <w:kern w:val="2"/>
          <w:sz w:val="32"/>
          <w:szCs w:val="32"/>
          <w:highlight w:val="none"/>
          <w:lang w:val="en-US" w:eastAsia="zh-CN" w:bidi="ar-SA"/>
        </w:rPr>
        <w:t>%。主要原因是购置车辆数较202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，且购置有3辆特种专业技术用车</w:t>
      </w:r>
      <w:r>
        <w:rPr>
          <w:rFonts w:hint="eastAsia" w:ascii="Times New Roman" w:hAnsi="Times New Roman" w:eastAsia="仿宋_GB2312" w:cs="仿宋_GB2312"/>
          <w:color w:val="auto"/>
          <w:kern w:val="2"/>
          <w:sz w:val="32"/>
          <w:szCs w:val="32"/>
          <w:highlight w:val="none"/>
          <w:lang w:val="en-US" w:eastAsia="zh-CN" w:bidi="ar-SA"/>
        </w:rPr>
        <w:t>。</w:t>
      </w:r>
    </w:p>
    <w:p w14:paraId="157C57DD">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415.8</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327.6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多用途货车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70.2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、轿车1辆，金额18万元。</w:t>
      </w:r>
      <w:r>
        <w:rPr>
          <w:rFonts w:hint="eastAsia" w:ascii="Times New Roman" w:hAnsi="Times New Roman" w:eastAsia="仿宋_GB2312" w:cs="仿宋_GB2312"/>
          <w:color w:val="auto"/>
          <w:kern w:val="2"/>
          <w:sz w:val="32"/>
          <w:szCs w:val="32"/>
          <w:highlight w:val="none"/>
          <w:lang w:val="en-US" w:eastAsia="zh-CN" w:bidi="ar-SA"/>
        </w:rPr>
        <w:t>主要用于执勤、巡逻、出警、办案等用车。截至202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年12月31日，单位共有公务用车6</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辆、载客汽车2辆、多用途货车</w:t>
      </w:r>
      <w:r>
        <w:rPr>
          <w:rFonts w:hint="eastAsia" w:eastAsia="仿宋_GB2312" w:cs="仿宋_GB2312"/>
          <w:color w:val="auto"/>
          <w:kern w:val="2"/>
          <w:sz w:val="32"/>
          <w:szCs w:val="32"/>
          <w:highlight w:val="none"/>
          <w:lang w:val="en-US" w:eastAsia="zh-CN" w:bidi="ar-SA"/>
        </w:rPr>
        <w:t>26辆</w:t>
      </w:r>
      <w:r>
        <w:rPr>
          <w:rFonts w:hint="eastAsia" w:ascii="Times New Roman" w:hAnsi="Times New Roman" w:eastAsia="仿宋_GB2312" w:cs="仿宋_GB2312"/>
          <w:color w:val="auto"/>
          <w:kern w:val="2"/>
          <w:sz w:val="32"/>
          <w:szCs w:val="32"/>
          <w:highlight w:val="none"/>
          <w:lang w:val="en-US" w:eastAsia="zh-CN" w:bidi="ar-SA"/>
        </w:rPr>
        <w:t>。</w:t>
      </w:r>
    </w:p>
    <w:p w14:paraId="15F5A2A6">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74.97</w:t>
      </w:r>
      <w:r>
        <w:rPr>
          <w:rFonts w:hint="eastAsia" w:ascii="Times New Roman" w:hAnsi="Times New Roman" w:eastAsia="仿宋_GB2312" w:cs="仿宋_GB2312"/>
          <w:color w:val="auto"/>
          <w:kern w:val="2"/>
          <w:sz w:val="32"/>
          <w:szCs w:val="32"/>
          <w:highlight w:val="none"/>
          <w:lang w:val="en-US" w:eastAsia="zh-CN" w:bidi="ar-SA"/>
        </w:rPr>
        <w:t>万元。主要用于日常公务用车以及巡逻用车所需的公务用车燃料费、维修费、过路过桥费、保险费等支出。</w:t>
      </w:r>
    </w:p>
    <w:p w14:paraId="373EC35C">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1.36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本年无接待</w:t>
      </w:r>
      <w:r>
        <w:rPr>
          <w:rFonts w:hint="eastAsia" w:ascii="Times New Roman" w:hAnsi="Times New Roman" w:eastAsia="仿宋_GB2312" w:cs="仿宋_GB2312"/>
          <w:color w:val="auto"/>
          <w:kern w:val="2"/>
          <w:sz w:val="32"/>
          <w:szCs w:val="32"/>
          <w:highlight w:val="none"/>
          <w:lang w:val="en-US" w:eastAsia="zh-CN" w:bidi="ar-SA"/>
        </w:rPr>
        <w:t>。</w:t>
      </w:r>
      <w:bookmarkStart w:id="42" w:name="_Toc15396610"/>
      <w:bookmarkStart w:id="43" w:name="_Toc15377218"/>
    </w:p>
    <w:p w14:paraId="20A15E22">
      <w:pPr>
        <w:pageBreakBefore w:val="0"/>
        <w:kinsoku/>
        <w:wordWrap/>
        <w:overflowPunct/>
        <w:topLinePunct w:val="0"/>
        <w:autoSpaceDN/>
        <w:bidi w:val="0"/>
        <w:spacing w:line="578" w:lineRule="exact"/>
        <w:ind w:firstLine="640"/>
        <w:textAlignment w:val="auto"/>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793445AE">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175F65B2">
      <w:pPr>
        <w:pageBreakBefore w:val="0"/>
        <w:numPr>
          <w:ilvl w:val="0"/>
          <w:numId w:val="0"/>
        </w:numPr>
        <w:kinsoku/>
        <w:wordWrap/>
        <w:overflowPunct/>
        <w:topLinePunct w:val="0"/>
        <w:autoSpaceDN/>
        <w:bidi w:val="0"/>
        <w:spacing w:line="578" w:lineRule="exact"/>
        <w:ind w:left="630" w:leftChars="0"/>
        <w:textAlignment w:val="auto"/>
        <w:outlineLvl w:val="1"/>
        <w:rPr>
          <w:rStyle w:val="29"/>
          <w:rFonts w:ascii="Times New Roman" w:hAnsi="Times New Roman" w:eastAsia="黑体"/>
          <w:b w:val="0"/>
          <w:color w:val="auto"/>
          <w:highlight w:val="none"/>
        </w:rPr>
      </w:pPr>
      <w:bookmarkStart w:id="44" w:name="_Toc15377219"/>
      <w:bookmarkStart w:id="4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14:paraId="65E51510">
      <w:pPr>
        <w:pageBreakBefore w:val="0"/>
        <w:numPr>
          <w:ilvl w:val="0"/>
          <w:numId w:val="0"/>
        </w:numPr>
        <w:kinsoku/>
        <w:wordWrap/>
        <w:overflowPunct/>
        <w:topLinePunct w:val="0"/>
        <w:autoSpaceDN/>
        <w:bidi w:val="0"/>
        <w:spacing w:line="578" w:lineRule="exact"/>
        <w:ind w:left="630" w:leftChars="0"/>
        <w:textAlignment w:val="auto"/>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46" w:name="_Toc15396612"/>
      <w:bookmarkStart w:id="47" w:name="_Toc15377221"/>
      <w:r>
        <w:rPr>
          <w:rFonts w:hint="eastAsia" w:eastAsia="仿宋_GB2312" w:cs="仿宋_GB2312"/>
          <w:color w:val="auto"/>
          <w:kern w:val="2"/>
          <w:sz w:val="32"/>
          <w:szCs w:val="32"/>
          <w:highlight w:val="none"/>
          <w:lang w:val="en-US" w:eastAsia="zh-CN" w:bidi="ar-SA"/>
        </w:rPr>
        <w:t>。</w:t>
      </w:r>
    </w:p>
    <w:p w14:paraId="7A353578">
      <w:pPr>
        <w:pageBreakBefore w:val="0"/>
        <w:numPr>
          <w:ilvl w:val="0"/>
          <w:numId w:val="0"/>
        </w:numPr>
        <w:kinsoku/>
        <w:wordWrap/>
        <w:overflowPunct/>
        <w:topLinePunct w:val="0"/>
        <w:autoSpaceDN/>
        <w:bidi w:val="0"/>
        <w:spacing w:line="578" w:lineRule="exact"/>
        <w:ind w:left="630" w:leftChars="0"/>
        <w:textAlignment w:val="auto"/>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14:paraId="0C934BC1">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039E53CC">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松潘县公安局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605.27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108.42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21.82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公用经费标准上涨，增加了取暖费的支出。</w:t>
      </w:r>
    </w:p>
    <w:p w14:paraId="544FC4CF">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55AF8ECE">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松潘县公安局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694.69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694.69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主要用于</w:t>
      </w:r>
      <w:r>
        <w:rPr>
          <w:rFonts w:hint="eastAsia" w:ascii="仿宋_GB2312" w:hAnsi="仿宋_GB2312" w:eastAsia="仿宋_GB2312" w:cs="仿宋_GB2312"/>
          <w:color w:val="auto"/>
          <w:kern w:val="2"/>
          <w:sz w:val="32"/>
          <w:szCs w:val="32"/>
          <w:highlight w:val="none"/>
          <w:lang w:val="en-US" w:eastAsia="zh-CN" w:bidi="ar-SA"/>
        </w:rPr>
        <w:t>执法执勤装备支出、执法执勤车辆购置支出、感知源信息化补点建设支出</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1876651">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10317BD1">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25374B3C">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松潘县公安局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52</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B0E1777">
      <w:pPr>
        <w:pageBreakBefore w:val="0"/>
        <w:kinsoku/>
        <w:wordWrap/>
        <w:overflowPunct/>
        <w:topLinePunct w:val="0"/>
        <w:autoSpaceDN/>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A0E961B">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松潘县公安局</w:t>
      </w:r>
      <w:r>
        <w:rPr>
          <w:rFonts w:hint="eastAsia" w:ascii="Times New Roman" w:hAnsi="Times New Roman" w:eastAsia="仿宋_GB2312" w:cs="仿宋_GB2312"/>
          <w:color w:val="auto"/>
          <w:kern w:val="2"/>
          <w:sz w:val="32"/>
          <w:szCs w:val="32"/>
          <w:highlight w:val="none"/>
          <w:lang w:val="en-US" w:eastAsia="zh-CN" w:bidi="ar-SA"/>
        </w:rPr>
        <w:t>在2025年度，组织对政法转移支付资金（办案业务费）等</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2994.48</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35D20CD">
      <w:pPr>
        <w:pageBreakBefore w:val="0"/>
        <w:kinsoku/>
        <w:wordWrap/>
        <w:overflowPunct/>
        <w:topLinePunct w:val="0"/>
        <w:autoSpaceDN/>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转移支付资金专项预算项目绩效自评报告（涉密），自评得分为97分，绩效自评综述深入推进</w:t>
      </w:r>
      <w:r>
        <w:rPr>
          <w:rFonts w:hint="eastAsia" w:eastAsia="仿宋_GB2312" w:cs="仿宋_GB2312"/>
          <w:color w:val="auto"/>
          <w:kern w:val="2"/>
          <w:sz w:val="32"/>
          <w:szCs w:val="32"/>
          <w:highlight w:val="none"/>
          <w:lang w:val="en-US" w:eastAsia="zh-CN" w:bidi="ar-SA"/>
        </w:rPr>
        <w:t>扫黑除恶专项斗争</w:t>
      </w:r>
      <w:r>
        <w:rPr>
          <w:rFonts w:hint="eastAsia" w:ascii="Times New Roman" w:hAnsi="Times New Roman" w:eastAsia="仿宋_GB2312" w:cs="仿宋_GB2312"/>
          <w:color w:val="auto"/>
          <w:kern w:val="2"/>
          <w:sz w:val="32"/>
          <w:szCs w:val="32"/>
          <w:highlight w:val="none"/>
          <w:lang w:val="en-US" w:eastAsia="zh-CN" w:bidi="ar-SA"/>
        </w:rPr>
        <w:t>、依法打击违法犯罪、大力整治社会治安乱点、持续强化安全生产监管、优化夯实服务社会民生、全力维护社会稳定、积极守护人民群众新时代的美好生活；以“案发少、秩序好、社会稳定、群众满意”为奋斗目标</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通过合理、节约、科学有效使用资金，充分发挥资金的最大使用效益，有力保障和积极推进各项公安工作的顺利开展。</w:t>
      </w:r>
    </w:p>
    <w:p w14:paraId="50E3E3B2">
      <w:pPr>
        <w:pStyle w:val="2"/>
        <w:rPr>
          <w:rFonts w:hint="eastAsia"/>
          <w:lang w:val="en-US" w:eastAsia="zh-CN"/>
        </w:rPr>
      </w:pPr>
    </w:p>
    <w:p w14:paraId="5C8D166B">
      <w:pPr>
        <w:pageBreakBefore w:val="0"/>
        <w:numPr>
          <w:ilvl w:val="0"/>
          <w:numId w:val="0"/>
        </w:numPr>
        <w:kinsoku/>
        <w:wordWrap/>
        <w:overflowPunct/>
        <w:topLinePunct w:val="0"/>
        <w:autoSpaceDN/>
        <w:bidi w:val="0"/>
        <w:spacing w:line="578" w:lineRule="exact"/>
        <w:jc w:val="center"/>
        <w:textAlignment w:val="auto"/>
        <w:outlineLvl w:val="0"/>
        <w:rPr>
          <w:rFonts w:hint="eastAsia" w:ascii="Times New Roman" w:hAnsi="Times New Roman" w:eastAsia="黑体"/>
          <w:color w:val="auto"/>
          <w:sz w:val="44"/>
          <w:szCs w:val="44"/>
          <w:highlight w:val="none"/>
        </w:rPr>
      </w:pPr>
      <w:bookmarkStart w:id="51" w:name="_Toc15396613"/>
      <w:bookmarkStart w:id="5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6FB0592B">
      <w:pPr>
        <w:pageBreakBefore w:val="0"/>
        <w:kinsoku/>
        <w:wordWrap/>
        <w:overflowPunct/>
        <w:topLinePunct w:val="0"/>
        <w:autoSpaceDN/>
        <w:bidi w:val="0"/>
        <w:spacing w:line="578" w:lineRule="exact"/>
        <w:jc w:val="left"/>
        <w:textAlignment w:val="auto"/>
        <w:rPr>
          <w:rFonts w:ascii="Times New Roman" w:hAnsi="Times New Roman"/>
          <w:b/>
          <w:color w:val="auto"/>
          <w:sz w:val="44"/>
          <w:szCs w:val="44"/>
          <w:highlight w:val="none"/>
        </w:rPr>
      </w:pPr>
    </w:p>
    <w:p w14:paraId="7C7275B1">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bookmarkStart w:id="53" w:name="_Toc15377226"/>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BBA15B0">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140E528C">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781EB034">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w:t>
      </w:r>
      <w:r>
        <w:rPr>
          <w:rFonts w:ascii="仿宋_GB2312" w:eastAsia="仿宋_GB2312"/>
          <w:color w:val="auto"/>
          <w:sz w:val="32"/>
          <w:szCs w:val="32"/>
          <w:highlight w:val="none"/>
        </w:rPr>
        <w:t xml:space="preserve"> </w:t>
      </w:r>
    </w:p>
    <w:p w14:paraId="13886EE3">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53E9D3FB">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7FE476AD">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0F868CE6">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6092837D">
      <w:pPr>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公共安全（2040201、2040202、2040220、2040299）：指行政运行</w:t>
      </w:r>
      <w:r>
        <w:rPr>
          <w:rFonts w:hint="eastAsia" w:ascii="仿宋_GB2312" w:eastAsia="仿宋_GB2312"/>
          <w:color w:val="auto"/>
          <w:sz w:val="32"/>
          <w:szCs w:val="32"/>
          <w:highlight w:val="none"/>
          <w:lang w:eastAsia="zh-CN"/>
        </w:rPr>
        <w:t>、一般行政管理事务、执法办案、其他公安支出</w:t>
      </w:r>
      <w:r>
        <w:rPr>
          <w:rFonts w:hint="eastAsia" w:ascii="仿宋_GB2312" w:eastAsia="仿宋_GB2312"/>
          <w:color w:val="auto"/>
          <w:sz w:val="32"/>
          <w:szCs w:val="32"/>
          <w:highlight w:val="none"/>
        </w:rPr>
        <w:t>。</w:t>
      </w:r>
    </w:p>
    <w:p w14:paraId="052C5C6C">
      <w:pPr>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社会保障和就业（2080505、2080506）：指机关事业单位基本养老保险</w:t>
      </w:r>
      <w:r>
        <w:rPr>
          <w:rFonts w:hint="eastAsia" w:ascii="仿宋_GB2312" w:eastAsia="仿宋_GB2312"/>
          <w:color w:val="auto"/>
          <w:sz w:val="32"/>
          <w:szCs w:val="32"/>
          <w:highlight w:val="none"/>
          <w:lang w:eastAsia="zh-CN"/>
        </w:rPr>
        <w:t>及机关事业单位职业年金</w:t>
      </w:r>
      <w:r>
        <w:rPr>
          <w:rFonts w:hint="eastAsia" w:ascii="仿宋_GB2312" w:eastAsia="仿宋_GB2312"/>
          <w:color w:val="auto"/>
          <w:sz w:val="32"/>
          <w:szCs w:val="32"/>
          <w:highlight w:val="none"/>
        </w:rPr>
        <w:t>。</w:t>
      </w:r>
    </w:p>
    <w:p w14:paraId="7164D675">
      <w:pPr>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（2101101、2101103）：指</w:t>
      </w:r>
      <w:r>
        <w:rPr>
          <w:rFonts w:hint="eastAsia" w:ascii="仿宋_GB2312" w:eastAsia="仿宋_GB2312"/>
          <w:color w:val="auto"/>
          <w:sz w:val="32"/>
          <w:szCs w:val="32"/>
          <w:highlight w:val="none"/>
          <w:lang w:eastAsia="zh-CN"/>
        </w:rPr>
        <w:t>行政单位医疗及公务员医疗补助</w:t>
      </w:r>
      <w:r>
        <w:rPr>
          <w:rFonts w:hint="eastAsia" w:ascii="仿宋_GB2312" w:eastAsia="仿宋_GB2312"/>
          <w:color w:val="auto"/>
          <w:sz w:val="32"/>
          <w:szCs w:val="32"/>
          <w:highlight w:val="none"/>
        </w:rPr>
        <w:t>。</w:t>
      </w:r>
    </w:p>
    <w:p w14:paraId="3A1AA62A">
      <w:pPr>
        <w:pageBreakBefore w:val="0"/>
        <w:kinsoku/>
        <w:wordWrap/>
        <w:overflowPunct/>
        <w:topLinePunct w:val="0"/>
        <w:bidi w:val="0"/>
        <w:spacing w:line="576"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住房保障（2210201）：指</w:t>
      </w:r>
      <w:r>
        <w:rPr>
          <w:rFonts w:hint="eastAsia" w:ascii="仿宋_GB2312" w:eastAsia="仿宋_GB2312"/>
          <w:color w:val="auto"/>
          <w:sz w:val="32"/>
          <w:szCs w:val="32"/>
          <w:highlight w:val="none"/>
          <w:lang w:eastAsia="zh-CN"/>
        </w:rPr>
        <w:t>住房公积金</w:t>
      </w:r>
      <w:r>
        <w:rPr>
          <w:rFonts w:hint="eastAsia" w:ascii="仿宋_GB2312" w:eastAsia="仿宋_GB2312"/>
          <w:color w:val="auto"/>
          <w:sz w:val="32"/>
          <w:szCs w:val="32"/>
          <w:highlight w:val="none"/>
        </w:rPr>
        <w:t>。</w:t>
      </w:r>
    </w:p>
    <w:p w14:paraId="1995F35A">
      <w:pPr>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614AF5ED">
      <w:pPr>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0208F4C3">
      <w:pPr>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3CF296C1">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0E811A">
      <w:pPr>
        <w:pStyle w:val="26"/>
        <w:pageBreakBefore w:val="0"/>
        <w:kinsoku/>
        <w:wordWrap/>
        <w:overflowPunct/>
        <w:topLinePunct w:val="0"/>
        <w:bidi w:val="0"/>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5AD4EF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8A76F4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8"/>
    </w:p>
    <w:p w14:paraId="0445F932">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eastAsia="zh-CN"/>
        </w:rPr>
        <w:t>四</w:t>
      </w:r>
      <w:r>
        <w:rPr>
          <w:rStyle w:val="28"/>
          <w:rFonts w:hint="eastAsia" w:ascii="Times New Roman" w:hAnsi="Times New Roman" w:eastAsia="黑体"/>
          <w:b w:val="0"/>
          <w:color w:val="auto"/>
          <w:highlight w:val="none"/>
        </w:rPr>
        <w:t>部分 附表</w:t>
      </w:r>
      <w:bookmarkEnd w:id="53"/>
      <w:bookmarkEnd w:id="54"/>
      <w:bookmarkStart w:id="55" w:name="_Toc15396619"/>
    </w:p>
    <w:p w14:paraId="34ADBDD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DFF66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75F3C0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4ECCE6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232B19D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579AADC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39C1096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647BEA2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4D1A579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5566DF2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6A0E2DF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3210829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14D1A4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76496E4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4D198180">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CC45A0-6097-4ED3-B6A2-1A34EC2094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D28D2C0A-A604-47C8-A13F-9954579E8841}"/>
  </w:font>
  <w:font w:name="仿宋">
    <w:panose1 w:val="02010609060101010101"/>
    <w:charset w:val="86"/>
    <w:family w:val="modern"/>
    <w:pitch w:val="default"/>
    <w:sig w:usb0="800002BF" w:usb1="38CF7CFA" w:usb2="00000016" w:usb3="00000000" w:csb0="00040001" w:csb1="00000000"/>
    <w:embedRegular r:id="rId3" w:fontKey="{E305C59B-96E7-49BB-8E34-00336B1A607E}"/>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2BCFEE4A-34B3-486C-BB9D-AEA0FDDC65E9}"/>
  </w:font>
  <w:font w:name="楷体_GB2312">
    <w:panose1 w:val="02010609030101010101"/>
    <w:charset w:val="86"/>
    <w:family w:val="auto"/>
    <w:pitch w:val="default"/>
    <w:sig w:usb0="00000001" w:usb1="080E0000" w:usb2="00000000" w:usb3="00000000" w:csb0="00040000" w:csb1="00000000"/>
    <w:embedRegular r:id="rId5" w:fontKey="{C5C76B40-E2DC-4E70-B59D-7262F5D55995}"/>
  </w:font>
  <w:font w:name="华文中宋">
    <w:altName w:val="宋体"/>
    <w:panose1 w:val="02010600040101010101"/>
    <w:charset w:val="86"/>
    <w:family w:val="auto"/>
    <w:pitch w:val="default"/>
    <w:sig w:usb0="00000000" w:usb1="00000000" w:usb2="00000000" w:usb3="00000000" w:csb0="0004009F" w:csb1="DFD70000"/>
    <w:embedRegular r:id="rId6" w:fontKey="{93295BE3-4A33-42A4-9061-09B661B46F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CE538">
    <w:pPr>
      <w:pStyle w:val="11"/>
      <w:jc w:val="center"/>
    </w:pPr>
  </w:p>
  <w:p w14:paraId="194A4E7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FEC67">
    <w:pPr>
      <w:pStyle w:val="11"/>
      <w:jc w:val="center"/>
    </w:pPr>
  </w:p>
  <w:p w14:paraId="63E0D2B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34A5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6FC6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EE6FC6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D7112">
    <w:pPr>
      <w:pStyle w:val="11"/>
      <w:jc w:val="center"/>
    </w:pPr>
  </w:p>
  <w:p w14:paraId="6BFAEFBB">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97B71">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2633E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2633E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0CC7CC87">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5C3C8">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AC2D36"/>
    <w:rsid w:val="1DE178F3"/>
    <w:rsid w:val="1E740ACF"/>
    <w:rsid w:val="1F516661"/>
    <w:rsid w:val="1FF35744"/>
    <w:rsid w:val="1FF6BC77"/>
    <w:rsid w:val="201C5A4A"/>
    <w:rsid w:val="214E2245"/>
    <w:rsid w:val="21962A9E"/>
    <w:rsid w:val="21AE7C77"/>
    <w:rsid w:val="22BC3C41"/>
    <w:rsid w:val="23860B96"/>
    <w:rsid w:val="240371BF"/>
    <w:rsid w:val="260F557C"/>
    <w:rsid w:val="278111E0"/>
    <w:rsid w:val="281408E2"/>
    <w:rsid w:val="2936764C"/>
    <w:rsid w:val="29FD04D3"/>
    <w:rsid w:val="2BFF7BC6"/>
    <w:rsid w:val="2C8A61B5"/>
    <w:rsid w:val="2D2E01CF"/>
    <w:rsid w:val="2DEF046E"/>
    <w:rsid w:val="2DF04E50"/>
    <w:rsid w:val="2E9545B0"/>
    <w:rsid w:val="2F040D46"/>
    <w:rsid w:val="2FAE5751"/>
    <w:rsid w:val="2FB1A395"/>
    <w:rsid w:val="2FD9A7D8"/>
    <w:rsid w:val="319F7F4E"/>
    <w:rsid w:val="31A51880"/>
    <w:rsid w:val="321B2544"/>
    <w:rsid w:val="3304709D"/>
    <w:rsid w:val="34281836"/>
    <w:rsid w:val="349D6851"/>
    <w:rsid w:val="34A75B42"/>
    <w:rsid w:val="35BA6CAF"/>
    <w:rsid w:val="35D37231"/>
    <w:rsid w:val="364D14C1"/>
    <w:rsid w:val="36AA5135"/>
    <w:rsid w:val="36BE0DA7"/>
    <w:rsid w:val="376B6AA6"/>
    <w:rsid w:val="376D39B2"/>
    <w:rsid w:val="37E16F03"/>
    <w:rsid w:val="37F53A3B"/>
    <w:rsid w:val="389B6C89"/>
    <w:rsid w:val="38D469F0"/>
    <w:rsid w:val="394372BF"/>
    <w:rsid w:val="39627CCD"/>
    <w:rsid w:val="397BAF1F"/>
    <w:rsid w:val="3AB79AF3"/>
    <w:rsid w:val="3B7EF35A"/>
    <w:rsid w:val="3B9FDB6C"/>
    <w:rsid w:val="3BF5BC2F"/>
    <w:rsid w:val="3CEBA265"/>
    <w:rsid w:val="3D98207C"/>
    <w:rsid w:val="3D9B0D99"/>
    <w:rsid w:val="3DEE7CF3"/>
    <w:rsid w:val="3DF02244"/>
    <w:rsid w:val="3E5D21A7"/>
    <w:rsid w:val="3E78745D"/>
    <w:rsid w:val="3FF4CAE0"/>
    <w:rsid w:val="3FF7B227"/>
    <w:rsid w:val="40741DB1"/>
    <w:rsid w:val="40E54C45"/>
    <w:rsid w:val="41313393"/>
    <w:rsid w:val="41E706EF"/>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1BD53C6"/>
    <w:rsid w:val="53083A92"/>
    <w:rsid w:val="537E6D0A"/>
    <w:rsid w:val="53AF27A2"/>
    <w:rsid w:val="53F74C96"/>
    <w:rsid w:val="54231105"/>
    <w:rsid w:val="56E47B74"/>
    <w:rsid w:val="57BD3DD4"/>
    <w:rsid w:val="58E9765C"/>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15D3381"/>
    <w:rsid w:val="621D66E0"/>
    <w:rsid w:val="625967BF"/>
    <w:rsid w:val="62BF3928"/>
    <w:rsid w:val="63380D74"/>
    <w:rsid w:val="647F5392"/>
    <w:rsid w:val="649276D8"/>
    <w:rsid w:val="664B1D71"/>
    <w:rsid w:val="67AA3209"/>
    <w:rsid w:val="681C4F0D"/>
    <w:rsid w:val="68713908"/>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716135"/>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06FA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8822.55</c:v>
                </c:pt>
                <c:pt idx="1">
                  <c:v>8822.55</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11063.6</c:v>
                </c:pt>
                <c:pt idx="1">
                  <c:v>11063.6</c:v>
                </c:pt>
              </c:numCache>
            </c:numRef>
          </c:val>
        </c:ser>
        <c:dLbls>
          <c:showLegendKey val="0"/>
          <c:showVal val="0"/>
          <c:showCatName val="0"/>
          <c:showSerName val="0"/>
          <c:showPercent val="0"/>
          <c:showBubbleSize val="0"/>
        </c:dLbls>
        <c:gapWidth val="219"/>
        <c:overlap val="-27"/>
        <c:axId val="51418640"/>
        <c:axId val="295364401"/>
      </c:barChart>
      <c:catAx>
        <c:axId val="514186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364401"/>
        <c:crosses val="autoZero"/>
        <c:auto val="1"/>
        <c:lblAlgn val="ctr"/>
        <c:lblOffset val="100"/>
        <c:noMultiLvlLbl val="0"/>
      </c:catAx>
      <c:valAx>
        <c:axId val="2953644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186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1c44c4b-aaa0-437e-b3a8-d3032793e62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11063.6</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25ab80-e9d4-4c7f-93fd-b807b33589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11063.6</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d91dac0-5762-4ba4-b4d4-14464476bc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8822.55</c:v>
                </c:pt>
                <c:pt idx="1">
                  <c:v>8822.55</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11063.6</c:v>
                </c:pt>
                <c:pt idx="1">
                  <c:v>11063.6</c:v>
                </c:pt>
              </c:numCache>
            </c:numRef>
          </c:val>
        </c:ser>
        <c:dLbls>
          <c:showLegendKey val="0"/>
          <c:showVal val="0"/>
          <c:showCatName val="0"/>
          <c:showSerName val="0"/>
          <c:showPercent val="0"/>
          <c:showBubbleSize val="0"/>
        </c:dLbls>
        <c:gapWidth val="219"/>
        <c:overlap val="-27"/>
        <c:axId val="51418640"/>
        <c:axId val="295364401"/>
      </c:barChart>
      <c:catAx>
        <c:axId val="514186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364401"/>
        <c:crosses val="autoZero"/>
        <c:auto val="1"/>
        <c:lblAlgn val="ctr"/>
        <c:lblOffset val="100"/>
        <c:noMultiLvlLbl val="0"/>
      </c:catAx>
      <c:valAx>
        <c:axId val="2953644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186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dd6f94-99fd-48be-8621-19d45e1f434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8822.55</c:v>
                </c:pt>
                <c:pt idx="1">
                  <c:v>8822.55</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11063.6</c:v>
                </c:pt>
                <c:pt idx="1">
                  <c:v>11063.6</c:v>
                </c:pt>
              </c:numCache>
            </c:numRef>
          </c:val>
        </c:ser>
        <c:dLbls>
          <c:showLegendKey val="0"/>
          <c:showVal val="0"/>
          <c:showCatName val="0"/>
          <c:showSerName val="0"/>
          <c:showPercent val="0"/>
          <c:showBubbleSize val="0"/>
        </c:dLbls>
        <c:gapWidth val="219"/>
        <c:overlap val="-27"/>
        <c:axId val="51418640"/>
        <c:axId val="295364401"/>
      </c:barChart>
      <c:catAx>
        <c:axId val="514186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364401"/>
        <c:crosses val="autoZero"/>
        <c:auto val="1"/>
        <c:lblAlgn val="ctr"/>
        <c:lblOffset val="100"/>
        <c:noMultiLvlLbl val="0"/>
      </c:catAx>
      <c:valAx>
        <c:axId val="2953644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186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050972-c3ad-4f86-a46b-9703003ac8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General</c:formatCode>
                <c:ptCount val="4"/>
                <c:pt idx="0">
                  <c:v>9590.3</c:v>
                </c:pt>
                <c:pt idx="1">
                  <c:v>765.71</c:v>
                </c:pt>
                <c:pt idx="2">
                  <c:v>296.4</c:v>
                </c:pt>
                <c:pt idx="3">
                  <c:v>411.18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e5f5bee-0438-4eae-9c4f-005f0f4f94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490.77</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aef10b-2ad5-42a2-a5bf-3d48f034581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75208092-205b-40c2-9b00-69c7276f4fd9</errorID>
      <errorWord>.....</errorWord>
      <group>L1_Punc</group>
      <groupName>标点问题</groupName>
      <ability>L2_Punc_CN</ability>
      <abilityName>标点符号问题</abilityName>
      <candidateList>
        <item>……</item>
      </candidateList>
      <explain>省略号错误。</explain>
      <paraID>71EF322B</paraID>
      <start>22</start>
      <end>24</end>
      <status>modified</status>
      <modifiedWord>……</modifiedWord>
      <trackRevisions>false</trackRevisions>
    </reviewItem>
    <reviewItem>
      <errorID>b22e259d-6553-4427-8553-bf5df7b9ce65</errorID>
      <errorWord>.....</errorWord>
      <group>L1_Punc</group>
      <groupName>标点问题</groupName>
      <ability>L2_Punc_CN</ability>
      <abilityName>标点符号问题</abilityName>
      <candidateList>
        <item>……</item>
      </candidateList>
      <explain>省略号错误。</explain>
      <paraID>3A86C8E6</paraID>
      <start>22</start>
      <end>24</end>
      <status>modified</status>
      <modifiedWord>……</modifiedWord>
      <trackRevisions>false</trackRevisions>
    </reviewItem>
    <reviewItem>
      <errorID>13dcc67b-922a-4307-9fb9-f0dcb7cb1031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6C6EEAA0</paraID>
      <start>0</start>
      <end>2</end>
      <status>modified</status>
      <modifiedWord>1.</modifiedWord>
      <trackRevisions>false</trackRevisions>
    </reviewItem>
    <reviewItem>
      <errorID>59255db7-7e4f-4db5-b7d5-ceb2b334bc1d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7492A74C</paraID>
      <start>0</start>
      <end>2</end>
      <status>modified</status>
      <modifiedWord>2.</modifiedWord>
      <trackRevisions>false</trackRevisions>
    </reviewItem>
    <reviewItem>
      <errorID>3912d77d-e4ad-4d58-847c-ecd647efa812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427F08A1</paraID>
      <start>0</start>
      <end>2</end>
      <status>modified</status>
      <modifiedWord>3.</modifiedWord>
      <trackRevisions>false</trackRevisions>
    </reviewItem>
    <reviewItem>
      <errorID>b5d97a40-51a1-4047-bdd2-3051e6b0ec3e</errorID>
      <errorWord>法制建设</errorWord>
      <group>L1_Political</group>
      <groupName>政治性问题</groupName>
      <ability>L2_Unpolitical</ability>
      <abilityName>政治敏感错误</abilityName>
      <candidateList>
        <item>法治建设</item>
      </candidateList>
      <explain/>
      <paraID>427F08A1</paraID>
      <start>8</start>
      <end>12</end>
      <status>modified</status>
      <modifiedWord>法治建设</modifiedWord>
      <trackRevisions>false</trackRevisions>
    </reviewItem>
    <reviewItem>
      <errorID>28f9a736-bbbf-4394-9a27-63093b873344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48D04737</paraID>
      <start>0</start>
      <end>2</end>
      <status>modified</status>
      <modifiedWord>4.</modifiedWord>
      <trackRevisions>false</trackRevisions>
    </reviewItem>
    <reviewItem>
      <errorID>af6c9fe2-0960-4830-8d9b-4545c9ed0a48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BCF7091</paraID>
      <start>0</start>
      <end>2</end>
      <status>modified</status>
      <modifiedWord>5.</modifiedWord>
      <trackRevisions>false</trackRevisions>
    </reviewItem>
    <reviewItem>
      <errorID>e252c782-e91e-422b-8130-830c72aba9e9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30E87CC7</paraID>
      <start>0</start>
      <end>2</end>
      <status>modified</status>
      <modifiedWord>6.</modifiedWord>
      <trackRevisions>false</trackRevisions>
    </reviewItem>
    <reviewItem>
      <errorID>5f2b8bd0-bbde-461e-9cd8-439e871fab9e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6E18864C</paraID>
      <start>0</start>
      <end>2</end>
      <status>modified</status>
      <modifiedWord>7.</modifiedWord>
      <trackRevisions>false</trackRevisions>
    </reviewItem>
    <reviewItem>
      <errorID>f3ccf2c7-46e2-4da2-b2c0-ddd3f26727f6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4C8AB22D</paraID>
      <start>0</start>
      <end>2</end>
      <status>modified</status>
      <modifiedWord>8.</modifiedWord>
      <trackRevisions>false</trackRevisions>
    </reviewItem>
    <reviewItem>
      <errorID>561dd2f2-acb8-4490-b9dc-982f91546b38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4D48FE64</paraID>
      <start>0</start>
      <end>2</end>
      <status>modified</status>
      <modifiedWord>9.</modifiedWord>
      <trackRevisions>false</trackRevisions>
    </reviewItem>
    <reviewItem>
      <errorID>0c53f1ca-dc70-49ce-b9a9-e9f12c3e90e8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44A4DFE1</paraID>
      <start>0</start>
      <end>3</end>
      <status>modified</status>
      <modifiedWord>10.</modifiedWord>
      <trackRevisions>false</trackRevisions>
    </reviewItem>
    <reviewItem>
      <errorID>5bd68a84-07d2-47c2-adc0-c3b4396d034b</errorID>
      <errorWord>承担的</errorWord>
      <group>L1_Word</group>
      <groupName>字词问题</groupName>
      <ability>L2_Typo</ability>
      <abilityName>字词错误</abilityName>
      <candidateList>
        <item>承担</item>
      </candidateList>
      <explain/>
      <paraID>44A4DFE1</paraID>
      <start>5</start>
      <end>7</end>
      <status>modified</status>
      <modifiedWord>承担</modifiedWord>
      <trackRevisions>false</trackRevisions>
    </reviewItem>
    <reviewItem>
      <errorID>35fc5246-40ab-49c7-a409-4ff048881e57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47540011</paraID>
      <start>0</start>
      <end>3</end>
      <status>modified</status>
      <modifiedWord>11.</modifiedWord>
      <trackRevisions>false</trackRevisions>
    </reviewItem>
    <reviewItem>
      <errorID>86a80452-be76-482a-a192-bba17ac3283e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4935019A</paraID>
      <start>0</start>
      <end>3</end>
      <status>modified</status>
      <modifiedWord>12.</modifiedWord>
      <trackRevisions>false</trackRevisions>
    </reviewItem>
    <reviewItem>
      <errorID>469345ae-1d9c-42c5-afd9-510a49e67b3e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43A1AA83</paraID>
      <start>0</start>
      <end>3</end>
      <status>modified</status>
      <modifiedWord>13.</modifiedWord>
      <trackRevisions>false</trackRevisions>
    </reviewItem>
    <reviewItem>
      <errorID>8a04af38-8c57-4c5a-9e58-df4d225fbd6b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7B920402</paraID>
      <start>0</start>
      <end>3</end>
      <status>modified</status>
      <modifiedWord>14.</modifiedWord>
      <trackRevisions>false</trackRevisions>
    </reviewItem>
    <reviewItem>
      <errorID>46bf24fd-2fe1-4039-adef-dee9994f2648</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3A9E1C51</paraID>
      <start>0</start>
      <end>3</end>
      <status>modified</status>
      <modifiedWord>15.</modifiedWord>
      <trackRevisions>false</trackRevisions>
    </reviewItem>
    <reviewItem>
      <errorID>0210087a-bd57-4ff5-af8a-074f71de13b0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5C44B066</paraID>
      <start>0</start>
      <end>3</end>
      <status>modified</status>
      <modifiedWord>16.</modifiedWord>
      <trackRevisions>false</trackRevisions>
    </reviewItem>
    <reviewItem>
      <errorID>b7a785b6-b5ba-4cc8-a65f-7910781e125f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5441B274</paraID>
      <start>0</start>
      <end>3</end>
      <status>modified</status>
      <modifiedWord>17.</modifiedWord>
      <trackRevisions>false</trackRevisions>
    </reviewItem>
    <reviewItem>
      <errorID>ce76696f-04d6-421e-9f11-c115f68b21c3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2818E59E</paraID>
      <start>0</start>
      <end>3</end>
      <status>modified</status>
      <modifiedWord>18.</modifiedWord>
      <trackRevisions>false</trackRevisions>
    </reviewItem>
    <reviewItem>
      <errorID>b2b222d1-aaa1-4f2e-bda4-97c675f6daf0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1CE31D74</paraID>
      <start>0</start>
      <end>3</end>
      <status>modified</status>
      <modifiedWord>19.</modifiedWord>
      <trackRevisions>false</trackRevisions>
    </reviewItem>
    <reviewItem>
      <errorID>1657d328-d272-4dd9-a5c3-00faa6b1cbbb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13A8963E</paraID>
      <start>0</start>
      <end>3</end>
      <status>modified</status>
      <modifiedWord>20.</modifiedWord>
      <trackRevisions>false</trackRevisions>
    </reviewItem>
    <reviewItem>
      <errorID>5a338d18-a420-4ecc-ac13-7648ff421624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4D7A1223</paraID>
      <start>0</start>
      <end>2</end>
      <status>modified</status>
      <modifiedWord>4.</modifiedWord>
      <trackRevisions>false</trackRevisions>
    </reviewItem>
    <reviewItem>
      <errorID>ba8ece5c-1966-4f5b-bc7a-dc19acfd5d5c</errorID>
      <errorWord>&lt;</errorWord>
      <group>L1_Format</group>
      <groupName>格式问题</groupName>
      <ability>L2_HalfPunc_CN</ability>
      <abilityName>全半角问题</abilityName>
      <candidateList>
        <item>〈</item>
      </candidateList>
      <explain>文本全半角错误。</explain>
      <paraID> 8D77EFC</paraID>
      <start>50</start>
      <end>51</end>
      <status>modified</status>
      <modifiedWord>〈</modifiedWord>
      <trackRevisions>false</trackRevisions>
    </reviewItem>
    <reviewItem>
      <errorID>a9e1f6f7-fe38-4d64-93d1-4330ded382af</errorID>
      <errorWord>&gt;</errorWord>
      <group>L1_Format</group>
      <groupName>格式问题</groupName>
      <ability>L2_HalfPunc_CN</ability>
      <abilityName>全半角问题</abilityName>
      <candidateList>
        <item>〉</item>
      </candidateList>
      <explain>文本全半角错误。</explain>
      <paraID> 8D77EFC</paraID>
      <start>53</start>
      <end>54</end>
      <status>modified</status>
      <modifiedWord>〉</modifiedWord>
      <trackRevisions>false</trackRevisions>
    </reviewItem>
    <reviewItem>
      <errorID>00955f97-265f-43f1-919c-0860fd529c92</errorID>
      <errorWord>&lt;</errorWord>
      <group>L1_Format</group>
      <groupName>格式问题</groupName>
      <ability>L2_HalfPunc_CN</ability>
      <abilityName>全半角问题</abilityName>
      <candidateList>
        <item>〈</item>
      </candidateList>
      <explain>文本全半角错误。</explain>
      <paraID> 8D77EFC</paraID>
      <start>60</start>
      <end>61</end>
      <status>modified</status>
      <modifiedWord>〈</modifiedWord>
      <trackRevisions>false</trackRevisions>
    </reviewItem>
    <reviewItem>
      <errorID>1ce7692e-c243-470e-92e7-c63d06d0e985</errorID>
      <errorWord>&gt;</errorWord>
      <group>L1_Format</group>
      <groupName>格式问题</groupName>
      <ability>L2_HalfPunc_CN</ability>
      <abilityName>全半角问题</abilityName>
      <candidateList>
        <item>〉</item>
      </candidateList>
      <explain>文本全半角错误。</explain>
      <paraID> 8D77EFC</paraID>
      <start>63</start>
      <end>64</end>
      <status>modified</status>
      <modifiedWord>〉</modifiedWord>
      <trackRevisions>false</trackRevisions>
    </reviewItem>
    <reviewItem>
      <errorID>25a14a4c-ca9c-445a-be3e-8761a88533fd</errorID>
      <errorWord>主要用于主要用于</errorWord>
      <group>L1_Word</group>
      <groupName>字词问题</groupName>
      <ability>L2_Typo</ability>
      <abilityName>字词错误</abilityName>
      <candidateList>
        <item>主要用于</item>
      </candidateList>
      <explain/>
      <paraID>55AF8ECE</paraID>
      <start>74</start>
      <end>78</end>
      <status>modified</status>
      <modifiedWord>主要用于</modifiedWord>
      <trackRevisions>false</trackRevisions>
    </reviewItem>
    <reviewItem>
      <errorID>a26763bf-52a8-485b-8ffb-2ca245145b43</errorID>
      <errorWord>，</errorWord>
      <group>L1_Word</group>
      <groupName>字词问题</groupName>
      <ability>L2_Typo</ability>
      <abilityName>字词错误</abilityName>
      <candidateList>
        <item>，在</item>
      </candidateList>
      <explain/>
      <paraID>2A0E961B</paraID>
      <start>85</start>
      <end>87</end>
      <status>modified</status>
      <modifiedWord>，在</modifiedWord>
      <trackRevisions>false</trackRevisions>
    </reviewItem>
    <reviewItem>
      <errorID>3357fa46-a2ac-42eb-ab98-34ab9a178bc2</errorID>
      <errorWord>“扫黑除恶”专项斗争</errorWord>
      <group>L1_Political</group>
      <groupName>政治性问题</groupName>
      <ability>L2_Keyword</ability>
      <abilityName>固定表述</abilityName>
      <candidateList>
        <item>扫黑除恶专项斗争</item>
      </candidateList>
      <explain>注意检查当前固定表述标点是否使用规范。</explain>
      <paraID>635D20CD</paraID>
      <start>106</start>
      <end>114</end>
      <status>modified</status>
      <modifiedWord>扫黑除恶专项斗争</modifiedWord>
      <trackRevisions>false</trackRevisions>
    </reviewItem>
    <reviewItem>
      <errorID>a32d5c32-66cf-4d91-a9d2-354cd585f664</errorID>
      <errorWord>,</errorWord>
      <group>L1_Format</group>
      <groupName>格式问题</groupName>
      <ability>L2_HalfPunc_CN</ability>
      <abilityName>全半角问题</abilityName>
      <candidateList>
        <item>，</item>
      </candidateList>
      <explain>文本全半角错误。</explain>
      <paraID>635D20CD</paraID>
      <start>208</start>
      <end>209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d93c97-e0c0-4aa8-9586-0f598c5c69d5}">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5615</Words>
  <Characters>7229</Characters>
  <Lines>61</Lines>
  <Paragraphs>17</Paragraphs>
  <TotalTime>1</TotalTime>
  <ScaleCrop>false</ScaleCrop>
  <LinksUpToDate>false</LinksUpToDate>
  <CharactersWithSpaces>7247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2026-10-15T02:10:57Z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