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0DAA0">
      <w:pPr>
        <w:spacing w:line="600" w:lineRule="exact"/>
        <w:jc w:val="center"/>
        <w:outlineLvl w:val="0"/>
        <w:rPr>
          <w:rFonts w:ascii="方正小标宋简体" w:hAnsi="宋体" w:eastAsia="方正小标宋简体"/>
          <w:sz w:val="72"/>
          <w:szCs w:val="72"/>
        </w:rPr>
      </w:pPr>
      <w:bookmarkStart w:id="0" w:name="_Toc15396475"/>
      <w:bookmarkStart w:id="1" w:name="_Toc15377425"/>
      <w:bookmarkStart w:id="2" w:name="_Toc15377193"/>
      <w:bookmarkStart w:id="3" w:name="_Toc15396597"/>
      <w:bookmarkStart w:id="4" w:name="_Toc15378441"/>
      <w:bookmarkStart w:id="5" w:name="_Toc15306267"/>
    </w:p>
    <w:p w14:paraId="44995DD6">
      <w:pPr>
        <w:pStyle w:val="6"/>
        <w:spacing w:before="93"/>
      </w:pPr>
    </w:p>
    <w:p w14:paraId="3EC3C31C">
      <w:pPr>
        <w:spacing w:line="600" w:lineRule="exact"/>
        <w:jc w:val="center"/>
        <w:outlineLvl w:val="0"/>
        <w:rPr>
          <w:rFonts w:ascii="方正小标宋简体" w:hAnsi="宋体" w:eastAsia="方正小标宋简体"/>
          <w:sz w:val="72"/>
          <w:szCs w:val="72"/>
        </w:rPr>
      </w:pPr>
    </w:p>
    <w:p w14:paraId="17502F63">
      <w:pPr>
        <w:spacing w:line="600" w:lineRule="exact"/>
        <w:jc w:val="center"/>
        <w:outlineLvl w:val="0"/>
        <w:rPr>
          <w:rFonts w:ascii="方正小标宋简体" w:hAnsi="宋体" w:eastAsia="方正小标宋简体"/>
          <w:sz w:val="72"/>
          <w:szCs w:val="72"/>
        </w:rPr>
      </w:pPr>
    </w:p>
    <w:p w14:paraId="54913814">
      <w:pPr>
        <w:adjustRightInd w:val="0"/>
        <w:snapToGrid w:val="0"/>
        <w:spacing w:line="360" w:lineRule="auto"/>
        <w:jc w:val="center"/>
        <w:outlineLvl w:val="0"/>
        <w:rPr>
          <w:rFonts w:ascii="方正小标宋简体" w:hAnsi="方正小标宋简体" w:eastAsia="方正小标宋简体" w:cs="方正小标宋简体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202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年度</w:t>
      </w:r>
      <w:bookmarkEnd w:id="0"/>
      <w:bookmarkEnd w:id="1"/>
      <w:bookmarkEnd w:id="2"/>
      <w:bookmarkEnd w:id="3"/>
      <w:bookmarkEnd w:id="4"/>
    </w:p>
    <w:bookmarkEnd w:id="5"/>
    <w:p w14:paraId="63A601E7">
      <w:pPr>
        <w:adjustRightInd w:val="0"/>
        <w:snapToGrid w:val="0"/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bookmarkStart w:id="6" w:name="_Toc15396476"/>
      <w:bookmarkStart w:id="7" w:name="_Toc15396598"/>
      <w:bookmarkStart w:id="8" w:name="_Toc15306268"/>
      <w:bookmarkStart w:id="9" w:name="_Toc15378442"/>
      <w:bookmarkStart w:id="10" w:name="_Toc15377194"/>
      <w:bookmarkStart w:id="11" w:name="_Toc15377426"/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松潘县民族宗教局本级</w:t>
      </w:r>
    </w:p>
    <w:p w14:paraId="3CF585D0">
      <w:pPr>
        <w:adjustRightInd w:val="0"/>
        <w:snapToGrid w:val="0"/>
        <w:spacing w:line="360" w:lineRule="auto"/>
        <w:jc w:val="center"/>
        <w:outlineLvl w:val="0"/>
        <w:rPr>
          <w:rFonts w:ascii="方正小标宋简体" w:hAnsi="方正小标宋简体" w:eastAsia="方正小标宋简体" w:cs="方正小标宋简体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部门决算</w:t>
      </w:r>
      <w:bookmarkEnd w:id="6"/>
      <w:bookmarkEnd w:id="7"/>
      <w:bookmarkEnd w:id="8"/>
      <w:bookmarkEnd w:id="9"/>
      <w:bookmarkEnd w:id="10"/>
      <w:bookmarkEnd w:id="11"/>
    </w:p>
    <w:p w14:paraId="6A823407">
      <w:pPr>
        <w:widowControl/>
        <w:jc w:val="center"/>
        <w:rPr>
          <w:rFonts w:ascii="黑体" w:hAnsi="黑体" w:eastAsia="黑体"/>
          <w:sz w:val="48"/>
          <w:szCs w:val="48"/>
        </w:rPr>
      </w:pPr>
      <w:r>
        <w:rPr>
          <w:rFonts w:ascii="方正小标宋简体" w:hAnsi="宋体" w:eastAsia="方正小标宋简体"/>
          <w:sz w:val="36"/>
          <w:szCs w:val="36"/>
        </w:rPr>
        <w:br w:type="page"/>
      </w:r>
      <w:r>
        <w:rPr>
          <w:rFonts w:hint="eastAsia" w:ascii="黑体" w:hAnsi="黑体" w:eastAsia="黑体"/>
          <w:sz w:val="48"/>
          <w:szCs w:val="48"/>
        </w:rPr>
        <w:t>目录</w:t>
      </w:r>
    </w:p>
    <w:p w14:paraId="56BF58B3">
      <w:pPr>
        <w:widowControl/>
        <w:jc w:val="center"/>
        <w:rPr>
          <w:rFonts w:ascii="黑体" w:hAnsi="黑体" w:eastAsia="黑体" w:cstheme="minorBidi"/>
          <w:sz w:val="28"/>
          <w:szCs w:val="28"/>
        </w:rPr>
      </w:pPr>
    </w:p>
    <w:p w14:paraId="7B4DAD5F">
      <w:pPr>
        <w:pStyle w:val="13"/>
      </w:pPr>
      <w:r>
        <w:rPr>
          <w:rFonts w:hint="eastAsia"/>
        </w:rPr>
        <w:t>公开时间：202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日</w:t>
      </w:r>
    </w:p>
    <w:p w14:paraId="3788DDF9"/>
    <w:p w14:paraId="1B4019E6">
      <w:pPr>
        <w:pStyle w:val="13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第一部分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部门概况</w:t>
      </w:r>
    </w:p>
    <w:p w14:paraId="3EF48E9D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/>
          <w:sz w:val="24"/>
        </w:rPr>
      </w:pPr>
      <w:r>
        <w:rPr>
          <w:rFonts w:hint="eastAsia"/>
          <w:sz w:val="24"/>
        </w:rPr>
        <w:t>一、部门职责</w:t>
      </w:r>
    </w:p>
    <w:p w14:paraId="72021A7F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二、机构设置</w:t>
      </w:r>
    </w:p>
    <w:p w14:paraId="06A8D80B">
      <w:pPr>
        <w:pStyle w:val="13"/>
        <w:adjustRightInd w:val="0"/>
        <w:snapToGrid w:val="0"/>
        <w:spacing w:before="0" w:line="440" w:lineRule="exact"/>
        <w:jc w:val="left"/>
        <w:rPr>
          <w:sz w:val="24"/>
          <w:szCs w:val="24"/>
        </w:rPr>
      </w:pPr>
      <w:r>
        <w:rPr>
          <w:rFonts w:hint="eastAsia"/>
          <w:sz w:val="24"/>
        </w:rPr>
        <w:t>第二部分 202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年度部门决算情况说明</w:t>
      </w:r>
    </w:p>
    <w:p w14:paraId="684638B8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一、收入支出决算总体情况说明</w:t>
      </w:r>
    </w:p>
    <w:p w14:paraId="5B044E11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二、收入决算情况说明</w:t>
      </w:r>
    </w:p>
    <w:p w14:paraId="5C00AFFA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三、支出决算情况说明</w:t>
      </w:r>
    </w:p>
    <w:p w14:paraId="6ADCD325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四、财政拨款收入支出决算总体情况说明</w:t>
      </w:r>
    </w:p>
    <w:p w14:paraId="050F7FE9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五、一般公共预算财政拨款支出决算情况说明</w:t>
      </w:r>
    </w:p>
    <w:p w14:paraId="3321E412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六、一般公共预算财政拨款基本支出决算情况说明</w:t>
      </w:r>
    </w:p>
    <w:p w14:paraId="1A1BC41E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七、财政拨款“三公”经费支出决算情况说明</w:t>
      </w:r>
    </w:p>
    <w:p w14:paraId="1D32C6E7">
      <w:pPr>
        <w:pStyle w:val="14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八、政府性基金预算支出决算情况说明</w:t>
      </w:r>
    </w:p>
    <w:p w14:paraId="377D4F49">
      <w:pPr>
        <w:pStyle w:val="14"/>
        <w:adjustRightInd w:val="0"/>
        <w:snapToGrid w:val="0"/>
        <w:spacing w:line="440" w:lineRule="exact"/>
        <w:ind w:leftChars="0"/>
        <w:jc w:val="left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九、国有资本经营预算支出决算情况说明</w:t>
      </w:r>
    </w:p>
    <w:p w14:paraId="1C57F7D4">
      <w:pPr>
        <w:adjustRightInd w:val="0"/>
        <w:snapToGrid w:val="0"/>
        <w:spacing w:line="440" w:lineRule="exact"/>
        <w:ind w:firstLine="420" w:firstLineChars="175"/>
        <w:jc w:val="left"/>
        <w:rPr>
          <w:rFonts w:asciiTheme="minorEastAsia" w:hAnsiTheme="minorEastAsia" w:eastAsiaTheme="minorEastAsia" w:cstheme="minorEastAsia"/>
          <w:sz w:val="24"/>
        </w:rPr>
      </w:pPr>
      <w:r>
        <w:rPr>
          <w:rStyle w:val="19"/>
          <w:rFonts w:hint="eastAsia" w:asciiTheme="minorEastAsia" w:hAnsiTheme="minorEastAsia" w:eastAsiaTheme="minorEastAsia" w:cstheme="minorEastAsia"/>
          <w:color w:val="auto"/>
          <w:sz w:val="24"/>
          <w:u w:val="none"/>
        </w:rPr>
        <w:t>十、</w:t>
      </w:r>
      <w:r>
        <w:rPr>
          <w:rFonts w:hint="eastAsia" w:asciiTheme="minorEastAsia" w:hAnsiTheme="minorEastAsia" w:eastAsiaTheme="minorEastAsia" w:cstheme="minorEastAsia"/>
          <w:sz w:val="24"/>
        </w:rPr>
        <w:t>其他重要事项的情况说明</w:t>
      </w:r>
      <w:r>
        <w:rPr>
          <w:rFonts w:hint="eastAsia" w:asciiTheme="minorEastAsia" w:hAnsiTheme="minorEastAsia" w:eastAsiaTheme="minorEastAsia" w:cstheme="minorEastAsia"/>
          <w:sz w:val="24"/>
        </w:rPr>
        <w:tab/>
      </w:r>
    </w:p>
    <w:p w14:paraId="3AC256E0">
      <w:pPr>
        <w:pStyle w:val="13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第三部分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名词解释</w:t>
      </w:r>
    </w:p>
    <w:p w14:paraId="6F56215F">
      <w:pPr>
        <w:pStyle w:val="13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第四部分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附件</w:t>
      </w:r>
    </w:p>
    <w:p w14:paraId="41B203C8">
      <w:pPr>
        <w:pStyle w:val="13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第五部分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附表</w:t>
      </w:r>
    </w:p>
    <w:p w14:paraId="0BE571BF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一、收入支出决算总表</w:t>
      </w:r>
    </w:p>
    <w:p w14:paraId="115A3CA9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二、收入决算表</w:t>
      </w:r>
    </w:p>
    <w:p w14:paraId="3E08EAF7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三、支出决算表</w:t>
      </w:r>
    </w:p>
    <w:p w14:paraId="0ED6376E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四、财政拨款收入支出决算总表</w:t>
      </w:r>
    </w:p>
    <w:p w14:paraId="3965FDA4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五、财政拨款支出决算明细表</w:t>
      </w:r>
    </w:p>
    <w:p w14:paraId="7DFDC93A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六、一般公共预算财政拨款支出决算表</w:t>
      </w:r>
    </w:p>
    <w:p w14:paraId="6335B3A8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七、一般公共预算财政拨款支出决算明细表</w:t>
      </w:r>
    </w:p>
    <w:p w14:paraId="3F0FC568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八、一般公共预算财政拨款基本支出决算明细表</w:t>
      </w:r>
    </w:p>
    <w:p w14:paraId="53445C6B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九、一般公共预算财政拨款项目支出决算表</w:t>
      </w:r>
    </w:p>
    <w:p w14:paraId="77CE9031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十、政府性基金预算财政拨款收入支出决算表</w:t>
      </w:r>
    </w:p>
    <w:p w14:paraId="48B05FC5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十一、国有资本经营预算财政拨款收入支出决算表</w:t>
      </w:r>
    </w:p>
    <w:p w14:paraId="6F8883CA">
      <w:pPr>
        <w:pStyle w:val="14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十二、国有资本经营预算财政拨款支出决算表</w:t>
      </w:r>
    </w:p>
    <w:p w14:paraId="5A185CFF">
      <w:pPr>
        <w:pStyle w:val="14"/>
        <w:adjustRightInd w:val="0"/>
        <w:snapToGrid w:val="0"/>
        <w:spacing w:line="440" w:lineRule="exact"/>
        <w:jc w:val="left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/>
          <w:sz w:val="24"/>
        </w:rPr>
        <w:t>十三、财政拨款“三公”经费支出决算表</w:t>
      </w:r>
    </w:p>
    <w:p w14:paraId="1B274B80">
      <w:pPr>
        <w:widowControl/>
        <w:adjustRightInd w:val="0"/>
        <w:snapToGrid w:val="0"/>
        <w:spacing w:line="440" w:lineRule="exact"/>
        <w:ind w:firstLine="1320" w:firstLineChars="55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</w:t>
      </w:r>
      <w:r>
        <w:rPr>
          <w:rFonts w:ascii="仿宋" w:hAnsi="仿宋" w:eastAsia="仿宋"/>
          <w:sz w:val="24"/>
        </w:rPr>
        <w:t>注：</w:t>
      </w:r>
      <w:r>
        <w:rPr>
          <w:rFonts w:hint="eastAsia" w:ascii="仿宋" w:hAnsi="仿宋" w:eastAsia="仿宋"/>
          <w:sz w:val="24"/>
        </w:rPr>
        <w:t>请部门根据实际注明页码</w:t>
      </w:r>
      <w:r>
        <w:rPr>
          <w:rFonts w:hint="eastAsia" w:ascii="仿宋" w:hAnsi="仿宋" w:eastAsia="仿宋"/>
          <w:sz w:val="24"/>
          <w:lang w:eastAsia="zh-CN"/>
        </w:rPr>
        <w:t>）</w:t>
      </w:r>
    </w:p>
    <w:p w14:paraId="7545A333">
      <w:pPr>
        <w:widowControl/>
        <w:spacing w:line="440" w:lineRule="exact"/>
        <w:jc w:val="left"/>
        <w:rPr>
          <w:rFonts w:ascii="仿宋" w:hAnsi="仿宋" w:eastAsia="仿宋"/>
          <w:bCs/>
          <w:kern w:val="44"/>
          <w:sz w:val="24"/>
        </w:rPr>
      </w:pPr>
      <w:bookmarkStart w:id="12" w:name="_Toc15396599"/>
      <w:bookmarkStart w:id="13" w:name="_Toc15377196"/>
      <w:r>
        <w:rPr>
          <w:rFonts w:ascii="仿宋" w:hAnsi="仿宋" w:eastAsia="仿宋"/>
          <w:b/>
          <w:sz w:val="24"/>
        </w:rPr>
        <w:br w:type="page"/>
      </w:r>
    </w:p>
    <w:p w14:paraId="29E2DF4D">
      <w:pPr>
        <w:pStyle w:val="3"/>
        <w:jc w:val="center"/>
        <w:rPr>
          <w:rStyle w:val="28"/>
          <w:rFonts w:ascii="黑体" w:hAnsi="黑体" w:eastAsia="黑体"/>
          <w:b/>
          <w:bCs w:val="0"/>
        </w:rPr>
      </w:pPr>
      <w:r>
        <w:rPr>
          <w:rFonts w:hint="eastAsia" w:ascii="黑体" w:hAnsi="黑体" w:eastAsia="黑体"/>
          <w:b w:val="0"/>
        </w:rPr>
        <w:t xml:space="preserve">第一部分 </w:t>
      </w:r>
      <w:r>
        <w:rPr>
          <w:rStyle w:val="28"/>
          <w:rFonts w:hint="eastAsia" w:ascii="黑体" w:hAnsi="黑体" w:eastAsia="黑体"/>
          <w:b w:val="0"/>
          <w:bCs w:val="0"/>
        </w:rPr>
        <w:t>部门概况</w:t>
      </w:r>
      <w:bookmarkEnd w:id="12"/>
      <w:bookmarkEnd w:id="13"/>
    </w:p>
    <w:p w14:paraId="626D1A79">
      <w:pPr>
        <w:widowControl/>
        <w:jc w:val="left"/>
        <w:rPr>
          <w:rFonts w:ascii="黑体" w:eastAsia="黑体"/>
          <w:sz w:val="32"/>
          <w:szCs w:val="32"/>
        </w:rPr>
      </w:pPr>
    </w:p>
    <w:p w14:paraId="2BF698F9">
      <w:pPr>
        <w:pStyle w:val="4"/>
        <w:numPr>
          <w:ilvl w:val="0"/>
          <w:numId w:val="1"/>
        </w:numPr>
        <w:rPr>
          <w:rFonts w:hint="eastAsia" w:ascii="黑体" w:hAnsi="黑体" w:eastAsia="黑体"/>
          <w:b w:val="0"/>
        </w:rPr>
      </w:pPr>
      <w:r>
        <w:rPr>
          <w:rFonts w:hint="eastAsia" w:ascii="黑体" w:hAnsi="黑体" w:eastAsia="黑体"/>
          <w:b w:val="0"/>
        </w:rPr>
        <w:t>部门职责</w:t>
      </w:r>
    </w:p>
    <w:p w14:paraId="2BD62C18">
      <w:pPr>
        <w:pStyle w:val="4"/>
        <w:numPr>
          <w:ilvl w:val="0"/>
          <w:numId w:val="0"/>
        </w:numPr>
        <w:ind w:firstLine="643" w:firstLineChars="200"/>
        <w:rPr>
          <w:rStyle w:val="29"/>
          <w:rFonts w:ascii="仿宋" w:hAnsi="仿宋" w:eastAsia="黑体"/>
          <w:b w:val="0"/>
          <w:bCs w:val="0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（职能参照州政府批准的三定方案，涉密不宜公开）</w:t>
      </w:r>
    </w:p>
    <w:p w14:paraId="4396713C">
      <w:pPr>
        <w:pStyle w:val="4"/>
        <w:rPr>
          <w:rStyle w:val="29"/>
          <w:b w:val="0"/>
          <w:bCs w:val="0"/>
        </w:rPr>
      </w:pPr>
      <w:bookmarkStart w:id="14" w:name="_Toc15377200"/>
      <w:bookmarkStart w:id="15" w:name="_Toc15396601"/>
      <w:r>
        <w:rPr>
          <w:rFonts w:hint="eastAsia" w:ascii="黑体" w:eastAsia="黑体"/>
          <w:b w:val="0"/>
        </w:rPr>
        <w:t>二、</w:t>
      </w:r>
      <w:r>
        <w:rPr>
          <w:rFonts w:hint="eastAsia" w:ascii="黑体" w:hAnsi="黑体" w:eastAsia="黑体"/>
          <w:b w:val="0"/>
        </w:rPr>
        <w:t>机</w:t>
      </w:r>
      <w:r>
        <w:rPr>
          <w:rStyle w:val="29"/>
          <w:rFonts w:hint="eastAsia" w:ascii="黑体" w:hAnsi="黑体" w:eastAsia="黑体"/>
          <w:b w:val="0"/>
          <w:bCs w:val="0"/>
        </w:rPr>
        <w:t>构设置</w:t>
      </w:r>
      <w:bookmarkEnd w:id="14"/>
      <w:bookmarkEnd w:id="15"/>
    </w:p>
    <w:p w14:paraId="6F9065BC"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松潘县民族宗教局本级下属二级预算单位2个，其中行政单位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个，参照公务员法管理的事业单位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个。</w:t>
      </w:r>
    </w:p>
    <w:p w14:paraId="2CB41C96"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纳入松潘县民族宗教局本级202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年度部门决算编制范围的二级预算单位包括：</w:t>
      </w:r>
    </w:p>
    <w:p w14:paraId="49FBAF1B"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  <w:bookmarkStart w:id="16" w:name="_Toc15306276"/>
      <w:bookmarkStart w:id="17" w:name="_Toc15378449"/>
      <w:bookmarkStart w:id="18" w:name="_Toc15377202"/>
      <w:bookmarkStart w:id="19" w:name="_Toc15377433"/>
      <w:r>
        <w:rPr>
          <w:rFonts w:hint="eastAsia" w:ascii="仿宋" w:hAnsi="仿宋" w:eastAsia="仿宋"/>
          <w:sz w:val="32"/>
          <w:szCs w:val="32"/>
          <w:lang w:eastAsia="zh-CN"/>
        </w:rPr>
        <w:t>松潘县民族宗教局</w:t>
      </w:r>
      <w:bookmarkEnd w:id="16"/>
      <w:bookmarkEnd w:id="17"/>
      <w:bookmarkEnd w:id="18"/>
      <w:bookmarkEnd w:id="19"/>
    </w:p>
    <w:p w14:paraId="18E1D881"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  <w:lang w:eastAsia="zh-CN"/>
        </w:rPr>
        <w:t>松潘县民族团结服务中心</w:t>
      </w:r>
    </w:p>
    <w:p w14:paraId="6B6D7E38"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</w:p>
    <w:p w14:paraId="371ED4C7">
      <w:pPr>
        <w:pStyle w:val="3"/>
        <w:ind w:right="440"/>
        <w:jc w:val="center"/>
        <w:rPr>
          <w:rStyle w:val="28"/>
          <w:rFonts w:ascii="黑体" w:hAnsi="黑体" w:eastAsia="黑体"/>
          <w:b w:val="0"/>
          <w:bCs/>
        </w:rPr>
      </w:pPr>
      <w:bookmarkStart w:id="20" w:name="_Toc15396602"/>
      <w:bookmarkStart w:id="21" w:name="_Toc15377204"/>
      <w:r>
        <w:rPr>
          <w:rFonts w:hint="eastAsia" w:ascii="黑体" w:hAnsi="黑体" w:eastAsia="黑体"/>
          <w:b w:val="0"/>
        </w:rPr>
        <w:t>第二部分 202</w:t>
      </w:r>
      <w:r>
        <w:rPr>
          <w:rFonts w:hint="eastAsia" w:ascii="黑体" w:hAnsi="黑体" w:eastAsia="黑体"/>
          <w:b w:val="0"/>
          <w:lang w:val="en-US" w:eastAsia="zh-CN"/>
        </w:rPr>
        <w:t>5</w:t>
      </w:r>
      <w:r>
        <w:rPr>
          <w:rFonts w:hint="eastAsia" w:ascii="黑体" w:hAnsi="黑体" w:eastAsia="黑体"/>
          <w:b w:val="0"/>
        </w:rPr>
        <w:t>年度</w:t>
      </w:r>
      <w:r>
        <w:rPr>
          <w:rStyle w:val="28"/>
          <w:rFonts w:hint="eastAsia" w:ascii="黑体" w:hAnsi="黑体" w:eastAsia="黑体"/>
          <w:b w:val="0"/>
          <w:bCs/>
        </w:rPr>
        <w:t>部门决算情况说明</w:t>
      </w:r>
      <w:bookmarkEnd w:id="20"/>
      <w:bookmarkEnd w:id="21"/>
    </w:p>
    <w:p w14:paraId="12818F66"/>
    <w:p w14:paraId="58997554">
      <w:pPr>
        <w:pStyle w:val="27"/>
        <w:numPr>
          <w:ilvl w:val="0"/>
          <w:numId w:val="2"/>
        </w:numPr>
        <w:spacing w:line="600" w:lineRule="exact"/>
        <w:ind w:firstLineChars="0"/>
        <w:outlineLvl w:val="1"/>
        <w:rPr>
          <w:rStyle w:val="29"/>
          <w:rFonts w:ascii="黑体" w:hAnsi="黑体" w:eastAsia="黑体"/>
          <w:b w:val="0"/>
        </w:rPr>
      </w:pPr>
      <w:bookmarkStart w:id="22" w:name="_Toc15396603"/>
      <w:bookmarkStart w:id="23" w:name="_Toc15377205"/>
      <w:r>
        <w:rPr>
          <w:rFonts w:hint="eastAsia" w:ascii="黑体" w:hAnsi="黑体" w:eastAsia="黑体"/>
          <w:sz w:val="32"/>
          <w:szCs w:val="32"/>
        </w:rPr>
        <w:t>收</w:t>
      </w:r>
      <w:r>
        <w:rPr>
          <w:rStyle w:val="29"/>
          <w:rFonts w:hint="eastAsia" w:ascii="黑体" w:hAnsi="黑体" w:eastAsia="黑体"/>
          <w:b w:val="0"/>
        </w:rPr>
        <w:t>入支出决算总体情况说明</w:t>
      </w:r>
      <w:bookmarkEnd w:id="22"/>
      <w:bookmarkEnd w:id="23"/>
    </w:p>
    <w:p w14:paraId="65557731">
      <w:pPr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年度收、支总计均为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</w:t>
      </w:r>
      <w:r>
        <w:rPr>
          <w:rFonts w:hint="eastAsia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</w:rPr>
        <w:t>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年度相比，收、支总计各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736.7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。主要变动原因是</w:t>
      </w:r>
      <w:r>
        <w:rPr>
          <w:rFonts w:hint="eastAsia" w:ascii="仿宋" w:hAnsi="仿宋" w:eastAsia="仿宋"/>
          <w:sz w:val="32"/>
          <w:szCs w:val="32"/>
          <w:lang w:eastAsia="zh-CN"/>
        </w:rPr>
        <w:t>项目减少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EEF6FA6">
      <w:pPr>
        <w:pStyle w:val="27"/>
        <w:numPr>
          <w:ilvl w:val="0"/>
          <w:numId w:val="2"/>
        </w:numPr>
        <w:spacing w:line="600" w:lineRule="exact"/>
        <w:ind w:firstLineChars="0"/>
        <w:outlineLvl w:val="1"/>
        <w:rPr>
          <w:rStyle w:val="29"/>
          <w:rFonts w:ascii="黑体" w:hAnsi="黑体" w:eastAsia="黑体"/>
          <w:b w:val="0"/>
        </w:rPr>
      </w:pPr>
      <w:bookmarkStart w:id="24" w:name="_Toc15377206"/>
      <w:bookmarkStart w:id="25" w:name="_Toc15396604"/>
      <w:r>
        <w:rPr>
          <w:rFonts w:hint="eastAsia" w:ascii="黑体" w:hAnsi="黑体" w:eastAsia="黑体"/>
          <w:sz w:val="32"/>
          <w:szCs w:val="32"/>
        </w:rPr>
        <w:t>收</w:t>
      </w:r>
      <w:r>
        <w:rPr>
          <w:rStyle w:val="29"/>
          <w:rFonts w:hint="eastAsia" w:ascii="黑体" w:hAnsi="黑体" w:eastAsia="黑体"/>
          <w:b w:val="0"/>
        </w:rPr>
        <w:t>入决算情况说明</w:t>
      </w:r>
      <w:bookmarkEnd w:id="24"/>
      <w:bookmarkEnd w:id="25"/>
    </w:p>
    <w:p w14:paraId="7C991252">
      <w:pPr>
        <w:spacing w:line="600" w:lineRule="exact"/>
        <w:ind w:firstLine="640" w:firstLineChars="200"/>
        <w:jc w:val="left"/>
        <w:outlineLvl w:val="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年度本年收入合计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万元，其中：一般公共预算财政拨款收入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；政府性基金预算财政拨款收入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；国有资本经营预算财政拨款收入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；上级补助收入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；事业收入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；经营收入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；附属单位上缴收入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；其他收入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0D99A99">
      <w:pPr>
        <w:pStyle w:val="27"/>
        <w:numPr>
          <w:ilvl w:val="0"/>
          <w:numId w:val="2"/>
        </w:numPr>
        <w:spacing w:line="600" w:lineRule="exact"/>
        <w:ind w:firstLineChars="0"/>
        <w:outlineLvl w:val="1"/>
        <w:rPr>
          <w:rStyle w:val="29"/>
          <w:rFonts w:ascii="黑体" w:hAnsi="黑体" w:eastAsia="黑体"/>
          <w:b w:val="0"/>
        </w:rPr>
      </w:pPr>
      <w:bookmarkStart w:id="26" w:name="_Toc15377207"/>
      <w:bookmarkStart w:id="27" w:name="_Toc15396605"/>
      <w:r>
        <w:rPr>
          <w:rFonts w:hint="eastAsia" w:ascii="黑体" w:hAnsi="黑体" w:eastAsia="黑体"/>
          <w:sz w:val="32"/>
          <w:szCs w:val="32"/>
        </w:rPr>
        <w:t>支</w:t>
      </w:r>
      <w:r>
        <w:rPr>
          <w:rStyle w:val="29"/>
          <w:rFonts w:hint="eastAsia" w:ascii="黑体" w:hAnsi="黑体" w:eastAsia="黑体"/>
          <w:b w:val="0"/>
        </w:rPr>
        <w:t>出决算情况说明</w:t>
      </w:r>
      <w:bookmarkEnd w:id="26"/>
      <w:bookmarkEnd w:id="27"/>
    </w:p>
    <w:p w14:paraId="78F1D28A">
      <w:pPr>
        <w:spacing w:line="600" w:lineRule="exact"/>
        <w:ind w:firstLine="640" w:firstLineChars="200"/>
        <w:outlineLvl w:val="1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年度本年支出合计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万元，其中：基本支出</w:t>
      </w:r>
      <w:r>
        <w:rPr>
          <w:rFonts w:hint="eastAsia" w:eastAsia="仿宋"/>
          <w:sz w:val="32"/>
          <w:szCs w:val="32"/>
          <w:lang w:val="en-US" w:eastAsia="zh-CN"/>
        </w:rPr>
        <w:t>420.91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eastAsia="仿宋"/>
          <w:sz w:val="32"/>
          <w:szCs w:val="32"/>
          <w:lang w:val="en-US" w:eastAsia="zh-CN"/>
        </w:rPr>
        <w:t>23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；项目支出</w:t>
      </w:r>
      <w:r>
        <w:rPr>
          <w:rFonts w:hint="eastAsia" w:eastAsia="仿宋"/>
          <w:sz w:val="32"/>
          <w:szCs w:val="32"/>
          <w:lang w:val="en-US" w:eastAsia="zh-CN"/>
        </w:rPr>
        <w:t>1404.7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eastAsia="仿宋"/>
          <w:sz w:val="32"/>
          <w:szCs w:val="32"/>
          <w:lang w:val="en-US" w:eastAsia="zh-CN"/>
        </w:rPr>
        <w:t>77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；上缴上级支出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；经营支出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；对附属单位补助支出</w:t>
      </w:r>
      <w:r>
        <w:rPr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EA96156">
      <w:pPr>
        <w:spacing w:line="600" w:lineRule="exact"/>
        <w:ind w:firstLine="640" w:firstLineChars="200"/>
        <w:outlineLvl w:val="1"/>
        <w:rPr>
          <w:rStyle w:val="29"/>
          <w:rFonts w:ascii="黑体" w:hAnsi="黑体" w:eastAsia="黑体"/>
          <w:b w:val="0"/>
        </w:rPr>
      </w:pPr>
      <w:bookmarkStart w:id="28" w:name="_Toc15396606"/>
      <w:bookmarkStart w:id="29" w:name="_Toc15377208"/>
      <w:r>
        <w:rPr>
          <w:rFonts w:hint="eastAsia" w:ascii="黑体" w:hAnsi="黑体" w:eastAsia="黑体"/>
          <w:sz w:val="32"/>
          <w:szCs w:val="32"/>
        </w:rPr>
        <w:t>四、财</w:t>
      </w:r>
      <w:r>
        <w:rPr>
          <w:rStyle w:val="29"/>
          <w:rFonts w:hint="eastAsia" w:ascii="黑体" w:hAnsi="黑体" w:eastAsia="黑体"/>
          <w:b w:val="0"/>
        </w:rPr>
        <w:t>政拨款收入支出决算总体情况说明</w:t>
      </w:r>
      <w:bookmarkEnd w:id="28"/>
      <w:bookmarkEnd w:id="29"/>
    </w:p>
    <w:p w14:paraId="62B685EC">
      <w:pPr>
        <w:spacing w:line="600" w:lineRule="exact"/>
        <w:ind w:firstLine="640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年度财政拨款收、支总计均为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万元。与202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年度相比，收、支总计各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736.7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。主要变动原因是</w:t>
      </w:r>
      <w:r>
        <w:rPr>
          <w:rFonts w:hint="eastAsia" w:ascii="仿宋" w:hAnsi="仿宋" w:eastAsia="仿宋"/>
          <w:sz w:val="32"/>
          <w:szCs w:val="32"/>
          <w:lang w:eastAsia="zh-CN"/>
        </w:rPr>
        <w:t>项目减少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CAD28DD">
      <w:pPr>
        <w:spacing w:line="600" w:lineRule="exact"/>
        <w:ind w:firstLine="640" w:firstLineChars="200"/>
        <w:outlineLvl w:val="1"/>
        <w:rPr>
          <w:rStyle w:val="29"/>
          <w:rFonts w:ascii="黑体" w:hAnsi="黑体" w:eastAsia="黑体"/>
          <w:b w:val="0"/>
        </w:rPr>
      </w:pPr>
      <w:bookmarkStart w:id="30" w:name="_Toc15396607"/>
      <w:bookmarkStart w:id="31" w:name="_Toc15377209"/>
      <w:r>
        <w:rPr>
          <w:rFonts w:hint="eastAsia" w:ascii="黑体" w:hAnsi="黑体" w:eastAsia="黑体"/>
          <w:sz w:val="32"/>
          <w:szCs w:val="32"/>
        </w:rPr>
        <w:t>五、</w:t>
      </w:r>
      <w:r>
        <w:rPr>
          <w:rFonts w:hint="eastAsia" w:ascii="黑体" w:hAnsi="黑体" w:eastAsia="黑体"/>
          <w:b/>
          <w:sz w:val="32"/>
          <w:szCs w:val="32"/>
        </w:rPr>
        <w:t>一</w:t>
      </w:r>
      <w:r>
        <w:rPr>
          <w:rStyle w:val="29"/>
          <w:rFonts w:hint="eastAsia" w:ascii="黑体" w:hAnsi="黑体" w:eastAsia="黑体"/>
          <w:b w:val="0"/>
        </w:rPr>
        <w:t>般公共预算财政拨款支出决算情况说明</w:t>
      </w:r>
      <w:bookmarkEnd w:id="30"/>
      <w:bookmarkEnd w:id="31"/>
    </w:p>
    <w:p w14:paraId="1947FB2C">
      <w:pPr>
        <w:spacing w:line="600" w:lineRule="exact"/>
        <w:ind w:firstLine="643" w:firstLineChars="200"/>
        <w:outlineLvl w:val="2"/>
        <w:rPr>
          <w:rFonts w:ascii="仿宋" w:hAnsi="仿宋" w:eastAsia="仿宋"/>
          <w:b/>
          <w:sz w:val="32"/>
          <w:szCs w:val="32"/>
        </w:rPr>
      </w:pPr>
      <w:bookmarkStart w:id="32" w:name="_Toc15377210"/>
      <w:r>
        <w:rPr>
          <w:rFonts w:hint="eastAsia" w:ascii="仿宋" w:hAnsi="仿宋" w:eastAsia="仿宋"/>
          <w:b/>
          <w:sz w:val="32"/>
          <w:szCs w:val="32"/>
        </w:rPr>
        <w:t>（一）一般公共预算财政拨款支出决算总体情况</w:t>
      </w:r>
      <w:bookmarkEnd w:id="32"/>
    </w:p>
    <w:p w14:paraId="340C473C"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年度一般公共预算财政拨款支出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万元，占本年支出合计的</w:t>
      </w:r>
      <w:r>
        <w:rPr>
          <w:sz w:val="32"/>
          <w:szCs w:val="32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年度相比，一般公共预算财政拨款支出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736.7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。主要变动原因是</w:t>
      </w:r>
      <w:r>
        <w:rPr>
          <w:rFonts w:hint="eastAsia" w:ascii="仿宋" w:hAnsi="仿宋" w:eastAsia="仿宋"/>
          <w:sz w:val="32"/>
          <w:szCs w:val="32"/>
          <w:lang w:eastAsia="zh-CN"/>
        </w:rPr>
        <w:t>项目减少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33B843">
      <w:pPr>
        <w:spacing w:line="600" w:lineRule="exact"/>
        <w:ind w:firstLine="643" w:firstLineChars="200"/>
        <w:outlineLvl w:val="2"/>
        <w:rPr>
          <w:rFonts w:ascii="仿宋" w:hAnsi="仿宋" w:eastAsia="仿宋"/>
          <w:b/>
          <w:sz w:val="32"/>
          <w:szCs w:val="32"/>
        </w:rPr>
      </w:pPr>
      <w:bookmarkStart w:id="33" w:name="_Toc15377211"/>
      <w:r>
        <w:rPr>
          <w:rFonts w:hint="eastAsia" w:ascii="仿宋" w:hAnsi="仿宋" w:eastAsia="仿宋"/>
          <w:b/>
          <w:sz w:val="32"/>
          <w:szCs w:val="32"/>
        </w:rPr>
        <w:t>（二）一般公共预算财政拨款支出决算结构情况</w:t>
      </w:r>
      <w:bookmarkEnd w:id="33"/>
    </w:p>
    <w:p w14:paraId="3A672C42">
      <w:pPr>
        <w:spacing w:line="60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年度一般公共预算财政拨款支出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其中一般公共服务支出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1059.4万元，</w:t>
      </w:r>
      <w:r>
        <w:rPr>
          <w:rFonts w:hint="eastAsia" w:ascii="仿宋" w:hAnsi="仿宋" w:eastAsia="仿宋"/>
          <w:sz w:val="32"/>
          <w:szCs w:val="32"/>
        </w:rPr>
        <w:t>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58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农林水支出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662.71万元，占36%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sz w:val="32"/>
          <w:szCs w:val="32"/>
        </w:rPr>
        <w:t>社会保障和就业</w:t>
      </w:r>
      <w:r>
        <w:rPr>
          <w:rFonts w:hint="eastAsia" w:ascii="仿宋" w:hAnsi="仿宋" w:eastAsia="仿宋"/>
          <w:b/>
          <w:bCs/>
          <w:sz w:val="32"/>
          <w:szCs w:val="32"/>
        </w:rPr>
        <w:t>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54.14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bCs/>
          <w:sz w:val="32"/>
          <w:szCs w:val="32"/>
        </w:rPr>
        <w:t>卫生健康支出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20.19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bCs/>
          <w:sz w:val="32"/>
          <w:szCs w:val="32"/>
        </w:rPr>
        <w:t>住房保障支出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29.17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ADD94E0">
      <w:pPr>
        <w:spacing w:line="600" w:lineRule="exact"/>
        <w:ind w:firstLine="643" w:firstLineChars="200"/>
        <w:outlineLvl w:val="2"/>
        <w:rPr>
          <w:rFonts w:ascii="仿宋" w:hAnsi="仿宋" w:eastAsia="仿宋"/>
          <w:b/>
          <w:sz w:val="32"/>
          <w:szCs w:val="32"/>
        </w:rPr>
      </w:pPr>
      <w:bookmarkStart w:id="34" w:name="_Toc15377212"/>
      <w:r>
        <w:rPr>
          <w:rFonts w:hint="eastAsia" w:ascii="仿宋" w:hAnsi="仿宋" w:eastAsia="仿宋"/>
          <w:b/>
          <w:sz w:val="32"/>
          <w:szCs w:val="32"/>
        </w:rPr>
        <w:t>（三）一般公共预算财政拨款支出决算具体情况</w:t>
      </w:r>
      <w:bookmarkEnd w:id="34"/>
    </w:p>
    <w:p w14:paraId="2E40B277">
      <w:pPr>
        <w:spacing w:line="600" w:lineRule="exact"/>
        <w:ind w:firstLine="643" w:firstLineChars="200"/>
        <w:outlineLvl w:val="2"/>
        <w:rPr>
          <w:rFonts w:ascii="仿宋" w:hAnsi="仿宋" w:eastAsia="仿宋"/>
          <w:sz w:val="32"/>
          <w:szCs w:val="32"/>
        </w:rPr>
      </w:pPr>
      <w:bookmarkStart w:id="35" w:name="_Toc15377213"/>
      <w:bookmarkStart w:id="36" w:name="_Toc15377444"/>
      <w:bookmarkStart w:id="37" w:name="_Toc15378460"/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年度一般公共预算支出决算数为</w:t>
      </w:r>
      <w:r>
        <w:rPr>
          <w:rFonts w:hint="eastAsia" w:eastAsia="仿宋"/>
          <w:sz w:val="32"/>
          <w:szCs w:val="32"/>
          <w:lang w:val="en-US" w:eastAsia="zh-CN"/>
        </w:rPr>
        <w:t>1825.61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。其中：</w:t>
      </w:r>
      <w:bookmarkEnd w:id="35"/>
      <w:bookmarkEnd w:id="36"/>
      <w:bookmarkEnd w:id="37"/>
    </w:p>
    <w:p w14:paraId="76038F3A">
      <w:pPr>
        <w:numPr>
          <w:ilvl w:val="0"/>
          <w:numId w:val="3"/>
        </w:numPr>
        <w:spacing w:line="600" w:lineRule="exact"/>
        <w:ind w:firstLine="643" w:firstLineChars="200"/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Style w:val="18"/>
          <w:rFonts w:hint="eastAsia" w:ascii="仿宋" w:hAnsi="仿宋" w:eastAsia="仿宋"/>
          <w:bCs/>
          <w:sz w:val="32"/>
          <w:szCs w:val="32"/>
        </w:rPr>
        <w:t>一般公共服务（类）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201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23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（项）</w:t>
      </w:r>
      <w:r>
        <w:rPr>
          <w:rStyle w:val="18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 xml:space="preserve"> 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992.37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万元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：其中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2012301－行政运行支出决算为285.09万元，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；2012302－一般行政管理事务支出决算为13万元，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；2012399－其他民族事务支出决算为2650.43万元，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；2012304－民族工作专项支出决算为10.53，完成预算100%。</w:t>
      </w:r>
    </w:p>
    <w:p w14:paraId="2C84801F">
      <w:pPr>
        <w:numPr>
          <w:ilvl w:val="0"/>
          <w:numId w:val="3"/>
        </w:numPr>
        <w:spacing w:line="600" w:lineRule="exact"/>
        <w:ind w:firstLine="640" w:firstLineChars="200"/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</w:pP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2012350－事业运行支出决算为33.33万元，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%。</w:t>
      </w:r>
    </w:p>
    <w:p w14:paraId="62CD9DB6">
      <w:pPr>
        <w:spacing w:line="600" w:lineRule="exact"/>
        <w:ind w:firstLine="643" w:firstLineChars="200"/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Style w:val="18"/>
          <w:rFonts w:ascii="仿宋" w:hAnsi="仿宋" w:eastAsia="仿宋"/>
          <w:bCs/>
          <w:sz w:val="32"/>
          <w:szCs w:val="32"/>
        </w:rPr>
        <w:t>2.</w:t>
      </w:r>
      <w:r>
        <w:rPr>
          <w:rStyle w:val="18"/>
          <w:rFonts w:hint="eastAsia" w:ascii="仿宋" w:hAnsi="仿宋" w:eastAsia="仿宋"/>
          <w:bCs/>
          <w:sz w:val="32"/>
          <w:szCs w:val="32"/>
          <w:lang w:eastAsia="zh-CN"/>
        </w:rPr>
        <w:t>农林水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（类）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213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05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（项）</w:t>
      </w:r>
      <w:r>
        <w:rPr>
          <w:rStyle w:val="18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 xml:space="preserve"> 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662.71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万元，完成预算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。其中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2130505－生产发展支出决算为13.93万元，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；2130506－社会发展支出决算为263.28万元，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；2130599－其他巩固拓展脱贫攻坚成果衔接乡村振兴支出决算为385.5万元，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%。</w:t>
      </w:r>
    </w:p>
    <w:p w14:paraId="08C1025F">
      <w:pPr>
        <w:spacing w:line="60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3</w:t>
      </w:r>
      <w:r>
        <w:rPr>
          <w:rStyle w:val="18"/>
          <w:rFonts w:ascii="仿宋" w:hAnsi="仿宋" w:eastAsia="仿宋"/>
          <w:bCs/>
          <w:sz w:val="32"/>
          <w:szCs w:val="32"/>
        </w:rPr>
        <w:t>.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社会保障和就业（类）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208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05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（项）</w:t>
      </w:r>
      <w:r>
        <w:rPr>
          <w:rStyle w:val="18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 xml:space="preserve"> 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54.14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万元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：其中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2080505－机关事业养老保险缴费支出决算为36.1万元，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；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2080506－机关事业职业年金支出决算为18.05万元，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。</w:t>
      </w:r>
    </w:p>
    <w:p w14:paraId="12EEDDB0">
      <w:pPr>
        <w:spacing w:line="600" w:lineRule="exact"/>
        <w:ind w:firstLine="643" w:firstLineChars="200"/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</w:pP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4</w:t>
      </w:r>
      <w:r>
        <w:rPr>
          <w:rStyle w:val="18"/>
          <w:rFonts w:ascii="仿宋" w:hAnsi="仿宋" w:eastAsia="仿宋"/>
          <w:bCs/>
          <w:sz w:val="32"/>
          <w:szCs w:val="32"/>
        </w:rPr>
        <w:t>.</w:t>
      </w:r>
      <w:r>
        <w:rPr>
          <w:rFonts w:hint="eastAsia" w:ascii="仿宋" w:hAnsi="仿宋" w:eastAsia="仿宋"/>
          <w:b/>
          <w:bCs/>
          <w:sz w:val="32"/>
          <w:szCs w:val="32"/>
        </w:rPr>
        <w:t>卫生健康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（类）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210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11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项</w:t>
      </w:r>
      <w:bookmarkStart w:id="53" w:name="_GoBack"/>
      <w:r>
        <w:rPr>
          <w:rStyle w:val="18"/>
          <w:rFonts w:hint="eastAsia" w:ascii="仿宋" w:hAnsi="仿宋" w:eastAsia="仿宋"/>
          <w:bCs/>
          <w:sz w:val="32"/>
          <w:szCs w:val="32"/>
        </w:rPr>
        <w:t>）</w:t>
      </w:r>
      <w:bookmarkEnd w:id="53"/>
      <w:r>
        <w:rPr>
          <w:rStyle w:val="18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20.19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万元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：其中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2101101－行政单位医疗支出决算为14.48万元，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；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2101103－公务员医疗补助支出决算为2.53万元，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。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2101102－事业单位医疗支出决算数为1.82万元，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。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2101199－其他行政事业单位医疗支出决算为0.36万元，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。</w:t>
      </w:r>
    </w:p>
    <w:p w14:paraId="52E9A48F">
      <w:pPr>
        <w:pStyle w:val="2"/>
        <w:ind w:firstLine="640"/>
        <w:rPr>
          <w:rStyle w:val="18"/>
          <w:rFonts w:hint="eastAsia" w:ascii="仿宋" w:hAnsi="仿宋" w:eastAsia="仿宋"/>
          <w:b w:val="0"/>
          <w:bCs/>
          <w:sz w:val="32"/>
          <w:szCs w:val="32"/>
        </w:rPr>
      </w:pPr>
      <w:r>
        <w:rPr>
          <w:rStyle w:val="18"/>
          <w:rFonts w:hint="eastAsia" w:ascii="仿宋" w:hAnsi="仿宋" w:eastAsia="仿宋"/>
          <w:b/>
          <w:bCs/>
          <w:sz w:val="32"/>
          <w:szCs w:val="32"/>
          <w:lang w:val="en-US" w:eastAsia="zh-CN"/>
        </w:rPr>
        <w:t>5</w:t>
      </w:r>
      <w:r>
        <w:rPr>
          <w:rStyle w:val="18"/>
          <w:rFonts w:ascii="仿宋" w:hAnsi="仿宋" w:eastAsia="仿宋"/>
          <w:b/>
          <w:bCs/>
          <w:sz w:val="32"/>
          <w:szCs w:val="32"/>
        </w:rPr>
        <w:t>.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住房保障支出</w:t>
      </w:r>
      <w:r>
        <w:rPr>
          <w:rStyle w:val="18"/>
          <w:rFonts w:hint="eastAsia" w:ascii="仿宋" w:hAnsi="仿宋" w:eastAsia="仿宋"/>
          <w:b/>
          <w:bCs/>
          <w:sz w:val="32"/>
          <w:szCs w:val="32"/>
        </w:rPr>
        <w:t>（类）</w:t>
      </w:r>
      <w:r>
        <w:rPr>
          <w:rStyle w:val="18"/>
          <w:rFonts w:hint="eastAsia" w:ascii="仿宋" w:hAnsi="仿宋" w:eastAsia="仿宋"/>
          <w:b/>
          <w:bCs/>
          <w:sz w:val="32"/>
          <w:szCs w:val="32"/>
          <w:lang w:val="en-US" w:eastAsia="zh-CN"/>
        </w:rPr>
        <w:t>221</w:t>
      </w:r>
      <w:r>
        <w:rPr>
          <w:rStyle w:val="18"/>
          <w:rFonts w:hint="eastAsia" w:ascii="仿宋" w:hAnsi="仿宋" w:eastAsia="仿宋"/>
          <w:b/>
          <w:bCs/>
          <w:sz w:val="32"/>
          <w:szCs w:val="32"/>
        </w:rPr>
        <w:t>（款）</w:t>
      </w:r>
      <w:r>
        <w:rPr>
          <w:rStyle w:val="18"/>
          <w:rFonts w:hint="eastAsia" w:ascii="仿宋" w:hAnsi="仿宋" w:eastAsia="仿宋"/>
          <w:b/>
          <w:bCs/>
          <w:sz w:val="32"/>
          <w:szCs w:val="32"/>
          <w:lang w:val="en-US" w:eastAsia="zh-CN"/>
        </w:rPr>
        <w:t>02</w:t>
      </w:r>
      <w:r>
        <w:rPr>
          <w:rStyle w:val="18"/>
          <w:rFonts w:hint="eastAsia" w:ascii="仿宋" w:hAnsi="仿宋" w:eastAsia="仿宋"/>
          <w:b/>
          <w:bCs/>
          <w:sz w:val="32"/>
          <w:szCs w:val="32"/>
          <w:lang w:eastAsia="zh-CN"/>
        </w:rPr>
        <w:t>（项）</w:t>
      </w:r>
      <w:r>
        <w:rPr>
          <w:rStyle w:val="18"/>
          <w:rFonts w:hint="eastAsia" w:ascii="仿宋" w:hAnsi="仿宋" w:eastAsia="仿宋"/>
          <w:b/>
          <w:bCs/>
          <w:sz w:val="32"/>
          <w:szCs w:val="32"/>
          <w:lang w:val="en-US" w:eastAsia="zh-CN"/>
        </w:rPr>
        <w:t>01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eastAsia="zh-CN"/>
        </w:rPr>
        <w:t>支出决算为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29.17万元，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%。</w:t>
      </w:r>
    </w:p>
    <w:p w14:paraId="64B1F898">
      <w:pPr>
        <w:ind w:firstLine="640"/>
        <w:rPr>
          <w:rFonts w:ascii="仿宋" w:hAnsi="仿宋" w:eastAsia="仿宋"/>
          <w:sz w:val="32"/>
          <w:szCs w:val="32"/>
        </w:rPr>
      </w:pP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6</w:t>
      </w:r>
      <w:r>
        <w:rPr>
          <w:rStyle w:val="18"/>
          <w:rFonts w:ascii="仿宋" w:hAnsi="仿宋" w:eastAsia="仿宋"/>
          <w:bCs/>
          <w:sz w:val="32"/>
          <w:szCs w:val="32"/>
        </w:rPr>
        <w:t>.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统战事务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（类）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201</w:t>
      </w:r>
      <w:r>
        <w:rPr>
          <w:rStyle w:val="18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34</w:t>
      </w:r>
      <w:r>
        <w:rPr>
          <w:rStyle w:val="18"/>
          <w:rFonts w:hint="eastAsia" w:ascii="仿宋" w:hAnsi="仿宋" w:eastAsia="仿宋"/>
          <w:bCs/>
          <w:sz w:val="32"/>
          <w:szCs w:val="32"/>
          <w:lang w:eastAsia="zh-CN"/>
        </w:rPr>
        <w:t>（项）</w:t>
      </w:r>
      <w:r>
        <w:rPr>
          <w:rStyle w:val="18"/>
          <w:rFonts w:hint="eastAsia" w:ascii="仿宋" w:hAnsi="仿宋" w:eastAsia="仿宋"/>
          <w:bCs/>
          <w:sz w:val="32"/>
          <w:szCs w:val="32"/>
          <w:lang w:val="en-US" w:eastAsia="zh-CN"/>
        </w:rPr>
        <w:t>04</w:t>
      </w:r>
      <w:r>
        <w:rPr>
          <w:rStyle w:val="18"/>
          <w:rFonts w:hint="eastAsia" w:ascii="仿宋" w:hAnsi="仿宋" w:eastAsia="仿宋" w:cs="Times New Roman"/>
          <w:b w:val="0"/>
          <w:bCs/>
          <w:kern w:val="2"/>
          <w:sz w:val="32"/>
          <w:szCs w:val="32"/>
          <w:lang w:val="en-US" w:eastAsia="zh-CN" w:bidi="ar-SA"/>
        </w:rPr>
        <w:t>支出决算为67.03万元，完成预算100%。</w:t>
      </w:r>
    </w:p>
    <w:p w14:paraId="43F540CE">
      <w:pPr>
        <w:tabs>
          <w:tab w:val="right" w:pos="8306"/>
        </w:tabs>
        <w:spacing w:line="600" w:lineRule="exact"/>
        <w:ind w:firstLine="640"/>
        <w:outlineLvl w:val="1"/>
        <w:rPr>
          <w:rStyle w:val="29"/>
        </w:rPr>
      </w:pPr>
      <w:bookmarkStart w:id="38" w:name="_Toc15396608"/>
      <w:bookmarkStart w:id="39" w:name="_Toc15377214"/>
      <w:r>
        <w:rPr>
          <w:rFonts w:hint="eastAsia" w:ascii="黑体" w:eastAsia="黑体"/>
          <w:sz w:val="32"/>
          <w:szCs w:val="32"/>
        </w:rPr>
        <w:t>六</w:t>
      </w:r>
      <w:r>
        <w:rPr>
          <w:rFonts w:hint="eastAsia" w:ascii="黑体" w:eastAsia="黑体"/>
          <w:b/>
          <w:sz w:val="32"/>
          <w:szCs w:val="32"/>
        </w:rPr>
        <w:t>、</w:t>
      </w:r>
      <w:r>
        <w:rPr>
          <w:rFonts w:hint="eastAsia" w:ascii="黑体" w:hAnsi="黑体" w:eastAsia="黑体"/>
          <w:b/>
          <w:sz w:val="32"/>
          <w:szCs w:val="32"/>
        </w:rPr>
        <w:t>一</w:t>
      </w:r>
      <w:r>
        <w:rPr>
          <w:rStyle w:val="29"/>
          <w:rFonts w:hint="eastAsia" w:ascii="黑体" w:hAnsi="黑体" w:eastAsia="黑体"/>
          <w:b w:val="0"/>
        </w:rPr>
        <w:t>般公共预算财政拨款基本支出决算情况说明</w:t>
      </w:r>
      <w:bookmarkEnd w:id="38"/>
      <w:bookmarkEnd w:id="39"/>
      <w:r>
        <w:rPr>
          <w:rStyle w:val="29"/>
          <w:rFonts w:ascii="黑体" w:hAnsi="黑体" w:eastAsia="黑体"/>
          <w:b w:val="0"/>
        </w:rPr>
        <w:tab/>
      </w:r>
    </w:p>
    <w:p w14:paraId="7C1A3FE3">
      <w:pPr>
        <w:spacing w:line="60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年度一般公共预算财政拨款基本支出</w:t>
      </w:r>
      <w:r>
        <w:rPr>
          <w:rFonts w:hint="eastAsia" w:eastAsia="仿宋"/>
          <w:sz w:val="32"/>
          <w:szCs w:val="32"/>
          <w:lang w:val="en-US" w:eastAsia="zh-CN"/>
        </w:rPr>
        <w:t>420.91</w:t>
      </w:r>
      <w:r>
        <w:rPr>
          <w:rFonts w:hint="eastAsia" w:ascii="仿宋" w:hAnsi="仿宋" w:eastAsia="仿宋"/>
          <w:sz w:val="32"/>
          <w:szCs w:val="32"/>
        </w:rPr>
        <w:t>万元，其中：</w:t>
      </w:r>
    </w:p>
    <w:p w14:paraId="2CC400CB">
      <w:pPr>
        <w:spacing w:line="600" w:lineRule="exact"/>
        <w:ind w:firstLine="645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人员经费</w:t>
      </w:r>
      <w:r>
        <w:rPr>
          <w:rFonts w:hint="eastAsia" w:eastAsia="仿宋"/>
          <w:sz w:val="32"/>
          <w:szCs w:val="32"/>
          <w:lang w:val="en-US" w:eastAsia="zh-CN"/>
        </w:rPr>
        <w:t>380.89</w:t>
      </w:r>
      <w:r>
        <w:rPr>
          <w:rFonts w:hint="eastAsia" w:ascii="仿宋" w:hAnsi="仿宋" w:eastAsia="仿宋"/>
          <w:sz w:val="32"/>
          <w:szCs w:val="32"/>
        </w:rPr>
        <w:t>万元，主要包括：基本工资、津贴补贴、奖金、伙食补助费、绩效工资、机关事业单位基本养老保险缴费、职业年金缴费、其他社会保障缴费、其他工资福利支出、离休费、退休费、抚恤金、生活补助、医疗费补助、奖励金、住房公积金、其他对个人和家庭的补助支出等。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公用经费</w:t>
      </w:r>
      <w:r>
        <w:rPr>
          <w:rFonts w:hint="eastAsia" w:eastAsia="仿宋"/>
          <w:sz w:val="32"/>
          <w:szCs w:val="32"/>
          <w:lang w:val="en-US" w:eastAsia="zh-CN"/>
        </w:rPr>
        <w:t>40.02</w:t>
      </w:r>
      <w:r>
        <w:rPr>
          <w:rFonts w:hint="eastAsia" w:ascii="仿宋" w:hAnsi="仿宋" w:eastAsia="仿宋"/>
          <w:sz w:val="32"/>
          <w:szCs w:val="32"/>
        </w:rPr>
        <w:t>万元，主要包括：办公费、印刷费、咨询费、手续费、水费、电费、邮电费、取暖费、物业管理费、差旅费、因公出国（境）费用、维修（护）费、租赁费、会议费、培训费、公务接待费、劳务费、委托业务费、工会经费、福利费、公务用车运行维护费、其他交通费、税金及附加费用、其他商品和服务支出、办公设备购置、专用设备购置、信息网络及软件购置更新、其他资本性支出等。</w:t>
      </w:r>
    </w:p>
    <w:p w14:paraId="6C48A3CC">
      <w:pPr>
        <w:spacing w:line="600" w:lineRule="exact"/>
        <w:ind w:firstLine="640"/>
        <w:outlineLvl w:val="1"/>
        <w:rPr>
          <w:rStyle w:val="29"/>
          <w:rFonts w:ascii="黑体" w:hAnsi="黑体" w:eastAsia="黑体"/>
          <w:b w:val="0"/>
        </w:rPr>
      </w:pPr>
      <w:bookmarkStart w:id="40" w:name="_Toc15377215"/>
      <w:bookmarkStart w:id="41" w:name="_Toc15396609"/>
      <w:r>
        <w:rPr>
          <w:rFonts w:hint="eastAsia" w:ascii="黑体" w:eastAsia="黑体"/>
          <w:sz w:val="32"/>
          <w:szCs w:val="32"/>
        </w:rPr>
        <w:t>七、</w:t>
      </w:r>
      <w:r>
        <w:rPr>
          <w:rStyle w:val="29"/>
          <w:rFonts w:hint="eastAsia" w:ascii="黑体" w:hAnsi="黑体" w:eastAsia="黑体"/>
          <w:b w:val="0"/>
        </w:rPr>
        <w:t>财政拨款</w:t>
      </w:r>
      <w:r>
        <w:rPr>
          <w:rStyle w:val="29"/>
          <w:rFonts w:hint="eastAsia" w:ascii="黑体" w:hAnsi="黑体" w:eastAsia="黑体"/>
        </w:rPr>
        <w:t>“</w:t>
      </w:r>
      <w:r>
        <w:rPr>
          <w:rStyle w:val="29"/>
          <w:rFonts w:hint="eastAsia" w:ascii="黑体" w:hAnsi="黑体" w:eastAsia="黑体"/>
          <w:b w:val="0"/>
        </w:rPr>
        <w:t>三公”经费支出决算情况说明</w:t>
      </w:r>
      <w:bookmarkEnd w:id="40"/>
      <w:bookmarkEnd w:id="41"/>
    </w:p>
    <w:p w14:paraId="635969A9">
      <w:pPr>
        <w:spacing w:line="600" w:lineRule="exact"/>
        <w:ind w:firstLine="640"/>
        <w:outlineLvl w:val="2"/>
        <w:rPr>
          <w:rFonts w:ascii="仿宋" w:hAnsi="仿宋" w:eastAsia="仿宋"/>
          <w:b/>
          <w:sz w:val="32"/>
          <w:szCs w:val="32"/>
        </w:rPr>
      </w:pPr>
      <w:bookmarkStart w:id="42" w:name="_Toc15377216"/>
      <w:bookmarkStart w:id="43" w:name="_Toc15396610"/>
      <w:bookmarkStart w:id="44" w:name="_Toc15377218"/>
      <w:r>
        <w:rPr>
          <w:rFonts w:hint="eastAsia" w:ascii="仿宋" w:hAnsi="仿宋" w:eastAsia="仿宋"/>
          <w:b/>
          <w:sz w:val="32"/>
          <w:szCs w:val="32"/>
        </w:rPr>
        <w:t>（一）“三公”经费财政拨款支出决算总体情况说明</w:t>
      </w:r>
      <w:bookmarkEnd w:id="42"/>
    </w:p>
    <w:p w14:paraId="75BD730B">
      <w:pPr>
        <w:spacing w:line="60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年度“三公”经费财政拨款支出决算为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" w:hAnsi="仿宋" w:eastAsia="仿宋"/>
          <w:sz w:val="32"/>
          <w:szCs w:val="32"/>
        </w:rPr>
        <w:t>万元，完成预算</w:t>
      </w:r>
      <w:r>
        <w:rPr>
          <w:rFonts w:ascii="仿宋" w:hAnsi="仿宋" w:eastAsia="仿宋"/>
          <w:b/>
          <w:sz w:val="32"/>
          <w:szCs w:val="32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8C1966A">
      <w:pPr>
        <w:spacing w:line="600" w:lineRule="exact"/>
        <w:ind w:firstLine="640"/>
        <w:outlineLvl w:val="2"/>
        <w:rPr>
          <w:rFonts w:ascii="仿宋" w:hAnsi="仿宋" w:eastAsia="仿宋"/>
          <w:b/>
          <w:sz w:val="32"/>
          <w:szCs w:val="32"/>
        </w:rPr>
      </w:pPr>
      <w:bookmarkStart w:id="45" w:name="_Toc15377217"/>
      <w:r>
        <w:rPr>
          <w:rFonts w:hint="eastAsia" w:ascii="仿宋" w:hAnsi="仿宋" w:eastAsia="仿宋"/>
          <w:b/>
          <w:sz w:val="32"/>
          <w:szCs w:val="32"/>
        </w:rPr>
        <w:t>（二）“三公”经费财政拨款支出决算具体情况说明</w:t>
      </w:r>
      <w:bookmarkEnd w:id="45"/>
    </w:p>
    <w:p w14:paraId="20A2288A">
      <w:pPr>
        <w:spacing w:line="60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年度“三公”经费财政拨款支出决算中，因公出国（境）费支出决算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；公务用车购置及运行维护费支出决算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；公务接待费支出决算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。具体情况如下：</w:t>
      </w:r>
    </w:p>
    <w:p w14:paraId="09487E68">
      <w:pPr>
        <w:spacing w:line="600" w:lineRule="exact"/>
        <w:ind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1.</w:t>
      </w:r>
      <w:r>
        <w:rPr>
          <w:rFonts w:hint="eastAsia" w:ascii="仿宋_GB2312" w:eastAsia="仿宋_GB2312"/>
          <w:b/>
          <w:sz w:val="32"/>
          <w:szCs w:val="32"/>
        </w:rPr>
        <w:t>因公出国（境）经费支出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ascii="仿宋" w:hAnsi="仿宋" w:eastAsia="仿宋"/>
          <w:bCs/>
          <w:sz w:val="32"/>
          <w:szCs w:val="32"/>
        </w:rPr>
        <w:t>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全年安排因公出国（境）团组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次，出国（境）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人。因公出国（境）支出决算比202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年增加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万元，增长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下降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45006BF2">
      <w:pPr>
        <w:spacing w:line="600" w:lineRule="exact"/>
        <w:ind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2.</w:t>
      </w:r>
      <w:r>
        <w:rPr>
          <w:rFonts w:hint="eastAsia" w:ascii="仿宋_GB2312" w:eastAsia="仿宋_GB2312"/>
          <w:b/>
          <w:sz w:val="32"/>
          <w:szCs w:val="32"/>
        </w:rPr>
        <w:t>公务用车购置及运行维护费支出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_GB2312" w:eastAsia="仿宋_GB2312"/>
          <w:sz w:val="32"/>
          <w:szCs w:val="32"/>
        </w:rPr>
        <w:t>万元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ascii="仿宋" w:hAnsi="仿宋" w:eastAsia="仿宋"/>
          <w:bCs/>
          <w:sz w:val="32"/>
          <w:szCs w:val="32"/>
        </w:rPr>
        <w:t>100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公务用车购置及运行维护费支出</w:t>
      </w:r>
      <w:r>
        <w:rPr>
          <w:rFonts w:hint="eastAsia" w:ascii="仿宋_GB2312" w:eastAsia="仿宋_GB2312"/>
          <w:sz w:val="32"/>
          <w:szCs w:val="32"/>
          <w:lang w:eastAsia="zh-CN"/>
        </w:rPr>
        <w:t>决算</w:t>
      </w:r>
      <w:r>
        <w:rPr>
          <w:rFonts w:hint="eastAsia" w:ascii="仿宋_GB2312" w:eastAsia="仿宋_GB2312"/>
          <w:sz w:val="32"/>
          <w:szCs w:val="32"/>
        </w:rPr>
        <w:t>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6.29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3A5019DA">
      <w:pPr>
        <w:spacing w:line="60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其中：</w:t>
      </w:r>
      <w:r>
        <w:rPr>
          <w:rFonts w:hint="eastAsia" w:ascii="仿宋_GB2312" w:eastAsia="仿宋_GB2312"/>
          <w:b/>
          <w:sz w:val="32"/>
          <w:szCs w:val="32"/>
        </w:rPr>
        <w:t>公务用车购置支出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02F69812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公务用车运行维护费支出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_GB2312" w:eastAsia="仿宋_GB2312"/>
          <w:sz w:val="32"/>
          <w:szCs w:val="32"/>
        </w:rPr>
        <w:t>万元。主要用于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下乡开展工作</w:t>
      </w:r>
      <w:r>
        <w:rPr>
          <w:rFonts w:hint="eastAsia" w:ascii="仿宋_GB2312" w:eastAsia="仿宋_GB2312"/>
          <w:sz w:val="32"/>
          <w:szCs w:val="32"/>
        </w:rPr>
        <w:t>等所需的公务用车燃料费、维修费、过路过桥费、保险费等支出。</w:t>
      </w:r>
    </w:p>
    <w:p w14:paraId="6E7DDA09">
      <w:pPr>
        <w:spacing w:line="600" w:lineRule="exac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b/>
          <w:sz w:val="32"/>
          <w:szCs w:val="32"/>
        </w:rPr>
        <w:t>3.</w:t>
      </w:r>
      <w:r>
        <w:rPr>
          <w:rFonts w:hint="eastAsia" w:ascii="仿宋_GB2312" w:eastAsia="仿宋_GB2312"/>
          <w:b/>
          <w:sz w:val="32"/>
          <w:szCs w:val="32"/>
        </w:rPr>
        <w:t>公务接待费支出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8"/>
          <w:rFonts w:ascii="仿宋" w:hAnsi="仿宋" w:eastAsia="仿宋"/>
          <w:b w:val="0"/>
          <w:bCs/>
          <w:sz w:val="32"/>
          <w:szCs w:val="32"/>
        </w:rPr>
        <w:t>100%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公务接待费支出决算比202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年度增加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万元，增长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。主要原因是</w:t>
      </w:r>
      <w:r>
        <w:rPr>
          <w:rFonts w:hint="eastAsia" w:ascii="仿宋_GB2312" w:eastAsia="仿宋_GB2312"/>
          <w:sz w:val="32"/>
          <w:szCs w:val="32"/>
          <w:lang w:eastAsia="zh-CN"/>
        </w:rPr>
        <w:t>本年度公务接待增加。</w:t>
      </w:r>
    </w:p>
    <w:p w14:paraId="7D23468D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国内公务接待支出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执行公务活动开支的用餐费等</w:t>
      </w:r>
      <w:r>
        <w:rPr>
          <w:rFonts w:hint="eastAsia" w:ascii="仿宋_GB2312" w:eastAsia="仿宋_GB2312"/>
          <w:sz w:val="32"/>
          <w:szCs w:val="32"/>
        </w:rPr>
        <w:t>。国内公务接待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批次，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人次（不包括陪同人员），共计支出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518297B5">
      <w:pPr>
        <w:spacing w:line="600" w:lineRule="exact"/>
        <w:ind w:firstLine="643" w:firstLineChars="200"/>
        <w:rPr>
          <w:rFonts w:ascii="黑体" w:eastAsia="黑体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外事接待支出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7FDE23ED">
      <w:pPr>
        <w:spacing w:line="600" w:lineRule="exact"/>
        <w:ind w:firstLine="640"/>
        <w:outlineLvl w:val="1"/>
        <w:rPr>
          <w:rStyle w:val="29"/>
          <w:rFonts w:ascii="黑体" w:hAnsi="黑体" w:eastAsia="黑体"/>
        </w:rPr>
      </w:pPr>
      <w:r>
        <w:rPr>
          <w:rFonts w:hint="eastAsia" w:ascii="黑体" w:eastAsia="黑体"/>
          <w:sz w:val="32"/>
          <w:szCs w:val="32"/>
        </w:rPr>
        <w:t>八、</w:t>
      </w:r>
      <w:r>
        <w:rPr>
          <w:rStyle w:val="29"/>
          <w:rFonts w:hint="eastAsia" w:ascii="黑体" w:hAnsi="黑体" w:eastAsia="黑体"/>
          <w:b w:val="0"/>
        </w:rPr>
        <w:t>政府性基金预算支出决算情况说明</w:t>
      </w:r>
      <w:bookmarkEnd w:id="43"/>
      <w:bookmarkEnd w:id="44"/>
    </w:p>
    <w:p w14:paraId="37DBD354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年度政府性基金预算财政拨款支出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6F1D9C21">
      <w:pPr>
        <w:numPr>
          <w:ilvl w:val="0"/>
          <w:numId w:val="4"/>
        </w:numPr>
        <w:spacing w:line="600" w:lineRule="exact"/>
        <w:ind w:firstLine="640"/>
        <w:outlineLvl w:val="1"/>
        <w:rPr>
          <w:rStyle w:val="29"/>
          <w:rFonts w:ascii="黑体" w:hAnsi="黑体" w:eastAsia="黑体"/>
          <w:b w:val="0"/>
        </w:rPr>
      </w:pPr>
      <w:bookmarkStart w:id="46" w:name="_Toc15396611"/>
      <w:bookmarkStart w:id="47" w:name="_Toc15377219"/>
      <w:r>
        <w:rPr>
          <w:rStyle w:val="29"/>
          <w:rFonts w:hint="eastAsia" w:ascii="黑体" w:hAnsi="黑体" w:eastAsia="黑体"/>
          <w:b w:val="0"/>
        </w:rPr>
        <w:t>国有资本经营预算支出决算情况说明</w:t>
      </w:r>
      <w:bookmarkEnd w:id="46"/>
      <w:bookmarkEnd w:id="47"/>
    </w:p>
    <w:p w14:paraId="7C400DB5">
      <w:pPr>
        <w:spacing w:line="600" w:lineRule="exact"/>
        <w:ind w:firstLine="64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年度国有资本经营预算财政拨款支出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7DE91365">
      <w:pPr>
        <w:numPr>
          <w:ilvl w:val="0"/>
          <w:numId w:val="4"/>
        </w:numPr>
        <w:spacing w:line="600" w:lineRule="exact"/>
        <w:ind w:firstLine="640"/>
        <w:outlineLvl w:val="1"/>
        <w:rPr>
          <w:rStyle w:val="29"/>
          <w:rFonts w:ascii="黑体" w:hAnsi="黑体" w:eastAsia="黑体"/>
          <w:b w:val="0"/>
        </w:rPr>
      </w:pPr>
      <w:bookmarkStart w:id="48" w:name="_Toc15396612"/>
      <w:bookmarkStart w:id="49" w:name="_Toc15377221"/>
      <w:r>
        <w:rPr>
          <w:rStyle w:val="29"/>
          <w:rFonts w:hint="eastAsia" w:ascii="黑体" w:hAnsi="黑体" w:eastAsia="黑体"/>
          <w:b w:val="0"/>
        </w:rPr>
        <w:t>其他重要事项的情况说明</w:t>
      </w:r>
      <w:bookmarkEnd w:id="48"/>
      <w:bookmarkEnd w:id="49"/>
    </w:p>
    <w:p w14:paraId="6F7B4E1D">
      <w:pPr>
        <w:spacing w:line="600" w:lineRule="exact"/>
        <w:ind w:firstLine="643" w:firstLineChars="200"/>
        <w:outlineLvl w:val="2"/>
        <w:rPr>
          <w:rFonts w:ascii="仿宋" w:hAnsi="仿宋" w:eastAsia="仿宋"/>
          <w:sz w:val="32"/>
          <w:szCs w:val="32"/>
        </w:rPr>
      </w:pPr>
      <w:bookmarkStart w:id="50" w:name="_Toc15377222"/>
      <w:r>
        <w:rPr>
          <w:rFonts w:hint="eastAsia" w:ascii="仿宋" w:hAnsi="仿宋" w:eastAsia="仿宋"/>
          <w:b/>
          <w:sz w:val="32"/>
          <w:szCs w:val="32"/>
        </w:rPr>
        <w:t>（一）机关运行经费支出情况</w:t>
      </w:r>
      <w:bookmarkEnd w:id="50"/>
    </w:p>
    <w:p w14:paraId="23A76D4F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年度，</w:t>
      </w:r>
      <w:r>
        <w:rPr>
          <w:rFonts w:hint="eastAsia"/>
          <w:sz w:val="32"/>
          <w:szCs w:val="32"/>
        </w:rPr>
        <w:t>松潘县民族宗教局本级</w:t>
      </w:r>
      <w:r>
        <w:rPr>
          <w:rFonts w:hint="eastAsia" w:ascii="仿宋_GB2312" w:eastAsia="仿宋_GB2312"/>
          <w:sz w:val="32"/>
          <w:szCs w:val="32"/>
        </w:rPr>
        <w:t>机关运行经费支出</w:t>
      </w:r>
      <w:r>
        <w:rPr>
          <w:rFonts w:hint="eastAsia" w:eastAsia="仿宋_GB2312"/>
          <w:sz w:val="32"/>
          <w:szCs w:val="32"/>
          <w:lang w:val="en-US" w:eastAsia="zh-CN"/>
        </w:rPr>
        <w:t>40.02</w:t>
      </w:r>
      <w:r>
        <w:rPr>
          <w:rFonts w:hint="eastAsia" w:ascii="仿宋_GB2312" w:eastAsia="仿宋_GB2312"/>
          <w:sz w:val="32"/>
          <w:szCs w:val="32"/>
        </w:rPr>
        <w:t>万元，比202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eastAsia="zh-CN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1.14</w:t>
      </w:r>
      <w:r>
        <w:rPr>
          <w:rFonts w:hint="eastAsia" w:ascii="仿宋_GB2312" w:eastAsia="仿宋_GB2312"/>
          <w:sz w:val="32"/>
          <w:szCs w:val="32"/>
        </w:rPr>
        <w:t>万元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187BE54E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ascii="仿宋" w:hAnsi="仿宋" w:eastAsia="仿宋"/>
          <w:b/>
          <w:sz w:val="32"/>
          <w:szCs w:val="32"/>
        </w:rPr>
      </w:pPr>
      <w:bookmarkStart w:id="51" w:name="_Toc15377223"/>
      <w:r>
        <w:rPr>
          <w:rFonts w:hint="eastAsia" w:ascii="仿宋" w:hAnsi="仿宋" w:eastAsia="仿宋"/>
          <w:b/>
          <w:sz w:val="32"/>
          <w:szCs w:val="32"/>
        </w:rPr>
        <w:t>（二）政府采购支出情况</w:t>
      </w:r>
      <w:bookmarkEnd w:id="51"/>
    </w:p>
    <w:p w14:paraId="3180DA62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年度，</w:t>
      </w:r>
      <w:r>
        <w:rPr>
          <w:rFonts w:hint="eastAsia"/>
          <w:sz w:val="32"/>
          <w:szCs w:val="32"/>
        </w:rPr>
        <w:t>松潘县民族宗教局本级</w:t>
      </w:r>
      <w:r>
        <w:rPr>
          <w:rFonts w:hint="eastAsia" w:ascii="仿宋_GB2312" w:eastAsia="仿宋_GB2312"/>
          <w:sz w:val="32"/>
          <w:szCs w:val="32"/>
        </w:rPr>
        <w:t>政府采购支出总额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万元，其中：政府采购货物支出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万元、政府采购工程支出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万元、政府采购服务支出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万元。主要用于</w:t>
      </w:r>
      <w:r>
        <w:rPr>
          <w:rFonts w:ascii="仿宋_GB2312" w:eastAsia="仿宋_GB2312"/>
          <w:sz w:val="32"/>
          <w:szCs w:val="32"/>
        </w:rPr>
        <w:t>…</w:t>
      </w:r>
      <w:r>
        <w:rPr>
          <w:rFonts w:hint="eastAsia" w:ascii="仿宋_GB2312" w:eastAsia="仿宋_GB2312"/>
          <w:sz w:val="32"/>
          <w:szCs w:val="32"/>
        </w:rPr>
        <w:t>（具体工作）。授予中小企业合同金额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万元，占政府采购支出总额的</w:t>
      </w:r>
      <w:r>
        <w:rPr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，其中：授予小微企业合同金额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万元，占政府采购支出总额的</w:t>
      </w:r>
      <w:r>
        <w:rPr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B8BE561">
      <w:pPr>
        <w:spacing w:line="60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（注：数据来源于财决附</w:t>
      </w:r>
      <w:r>
        <w:rPr>
          <w:rFonts w:ascii="仿宋" w:hAnsi="仿宋" w:eastAsia="仿宋"/>
          <w:b/>
          <w:sz w:val="32"/>
          <w:szCs w:val="32"/>
        </w:rPr>
        <w:t>03</w:t>
      </w:r>
      <w:r>
        <w:rPr>
          <w:rFonts w:hint="eastAsia" w:ascii="仿宋" w:hAnsi="仿宋" w:eastAsia="仿宋"/>
          <w:b/>
          <w:sz w:val="32"/>
          <w:szCs w:val="32"/>
        </w:rPr>
        <w:t>表）</w:t>
      </w:r>
    </w:p>
    <w:p w14:paraId="7B71ECAD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ascii="仿宋" w:hAnsi="仿宋" w:eastAsia="仿宋"/>
          <w:b/>
          <w:sz w:val="32"/>
          <w:szCs w:val="32"/>
        </w:rPr>
      </w:pPr>
      <w:bookmarkStart w:id="52" w:name="_Toc15377224"/>
      <w:r>
        <w:rPr>
          <w:rFonts w:hint="eastAsia" w:ascii="仿宋" w:hAnsi="仿宋" w:eastAsia="仿宋"/>
          <w:b/>
          <w:sz w:val="32"/>
          <w:szCs w:val="32"/>
        </w:rPr>
        <w:t>（三）国有资产占有使用情况</w:t>
      </w:r>
      <w:bookmarkEnd w:id="52"/>
    </w:p>
    <w:p w14:paraId="553BAC0D"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截至202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31</w:t>
      </w:r>
      <w:r>
        <w:rPr>
          <w:rFonts w:hint="eastAsia" w:ascii="仿宋_GB2312" w:eastAsia="仿宋_GB2312"/>
          <w:sz w:val="32"/>
          <w:szCs w:val="32"/>
        </w:rPr>
        <w:t>日，</w:t>
      </w:r>
      <w:r>
        <w:rPr>
          <w:rFonts w:hint="eastAsia"/>
          <w:sz w:val="32"/>
          <w:szCs w:val="32"/>
        </w:rPr>
        <w:t>松潘县民族宗教局本级</w:t>
      </w:r>
      <w:r>
        <w:rPr>
          <w:rFonts w:hint="eastAsia" w:ascii="仿宋_GB2312" w:eastAsia="仿宋_GB2312"/>
          <w:sz w:val="32"/>
          <w:szCs w:val="32"/>
        </w:rPr>
        <w:t>共有车辆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辆，其中：其他用车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辆，其他用车</w:t>
      </w:r>
      <w:r>
        <w:rPr>
          <w:rFonts w:hint="eastAsia" w:ascii="仿宋_GB2312" w:eastAsia="仿宋_GB2312"/>
          <w:sz w:val="32"/>
          <w:szCs w:val="32"/>
          <w:lang w:eastAsia="zh-CN"/>
        </w:rPr>
        <w:t>主要</w:t>
      </w:r>
      <w:r>
        <w:rPr>
          <w:rFonts w:hint="eastAsia" w:ascii="仿宋_GB2312" w:eastAsia="仿宋_GB2312"/>
          <w:sz w:val="32"/>
          <w:szCs w:val="32"/>
        </w:rPr>
        <w:t>用于</w:t>
      </w:r>
      <w:r>
        <w:rPr>
          <w:rFonts w:hint="eastAsia" w:ascii="仿宋_GB2312" w:eastAsia="仿宋_GB2312"/>
          <w:sz w:val="32"/>
          <w:szCs w:val="32"/>
          <w:lang w:eastAsia="zh-CN"/>
        </w:rPr>
        <w:t>下乡开展各项工作</w:t>
      </w:r>
      <w:r>
        <w:rPr>
          <w:rFonts w:hint="eastAsia" w:ascii="仿宋_GB2312" w:eastAsia="仿宋_GB2312"/>
          <w:sz w:val="32"/>
          <w:szCs w:val="32"/>
        </w:rPr>
        <w:t>。单价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万元以上设备（不含车辆）</w:t>
      </w:r>
      <w:r>
        <w:rPr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台（套）。</w:t>
      </w:r>
    </w:p>
    <w:p w14:paraId="0E327D87">
      <w:pPr>
        <w:rPr>
          <w:rFonts w:ascii="仿宋" w:hAnsi="仿宋" w:eastAsia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8EDB10-3C9E-4723-A416-37322361F2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4BAC5BB1-E133-42EE-96E9-195D38864F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386CB23-2DF4-432F-B4D9-AD85E500865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20F46C1-6DB5-4883-ADCB-EB877E3DE0F6}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E480EFC3-B91B-49B9-B8A0-88F824D2FE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4781956"/>
    </w:sdtPr>
    <w:sdtContent>
      <w:p w14:paraId="52708E41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</w:p>
    </w:sdtContent>
  </w:sdt>
  <w:p w14:paraId="335369D9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175E9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2184FA"/>
    <w:multiLevelType w:val="singleLevel"/>
    <w:tmpl w:val="C42184F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F652CEC"/>
    <w:multiLevelType w:val="singleLevel"/>
    <w:tmpl w:val="CF652CEC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272550B"/>
    <w:multiLevelType w:val="multilevel"/>
    <w:tmpl w:val="1272550B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26DAF8DB"/>
    <w:multiLevelType w:val="singleLevel"/>
    <w:tmpl w:val="26DAF8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1C"/>
    <w:rsid w:val="00014A1C"/>
    <w:rsid w:val="000222C6"/>
    <w:rsid w:val="0002549F"/>
    <w:rsid w:val="00035392"/>
    <w:rsid w:val="000468DB"/>
    <w:rsid w:val="0006487A"/>
    <w:rsid w:val="00065F8F"/>
    <w:rsid w:val="00070A43"/>
    <w:rsid w:val="000768F2"/>
    <w:rsid w:val="00082EAC"/>
    <w:rsid w:val="0009184B"/>
    <w:rsid w:val="00094236"/>
    <w:rsid w:val="0009593C"/>
    <w:rsid w:val="00097322"/>
    <w:rsid w:val="00097358"/>
    <w:rsid w:val="000A6A92"/>
    <w:rsid w:val="000B047F"/>
    <w:rsid w:val="000B5923"/>
    <w:rsid w:val="000B5A48"/>
    <w:rsid w:val="000B6FF3"/>
    <w:rsid w:val="000C3467"/>
    <w:rsid w:val="000C3CA6"/>
    <w:rsid w:val="000D1267"/>
    <w:rsid w:val="000D1D50"/>
    <w:rsid w:val="000D5782"/>
    <w:rsid w:val="000E6613"/>
    <w:rsid w:val="000E7119"/>
    <w:rsid w:val="00114E9B"/>
    <w:rsid w:val="00142216"/>
    <w:rsid w:val="00144D6A"/>
    <w:rsid w:val="0014729F"/>
    <w:rsid w:val="00157BAB"/>
    <w:rsid w:val="001654D1"/>
    <w:rsid w:val="001730E5"/>
    <w:rsid w:val="00174518"/>
    <w:rsid w:val="0018106D"/>
    <w:rsid w:val="001877A7"/>
    <w:rsid w:val="00191536"/>
    <w:rsid w:val="00196687"/>
    <w:rsid w:val="001C0962"/>
    <w:rsid w:val="001C2738"/>
    <w:rsid w:val="001D7531"/>
    <w:rsid w:val="001E737D"/>
    <w:rsid w:val="001F0592"/>
    <w:rsid w:val="001F6419"/>
    <w:rsid w:val="001F7506"/>
    <w:rsid w:val="002006CD"/>
    <w:rsid w:val="00202B36"/>
    <w:rsid w:val="00204B7A"/>
    <w:rsid w:val="00204CDE"/>
    <w:rsid w:val="0021101A"/>
    <w:rsid w:val="00220536"/>
    <w:rsid w:val="00235629"/>
    <w:rsid w:val="00260289"/>
    <w:rsid w:val="00260C38"/>
    <w:rsid w:val="002616C0"/>
    <w:rsid w:val="002643DB"/>
    <w:rsid w:val="00265372"/>
    <w:rsid w:val="002662AA"/>
    <w:rsid w:val="00280496"/>
    <w:rsid w:val="00283D47"/>
    <w:rsid w:val="00294DC9"/>
    <w:rsid w:val="00295495"/>
    <w:rsid w:val="002A31DE"/>
    <w:rsid w:val="002A62F7"/>
    <w:rsid w:val="002B2613"/>
    <w:rsid w:val="002C1468"/>
    <w:rsid w:val="002D6D05"/>
    <w:rsid w:val="002F1818"/>
    <w:rsid w:val="002F5109"/>
    <w:rsid w:val="002F567B"/>
    <w:rsid w:val="003216A9"/>
    <w:rsid w:val="00335A74"/>
    <w:rsid w:val="0036561B"/>
    <w:rsid w:val="0037013F"/>
    <w:rsid w:val="00380C92"/>
    <w:rsid w:val="003A484F"/>
    <w:rsid w:val="003A4883"/>
    <w:rsid w:val="003B0BE0"/>
    <w:rsid w:val="003B0C1B"/>
    <w:rsid w:val="003B688C"/>
    <w:rsid w:val="003C0291"/>
    <w:rsid w:val="003C39AE"/>
    <w:rsid w:val="003C7B60"/>
    <w:rsid w:val="003D0C0F"/>
    <w:rsid w:val="003D1FB2"/>
    <w:rsid w:val="003D2919"/>
    <w:rsid w:val="003D66DA"/>
    <w:rsid w:val="003E1310"/>
    <w:rsid w:val="003E2E6A"/>
    <w:rsid w:val="003E6F55"/>
    <w:rsid w:val="00406254"/>
    <w:rsid w:val="00410559"/>
    <w:rsid w:val="0041585D"/>
    <w:rsid w:val="00420B47"/>
    <w:rsid w:val="004223DE"/>
    <w:rsid w:val="00434489"/>
    <w:rsid w:val="00437085"/>
    <w:rsid w:val="00443880"/>
    <w:rsid w:val="004464F4"/>
    <w:rsid w:val="00447329"/>
    <w:rsid w:val="00471401"/>
    <w:rsid w:val="00473F31"/>
    <w:rsid w:val="0048263A"/>
    <w:rsid w:val="004826A2"/>
    <w:rsid w:val="00487E5D"/>
    <w:rsid w:val="004A711F"/>
    <w:rsid w:val="004B199D"/>
    <w:rsid w:val="004B4690"/>
    <w:rsid w:val="004D3F82"/>
    <w:rsid w:val="004E0A2D"/>
    <w:rsid w:val="004E206B"/>
    <w:rsid w:val="004E3607"/>
    <w:rsid w:val="004E6DF7"/>
    <w:rsid w:val="004F0FBD"/>
    <w:rsid w:val="00505A47"/>
    <w:rsid w:val="00512FDA"/>
    <w:rsid w:val="00520DA0"/>
    <w:rsid w:val="005664BB"/>
    <w:rsid w:val="00566FFA"/>
    <w:rsid w:val="0057481D"/>
    <w:rsid w:val="0058486E"/>
    <w:rsid w:val="00585B33"/>
    <w:rsid w:val="0059014D"/>
    <w:rsid w:val="005A09FD"/>
    <w:rsid w:val="005B0198"/>
    <w:rsid w:val="005B321C"/>
    <w:rsid w:val="005B5C64"/>
    <w:rsid w:val="005C5337"/>
    <w:rsid w:val="005C6BD0"/>
    <w:rsid w:val="005D1C8B"/>
    <w:rsid w:val="005D468D"/>
    <w:rsid w:val="005D5CED"/>
    <w:rsid w:val="005F1A4C"/>
    <w:rsid w:val="00605688"/>
    <w:rsid w:val="006070AF"/>
    <w:rsid w:val="00607E6C"/>
    <w:rsid w:val="006101B1"/>
    <w:rsid w:val="00614E44"/>
    <w:rsid w:val="00620030"/>
    <w:rsid w:val="0062270A"/>
    <w:rsid w:val="00622830"/>
    <w:rsid w:val="00623DA0"/>
    <w:rsid w:val="00630AEF"/>
    <w:rsid w:val="006325F8"/>
    <w:rsid w:val="00633463"/>
    <w:rsid w:val="00634C9A"/>
    <w:rsid w:val="00640417"/>
    <w:rsid w:val="00641F56"/>
    <w:rsid w:val="006440E4"/>
    <w:rsid w:val="0066343B"/>
    <w:rsid w:val="00664777"/>
    <w:rsid w:val="006748A4"/>
    <w:rsid w:val="00681A31"/>
    <w:rsid w:val="00683E73"/>
    <w:rsid w:val="006A3141"/>
    <w:rsid w:val="006A5E34"/>
    <w:rsid w:val="006B2422"/>
    <w:rsid w:val="006B2B9A"/>
    <w:rsid w:val="006C1937"/>
    <w:rsid w:val="006F020C"/>
    <w:rsid w:val="007127B7"/>
    <w:rsid w:val="0071798E"/>
    <w:rsid w:val="007416B6"/>
    <w:rsid w:val="0074516B"/>
    <w:rsid w:val="00746F48"/>
    <w:rsid w:val="0075404D"/>
    <w:rsid w:val="0076182A"/>
    <w:rsid w:val="00762406"/>
    <w:rsid w:val="0076493D"/>
    <w:rsid w:val="00767B7E"/>
    <w:rsid w:val="007770C3"/>
    <w:rsid w:val="00784D24"/>
    <w:rsid w:val="00785FBA"/>
    <w:rsid w:val="00786E4A"/>
    <w:rsid w:val="007875EB"/>
    <w:rsid w:val="0079426B"/>
    <w:rsid w:val="007D1682"/>
    <w:rsid w:val="007D312A"/>
    <w:rsid w:val="007D3F19"/>
    <w:rsid w:val="007E23B0"/>
    <w:rsid w:val="007E23E5"/>
    <w:rsid w:val="007E6A82"/>
    <w:rsid w:val="007F1991"/>
    <w:rsid w:val="007F2C2F"/>
    <w:rsid w:val="007F55FC"/>
    <w:rsid w:val="007F5665"/>
    <w:rsid w:val="007F7385"/>
    <w:rsid w:val="00800112"/>
    <w:rsid w:val="00813348"/>
    <w:rsid w:val="008253BB"/>
    <w:rsid w:val="0083706E"/>
    <w:rsid w:val="008408F6"/>
    <w:rsid w:val="008423A5"/>
    <w:rsid w:val="00850625"/>
    <w:rsid w:val="00853718"/>
    <w:rsid w:val="00855221"/>
    <w:rsid w:val="00860645"/>
    <w:rsid w:val="00871F71"/>
    <w:rsid w:val="00872FD8"/>
    <w:rsid w:val="00875641"/>
    <w:rsid w:val="00885AF4"/>
    <w:rsid w:val="00887F08"/>
    <w:rsid w:val="008914B9"/>
    <w:rsid w:val="008939CD"/>
    <w:rsid w:val="008B768C"/>
    <w:rsid w:val="008C4DB1"/>
    <w:rsid w:val="008C4EAF"/>
    <w:rsid w:val="008C5176"/>
    <w:rsid w:val="008C7FD0"/>
    <w:rsid w:val="008E1DE7"/>
    <w:rsid w:val="008E707C"/>
    <w:rsid w:val="00900B08"/>
    <w:rsid w:val="00902155"/>
    <w:rsid w:val="00902FA3"/>
    <w:rsid w:val="00923564"/>
    <w:rsid w:val="0092392E"/>
    <w:rsid w:val="009315F9"/>
    <w:rsid w:val="00933499"/>
    <w:rsid w:val="009334F0"/>
    <w:rsid w:val="00935C98"/>
    <w:rsid w:val="00946945"/>
    <w:rsid w:val="00951248"/>
    <w:rsid w:val="0095152F"/>
    <w:rsid w:val="009546E4"/>
    <w:rsid w:val="00954C49"/>
    <w:rsid w:val="00955E37"/>
    <w:rsid w:val="0097099F"/>
    <w:rsid w:val="00971997"/>
    <w:rsid w:val="00971FFC"/>
    <w:rsid w:val="0098660A"/>
    <w:rsid w:val="009931C3"/>
    <w:rsid w:val="009B2C43"/>
    <w:rsid w:val="009B4EAE"/>
    <w:rsid w:val="009B7573"/>
    <w:rsid w:val="009C22F4"/>
    <w:rsid w:val="009C2A4B"/>
    <w:rsid w:val="009C2E98"/>
    <w:rsid w:val="009D3447"/>
    <w:rsid w:val="009D4711"/>
    <w:rsid w:val="009E50C8"/>
    <w:rsid w:val="009F1185"/>
    <w:rsid w:val="009F18CD"/>
    <w:rsid w:val="009F2A13"/>
    <w:rsid w:val="009F7527"/>
    <w:rsid w:val="00A04EB0"/>
    <w:rsid w:val="00A13CC1"/>
    <w:rsid w:val="00A16847"/>
    <w:rsid w:val="00A237D8"/>
    <w:rsid w:val="00A25C9F"/>
    <w:rsid w:val="00A268C4"/>
    <w:rsid w:val="00A27C77"/>
    <w:rsid w:val="00A307CD"/>
    <w:rsid w:val="00A331C8"/>
    <w:rsid w:val="00A40A00"/>
    <w:rsid w:val="00A4142F"/>
    <w:rsid w:val="00A422EB"/>
    <w:rsid w:val="00A45BB7"/>
    <w:rsid w:val="00A56DF2"/>
    <w:rsid w:val="00A56E6E"/>
    <w:rsid w:val="00A67AB5"/>
    <w:rsid w:val="00A733B2"/>
    <w:rsid w:val="00A741C2"/>
    <w:rsid w:val="00A74A9E"/>
    <w:rsid w:val="00A91760"/>
    <w:rsid w:val="00A93B00"/>
    <w:rsid w:val="00A93C21"/>
    <w:rsid w:val="00AB64C9"/>
    <w:rsid w:val="00AC2E50"/>
    <w:rsid w:val="00AC3C6A"/>
    <w:rsid w:val="00AD5620"/>
    <w:rsid w:val="00AD656B"/>
    <w:rsid w:val="00AD7C1B"/>
    <w:rsid w:val="00AE16BA"/>
    <w:rsid w:val="00AE1EBE"/>
    <w:rsid w:val="00B03C9D"/>
    <w:rsid w:val="00B060AE"/>
    <w:rsid w:val="00B10517"/>
    <w:rsid w:val="00B12E8B"/>
    <w:rsid w:val="00B14E76"/>
    <w:rsid w:val="00B161B8"/>
    <w:rsid w:val="00B2048C"/>
    <w:rsid w:val="00B310B9"/>
    <w:rsid w:val="00B35F3F"/>
    <w:rsid w:val="00B36CBB"/>
    <w:rsid w:val="00B411A6"/>
    <w:rsid w:val="00B425E0"/>
    <w:rsid w:val="00B440AA"/>
    <w:rsid w:val="00B44B70"/>
    <w:rsid w:val="00B53C56"/>
    <w:rsid w:val="00B57DAF"/>
    <w:rsid w:val="00B76F9D"/>
    <w:rsid w:val="00B77EA6"/>
    <w:rsid w:val="00B81598"/>
    <w:rsid w:val="00B841F1"/>
    <w:rsid w:val="00B944D6"/>
    <w:rsid w:val="00BA579E"/>
    <w:rsid w:val="00BB4DF0"/>
    <w:rsid w:val="00BC289F"/>
    <w:rsid w:val="00BC2D50"/>
    <w:rsid w:val="00BC5361"/>
    <w:rsid w:val="00BC5460"/>
    <w:rsid w:val="00BC6B50"/>
    <w:rsid w:val="00BD0E25"/>
    <w:rsid w:val="00BF5BD6"/>
    <w:rsid w:val="00C03E31"/>
    <w:rsid w:val="00C33E72"/>
    <w:rsid w:val="00C354B2"/>
    <w:rsid w:val="00C35554"/>
    <w:rsid w:val="00C42709"/>
    <w:rsid w:val="00C46119"/>
    <w:rsid w:val="00C533CC"/>
    <w:rsid w:val="00C5751C"/>
    <w:rsid w:val="00C61BFC"/>
    <w:rsid w:val="00C62B85"/>
    <w:rsid w:val="00C65438"/>
    <w:rsid w:val="00C860D5"/>
    <w:rsid w:val="00C87FD8"/>
    <w:rsid w:val="00C91381"/>
    <w:rsid w:val="00C91CBB"/>
    <w:rsid w:val="00CB4E70"/>
    <w:rsid w:val="00CC09B6"/>
    <w:rsid w:val="00CC666F"/>
    <w:rsid w:val="00CD1E3F"/>
    <w:rsid w:val="00CE44F6"/>
    <w:rsid w:val="00CE49DA"/>
    <w:rsid w:val="00CE7B61"/>
    <w:rsid w:val="00D00095"/>
    <w:rsid w:val="00D114F0"/>
    <w:rsid w:val="00D20620"/>
    <w:rsid w:val="00D254F7"/>
    <w:rsid w:val="00D26091"/>
    <w:rsid w:val="00D2685C"/>
    <w:rsid w:val="00D34E7C"/>
    <w:rsid w:val="00D35489"/>
    <w:rsid w:val="00D36AFE"/>
    <w:rsid w:val="00D51276"/>
    <w:rsid w:val="00D7035F"/>
    <w:rsid w:val="00D950A1"/>
    <w:rsid w:val="00DA634F"/>
    <w:rsid w:val="00DA65AC"/>
    <w:rsid w:val="00DB1913"/>
    <w:rsid w:val="00DC410D"/>
    <w:rsid w:val="00DC5A81"/>
    <w:rsid w:val="00DC68CA"/>
    <w:rsid w:val="00DC7CBA"/>
    <w:rsid w:val="00DD73B7"/>
    <w:rsid w:val="00DF24DF"/>
    <w:rsid w:val="00DF28BC"/>
    <w:rsid w:val="00DF34B9"/>
    <w:rsid w:val="00E01053"/>
    <w:rsid w:val="00E01B70"/>
    <w:rsid w:val="00E07ACF"/>
    <w:rsid w:val="00E11813"/>
    <w:rsid w:val="00E331A1"/>
    <w:rsid w:val="00E33202"/>
    <w:rsid w:val="00E336A9"/>
    <w:rsid w:val="00E472B1"/>
    <w:rsid w:val="00E50624"/>
    <w:rsid w:val="00E568DF"/>
    <w:rsid w:val="00E64269"/>
    <w:rsid w:val="00E82267"/>
    <w:rsid w:val="00E853CE"/>
    <w:rsid w:val="00E867B6"/>
    <w:rsid w:val="00EA010F"/>
    <w:rsid w:val="00EB0FAE"/>
    <w:rsid w:val="00ED1B63"/>
    <w:rsid w:val="00ED3C1F"/>
    <w:rsid w:val="00ED4085"/>
    <w:rsid w:val="00ED420E"/>
    <w:rsid w:val="00ED6FBE"/>
    <w:rsid w:val="00EE2F57"/>
    <w:rsid w:val="00EF4C34"/>
    <w:rsid w:val="00EF77C6"/>
    <w:rsid w:val="00F03938"/>
    <w:rsid w:val="00F05438"/>
    <w:rsid w:val="00F1361C"/>
    <w:rsid w:val="00F156F0"/>
    <w:rsid w:val="00F160C7"/>
    <w:rsid w:val="00F2408F"/>
    <w:rsid w:val="00F240E9"/>
    <w:rsid w:val="00F36D8F"/>
    <w:rsid w:val="00F417B1"/>
    <w:rsid w:val="00F45853"/>
    <w:rsid w:val="00F5561B"/>
    <w:rsid w:val="00F602DF"/>
    <w:rsid w:val="00F754A1"/>
    <w:rsid w:val="00F81FD9"/>
    <w:rsid w:val="00F841AA"/>
    <w:rsid w:val="00F84A94"/>
    <w:rsid w:val="00F87E96"/>
    <w:rsid w:val="00FA23E8"/>
    <w:rsid w:val="00FA789D"/>
    <w:rsid w:val="00FC7DA4"/>
    <w:rsid w:val="00FD3CC1"/>
    <w:rsid w:val="00FF1E02"/>
    <w:rsid w:val="00FF30B4"/>
    <w:rsid w:val="01472E45"/>
    <w:rsid w:val="015975B8"/>
    <w:rsid w:val="02A26AC8"/>
    <w:rsid w:val="02FEBE30"/>
    <w:rsid w:val="036F8141"/>
    <w:rsid w:val="040D2993"/>
    <w:rsid w:val="050F7ADA"/>
    <w:rsid w:val="066E0107"/>
    <w:rsid w:val="07996F6E"/>
    <w:rsid w:val="07DFD8BA"/>
    <w:rsid w:val="094D281E"/>
    <w:rsid w:val="0A2032A3"/>
    <w:rsid w:val="0B7165C5"/>
    <w:rsid w:val="0D35B1ED"/>
    <w:rsid w:val="0D6C7883"/>
    <w:rsid w:val="0DB73D42"/>
    <w:rsid w:val="0E7ED1F5"/>
    <w:rsid w:val="0ED01409"/>
    <w:rsid w:val="0F98263C"/>
    <w:rsid w:val="101860EC"/>
    <w:rsid w:val="10C055FF"/>
    <w:rsid w:val="118107EC"/>
    <w:rsid w:val="11DD0367"/>
    <w:rsid w:val="13050B8C"/>
    <w:rsid w:val="13D50BC4"/>
    <w:rsid w:val="13F5616D"/>
    <w:rsid w:val="1482545A"/>
    <w:rsid w:val="15554DD2"/>
    <w:rsid w:val="15B05A80"/>
    <w:rsid w:val="15D459C9"/>
    <w:rsid w:val="16BB723D"/>
    <w:rsid w:val="16E675C6"/>
    <w:rsid w:val="17F9714D"/>
    <w:rsid w:val="190E15A7"/>
    <w:rsid w:val="1918F934"/>
    <w:rsid w:val="1BE8440E"/>
    <w:rsid w:val="1D155CEE"/>
    <w:rsid w:val="1DFBC4B3"/>
    <w:rsid w:val="1E740ACF"/>
    <w:rsid w:val="1E7C355F"/>
    <w:rsid w:val="1F19C781"/>
    <w:rsid w:val="1F33FCE5"/>
    <w:rsid w:val="1F7F7398"/>
    <w:rsid w:val="1FD2DB6F"/>
    <w:rsid w:val="1FF35744"/>
    <w:rsid w:val="1FF6BC77"/>
    <w:rsid w:val="1FF9236D"/>
    <w:rsid w:val="2089697B"/>
    <w:rsid w:val="20B31CE5"/>
    <w:rsid w:val="2333840E"/>
    <w:rsid w:val="23860B96"/>
    <w:rsid w:val="240371BF"/>
    <w:rsid w:val="257C638F"/>
    <w:rsid w:val="27D31EDF"/>
    <w:rsid w:val="29FD04D3"/>
    <w:rsid w:val="2BFF7BC6"/>
    <w:rsid w:val="2C5944E7"/>
    <w:rsid w:val="2C8A61B5"/>
    <w:rsid w:val="2CD59C95"/>
    <w:rsid w:val="2D4B565F"/>
    <w:rsid w:val="2D9042F7"/>
    <w:rsid w:val="2DF04E50"/>
    <w:rsid w:val="2E6220C1"/>
    <w:rsid w:val="2EFD05E5"/>
    <w:rsid w:val="2F040D46"/>
    <w:rsid w:val="2F4F95CE"/>
    <w:rsid w:val="2F6F373D"/>
    <w:rsid w:val="2FACAFDD"/>
    <w:rsid w:val="2FAE5751"/>
    <w:rsid w:val="2FB1A395"/>
    <w:rsid w:val="2FCF0B76"/>
    <w:rsid w:val="2FD9A7D8"/>
    <w:rsid w:val="30DB65B7"/>
    <w:rsid w:val="319F7F4E"/>
    <w:rsid w:val="3304709D"/>
    <w:rsid w:val="34D92233"/>
    <w:rsid w:val="34FA6BBB"/>
    <w:rsid w:val="364B703C"/>
    <w:rsid w:val="36AA5135"/>
    <w:rsid w:val="36BE0DA7"/>
    <w:rsid w:val="37556514"/>
    <w:rsid w:val="376B6AA6"/>
    <w:rsid w:val="376D39B2"/>
    <w:rsid w:val="37747F2C"/>
    <w:rsid w:val="37E16F03"/>
    <w:rsid w:val="37F53A3B"/>
    <w:rsid w:val="38813472"/>
    <w:rsid w:val="38D469F0"/>
    <w:rsid w:val="38F78389"/>
    <w:rsid w:val="397BAF1F"/>
    <w:rsid w:val="39E7B272"/>
    <w:rsid w:val="39F7642F"/>
    <w:rsid w:val="39FF7B37"/>
    <w:rsid w:val="3A67701B"/>
    <w:rsid w:val="3AB79AF3"/>
    <w:rsid w:val="3AFDCB77"/>
    <w:rsid w:val="3B7EF35A"/>
    <w:rsid w:val="3B9FDB6C"/>
    <w:rsid w:val="3BF5BC2F"/>
    <w:rsid w:val="3BF7C23A"/>
    <w:rsid w:val="3BFF223E"/>
    <w:rsid w:val="3C6EC0A1"/>
    <w:rsid w:val="3CDB0824"/>
    <w:rsid w:val="3CEBA265"/>
    <w:rsid w:val="3D6A7F9F"/>
    <w:rsid w:val="3D7E7F4D"/>
    <w:rsid w:val="3D98207C"/>
    <w:rsid w:val="3D9CF30A"/>
    <w:rsid w:val="3DFF5A3E"/>
    <w:rsid w:val="3E78745D"/>
    <w:rsid w:val="3E94723A"/>
    <w:rsid w:val="3EEE77E9"/>
    <w:rsid w:val="3F037CCF"/>
    <w:rsid w:val="3F394AF5"/>
    <w:rsid w:val="3FBE5714"/>
    <w:rsid w:val="3FDD8615"/>
    <w:rsid w:val="3FDFB2FF"/>
    <w:rsid w:val="3FF4CAE0"/>
    <w:rsid w:val="3FF75FAF"/>
    <w:rsid w:val="3FF7B227"/>
    <w:rsid w:val="41F36599"/>
    <w:rsid w:val="44E268DA"/>
    <w:rsid w:val="457F4F6B"/>
    <w:rsid w:val="46BD65FB"/>
    <w:rsid w:val="46DA4F27"/>
    <w:rsid w:val="4737FB58"/>
    <w:rsid w:val="47ECCB02"/>
    <w:rsid w:val="47FA6A3F"/>
    <w:rsid w:val="49CC7CB0"/>
    <w:rsid w:val="49D7AE48"/>
    <w:rsid w:val="4A040CD9"/>
    <w:rsid w:val="4A07042F"/>
    <w:rsid w:val="4A3F6C7E"/>
    <w:rsid w:val="4A627F82"/>
    <w:rsid w:val="4A6D4A0F"/>
    <w:rsid w:val="4B0E749A"/>
    <w:rsid w:val="4B4F25DA"/>
    <w:rsid w:val="4BBB4781"/>
    <w:rsid w:val="4BD709A5"/>
    <w:rsid w:val="4BDD9BFF"/>
    <w:rsid w:val="4BE068DB"/>
    <w:rsid w:val="4C176A51"/>
    <w:rsid w:val="4CF70AC0"/>
    <w:rsid w:val="4D577224"/>
    <w:rsid w:val="4D5E0395"/>
    <w:rsid w:val="4D8427CB"/>
    <w:rsid w:val="4DBF1CEB"/>
    <w:rsid w:val="4DBF6A6B"/>
    <w:rsid w:val="4DF6A672"/>
    <w:rsid w:val="4E037B64"/>
    <w:rsid w:val="4E7A5C74"/>
    <w:rsid w:val="4EA15C81"/>
    <w:rsid w:val="4EAB630A"/>
    <w:rsid w:val="4EC15211"/>
    <w:rsid w:val="4ECE2238"/>
    <w:rsid w:val="4EF91E7A"/>
    <w:rsid w:val="4F7EA413"/>
    <w:rsid w:val="4FAB812F"/>
    <w:rsid w:val="4FE9BD67"/>
    <w:rsid w:val="4FEE4C07"/>
    <w:rsid w:val="4FFB052F"/>
    <w:rsid w:val="537E6D0A"/>
    <w:rsid w:val="53AB6B88"/>
    <w:rsid w:val="53F74C96"/>
    <w:rsid w:val="54745318"/>
    <w:rsid w:val="5583522D"/>
    <w:rsid w:val="55A05979"/>
    <w:rsid w:val="56060482"/>
    <w:rsid w:val="57BD3DD4"/>
    <w:rsid w:val="57F9CD1E"/>
    <w:rsid w:val="58B17E91"/>
    <w:rsid w:val="58B6431B"/>
    <w:rsid w:val="5A7B073E"/>
    <w:rsid w:val="5AF92295"/>
    <w:rsid w:val="5AF9D8E9"/>
    <w:rsid w:val="5BDD38BD"/>
    <w:rsid w:val="5BDD79E6"/>
    <w:rsid w:val="5BEFC772"/>
    <w:rsid w:val="5BFF5DFC"/>
    <w:rsid w:val="5CD71FC4"/>
    <w:rsid w:val="5D1F11B5"/>
    <w:rsid w:val="5D3647F9"/>
    <w:rsid w:val="5DA644D4"/>
    <w:rsid w:val="5DAE1B18"/>
    <w:rsid w:val="5DE7D9E5"/>
    <w:rsid w:val="5E370D27"/>
    <w:rsid w:val="5ECEC941"/>
    <w:rsid w:val="5EFF8FC6"/>
    <w:rsid w:val="5F5BA39A"/>
    <w:rsid w:val="5F7D3B79"/>
    <w:rsid w:val="5F7F4610"/>
    <w:rsid w:val="5FBF9FF3"/>
    <w:rsid w:val="5FCD4E2C"/>
    <w:rsid w:val="5FEF394A"/>
    <w:rsid w:val="5FF67715"/>
    <w:rsid w:val="61CA71D5"/>
    <w:rsid w:val="627EE9EA"/>
    <w:rsid w:val="631C412D"/>
    <w:rsid w:val="63B23AA5"/>
    <w:rsid w:val="647F5392"/>
    <w:rsid w:val="64E322C4"/>
    <w:rsid w:val="65FB93B9"/>
    <w:rsid w:val="6633C463"/>
    <w:rsid w:val="66D22C67"/>
    <w:rsid w:val="6703077D"/>
    <w:rsid w:val="679D028A"/>
    <w:rsid w:val="67D55B77"/>
    <w:rsid w:val="67EE7F84"/>
    <w:rsid w:val="686F5F53"/>
    <w:rsid w:val="6AFFCEAF"/>
    <w:rsid w:val="6B96E9E6"/>
    <w:rsid w:val="6BCE57B5"/>
    <w:rsid w:val="6BFEA4DB"/>
    <w:rsid w:val="6BFFB662"/>
    <w:rsid w:val="6C4A05C8"/>
    <w:rsid w:val="6CFF4FB8"/>
    <w:rsid w:val="6D6BD6E0"/>
    <w:rsid w:val="6D77E73C"/>
    <w:rsid w:val="6DBF5E93"/>
    <w:rsid w:val="6DFF077E"/>
    <w:rsid w:val="6E7E3605"/>
    <w:rsid w:val="6E7FDCC7"/>
    <w:rsid w:val="6ED6A62E"/>
    <w:rsid w:val="6EE00B15"/>
    <w:rsid w:val="6EE737B2"/>
    <w:rsid w:val="6EEB2329"/>
    <w:rsid w:val="6EECE67A"/>
    <w:rsid w:val="6F6F90A8"/>
    <w:rsid w:val="6F6FB3EB"/>
    <w:rsid w:val="6F8731EA"/>
    <w:rsid w:val="6FBC2ADD"/>
    <w:rsid w:val="6FD57C00"/>
    <w:rsid w:val="6FEFFFD8"/>
    <w:rsid w:val="6FF5CC65"/>
    <w:rsid w:val="6FFB47EC"/>
    <w:rsid w:val="6FFF034A"/>
    <w:rsid w:val="712A28F1"/>
    <w:rsid w:val="715C0E4B"/>
    <w:rsid w:val="715F0815"/>
    <w:rsid w:val="71FFD401"/>
    <w:rsid w:val="72233669"/>
    <w:rsid w:val="72734D90"/>
    <w:rsid w:val="72AD4571"/>
    <w:rsid w:val="7332FE48"/>
    <w:rsid w:val="73AD73D5"/>
    <w:rsid w:val="73B6EB34"/>
    <w:rsid w:val="73FA497D"/>
    <w:rsid w:val="744731E5"/>
    <w:rsid w:val="74BBD01D"/>
    <w:rsid w:val="74ED5379"/>
    <w:rsid w:val="75805A6B"/>
    <w:rsid w:val="75DEEEC2"/>
    <w:rsid w:val="767F479D"/>
    <w:rsid w:val="76E3355F"/>
    <w:rsid w:val="76F742AF"/>
    <w:rsid w:val="76F7BE7D"/>
    <w:rsid w:val="76FF5125"/>
    <w:rsid w:val="773570D3"/>
    <w:rsid w:val="77597F31"/>
    <w:rsid w:val="776F6FFA"/>
    <w:rsid w:val="7777A522"/>
    <w:rsid w:val="77858688"/>
    <w:rsid w:val="778769C8"/>
    <w:rsid w:val="77CB741A"/>
    <w:rsid w:val="77D7BE3A"/>
    <w:rsid w:val="77DC22F5"/>
    <w:rsid w:val="78D36201"/>
    <w:rsid w:val="797E3A6C"/>
    <w:rsid w:val="79CF70E2"/>
    <w:rsid w:val="79D7FD79"/>
    <w:rsid w:val="79D918F2"/>
    <w:rsid w:val="79E75806"/>
    <w:rsid w:val="79EE5BA4"/>
    <w:rsid w:val="7A475776"/>
    <w:rsid w:val="7A641148"/>
    <w:rsid w:val="7A6F8BF5"/>
    <w:rsid w:val="7A894339"/>
    <w:rsid w:val="7ACE2583"/>
    <w:rsid w:val="7ACF82B5"/>
    <w:rsid w:val="7AFF28C9"/>
    <w:rsid w:val="7AFF72A0"/>
    <w:rsid w:val="7AFF7572"/>
    <w:rsid w:val="7B6C7DFB"/>
    <w:rsid w:val="7B7D76A7"/>
    <w:rsid w:val="7BAE2FE2"/>
    <w:rsid w:val="7BAF6951"/>
    <w:rsid w:val="7BBFBED0"/>
    <w:rsid w:val="7BC3E394"/>
    <w:rsid w:val="7BF3FE4C"/>
    <w:rsid w:val="7BFB5035"/>
    <w:rsid w:val="7BFDE17E"/>
    <w:rsid w:val="7CBFC87B"/>
    <w:rsid w:val="7CFE0F48"/>
    <w:rsid w:val="7D3DE31C"/>
    <w:rsid w:val="7D7EC23E"/>
    <w:rsid w:val="7D7F8A13"/>
    <w:rsid w:val="7DBBCB01"/>
    <w:rsid w:val="7DC765D0"/>
    <w:rsid w:val="7DDB0EE0"/>
    <w:rsid w:val="7DFF51D8"/>
    <w:rsid w:val="7E38349D"/>
    <w:rsid w:val="7E634199"/>
    <w:rsid w:val="7E7015C6"/>
    <w:rsid w:val="7E8ADEBF"/>
    <w:rsid w:val="7EEF11D3"/>
    <w:rsid w:val="7EF78C20"/>
    <w:rsid w:val="7F3F679B"/>
    <w:rsid w:val="7F4FC4EF"/>
    <w:rsid w:val="7F5E4D54"/>
    <w:rsid w:val="7F6B75FA"/>
    <w:rsid w:val="7F9F518D"/>
    <w:rsid w:val="7FA30C79"/>
    <w:rsid w:val="7FAF8ABF"/>
    <w:rsid w:val="7FB7269E"/>
    <w:rsid w:val="7FBD6753"/>
    <w:rsid w:val="7FBFABB4"/>
    <w:rsid w:val="7FC65084"/>
    <w:rsid w:val="7FC96657"/>
    <w:rsid w:val="7FD72595"/>
    <w:rsid w:val="7FDA9588"/>
    <w:rsid w:val="7FDF220F"/>
    <w:rsid w:val="7FDF4542"/>
    <w:rsid w:val="7FDF5405"/>
    <w:rsid w:val="7FEDC251"/>
    <w:rsid w:val="7FEDC5F7"/>
    <w:rsid w:val="7FEDD9DE"/>
    <w:rsid w:val="7FEFCDB9"/>
    <w:rsid w:val="7FF5890D"/>
    <w:rsid w:val="7FF5EB09"/>
    <w:rsid w:val="7FF89B92"/>
    <w:rsid w:val="7FF8F2E7"/>
    <w:rsid w:val="7FF93490"/>
    <w:rsid w:val="7FFA6237"/>
    <w:rsid w:val="7FFB5275"/>
    <w:rsid w:val="7FFD14DE"/>
    <w:rsid w:val="7FFFF783"/>
    <w:rsid w:val="93F70A9E"/>
    <w:rsid w:val="997D060E"/>
    <w:rsid w:val="99FF2014"/>
    <w:rsid w:val="9E59F895"/>
    <w:rsid w:val="9E7DEDC1"/>
    <w:rsid w:val="9EEF2B0D"/>
    <w:rsid w:val="9FF6F2A6"/>
    <w:rsid w:val="9FFE4AD9"/>
    <w:rsid w:val="9FFF61B9"/>
    <w:rsid w:val="A6DD0D7F"/>
    <w:rsid w:val="A7955197"/>
    <w:rsid w:val="A7FE5E0E"/>
    <w:rsid w:val="ADC6F725"/>
    <w:rsid w:val="AF0FFA84"/>
    <w:rsid w:val="AF9F0A5E"/>
    <w:rsid w:val="AFEF7964"/>
    <w:rsid w:val="B27A6F28"/>
    <w:rsid w:val="B35F0D5A"/>
    <w:rsid w:val="B3F7F693"/>
    <w:rsid w:val="B3FBBB6C"/>
    <w:rsid w:val="B5FFE407"/>
    <w:rsid w:val="B7CF06AB"/>
    <w:rsid w:val="B7CFA926"/>
    <w:rsid w:val="B7F8786B"/>
    <w:rsid w:val="B9EF5647"/>
    <w:rsid w:val="BABB6AA1"/>
    <w:rsid w:val="BAFCD398"/>
    <w:rsid w:val="BAFFDA0F"/>
    <w:rsid w:val="BB2F4199"/>
    <w:rsid w:val="BBFBD24E"/>
    <w:rsid w:val="BD079C78"/>
    <w:rsid w:val="BD2DD278"/>
    <w:rsid w:val="BD733540"/>
    <w:rsid w:val="BDF7970E"/>
    <w:rsid w:val="BDFE68BD"/>
    <w:rsid w:val="BE6FC990"/>
    <w:rsid w:val="BEBE9537"/>
    <w:rsid w:val="BEFF0D62"/>
    <w:rsid w:val="BEFF90EF"/>
    <w:rsid w:val="BF3735D5"/>
    <w:rsid w:val="BF7F09AC"/>
    <w:rsid w:val="BFB3380D"/>
    <w:rsid w:val="BFB7E7A2"/>
    <w:rsid w:val="BFC2F103"/>
    <w:rsid w:val="BFD475C3"/>
    <w:rsid w:val="BFDE5EA6"/>
    <w:rsid w:val="BFEF99E9"/>
    <w:rsid w:val="BFF9E564"/>
    <w:rsid w:val="BFFF3A69"/>
    <w:rsid w:val="C7BFEF9C"/>
    <w:rsid w:val="C8BD8F25"/>
    <w:rsid w:val="C94DA72E"/>
    <w:rsid w:val="CBEEAA00"/>
    <w:rsid w:val="CC7E9ECE"/>
    <w:rsid w:val="CDBFF9FF"/>
    <w:rsid w:val="CDF78664"/>
    <w:rsid w:val="CE3FF57E"/>
    <w:rsid w:val="CF3AB4AC"/>
    <w:rsid w:val="CF6FC6F3"/>
    <w:rsid w:val="CFD3D3D7"/>
    <w:rsid w:val="CFDF1009"/>
    <w:rsid w:val="D6B7E4F6"/>
    <w:rsid w:val="D6CB2739"/>
    <w:rsid w:val="D776A8DB"/>
    <w:rsid w:val="D7B6B268"/>
    <w:rsid w:val="D7D7B16A"/>
    <w:rsid w:val="D7EF2E2A"/>
    <w:rsid w:val="D8D6DB89"/>
    <w:rsid w:val="DB6F4CAB"/>
    <w:rsid w:val="DB777682"/>
    <w:rsid w:val="DBDDA52A"/>
    <w:rsid w:val="DCFFC0D1"/>
    <w:rsid w:val="DD1FB521"/>
    <w:rsid w:val="DDCB2E5E"/>
    <w:rsid w:val="DDFE75CA"/>
    <w:rsid w:val="DEFBBE33"/>
    <w:rsid w:val="DEFBFEAE"/>
    <w:rsid w:val="DF1F3B80"/>
    <w:rsid w:val="DF6F9789"/>
    <w:rsid w:val="DF9B8D55"/>
    <w:rsid w:val="DF9D198A"/>
    <w:rsid w:val="DFDF1D8E"/>
    <w:rsid w:val="DFEFC58B"/>
    <w:rsid w:val="DFF5F241"/>
    <w:rsid w:val="DFFFA9E8"/>
    <w:rsid w:val="E37D5D3F"/>
    <w:rsid w:val="E3FFE98D"/>
    <w:rsid w:val="E5F4E9DC"/>
    <w:rsid w:val="E67FF583"/>
    <w:rsid w:val="E70FE695"/>
    <w:rsid w:val="E7676621"/>
    <w:rsid w:val="E76B2B9A"/>
    <w:rsid w:val="E7AB7A34"/>
    <w:rsid w:val="E7DF1E20"/>
    <w:rsid w:val="E7FF6381"/>
    <w:rsid w:val="E9A30291"/>
    <w:rsid w:val="EBBF924C"/>
    <w:rsid w:val="ECFED1BC"/>
    <w:rsid w:val="ED1D69BB"/>
    <w:rsid w:val="ED2C2584"/>
    <w:rsid w:val="ED7FD312"/>
    <w:rsid w:val="EDBE03E0"/>
    <w:rsid w:val="EDD1A84A"/>
    <w:rsid w:val="EDFF8263"/>
    <w:rsid w:val="EE1FA0C7"/>
    <w:rsid w:val="EF53993F"/>
    <w:rsid w:val="EF7B8152"/>
    <w:rsid w:val="EF8E27E2"/>
    <w:rsid w:val="EFBFB2F4"/>
    <w:rsid w:val="EFBFFA21"/>
    <w:rsid w:val="EFDF4337"/>
    <w:rsid w:val="EFF7097E"/>
    <w:rsid w:val="F2BEBCB8"/>
    <w:rsid w:val="F36FB518"/>
    <w:rsid w:val="F3DE1A04"/>
    <w:rsid w:val="F3E244FA"/>
    <w:rsid w:val="F3EFB7CA"/>
    <w:rsid w:val="F3F722E5"/>
    <w:rsid w:val="F699BB1A"/>
    <w:rsid w:val="F6DEABFE"/>
    <w:rsid w:val="F7B650C7"/>
    <w:rsid w:val="F7EF9033"/>
    <w:rsid w:val="F7FDC2B1"/>
    <w:rsid w:val="F8DDDAC6"/>
    <w:rsid w:val="F96B55C8"/>
    <w:rsid w:val="FA2F5BEB"/>
    <w:rsid w:val="FA5F1E70"/>
    <w:rsid w:val="FA5FDB97"/>
    <w:rsid w:val="FB1BB959"/>
    <w:rsid w:val="FB75E3C8"/>
    <w:rsid w:val="FB7F461B"/>
    <w:rsid w:val="FB7F486A"/>
    <w:rsid w:val="FB7F6E28"/>
    <w:rsid w:val="FB8778F4"/>
    <w:rsid w:val="FBB61866"/>
    <w:rsid w:val="FBEE055A"/>
    <w:rsid w:val="FBF91527"/>
    <w:rsid w:val="FBFD1260"/>
    <w:rsid w:val="FBFF5B2E"/>
    <w:rsid w:val="FC833EBB"/>
    <w:rsid w:val="FCFE0B49"/>
    <w:rsid w:val="FD4B388D"/>
    <w:rsid w:val="FD77A83C"/>
    <w:rsid w:val="FD7FFE2B"/>
    <w:rsid w:val="FDADA43D"/>
    <w:rsid w:val="FDBDC432"/>
    <w:rsid w:val="FDEB412A"/>
    <w:rsid w:val="FDEE196B"/>
    <w:rsid w:val="FDEF50BC"/>
    <w:rsid w:val="FDFD5EC3"/>
    <w:rsid w:val="FDFE6575"/>
    <w:rsid w:val="FE9E11AB"/>
    <w:rsid w:val="FEBF38CD"/>
    <w:rsid w:val="FEDFDDC2"/>
    <w:rsid w:val="FEEB4E4D"/>
    <w:rsid w:val="FEED32F6"/>
    <w:rsid w:val="FEF781DD"/>
    <w:rsid w:val="FEF9D8C4"/>
    <w:rsid w:val="FF3F7E3F"/>
    <w:rsid w:val="FF3FF759"/>
    <w:rsid w:val="FF4749A3"/>
    <w:rsid w:val="FF4D3A28"/>
    <w:rsid w:val="FF5913BC"/>
    <w:rsid w:val="FF7F1E7E"/>
    <w:rsid w:val="FF9BAA5C"/>
    <w:rsid w:val="FFA57884"/>
    <w:rsid w:val="FFB513DD"/>
    <w:rsid w:val="FFBA12D7"/>
    <w:rsid w:val="FFBFE8C6"/>
    <w:rsid w:val="FFCF2925"/>
    <w:rsid w:val="FFD33B6C"/>
    <w:rsid w:val="FFDAD824"/>
    <w:rsid w:val="FFDE4064"/>
    <w:rsid w:val="FFDEA9D8"/>
    <w:rsid w:val="FFDF2DEC"/>
    <w:rsid w:val="FFDF624E"/>
    <w:rsid w:val="FFDF6BC0"/>
    <w:rsid w:val="FFDFFAEE"/>
    <w:rsid w:val="FFE3BA41"/>
    <w:rsid w:val="FFE3BED4"/>
    <w:rsid w:val="FFF316C1"/>
    <w:rsid w:val="FFF63ECC"/>
    <w:rsid w:val="FFF9B57B"/>
    <w:rsid w:val="FFFD61D9"/>
    <w:rsid w:val="FFFD8F59"/>
    <w:rsid w:val="FFFF2BB1"/>
    <w:rsid w:val="FFFFB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6">
    <w:name w:val="Body Text"/>
    <w:basedOn w:val="1"/>
    <w:link w:val="25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7">
    <w:name w:val="Body Text Indent"/>
    <w:basedOn w:val="1"/>
    <w:next w:val="8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8">
    <w:name w:val="Body Text First Indent 2"/>
    <w:basedOn w:val="7"/>
    <w:unhideWhenUsed/>
    <w:qFormat/>
    <w:uiPriority w:val="99"/>
    <w:pPr>
      <w:ind w:firstLine="420" w:firstLineChars="200"/>
    </w:pPr>
  </w:style>
  <w:style w:type="paragraph" w:styleId="9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</w:style>
  <w:style w:type="paragraph" w:styleId="10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2">
    <w:name w:val="header"/>
    <w:basedOn w:val="1"/>
    <w:link w:val="2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3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14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99"/>
    <w:rPr>
      <w:b/>
    </w:rPr>
  </w:style>
  <w:style w:type="character" w:styleId="19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Head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1">
    <w:name w:val="页眉 字符"/>
    <w:link w:val="12"/>
    <w:semiHidden/>
    <w:qFormat/>
    <w:locked/>
    <w:uiPriority w:val="99"/>
    <w:rPr>
      <w:sz w:val="18"/>
    </w:rPr>
  </w:style>
  <w:style w:type="character" w:customStyle="1" w:styleId="22">
    <w:name w:val="Foot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3">
    <w:name w:val="页脚 字符"/>
    <w:link w:val="11"/>
    <w:qFormat/>
    <w:locked/>
    <w:uiPriority w:val="99"/>
    <w:rPr>
      <w:sz w:val="18"/>
    </w:rPr>
  </w:style>
  <w:style w:type="character" w:customStyle="1" w:styleId="24">
    <w:name w:val="Body Text Char"/>
    <w:basedOn w:val="17"/>
    <w:semiHidden/>
    <w:qFormat/>
    <w:uiPriority w:val="99"/>
    <w:rPr>
      <w:rFonts w:ascii="Times New Roman" w:hAnsi="Times New Roman"/>
      <w:szCs w:val="24"/>
    </w:rPr>
  </w:style>
  <w:style w:type="character" w:customStyle="1" w:styleId="25">
    <w:name w:val="正文文本 字符"/>
    <w:link w:val="6"/>
    <w:qFormat/>
    <w:locked/>
    <w:uiPriority w:val="99"/>
    <w:rPr>
      <w:rFonts w:ascii="仿宋_GB2312" w:hAnsi="Times New Roman" w:eastAsia="仿宋_GB2312"/>
      <w:sz w:val="24"/>
    </w:rPr>
  </w:style>
  <w:style w:type="paragraph" w:customStyle="1" w:styleId="2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标题 1 字符"/>
    <w:basedOn w:val="17"/>
    <w:link w:val="3"/>
    <w:qFormat/>
    <w:uiPriority w:val="9"/>
    <w:rPr>
      <w:rFonts w:ascii="Times New Roman" w:hAnsi="Times New Roman"/>
      <w:b/>
      <w:bCs/>
      <w:kern w:val="44"/>
      <w:sz w:val="44"/>
      <w:szCs w:val="44"/>
    </w:rPr>
  </w:style>
  <w:style w:type="character" w:customStyle="1" w:styleId="29">
    <w:name w:val="标题 2 字符"/>
    <w:basedOn w:val="17"/>
    <w:link w:val="4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30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1">
    <w:name w:val="批注框文本 字符"/>
    <w:basedOn w:val="17"/>
    <w:link w:val="10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2">
    <w:name w:val="标题 3 字符"/>
    <w:basedOn w:val="17"/>
    <w:link w:val="5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paragraph" w:customStyle="1" w:styleId="33">
    <w:name w:val="TOC 标题2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34">
    <w:name w:val="四号正文"/>
    <w:basedOn w:val="1"/>
    <w:qFormat/>
    <w:uiPriority w:val="0"/>
    <w:pPr>
      <w:spacing w:line="360" w:lineRule="auto"/>
    </w:pPr>
    <w:rPr>
      <w:rFonts w:ascii="??" w:hAnsi="??"/>
      <w:color w:val="000000"/>
      <w:kern w:val="0"/>
      <w:sz w:val="28"/>
      <w:szCs w:val="21"/>
      <w:lang w:val="zh-CN"/>
    </w:rPr>
  </w:style>
  <w:style w:type="character" w:customStyle="1" w:styleId="3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69dd5ca3-9b1b-4929-8d37-c262800f4d42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1B274B80</paraID>
      <start>0</start>
      <end>1</end>
      <status>modified</status>
      <modifiedWord>（</modifiedWord>
      <trackRevisions>false</trackRevisions>
    </reviewItem>
    <reviewItem>
      <errorID>169c01bb-3a67-4e6e-b8e3-1e8c00561478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1B274B80</paraID>
      <start>14</start>
      <end>15</end>
      <status>modified</status>
      <modifiedWord>）</modifiedWord>
      <trackRevisions>false</trackRevisions>
    </reviewItem>
    <reviewItem>
      <errorID>8a800a1d-7c5a-46df-aeec-d59c156614a5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2BD62C18</paraID>
      <start>0</start>
      <end>1</end>
      <status>modified</status>
      <modifiedWord>（</modifiedWord>
      <trackRevisions>false</trackRevisions>
    </reviewItem>
    <reviewItem>
      <errorID>da498a98-edb0-43cb-979d-df5b8031ec25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2BD62C18</paraID>
      <start>22</start>
      <end>23</end>
      <status>modified</status>
      <modifiedWord>）</modifiedWord>
      <trackRevisions>false</trackRevisions>
    </reviewItem>
    <reviewItem>
      <errorID>1ff99206-6217-42ca-ad1b-923d7a57295b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76038F3A</paraID>
      <start>20</start>
      <end>21</end>
      <status>modified</status>
      <modifiedWord>：</modifiedWord>
      <trackRevisions>false</trackRevisions>
    </reviewItem>
    <reviewItem>
      <errorID>f9765ea1-4ded-40b4-8a50-52edddb2521d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76038F3A</paraID>
      <start>45</start>
      <end>46</end>
      <status>modified</status>
      <modifiedWord>－</modifiedWord>
      <trackRevisions>false</trackRevisions>
    </reviewItem>
    <reviewItem>
      <errorID>6a83edbf-f607-4448-afb8-0dd369e758d6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76038F3A</paraID>
      <start>80</start>
      <end>81</end>
      <status>modified</status>
      <modifiedWord>－</modifiedWord>
      <trackRevisions>false</trackRevisions>
    </reviewItem>
    <reviewItem>
      <errorID>a4568c4e-860a-48d5-b13c-b3e3a7639f7d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76038F3A</paraID>
      <start>115</start>
      <end>116</end>
      <status>modified</status>
      <modifiedWord>－</modifiedWord>
      <trackRevisions>false</trackRevisions>
    </reviewItem>
    <reviewItem>
      <errorID>371a8109-653f-417b-89bb-f001310a6143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76038F3A</paraID>
      <start>153</start>
      <end>154</end>
      <status>modified</status>
      <modifiedWord>－</modifiedWord>
      <trackRevisions>false</trackRevisions>
    </reviewItem>
    <reviewItem>
      <errorID>aed8768a-fc50-41f1-a232-a67a8e5adeec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2C84801F</paraID>
      <start>7</start>
      <end>8</end>
      <status>modified</status>
      <modifiedWord>－</modifiedWord>
      <trackRevisions>false</trackRevisions>
    </reviewItem>
    <reviewItem>
      <errorID>9f7813f9-442d-4c2a-83a0-c5d56bed5f96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62CD9DB6</paraID>
      <start>19</start>
      <end>20</end>
      <status>modified</status>
      <modifiedWord>：</modifiedWord>
      <trackRevisions>false</trackRevisions>
    </reviewItem>
    <reviewItem>
      <errorID>96d9d275-7c89-43cc-8c60-fa2f16bcf568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62CD9DB6</paraID>
      <start>53</start>
      <end>54</end>
      <status>modified</status>
      <modifiedWord>－</modifiedWord>
      <trackRevisions>false</trackRevisions>
    </reviewItem>
    <reviewItem>
      <errorID>5d87c26d-d656-430f-8900-8e6387058f5a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62CD9DB6</paraID>
      <start>87</start>
      <end>88</end>
      <status>modified</status>
      <modifiedWord>－</modifiedWord>
      <trackRevisions>false</trackRevisions>
    </reviewItem>
    <reviewItem>
      <errorID>191c7ce9-41ae-4032-826a-70d96d8a700c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62CD9DB6</paraID>
      <start>122</start>
      <end>123</end>
      <status>modified</status>
      <modifiedWord>－</modifiedWord>
      <trackRevisions>false</trackRevisions>
    </reviewItem>
    <reviewItem>
      <errorID>b11e324f-23f9-4ba7-b672-a1861fe163ce</errorID>
      <errorWord>巩固脱贫攻坚成果</errorWord>
      <group>L1_Word</group>
      <groupName>字词问题</groupName>
      <ability>L2_Typo</ability>
      <abilityName>字词错误</abilityName>
      <candidateList>
        <item>巩固拓展脱贫攻坚成果</item>
      </candidateList>
      <explain/>
      <paraID>62CD9DB6</paraID>
      <start>125</start>
      <end>135</end>
      <status>modified</status>
      <modifiedWord>巩固拓展脱贫攻坚成果</modifiedWord>
      <trackRevisions>false</trackRevisions>
    </reviewItem>
    <reviewItem>
      <errorID>df23f440-1921-46e3-9aa9-225bffb0c9ca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8C1025F</paraID>
      <start>23</start>
      <end>24</end>
      <status>modified</status>
      <modifiedWord>：</modifiedWord>
      <trackRevisions>false</trackRevisions>
    </reviewItem>
    <reviewItem>
      <errorID>a48c3769-6f8e-48e1-9305-14996cc64a1f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8C1025F</paraID>
      <start>47</start>
      <end>48</end>
      <status>modified</status>
      <modifiedWord>－</modifiedWord>
      <trackRevisions>false</trackRevisions>
    </reviewItem>
    <reviewItem>
      <errorID>500b2718-4b39-418e-ac2f-8f128cd82d37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8C1025F</paraID>
      <start>86</start>
      <end>87</end>
      <status>modified</status>
      <modifiedWord>－</modifiedWord>
      <trackRevisions>false</trackRevisions>
    </reviewItem>
    <reviewItem>
      <errorID>5001543b-4292-4aee-b996-30411cfb5ccd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12EEDDB0</paraID>
      <start>18</start>
      <end>19</end>
      <status>ignored</status>
      <modifiedWord/>
      <trackRevisions>false</trackRevisions>
    </reviewItem>
    <reviewItem>
      <errorID>041abd28-b54b-45a5-aeb0-deb7630d8b48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12EEDDB0</paraID>
      <start>19</start>
      <end>20</end>
      <status>modified</status>
      <modifiedWord>：</modifiedWord>
      <trackRevisions>false</trackRevisions>
    </reviewItem>
    <reviewItem>
      <errorID>39ef9cba-bf31-46b5-9839-cdd552169f6e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12EEDDB0</paraID>
      <start>42</start>
      <end>43</end>
      <status>modified</status>
      <modifiedWord>－</modifiedWord>
      <trackRevisions>false</trackRevisions>
    </reviewItem>
    <reviewItem>
      <errorID>1f938567-367b-44b6-8653-aeac774e9571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12EEDDB0</paraID>
      <start>78</start>
      <end>79</end>
      <status>modified</status>
      <modifiedWord>－</modifiedWord>
      <trackRevisions>false</trackRevisions>
    </reviewItem>
    <reviewItem>
      <errorID>2d03b40f-b40a-4a88-876d-cc0c8c673ce1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12EEDDB0</paraID>
      <start>114</start>
      <end>115</end>
      <status>modified</status>
      <modifiedWord>－</modifiedWord>
      <trackRevisions>false</trackRevisions>
    </reviewItem>
    <reviewItem>
      <errorID>a21f4473-6cd1-41b9-9e4d-b007610b043c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12EEDDB0</paraID>
      <start>150</start>
      <end>151</end>
      <status>modified</status>
      <modifiedWord>－</modifiedWord>
      <trackRevisions>false</trackRevisions>
    </reviewItem>
    <reviewItem>
      <errorID>27360730-2eeb-4463-be55-1c7a5eccf752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45006BF2</paraID>
      <start>22</start>
      <end>23</end>
      <status>modified</status>
      <modifiedWord>，</modifiedWord>
      <trackRevisions>false</trackRevisions>
    </reviewItem>
    <reviewItem>
      <errorID>4a22f8c1-aa86-477d-87c6-b17292716c47</errorID>
      <errorWord>决算决算</errorWord>
      <group>L1_Word</group>
      <groupName>字词问题</groupName>
      <ability>L2_Typo</ability>
      <abilityName>字词错误</abilityName>
      <candidateList>
        <item>决算</item>
      </candidateList>
      <explain/>
      <paraID>45006BF2</paraID>
      <start>46</start>
      <end>48</end>
      <status>modified</status>
      <modifiedWord>决算</modifiedWord>
      <trackRevisions>false</trackRevisions>
    </reviewItem>
    <reviewItem>
      <errorID>6ea78f3a-6baf-4a69-9673-380aa4c4f014</errorID>
      <errorWord>主要是</errorWord>
      <group>L1_Word</group>
      <groupName>字词问题</groupName>
      <ability>L2_Typo</ability>
      <abilityName>字词错误</abilityName>
      <candidateList>
        <item>主要</item>
      </candidateList>
      <explain/>
      <paraID>553BAC0D</paraID>
      <start>45</start>
      <end>47</end>
      <status>modified</status>
      <modifiedWord>主要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b92747-fbd3-415f-8f3e-0459f04eac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四川省财政厅</Company>
  <Pages>10</Pages>
  <Words>2996</Words>
  <Characters>3526</Characters>
  <Lines>72</Lines>
  <Paragraphs>20</Paragraphs>
  <TotalTime>24</TotalTime>
  <ScaleCrop>false</ScaleCrop>
  <LinksUpToDate>false</LinksUpToDate>
  <CharactersWithSpaces>3540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2024-08-05T07:12:00Z</dcterms:created>
  <dc:creator>曹颖</dc:creator>
  <cp:lastModifiedBy>奕夕^_^</cp:lastModifiedBy>
  <cp:lastPrinted>2023-08-03T10:35:00Z</cp:lastPrinted>
  <dcterms:modified xsi:type="dcterms:W3CDTF">2026-10-14T08:04:51Z</dcterms:modified>
  <dc:title>四川省***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284A4D7F63864A0CBB10F153DEF3CD84_13</vt:lpwstr>
  </property>
  <property fmtid="{D5CDD505-2E9C-101B-9397-08002B2CF9AE}" pid="4" name="KSOTemplateDocerSaveRecord">
    <vt:lpwstr>eyJoZGlkIjoiNTU1MWNhN2ZmY2ZhZmY3ODhlYTg0MWU5OGMyY2QwZmUiLCJ1c2VySWQiOiI0MzQ2NTM0NzEifQ==</vt:lpwstr>
  </property>
</Properties>
</file>