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5EABC9">
      <w:pPr>
        <w:pStyle w:val="6"/>
        <w:rPr>
          <w:rFonts w:hint="eastAsia" w:ascii="黑体" w:hAnsi="黑体" w:eastAsia="黑体" w:cs="黑体"/>
          <w:color w:val="auto"/>
          <w:kern w:val="2"/>
          <w:sz w:val="32"/>
          <w:szCs w:val="32"/>
          <w:highlight w:val="none"/>
          <w:lang w:val="en-US" w:eastAsia="zh-CN" w:bidi="ar-SA"/>
        </w:rPr>
      </w:pPr>
      <w:bookmarkStart w:id="0" w:name="_Toc15396597"/>
      <w:bookmarkStart w:id="1" w:name="_Toc15378441"/>
      <w:bookmarkStart w:id="2" w:name="_Toc15396475"/>
      <w:bookmarkStart w:id="3" w:name="_Toc15377425"/>
      <w:bookmarkStart w:id="4" w:name="_Toc15377193"/>
      <w:bookmarkStart w:id="5" w:name="_Toc15306267"/>
      <w:r>
        <w:rPr>
          <w:rFonts w:hint="eastAsia" w:ascii="黑体" w:hAnsi="黑体" w:eastAsia="黑体" w:cs="黑体"/>
          <w:color w:val="auto"/>
          <w:kern w:val="2"/>
          <w:sz w:val="32"/>
          <w:szCs w:val="32"/>
          <w:highlight w:val="none"/>
          <w:lang w:val="en-US" w:eastAsia="zh-CN" w:bidi="ar-SA"/>
        </w:rPr>
        <w:t>附件4</w:t>
      </w:r>
    </w:p>
    <w:p w14:paraId="5166EC3A">
      <w:pPr>
        <w:pStyle w:val="6"/>
        <w:rPr>
          <w:rFonts w:hint="eastAsia" w:ascii="Times New Roman" w:hAnsi="Times New Roman" w:eastAsia="方正小标宋简体" w:cs="Times New Roman"/>
          <w:color w:val="auto"/>
          <w:kern w:val="2"/>
          <w:sz w:val="72"/>
          <w:szCs w:val="72"/>
          <w:highlight w:val="none"/>
          <w:lang w:val="en-US" w:eastAsia="zh-CN" w:bidi="ar-SA"/>
        </w:rPr>
      </w:pPr>
    </w:p>
    <w:p w14:paraId="54D3A88D">
      <w:pPr>
        <w:pStyle w:val="6"/>
        <w:rPr>
          <w:rFonts w:hint="eastAsia" w:ascii="Times New Roman" w:hAnsi="Times New Roman" w:eastAsia="方正小标宋简体" w:cs="Times New Roman"/>
          <w:color w:val="auto"/>
          <w:kern w:val="2"/>
          <w:sz w:val="72"/>
          <w:szCs w:val="72"/>
          <w:highlight w:val="none"/>
          <w:lang w:val="en-US" w:eastAsia="zh-CN" w:bidi="ar-SA"/>
        </w:rPr>
      </w:pPr>
    </w:p>
    <w:p w14:paraId="51DFAE23">
      <w:pPr>
        <w:pStyle w:val="6"/>
        <w:rPr>
          <w:rFonts w:hint="eastAsia" w:ascii="Times New Roman" w:hAnsi="Times New Roman" w:eastAsia="方正小标宋简体" w:cs="Times New Roman"/>
          <w:color w:val="auto"/>
          <w:kern w:val="2"/>
          <w:sz w:val="72"/>
          <w:szCs w:val="72"/>
          <w:highlight w:val="none"/>
          <w:lang w:val="en-US" w:eastAsia="zh-CN" w:bidi="ar-SA"/>
        </w:rPr>
      </w:pPr>
    </w:p>
    <w:p w14:paraId="761482E6">
      <w:pPr>
        <w:pStyle w:val="6"/>
        <w:rPr>
          <w:rFonts w:hint="eastAsia" w:ascii="Times New Roman" w:hAnsi="Times New Roman" w:eastAsia="方正小标宋简体" w:cs="Times New Roman"/>
          <w:color w:val="auto"/>
          <w:kern w:val="2"/>
          <w:sz w:val="72"/>
          <w:szCs w:val="72"/>
          <w:highlight w:val="none"/>
          <w:lang w:val="en-US" w:eastAsia="zh-CN" w:bidi="ar-SA"/>
        </w:rPr>
      </w:pPr>
    </w:p>
    <w:p w14:paraId="41071F25">
      <w:pPr>
        <w:pStyle w:val="6"/>
        <w:jc w:val="center"/>
        <w:rPr>
          <w:rFonts w:hint="eastAsia" w:ascii="Times New Roman" w:hAns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省级部门（单位）决算</w:t>
      </w:r>
    </w:p>
    <w:p w14:paraId="54EA3D5E">
      <w:pPr>
        <w:pStyle w:val="6"/>
        <w:jc w:val="center"/>
        <w:rPr>
          <w:rFonts w:hint="default" w:ascii="Times New Roman" w:hAnsi="Times New Roman" w:eastAsia="方正小标宋简体" w:cs="Times New Roman"/>
          <w:color w:val="auto"/>
          <w:kern w:val="2"/>
          <w:sz w:val="44"/>
          <w:szCs w:val="44"/>
          <w:highlight w:val="none"/>
          <w:lang w:val="en-US" w:eastAsia="zh-CN" w:bidi="ar-SA"/>
        </w:rPr>
      </w:pPr>
      <w:r>
        <w:rPr>
          <w:rFonts w:hint="eastAsia" w:ascii="Times New Roman" w:hAnsi="Times New Roman" w:eastAsia="方正小标宋简体" w:cs="Times New Roman"/>
          <w:color w:val="auto"/>
          <w:kern w:val="2"/>
          <w:sz w:val="44"/>
          <w:szCs w:val="44"/>
          <w:highlight w:val="none"/>
          <w:lang w:val="en-US" w:eastAsia="zh-CN" w:bidi="ar-SA"/>
        </w:rPr>
        <w:t>公开文字说明</w:t>
      </w:r>
    </w:p>
    <w:p w14:paraId="08C87DF4">
      <w:pPr>
        <w:spacing w:line="600" w:lineRule="exact"/>
        <w:jc w:val="center"/>
        <w:outlineLvl w:val="0"/>
        <w:rPr>
          <w:rFonts w:ascii="Times New Roman" w:hAnsi="Times New Roman" w:eastAsia="方正小标宋简体"/>
          <w:color w:val="auto"/>
          <w:sz w:val="72"/>
          <w:szCs w:val="72"/>
          <w:highlight w:val="none"/>
        </w:rPr>
      </w:pPr>
    </w:p>
    <w:p w14:paraId="736F1EA3">
      <w:pPr>
        <w:pStyle w:val="2"/>
        <w:rPr>
          <w:rFonts w:ascii="Times New Roman" w:hAnsi="Times New Roman"/>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14:paraId="3EFB24D3">
      <w:pPr>
        <w:rPr>
          <w:rFonts w:ascii="Times New Roman" w:hAnsi="Times New Roman"/>
        </w:rPr>
      </w:pPr>
    </w:p>
    <w:p w14:paraId="28E996E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07EFFA48">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2EC231D2">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p w14:paraId="47894CAE">
      <w:pPr>
        <w:pStyle w:val="6"/>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p w14:paraId="456CA91B">
      <w:pPr>
        <w:pStyle w:val="6"/>
        <w:jc w:val="center"/>
        <w:rPr>
          <w:rFonts w:hint="eastAsia" w:ascii="Times New Roman" w:hAnsi="Times New Roman" w:eastAsia="方正小标宋简体" w:cs="Times New Roman"/>
          <w:color w:val="auto"/>
          <w:kern w:val="2"/>
          <w:sz w:val="44"/>
          <w:szCs w:val="44"/>
          <w:highlight w:val="none"/>
          <w:lang w:val="en-US" w:eastAsia="zh-CN" w:bidi="ar-SA"/>
        </w:rPr>
      </w:pPr>
      <w:bookmarkStart w:id="6" w:name="_Toc15377426"/>
      <w:bookmarkStart w:id="7" w:name="_Toc15396598"/>
      <w:bookmarkStart w:id="8" w:name="_Toc15396476"/>
      <w:bookmarkStart w:id="9" w:name="_Toc15378442"/>
      <w:bookmarkStart w:id="10" w:name="_Toc15377194"/>
      <w:r>
        <w:rPr>
          <w:rFonts w:hint="eastAsia" w:ascii="Times New Roman" w:eastAsia="方正小标宋简体" w:cs="Times New Roman"/>
          <w:color w:val="auto"/>
          <w:kern w:val="2"/>
          <w:sz w:val="44"/>
          <w:szCs w:val="44"/>
          <w:highlight w:val="none"/>
          <w:lang w:val="en-US" w:eastAsia="zh-CN" w:bidi="ar-SA"/>
        </w:rPr>
        <w:t>2025年度</w:t>
      </w:r>
      <w:r>
        <w:rPr>
          <w:rFonts w:hint="eastAsia" w:ascii="Times New Roman" w:hAnsi="Times New Roman" w:eastAsia="方正小标宋简体" w:cs="Times New Roman"/>
          <w:color w:val="auto"/>
          <w:kern w:val="2"/>
          <w:sz w:val="44"/>
          <w:szCs w:val="44"/>
          <w:highlight w:val="none"/>
          <w:lang w:val="en-US" w:eastAsia="zh-CN" w:bidi="ar-SA"/>
        </w:rPr>
        <w:t>四川省</w:t>
      </w:r>
      <w:bookmarkEnd w:id="5"/>
      <w:bookmarkStart w:id="11" w:name="_Toc15306268"/>
      <w:r>
        <w:rPr>
          <w:rFonts w:hint="eastAsia" w:ascii="Times New Roman" w:eastAsia="方正小标宋简体" w:cs="Times New Roman"/>
          <w:color w:val="auto"/>
          <w:kern w:val="2"/>
          <w:sz w:val="44"/>
          <w:szCs w:val="44"/>
          <w:highlight w:val="none"/>
          <w:lang w:val="en-US" w:eastAsia="zh-CN" w:bidi="ar-SA"/>
        </w:rPr>
        <w:t>松潘县教育局</w:t>
      </w:r>
      <w:r>
        <w:rPr>
          <w:rFonts w:hint="eastAsia" w:ascii="Times New Roman" w:hAnsi="Times New Roman" w:eastAsia="方正小标宋简体" w:cs="Times New Roman"/>
          <w:color w:val="auto"/>
          <w:kern w:val="2"/>
          <w:sz w:val="44"/>
          <w:szCs w:val="44"/>
          <w:highlight w:val="none"/>
          <w:lang w:val="en-US" w:eastAsia="zh-CN" w:bidi="ar-SA"/>
        </w:rPr>
        <w:t>部门决算</w:t>
      </w:r>
      <w:bookmarkEnd w:id="6"/>
      <w:bookmarkEnd w:id="7"/>
      <w:bookmarkEnd w:id="8"/>
      <w:bookmarkEnd w:id="9"/>
      <w:bookmarkEnd w:id="10"/>
      <w:bookmarkEnd w:id="11"/>
    </w:p>
    <w:p w14:paraId="228483D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val="en-US" w:eastAsia="zh-CN"/>
        </w:rPr>
        <w:t>（注：</w:t>
      </w:r>
      <w:r>
        <w:rPr>
          <w:rFonts w:hint="eastAsia" w:eastAsia="仿宋_GB2312" w:cs="仿宋_GB2312"/>
          <w:color w:val="auto"/>
          <w:sz w:val="32"/>
          <w:szCs w:val="32"/>
          <w:highlight w:val="none"/>
          <w:lang w:val="en-US" w:eastAsia="zh-CN"/>
        </w:rPr>
        <w:t>以下为部门公开范本。单位公开内容应参照部门公开内容和报表格式，并与部门公开内容做好衔接）</w:t>
      </w:r>
    </w:p>
    <w:p w14:paraId="20916020">
      <w:pPr>
        <w:widowControl/>
        <w:jc w:val="center"/>
        <w:rPr>
          <w:rFonts w:hint="eastAsia" w:ascii="Times New Roman" w:hAnsi="Times New Roman" w:eastAsia="黑体"/>
          <w:color w:val="auto"/>
          <w:sz w:val="48"/>
          <w:szCs w:val="48"/>
          <w:highlight w:val="none"/>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14:paraId="74CCD331">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14:paraId="02CD7755">
      <w:pPr>
        <w:widowControl/>
        <w:jc w:val="center"/>
        <w:rPr>
          <w:rFonts w:ascii="Times New Roman" w:hAnsi="Times New Roman" w:eastAsia="黑体" w:cstheme="minorBidi"/>
          <w:color w:val="auto"/>
          <w:sz w:val="28"/>
          <w:szCs w:val="28"/>
          <w:highlight w:val="none"/>
        </w:rPr>
      </w:pPr>
    </w:p>
    <w:p w14:paraId="0BDAA550">
      <w:pPr>
        <w:pStyle w:val="13"/>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10</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16</w:t>
      </w:r>
      <w:r>
        <w:rPr>
          <w:rFonts w:hint="eastAsia" w:ascii="Times New Roman" w:hAnsi="Times New Roman" w:eastAsia="仿宋_GB2312" w:cs="仿宋_GB2312"/>
          <w:color w:val="auto"/>
          <w:sz w:val="32"/>
          <w:szCs w:val="32"/>
          <w:highlight w:val="none"/>
        </w:rPr>
        <w:t>日</w:t>
      </w:r>
    </w:p>
    <w:p w14:paraId="10B356E9">
      <w:pPr>
        <w:rPr>
          <w:rFonts w:ascii="Times New Roman" w:hAnsi="Times New Roman"/>
          <w:color w:val="auto"/>
          <w:highlight w:val="none"/>
        </w:rPr>
      </w:pPr>
    </w:p>
    <w:p w14:paraId="7AB7E73F">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第一部分 部门概况</w:t>
      </w:r>
    </w:p>
    <w:p w14:paraId="44F037E3">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rPr>
        <w:t>一、</w:t>
      </w:r>
      <w:r>
        <w:rPr>
          <w:rFonts w:hint="eastAsia" w:ascii="Times New Roman" w:hAnsi="Times New Roman" w:eastAsia="仿宋_GB2312" w:cs="仿宋_GB2312"/>
          <w:color w:val="auto"/>
          <w:sz w:val="32"/>
          <w:szCs w:val="32"/>
          <w:highlight w:val="none"/>
          <w:lang w:eastAsia="zh-CN"/>
        </w:rPr>
        <w:t>部门职责</w:t>
      </w:r>
    </w:p>
    <w:p w14:paraId="1E31D4B0">
      <w:pPr>
        <w:rPr>
          <w:rFonts w:hint="eastAsia"/>
        </w:rPr>
      </w:pPr>
    </w:p>
    <w:p w14:paraId="51BAED39">
      <w:pPr>
        <w:pStyle w:val="15"/>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机构设置</w:t>
      </w:r>
    </w:p>
    <w:p w14:paraId="3EB708E3">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w:t>
      </w:r>
      <w:r>
        <w:rPr>
          <w:rFonts w:hint="eastAsia" w:ascii="Times New Roman" w:hAnsi="Times New Roman" w:eastAsia="黑体" w:cs="黑体"/>
          <w:color w:val="auto"/>
          <w:sz w:val="32"/>
          <w:szCs w:val="32"/>
          <w:highlight w:val="none"/>
        </w:rPr>
        <w:t>部门决算情况说明</w:t>
      </w:r>
    </w:p>
    <w:p w14:paraId="3C28749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一、收入支出决算总体情况说明</w:t>
      </w:r>
    </w:p>
    <w:p w14:paraId="4891E119">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二、收入决算情况说明</w:t>
      </w:r>
    </w:p>
    <w:p w14:paraId="3B0D8EF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三、支出决算情况说明</w:t>
      </w:r>
    </w:p>
    <w:p w14:paraId="74D7F8F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四、财政拨款收入支出决算总体情况说明</w:t>
      </w:r>
    </w:p>
    <w:p w14:paraId="55CE310A">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五、一般公共预算财政拨款支出决算情况说明</w:t>
      </w:r>
    </w:p>
    <w:p w14:paraId="0BE340F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六、一般公共预算财政拨款基本支出决算情况说明</w:t>
      </w:r>
    </w:p>
    <w:p w14:paraId="54B80252">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p>
    <w:p w14:paraId="413BA09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八、政府性基金预算支出决算情况说明</w:t>
      </w:r>
    </w:p>
    <w:p w14:paraId="4D76D646">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p>
    <w:p w14:paraId="4148F77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p>
    <w:p w14:paraId="5225E467">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p>
    <w:p w14:paraId="4B84EF71">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第四部分 附件</w:t>
      </w:r>
    </w:p>
    <w:p w14:paraId="265651B4">
      <w:pPr>
        <w:pStyle w:val="13"/>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第五部分 附表</w:t>
      </w:r>
    </w:p>
    <w:p w14:paraId="2F5F65A8">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p>
    <w:p w14:paraId="4DDB661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二、收入决算表</w:t>
      </w:r>
    </w:p>
    <w:p w14:paraId="37D61C0F">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三、支出决算表</w:t>
      </w:r>
    </w:p>
    <w:p w14:paraId="61A05A7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四、财政拨款收入支出决算总表</w:t>
      </w:r>
    </w:p>
    <w:p w14:paraId="71A95B9D">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五、财政拨款支出决算明细表</w:t>
      </w:r>
    </w:p>
    <w:p w14:paraId="00E37C2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p>
    <w:p w14:paraId="432CDABC">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七、一般公共预算财政拨款支出决算明细表</w:t>
      </w:r>
    </w:p>
    <w:p w14:paraId="18F5E0DE">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p>
    <w:p w14:paraId="00F4144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九、一般公共预算财政拨款项目支出决算表</w:t>
      </w:r>
    </w:p>
    <w:p w14:paraId="2CAEC915">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十、政府性基金预算财政拨款收入支出决算表</w:t>
      </w:r>
    </w:p>
    <w:p w14:paraId="53BB86C4">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十一、国有资本经营预算财政拨款收入支出决算表</w:t>
      </w:r>
    </w:p>
    <w:p w14:paraId="66415B2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p>
    <w:p w14:paraId="7C0EC160">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十三、财政拨款“三公”经费支出决算表</w:t>
      </w:r>
    </w:p>
    <w:p w14:paraId="77EDD5A7">
      <w:pPr>
        <w:pStyle w:val="15"/>
        <w:keepNext w:val="0"/>
        <w:keepLines w:val="0"/>
        <w:pageBreakBefore w:val="0"/>
        <w:widowControl w:val="0"/>
        <w:kinsoku/>
        <w:wordWrap/>
        <w:overflowPunct/>
        <w:topLinePunct w:val="0"/>
        <w:autoSpaceDE/>
        <w:autoSpaceDN/>
        <w:bidi w:val="0"/>
        <w:adjustRightInd w:val="0"/>
        <w:snapToGrid w:val="0"/>
        <w:spacing w:line="560" w:lineRule="exact"/>
        <w:ind w:left="0" w:leftChars="0" w:firstLine="643" w:firstLineChars="200"/>
        <w:jc w:val="left"/>
        <w:textAlignment w:val="auto"/>
        <w:rPr>
          <w:rFonts w:hint="eastAsia" w:ascii="Times New Roman" w:hAnsi="Times New Roman" w:eastAsia="仿宋_GB2312" w:cs="仿宋_GB2312"/>
          <w:b/>
          <w:bCs/>
          <w:color w:val="auto"/>
          <w:sz w:val="32"/>
          <w:szCs w:val="32"/>
          <w:highlight w:val="none"/>
          <w:lang w:eastAsia="zh-CN"/>
        </w:rPr>
      </w:pPr>
      <w:r>
        <w:rPr>
          <w:rFonts w:hint="eastAsia" w:ascii="Times New Roman" w:hAnsi="Times New Roman" w:eastAsia="仿宋_GB2312" w:cs="仿宋_GB2312"/>
          <w:b/>
          <w:bCs/>
          <w:color w:val="auto"/>
          <w:sz w:val="32"/>
          <w:szCs w:val="32"/>
          <w:highlight w:val="none"/>
          <w:lang w:eastAsia="zh-CN"/>
        </w:rPr>
        <w:t>（</w:t>
      </w:r>
      <w:r>
        <w:rPr>
          <w:rFonts w:hint="eastAsia" w:ascii="Times New Roman" w:hAnsi="Times New Roman" w:eastAsia="仿宋_GB2312" w:cs="仿宋_GB2312"/>
          <w:b/>
          <w:bCs/>
          <w:color w:val="auto"/>
          <w:sz w:val="32"/>
          <w:szCs w:val="32"/>
          <w:highlight w:val="none"/>
        </w:rPr>
        <w:t>注：请部门根据实际注明页码</w:t>
      </w:r>
      <w:r>
        <w:rPr>
          <w:rFonts w:hint="eastAsia" w:ascii="Times New Roman" w:hAnsi="Times New Roman" w:eastAsia="仿宋_GB2312" w:cs="仿宋_GB2312"/>
          <w:b/>
          <w:bCs/>
          <w:color w:val="auto"/>
          <w:sz w:val="32"/>
          <w:szCs w:val="32"/>
          <w:highlight w:val="none"/>
          <w:lang w:eastAsia="zh-CN"/>
        </w:rPr>
        <w:t>）</w:t>
      </w:r>
    </w:p>
    <w:p w14:paraId="62206CAD">
      <w:pPr>
        <w:keepNext w:val="0"/>
        <w:keepLines w:val="0"/>
        <w:pageBreakBefore w:val="0"/>
        <w:widowControl/>
        <w:kinsoku/>
        <w:wordWrap/>
        <w:overflowPunct/>
        <w:topLinePunct w:val="0"/>
        <w:autoSpaceDE/>
        <w:autoSpaceDN/>
        <w:bidi w:val="0"/>
        <w:spacing w:line="560" w:lineRule="exact"/>
        <w:jc w:val="left"/>
        <w:textAlignment w:val="auto"/>
        <w:rPr>
          <w:rFonts w:hint="eastAsia" w:ascii="Times New Roman" w:hAnsi="Times New Roman" w:eastAsia="仿宋_GB2312" w:cs="仿宋_GB2312"/>
          <w:bCs/>
          <w:color w:val="auto"/>
          <w:kern w:val="44"/>
          <w:sz w:val="32"/>
          <w:szCs w:val="32"/>
          <w:highlight w:val="none"/>
        </w:rPr>
      </w:pPr>
      <w:bookmarkStart w:id="12" w:name="_Toc15396599"/>
      <w:bookmarkStart w:id="13" w:name="_Toc15377196"/>
      <w:r>
        <w:rPr>
          <w:rFonts w:hint="eastAsia" w:ascii="Times New Roman" w:hAnsi="Times New Roman" w:eastAsia="仿宋_GB2312" w:cs="仿宋_GB2312"/>
          <w:b/>
          <w:color w:val="auto"/>
          <w:sz w:val="32"/>
          <w:szCs w:val="32"/>
          <w:highlight w:val="none"/>
        </w:rPr>
        <w:br w:type="page"/>
      </w:r>
    </w:p>
    <w:p w14:paraId="36A83361">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Style w:val="28"/>
          <w:rFonts w:hint="eastAsia" w:ascii="Times New Roman" w:hAnsi="Times New Roman" w:eastAsia="方正小标宋简体" w:cs="方正小标宋简体"/>
          <w:b w:val="0"/>
          <w:bCs w:val="0"/>
          <w:color w:val="auto"/>
          <w:highlight w:val="none"/>
        </w:rPr>
        <w:t>部门概况</w:t>
      </w:r>
      <w:bookmarkEnd w:id="12"/>
      <w:bookmarkEnd w:id="13"/>
    </w:p>
    <w:p w14:paraId="11B89388">
      <w:pPr>
        <w:widowControl/>
        <w:jc w:val="left"/>
        <w:rPr>
          <w:rFonts w:ascii="Times New Roman" w:hAnsi="Times New Roman" w:eastAsia="黑体"/>
          <w:color w:val="auto"/>
          <w:sz w:val="32"/>
          <w:szCs w:val="32"/>
          <w:highlight w:val="none"/>
        </w:rPr>
      </w:pPr>
    </w:p>
    <w:p w14:paraId="3F6C03F9">
      <w:pPr>
        <w:pStyle w:val="4"/>
        <w:numPr>
          <w:ilvl w:val="0"/>
          <w:numId w:val="2"/>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eastAsia="zh-CN"/>
        </w:rPr>
        <w:t>部门职责</w:t>
      </w:r>
    </w:p>
    <w:p w14:paraId="1F075707">
      <w:pPr>
        <w:numPr>
          <w:ilvl w:val="0"/>
          <w:numId w:val="0"/>
        </w:numPr>
        <w:rPr>
          <w:rFonts w:hint="eastAsia"/>
          <w:lang w:eastAsia="zh-CN"/>
        </w:rPr>
      </w:pPr>
      <w:r>
        <w:rPr>
          <w:rFonts w:hint="eastAsia"/>
          <w:lang w:eastAsia="zh-CN"/>
        </w:rPr>
        <w:t>主要职能。</w:t>
      </w:r>
    </w:p>
    <w:p w14:paraId="2188C307">
      <w:pPr>
        <w:numPr>
          <w:ilvl w:val="0"/>
          <w:numId w:val="0"/>
        </w:numPr>
        <w:rPr>
          <w:rFonts w:hint="eastAsia"/>
          <w:lang w:eastAsia="zh-CN"/>
        </w:rPr>
      </w:pPr>
      <w:r>
        <w:rPr>
          <w:rFonts w:hint="eastAsia"/>
          <w:lang w:eastAsia="zh-CN"/>
        </w:rPr>
        <w:t>1.拟订全县教育发展战略、规划、政策和改革方案并组织实施。</w:t>
      </w:r>
    </w:p>
    <w:p w14:paraId="458113F4">
      <w:pPr>
        <w:numPr>
          <w:ilvl w:val="0"/>
          <w:numId w:val="0"/>
        </w:numPr>
        <w:rPr>
          <w:rFonts w:hint="eastAsia"/>
          <w:lang w:eastAsia="zh-CN"/>
        </w:rPr>
      </w:pPr>
      <w:r>
        <w:rPr>
          <w:rFonts w:hint="eastAsia"/>
          <w:lang w:eastAsia="zh-CN"/>
        </w:rPr>
        <w:t>2.贯彻执行国家教育方面的法律法规和方针、政策。</w:t>
      </w:r>
    </w:p>
    <w:p w14:paraId="2C8792A4">
      <w:pPr>
        <w:numPr>
          <w:ilvl w:val="0"/>
          <w:numId w:val="0"/>
        </w:numPr>
        <w:rPr>
          <w:rFonts w:hint="eastAsia"/>
          <w:lang w:eastAsia="zh-CN"/>
        </w:rPr>
      </w:pPr>
      <w:r>
        <w:rPr>
          <w:rFonts w:hint="eastAsia"/>
          <w:lang w:eastAsia="zh-CN"/>
        </w:rPr>
        <w:t>3.负责制定全县教育经费的管理办法并对执行情况进行监督检查。</w:t>
      </w:r>
    </w:p>
    <w:p w14:paraId="7725FF40">
      <w:pPr>
        <w:numPr>
          <w:ilvl w:val="0"/>
          <w:numId w:val="0"/>
        </w:numPr>
        <w:rPr>
          <w:rFonts w:hint="eastAsia"/>
          <w:lang w:eastAsia="zh-CN"/>
        </w:rPr>
      </w:pPr>
      <w:r>
        <w:rPr>
          <w:rFonts w:hint="eastAsia"/>
          <w:lang w:eastAsia="zh-CN"/>
        </w:rPr>
        <w:t>4.组织执行政府债务管理制度和政策，制定具体管理办法，负责管理政府债务，防范财政风险。</w:t>
      </w:r>
    </w:p>
    <w:p w14:paraId="5A5C54B3">
      <w:pPr>
        <w:numPr>
          <w:ilvl w:val="0"/>
          <w:numId w:val="0"/>
        </w:numPr>
        <w:rPr>
          <w:rFonts w:hint="eastAsia"/>
          <w:lang w:eastAsia="zh-CN"/>
        </w:rPr>
      </w:pPr>
      <w:r>
        <w:rPr>
          <w:rFonts w:hint="eastAsia"/>
          <w:lang w:eastAsia="zh-CN"/>
        </w:rPr>
        <w:t>5.负责管理全县教育系统的会计工作。</w:t>
      </w:r>
    </w:p>
    <w:p w14:paraId="619C3A5B">
      <w:pPr>
        <w:numPr>
          <w:ilvl w:val="0"/>
          <w:numId w:val="0"/>
        </w:numPr>
        <w:rPr>
          <w:rFonts w:hint="eastAsia"/>
          <w:lang w:eastAsia="zh-CN"/>
        </w:rPr>
      </w:pPr>
      <w:r>
        <w:rPr>
          <w:rFonts w:hint="eastAsia"/>
          <w:lang w:eastAsia="zh-CN"/>
        </w:rPr>
        <w:t>6.负责全县教育系统事业统计工作。</w:t>
      </w:r>
    </w:p>
    <w:p w14:paraId="20126629">
      <w:pPr>
        <w:numPr>
          <w:ilvl w:val="0"/>
          <w:numId w:val="0"/>
        </w:numPr>
        <w:rPr>
          <w:rFonts w:hint="eastAsia"/>
          <w:lang w:eastAsia="zh-CN"/>
        </w:rPr>
      </w:pPr>
      <w:r>
        <w:rPr>
          <w:rFonts w:hint="eastAsia"/>
          <w:lang w:eastAsia="zh-CN"/>
        </w:rPr>
        <w:t>7.承办教育局、财政局、统计局交办的其他事项。</w:t>
      </w:r>
    </w:p>
    <w:p w14:paraId="120A5609">
      <w:pPr>
        <w:pStyle w:val="4"/>
        <w:rPr>
          <w:rStyle w:val="29"/>
          <w:rFonts w:ascii="Times New Roman" w:hAnsi="Times New Roman"/>
          <w:b w:val="0"/>
          <w:bCs w:val="0"/>
          <w:color w:val="auto"/>
          <w:highlight w:val="none"/>
        </w:rPr>
      </w:pPr>
      <w:bookmarkStart w:id="14" w:name="_Toc15377200"/>
      <w:bookmarkStart w:id="15" w:name="_Toc15396601"/>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14"/>
      <w:bookmarkEnd w:id="15"/>
    </w:p>
    <w:p w14:paraId="498A9A9E">
      <w:pPr>
        <w:shd w:val="clear" w:color="auto" w:fill="FFFFFF"/>
        <w:bidi w:val="0"/>
        <w:spacing w:before="240" w:after="240"/>
        <w:ind w:firstLine="420" w:firstLineChars="200"/>
        <w:jc w:val="left"/>
        <w:rPr>
          <w:rStyle w:val="17"/>
          <w:color w:val="auto"/>
          <w:rtl w:val="0"/>
        </w:rPr>
      </w:pPr>
      <w:r>
        <w:rPr>
          <w:rStyle w:val="17"/>
          <w:rFonts w:hint="eastAsia" w:eastAsia="宋体"/>
          <w:color w:val="auto"/>
          <w:rtl w:val="0"/>
          <w:lang w:val="en-US" w:eastAsia="zh-CN"/>
        </w:rPr>
        <w:t>松潘县教育局</w:t>
      </w:r>
      <w:r>
        <w:rPr>
          <w:rStyle w:val="17"/>
          <w:color w:val="auto"/>
          <w:rtl w:val="0"/>
        </w:rPr>
        <w:t>下属二级单位</w:t>
      </w:r>
      <w:r>
        <w:rPr>
          <w:rStyle w:val="17"/>
          <w:rFonts w:hint="eastAsia" w:eastAsia="宋体"/>
          <w:color w:val="auto"/>
          <w:rtl w:val="0"/>
          <w:lang w:val="en-US" w:eastAsia="zh-CN"/>
        </w:rPr>
        <w:t>2</w:t>
      </w:r>
      <w:r>
        <w:rPr>
          <w:rStyle w:val="17"/>
          <w:rFonts w:hint="eastAsia"/>
          <w:color w:val="auto"/>
          <w:rtl w:val="0"/>
          <w:lang w:val="en-US" w:eastAsia="zh-CN"/>
        </w:rPr>
        <w:t>5</w:t>
      </w:r>
      <w:r>
        <w:rPr>
          <w:rStyle w:val="17"/>
          <w:color w:val="auto"/>
          <w:rtl w:val="0"/>
        </w:rPr>
        <w:t>个，其中行政单位</w:t>
      </w:r>
      <w:r>
        <w:rPr>
          <w:rStyle w:val="17"/>
          <w:rFonts w:hint="eastAsia" w:eastAsia="宋体"/>
          <w:color w:val="auto"/>
          <w:rtl w:val="0"/>
          <w:lang w:val="en-US" w:eastAsia="zh-CN"/>
        </w:rPr>
        <w:t>1</w:t>
      </w:r>
      <w:r>
        <w:rPr>
          <w:rStyle w:val="17"/>
          <w:color w:val="auto"/>
          <w:rtl w:val="0"/>
        </w:rPr>
        <w:t>个，参照公务员法管理的事业单位</w:t>
      </w:r>
      <w:r>
        <w:rPr>
          <w:rStyle w:val="17"/>
          <w:rFonts w:hint="eastAsia" w:eastAsia="宋体"/>
          <w:color w:val="auto"/>
          <w:rtl w:val="0"/>
          <w:lang w:val="en-US" w:eastAsia="zh-CN"/>
        </w:rPr>
        <w:t>0</w:t>
      </w:r>
      <w:r>
        <w:rPr>
          <w:rStyle w:val="17"/>
          <w:color w:val="auto"/>
          <w:rtl w:val="0"/>
        </w:rPr>
        <w:t>个，其他事业单位</w:t>
      </w:r>
      <w:r>
        <w:rPr>
          <w:rStyle w:val="17"/>
          <w:rFonts w:hint="eastAsia" w:eastAsia="宋体"/>
          <w:color w:val="auto"/>
          <w:rtl w:val="0"/>
          <w:lang w:val="en-US" w:eastAsia="zh-CN"/>
        </w:rPr>
        <w:t>2</w:t>
      </w:r>
      <w:r>
        <w:rPr>
          <w:rStyle w:val="17"/>
          <w:rFonts w:hint="eastAsia"/>
          <w:color w:val="auto"/>
          <w:rtl w:val="0"/>
          <w:lang w:val="en-US" w:eastAsia="zh-CN"/>
        </w:rPr>
        <w:t>4</w:t>
      </w:r>
      <w:r>
        <w:rPr>
          <w:rStyle w:val="17"/>
          <w:color w:val="auto"/>
          <w:rtl w:val="0"/>
        </w:rPr>
        <w:t>个。纳入</w:t>
      </w:r>
      <w:r>
        <w:rPr>
          <w:rStyle w:val="17"/>
          <w:rFonts w:hint="eastAsia" w:eastAsia="宋体"/>
          <w:color w:val="auto"/>
          <w:rtl w:val="0"/>
          <w:lang w:val="en-US" w:eastAsia="zh-CN"/>
        </w:rPr>
        <w:t>松潘县教育局</w:t>
      </w:r>
      <w:r>
        <w:rPr>
          <w:rStyle w:val="17"/>
          <w:color w:val="auto"/>
          <w:rtl w:val="0"/>
        </w:rPr>
        <w:t>202</w:t>
      </w:r>
      <w:r>
        <w:rPr>
          <w:rStyle w:val="17"/>
          <w:rFonts w:hint="eastAsia"/>
          <w:color w:val="auto"/>
          <w:rtl w:val="0"/>
          <w:lang w:val="en-US" w:eastAsia="zh-CN"/>
        </w:rPr>
        <w:t>5</w:t>
      </w:r>
      <w:r>
        <w:rPr>
          <w:rStyle w:val="17"/>
          <w:color w:val="auto"/>
          <w:rtl w:val="0"/>
        </w:rPr>
        <w:t>年度部门决算编制范围的二级预算单位包括：</w:t>
      </w:r>
    </w:p>
    <w:p w14:paraId="28518CF4">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1.135001阿坝州松潘县教育局机关</w:t>
      </w:r>
    </w:p>
    <w:p w14:paraId="02AD1748">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2.135002阿坝州松潘县教育局教师进修校</w:t>
      </w:r>
    </w:p>
    <w:p w14:paraId="429FEEF3">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3.135003阿坝州松潘县中学校</w:t>
      </w:r>
    </w:p>
    <w:p w14:paraId="6599D516">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4.135004阿坝州松潘县七一藏文中学</w:t>
      </w:r>
    </w:p>
    <w:p w14:paraId="35A1E2E3">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5.135005阿坝州黄龙深圳福田希望中学校</w:t>
      </w:r>
    </w:p>
    <w:p w14:paraId="0B075488">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6.135006阿坝州松潘县城关小学</w:t>
      </w:r>
    </w:p>
    <w:p w14:paraId="6050934D">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7.135007阿坝州松潘县进安小学</w:t>
      </w:r>
    </w:p>
    <w:p w14:paraId="403936E1">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8.135008阿坝州松潘县城关幼儿园</w:t>
      </w:r>
    </w:p>
    <w:p w14:paraId="2A45A877">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9.135009阿坝州松潘县青云乡中心小学校</w:t>
      </w:r>
    </w:p>
    <w:p w14:paraId="4410EDC3">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10.135010阿坝州松潘县十里中心小学校</w:t>
      </w:r>
    </w:p>
    <w:p w14:paraId="058F7825">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11.135011阿坝州松潘县安宏乡同安小学</w:t>
      </w:r>
    </w:p>
    <w:p w14:paraId="6D863BFD">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2</w:t>
      </w:r>
      <w:r>
        <w:rPr>
          <w:rStyle w:val="17"/>
          <w:rFonts w:hint="eastAsia"/>
          <w:color w:val="auto"/>
          <w:rtl w:val="0"/>
        </w:rPr>
        <w:t>.135013阿坝州松潘县川主寺镇第一小学校</w:t>
      </w:r>
    </w:p>
    <w:p w14:paraId="5F3A956C">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3</w:t>
      </w:r>
      <w:r>
        <w:rPr>
          <w:rStyle w:val="17"/>
          <w:rFonts w:hint="eastAsia"/>
          <w:color w:val="auto"/>
          <w:rtl w:val="0"/>
        </w:rPr>
        <w:t>.135014阿坝州松潘县川主寺镇第二小学校</w:t>
      </w:r>
    </w:p>
    <w:p w14:paraId="3819DFDA">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4</w:t>
      </w:r>
      <w:r>
        <w:rPr>
          <w:rStyle w:val="17"/>
          <w:rFonts w:hint="eastAsia"/>
          <w:color w:val="auto"/>
          <w:rtl w:val="0"/>
        </w:rPr>
        <w:t>.135015阿坝州松潘县古城幼儿园</w:t>
      </w:r>
    </w:p>
    <w:p w14:paraId="651F80A4">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5</w:t>
      </w:r>
      <w:r>
        <w:rPr>
          <w:rStyle w:val="17"/>
          <w:rFonts w:hint="eastAsia"/>
          <w:color w:val="auto"/>
          <w:rtl w:val="0"/>
        </w:rPr>
        <w:t>.135016阿坝州松潘县镇江九年一贯制学校</w:t>
      </w:r>
    </w:p>
    <w:p w14:paraId="090AB24E">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6</w:t>
      </w:r>
      <w:r>
        <w:rPr>
          <w:rStyle w:val="17"/>
          <w:rFonts w:hint="eastAsia"/>
          <w:color w:val="auto"/>
          <w:rtl w:val="0"/>
        </w:rPr>
        <w:t>.135018阿坝州松潘县岷江乡中心小学校</w:t>
      </w:r>
    </w:p>
    <w:p w14:paraId="523C41AC">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1</w:t>
      </w:r>
      <w:r>
        <w:rPr>
          <w:rStyle w:val="17"/>
          <w:rFonts w:hint="eastAsia"/>
          <w:color w:val="auto"/>
          <w:rtl w:val="0"/>
          <w:lang w:val="en-US" w:eastAsia="zh-CN"/>
        </w:rPr>
        <w:t>7</w:t>
      </w:r>
      <w:r>
        <w:rPr>
          <w:rStyle w:val="17"/>
          <w:rFonts w:hint="eastAsia"/>
          <w:color w:val="auto"/>
          <w:rtl w:val="0"/>
        </w:rPr>
        <w:t>.135019阿坝州松潘县白羊九年一贯制学校</w:t>
      </w:r>
    </w:p>
    <w:p w14:paraId="18200AF1">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lang w:val="en-US" w:eastAsia="zh-CN"/>
        </w:rPr>
        <w:t>18</w:t>
      </w:r>
      <w:r>
        <w:rPr>
          <w:rStyle w:val="17"/>
          <w:rFonts w:hint="eastAsia"/>
          <w:color w:val="auto"/>
          <w:rtl w:val="0"/>
        </w:rPr>
        <w:t>.135020阿坝州松潘县镇坪乡第二小学校</w:t>
      </w:r>
    </w:p>
    <w:p w14:paraId="79EE61DE">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lang w:val="en-US" w:eastAsia="zh-CN"/>
        </w:rPr>
        <w:t>19</w:t>
      </w:r>
      <w:r>
        <w:rPr>
          <w:rStyle w:val="17"/>
          <w:rFonts w:hint="eastAsia"/>
          <w:color w:val="auto"/>
          <w:rtl w:val="0"/>
        </w:rPr>
        <w:t>.135021阿坝州松潘县小河九年一贯制学校</w:t>
      </w:r>
    </w:p>
    <w:p w14:paraId="41C3F70B">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w:t>
      </w:r>
      <w:r>
        <w:rPr>
          <w:rStyle w:val="17"/>
          <w:rFonts w:hint="eastAsia"/>
          <w:color w:val="auto"/>
          <w:rtl w:val="0"/>
          <w:lang w:val="en-US" w:eastAsia="zh-CN"/>
        </w:rPr>
        <w:t>0</w:t>
      </w:r>
      <w:r>
        <w:rPr>
          <w:rStyle w:val="17"/>
          <w:rFonts w:hint="eastAsia"/>
          <w:color w:val="auto"/>
          <w:rtl w:val="0"/>
        </w:rPr>
        <w:t>.135023阿坝州松潘县热务九年一贯制学校</w:t>
      </w:r>
    </w:p>
    <w:p w14:paraId="34ACC405">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w:t>
      </w:r>
      <w:r>
        <w:rPr>
          <w:rStyle w:val="17"/>
          <w:rFonts w:hint="eastAsia"/>
          <w:color w:val="auto"/>
          <w:rtl w:val="0"/>
          <w:lang w:val="en-US" w:eastAsia="zh-CN"/>
        </w:rPr>
        <w:t>1</w:t>
      </w:r>
      <w:r>
        <w:rPr>
          <w:rStyle w:val="17"/>
          <w:rFonts w:hint="eastAsia"/>
          <w:color w:val="auto"/>
          <w:rtl w:val="0"/>
        </w:rPr>
        <w:t>.135024阿坝州松潘县燕云乡中心小学校</w:t>
      </w:r>
    </w:p>
    <w:p w14:paraId="6C8EF228">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w:t>
      </w:r>
      <w:r>
        <w:rPr>
          <w:rStyle w:val="17"/>
          <w:rFonts w:hint="eastAsia"/>
          <w:color w:val="auto"/>
          <w:rtl w:val="0"/>
          <w:lang w:val="en-US" w:eastAsia="zh-CN"/>
        </w:rPr>
        <w:t>2</w:t>
      </w:r>
      <w:r>
        <w:rPr>
          <w:rStyle w:val="17"/>
          <w:rFonts w:hint="eastAsia"/>
          <w:color w:val="auto"/>
          <w:rtl w:val="0"/>
        </w:rPr>
        <w:t>.135026阿坝州松潘县毛尔盖九年一贯制学校</w:t>
      </w:r>
    </w:p>
    <w:p w14:paraId="75238868">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w:t>
      </w:r>
      <w:r>
        <w:rPr>
          <w:rStyle w:val="17"/>
          <w:rFonts w:hint="eastAsia"/>
          <w:color w:val="auto"/>
          <w:rtl w:val="0"/>
          <w:lang w:val="en-US" w:eastAsia="zh-CN"/>
        </w:rPr>
        <w:t>3</w:t>
      </w:r>
      <w:r>
        <w:rPr>
          <w:rStyle w:val="17"/>
          <w:rFonts w:hint="eastAsia"/>
          <w:color w:val="auto"/>
          <w:rtl w:val="0"/>
        </w:rPr>
        <w:t>.135027阿坝州松潘县下八寨乡中心小学校</w:t>
      </w:r>
    </w:p>
    <w:p w14:paraId="6729CEF5">
      <w:pPr>
        <w:shd w:val="clear" w:color="auto" w:fill="FFFFFF"/>
        <w:bidi w:val="0"/>
        <w:spacing w:before="240" w:after="240"/>
        <w:ind w:firstLine="420" w:firstLineChars="200"/>
        <w:jc w:val="left"/>
        <w:rPr>
          <w:rStyle w:val="17"/>
          <w:rFonts w:hint="eastAsia"/>
          <w:color w:val="auto"/>
          <w:rtl w:val="0"/>
        </w:rPr>
      </w:pPr>
      <w:r>
        <w:rPr>
          <w:rStyle w:val="17"/>
          <w:rFonts w:hint="eastAsia"/>
          <w:color w:val="auto"/>
          <w:rtl w:val="0"/>
        </w:rPr>
        <w:t>2</w:t>
      </w:r>
      <w:r>
        <w:rPr>
          <w:rStyle w:val="17"/>
          <w:rFonts w:hint="eastAsia"/>
          <w:color w:val="auto"/>
          <w:rtl w:val="0"/>
          <w:lang w:val="en-US" w:eastAsia="zh-CN"/>
        </w:rPr>
        <w:t>4</w:t>
      </w:r>
      <w:r>
        <w:rPr>
          <w:rStyle w:val="17"/>
          <w:rFonts w:hint="eastAsia"/>
          <w:color w:val="auto"/>
          <w:rtl w:val="0"/>
        </w:rPr>
        <w:t>.135028阿坝州松潘县草原乡中心小学校</w:t>
      </w:r>
    </w:p>
    <w:p w14:paraId="51DC7C2B">
      <w:pPr>
        <w:shd w:val="clear" w:color="auto" w:fill="FFFFFF"/>
        <w:bidi w:val="0"/>
        <w:spacing w:before="240" w:after="240"/>
        <w:ind w:firstLine="420" w:firstLineChars="200"/>
        <w:jc w:val="left"/>
        <w:rPr>
          <w:rFonts w:hint="eastAsia"/>
        </w:rPr>
      </w:pPr>
      <w:r>
        <w:rPr>
          <w:rStyle w:val="17"/>
          <w:rFonts w:hint="eastAsia"/>
          <w:color w:val="auto"/>
          <w:rtl w:val="0"/>
        </w:rPr>
        <w:t>2</w:t>
      </w:r>
      <w:r>
        <w:rPr>
          <w:rStyle w:val="17"/>
          <w:rFonts w:hint="eastAsia"/>
          <w:color w:val="auto"/>
          <w:rtl w:val="0"/>
          <w:lang w:val="en-US" w:eastAsia="zh-CN"/>
        </w:rPr>
        <w:t>5</w:t>
      </w:r>
      <w:r>
        <w:rPr>
          <w:rStyle w:val="17"/>
          <w:rFonts w:hint="eastAsia"/>
          <w:color w:val="auto"/>
          <w:rtl w:val="0"/>
        </w:rPr>
        <w:t>.135029阿坝州松潘县小姓乡中心小学校 </w:t>
      </w:r>
    </w:p>
    <w:p w14:paraId="6BA1B38C">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14:paraId="40C25DD7">
      <w:pPr>
        <w:pStyle w:val="3"/>
        <w:jc w:val="center"/>
        <w:rPr>
          <w:rFonts w:hint="eastAsia" w:ascii="Times New Roman" w:hAnsi="Times New Roman" w:eastAsia="方正小标宋简体" w:cs="方正小标宋简体"/>
          <w:b w:val="0"/>
          <w:color w:val="auto"/>
          <w:highlight w:val="none"/>
        </w:rPr>
      </w:pPr>
      <w:bookmarkStart w:id="16" w:name="_Toc15377204"/>
      <w:bookmarkStart w:id="17" w:name="_Toc15396602"/>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w:t>
      </w:r>
      <w:r>
        <w:rPr>
          <w:rFonts w:hint="eastAsia" w:ascii="Times New Roman" w:hAnsi="Times New Roman" w:eastAsia="方正小标宋简体" w:cs="方正小标宋简体"/>
          <w:b w:val="0"/>
          <w:color w:val="auto"/>
          <w:highlight w:val="none"/>
        </w:rPr>
        <w:t>部门决算情况说明</w:t>
      </w:r>
      <w:bookmarkEnd w:id="16"/>
      <w:bookmarkEnd w:id="17"/>
    </w:p>
    <w:p w14:paraId="1354E8D4">
      <w:pPr>
        <w:rPr>
          <w:rFonts w:ascii="Times New Roman" w:hAnsi="Times New Roman"/>
          <w:color w:val="auto"/>
          <w:highlight w:val="none"/>
        </w:rPr>
      </w:pPr>
    </w:p>
    <w:p w14:paraId="2CF0E9DF">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8" w:name="_Toc15377205"/>
      <w:bookmarkStart w:id="19" w:name="_Toc15396603"/>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8"/>
      <w:bookmarkEnd w:id="19"/>
    </w:p>
    <w:p w14:paraId="5C79176B">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rPr>
        <w:t>38096.02</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eastAsia="仿宋_GB2312" w:cs="仿宋_GB2312"/>
          <w:color w:val="auto"/>
          <w:sz w:val="32"/>
          <w:szCs w:val="32"/>
          <w:highlight w:val="none"/>
          <w:lang w:val="en-US" w:eastAsia="zh-CN"/>
        </w:rPr>
        <w:t>35216.25万元</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2879.77</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8.18</w:t>
      </w:r>
      <w:r>
        <w:rPr>
          <w:rFonts w:hint="eastAsia" w:ascii="Times New Roman" w:hAnsi="Times New Roman" w:eastAsia="仿宋_GB2312" w:cs="仿宋_GB2312"/>
          <w:color w:val="auto"/>
          <w:sz w:val="32"/>
          <w:szCs w:val="32"/>
          <w:highlight w:val="none"/>
        </w:rPr>
        <w:t>%。</w:t>
      </w:r>
      <w:bookmarkStart w:id="20" w:name="_Toc15396604"/>
      <w:bookmarkStart w:id="21" w:name="_Toc15377206"/>
    </w:p>
    <w:p w14:paraId="2E5393A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r>
        <w:rPr>
          <w:rFonts w:hint="eastAsia" w:ascii="Times New Roman" w:hAnsi="Times New Roman" w:eastAsia="黑体"/>
          <w:color w:val="auto"/>
          <w:sz w:val="32"/>
          <w:szCs w:val="32"/>
          <w:highlight w:val="none"/>
          <w:lang w:eastAsia="zh-CN"/>
        </w:rPr>
        <w:t>二、收入决算情况说明</w:t>
      </w:r>
      <w:bookmarkEnd w:id="20"/>
      <w:bookmarkEnd w:id="21"/>
    </w:p>
    <w:p w14:paraId="0CF408FA">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rPr>
        <w:t>38096.02</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rPr>
        <w:t>37606.52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98.71</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rPr>
        <w:t>17.98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0.04</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rPr>
        <w:t>471.52</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1.23</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（注：仅罗列本部门涉及的收入）</w:t>
      </w:r>
    </w:p>
    <w:p w14:paraId="42FF1097">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22" w:name="_Toc15396605"/>
      <w:bookmarkStart w:id="23" w:name="_Toc15377207"/>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22"/>
      <w:bookmarkEnd w:id="23"/>
    </w:p>
    <w:p w14:paraId="18D272DD">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rPr>
        <w:t>38096.02</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rPr>
        <w:t>28091.71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73.73</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rPr>
        <w:t>10004.31</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26.26</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b/>
          <w:bCs/>
          <w:color w:val="auto"/>
          <w:sz w:val="32"/>
          <w:szCs w:val="32"/>
          <w:highlight w:val="none"/>
          <w:lang w:eastAsia="zh-CN"/>
        </w:rPr>
        <w:t>（注：仅罗列本部门涉及的支出）</w:t>
      </w:r>
    </w:p>
    <w:p w14:paraId="5F3A6605">
      <w:pPr>
        <w:spacing w:line="600" w:lineRule="exact"/>
        <w:ind w:firstLine="640" w:firstLineChars="200"/>
        <w:outlineLvl w:val="1"/>
        <w:rPr>
          <w:rStyle w:val="29"/>
          <w:rFonts w:ascii="Times New Roman" w:hAnsi="Times New Roman" w:eastAsia="黑体"/>
          <w:b w:val="0"/>
          <w:color w:val="auto"/>
          <w:highlight w:val="none"/>
        </w:rPr>
      </w:pPr>
      <w:bookmarkStart w:id="24" w:name="_Toc15377208"/>
      <w:bookmarkStart w:id="25" w:name="_Toc15396606"/>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24"/>
      <w:bookmarkEnd w:id="25"/>
    </w:p>
    <w:p w14:paraId="0A4F07F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rPr>
        <w:t>37624.5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w:t>
      </w:r>
      <w:r>
        <w:rPr>
          <w:rFonts w:hint="eastAsia" w:eastAsia="仿宋_GB2312" w:cs="仿宋_GB2312"/>
          <w:color w:val="auto"/>
          <w:kern w:val="2"/>
          <w:sz w:val="32"/>
          <w:szCs w:val="32"/>
          <w:highlight w:val="none"/>
          <w:lang w:val="en-US" w:eastAsia="zh-CN" w:bidi="ar-SA"/>
        </w:rPr>
        <w:t>35216.25万元</w:t>
      </w:r>
      <w:r>
        <w:rPr>
          <w:rFonts w:hint="eastAsia" w:ascii="Times New Roman" w:hAnsi="Times New Roman" w:eastAsia="仿宋_GB2312" w:cs="仿宋_GB2312"/>
          <w:color w:val="auto"/>
          <w:kern w:val="2"/>
          <w:sz w:val="32"/>
          <w:szCs w:val="32"/>
          <w:highlight w:val="none"/>
          <w:lang w:val="en-US" w:eastAsia="zh-CN" w:bidi="ar-SA"/>
        </w:rPr>
        <w:t>相比，财政拨款收入、支出总计各增加</w:t>
      </w:r>
      <w:r>
        <w:rPr>
          <w:rFonts w:hint="eastAsia" w:eastAsia="仿宋_GB2312" w:cs="仿宋_GB2312"/>
          <w:color w:val="auto"/>
          <w:kern w:val="2"/>
          <w:sz w:val="32"/>
          <w:szCs w:val="32"/>
          <w:highlight w:val="none"/>
          <w:lang w:val="en-US" w:eastAsia="zh-CN" w:bidi="ar-SA"/>
        </w:rPr>
        <w:t>2408.25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6.84</w:t>
      </w:r>
      <w:r>
        <w:rPr>
          <w:rFonts w:hint="eastAsia" w:ascii="Times New Roman" w:hAnsi="Times New Roman" w:eastAsia="仿宋_GB2312" w:cs="仿宋_GB2312"/>
          <w:color w:val="auto"/>
          <w:kern w:val="2"/>
          <w:sz w:val="32"/>
          <w:szCs w:val="32"/>
          <w:highlight w:val="none"/>
          <w:lang w:val="en-US" w:eastAsia="zh-CN" w:bidi="ar-SA"/>
        </w:rPr>
        <w:t>%。</w:t>
      </w:r>
    </w:p>
    <w:p w14:paraId="409B4DFA">
      <w:pPr>
        <w:spacing w:line="600" w:lineRule="exact"/>
        <w:ind w:firstLine="640" w:firstLineChars="200"/>
        <w:outlineLvl w:val="1"/>
        <w:rPr>
          <w:rStyle w:val="29"/>
          <w:rFonts w:ascii="Times New Roman" w:hAnsi="Times New Roman" w:eastAsia="黑体"/>
          <w:b w:val="0"/>
          <w:color w:val="auto"/>
          <w:highlight w:val="none"/>
        </w:rPr>
      </w:pPr>
      <w:bookmarkStart w:id="26" w:name="_Toc15396607"/>
      <w:bookmarkStart w:id="27"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6"/>
      <w:bookmarkEnd w:id="27"/>
    </w:p>
    <w:p w14:paraId="4BB04BE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8"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8"/>
    </w:p>
    <w:p w14:paraId="21AE738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37606.52</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98.71</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年度35189.7</w:t>
      </w:r>
      <w:r>
        <w:rPr>
          <w:rFonts w:hint="eastAsia" w:eastAsia="仿宋_GB2312" w:cs="仿宋_GB2312"/>
          <w:color w:val="auto"/>
          <w:kern w:val="2"/>
          <w:sz w:val="32"/>
          <w:szCs w:val="32"/>
          <w:highlight w:val="none"/>
          <w:lang w:val="en-US" w:eastAsia="zh-CN" w:bidi="ar-SA"/>
        </w:rPr>
        <w:t>万元</w:t>
      </w:r>
      <w:r>
        <w:rPr>
          <w:rFonts w:hint="eastAsia" w:ascii="Times New Roman" w:hAnsi="Times New Roman" w:eastAsia="仿宋_GB2312" w:cs="仿宋_GB2312"/>
          <w:color w:val="auto"/>
          <w:kern w:val="2"/>
          <w:sz w:val="32"/>
          <w:szCs w:val="32"/>
          <w:highlight w:val="none"/>
          <w:lang w:val="en-US" w:eastAsia="zh-CN" w:bidi="ar-SA"/>
        </w:rPr>
        <w:t>相比，一般公共预算财政拨款支出增加</w:t>
      </w:r>
      <w:r>
        <w:rPr>
          <w:rFonts w:hint="eastAsia" w:eastAsia="仿宋_GB2312" w:cs="仿宋_GB2312"/>
          <w:color w:val="auto"/>
          <w:kern w:val="2"/>
          <w:sz w:val="32"/>
          <w:szCs w:val="32"/>
          <w:highlight w:val="none"/>
          <w:lang w:val="en-US" w:eastAsia="zh-CN" w:bidi="ar-SA"/>
        </w:rPr>
        <w:t>2416.82</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6.87</w:t>
      </w:r>
      <w:r>
        <w:rPr>
          <w:rFonts w:hint="eastAsia" w:ascii="Times New Roman" w:hAnsi="Times New Roman" w:eastAsia="仿宋_GB2312" w:cs="仿宋_GB2312"/>
          <w:color w:val="auto"/>
          <w:kern w:val="2"/>
          <w:sz w:val="32"/>
          <w:szCs w:val="32"/>
          <w:highlight w:val="none"/>
          <w:lang w:val="en-US" w:eastAsia="zh-CN" w:bidi="ar-SA"/>
        </w:rPr>
        <w:t>%。</w:t>
      </w:r>
    </w:p>
    <w:p w14:paraId="47D388C6">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9"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9"/>
    </w:p>
    <w:p w14:paraId="0DC9FE46">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rPr>
        <w:t>37606.52</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一般公共服务支出</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0.03</w:t>
      </w:r>
      <w:r>
        <w:rPr>
          <w:rFonts w:hint="eastAsia" w:ascii="Times New Roman" w:hAnsi="Times New Roman" w:eastAsia="仿宋_GB2312" w:cs="仿宋_GB2312"/>
          <w:color w:val="auto"/>
          <w:kern w:val="2"/>
          <w:sz w:val="32"/>
          <w:szCs w:val="32"/>
          <w:highlight w:val="none"/>
          <w:lang w:val="en-US" w:eastAsia="zh-CN" w:bidi="ar-SA"/>
        </w:rPr>
        <w:t>%；教育支出34930.97万元，占</w:t>
      </w:r>
      <w:r>
        <w:rPr>
          <w:rFonts w:hint="eastAsia" w:eastAsia="仿宋_GB2312" w:cs="仿宋_GB2312"/>
          <w:color w:val="auto"/>
          <w:kern w:val="2"/>
          <w:sz w:val="32"/>
          <w:szCs w:val="32"/>
          <w:highlight w:val="none"/>
          <w:lang w:val="en-US" w:eastAsia="zh-CN" w:bidi="ar-SA"/>
        </w:rPr>
        <w:t>92.89</w:t>
      </w:r>
      <w:r>
        <w:rPr>
          <w:rFonts w:hint="eastAsia" w:ascii="Times New Roman" w:hAnsi="Times New Roman" w:eastAsia="仿宋_GB2312" w:cs="仿宋_GB2312"/>
          <w:color w:val="auto"/>
          <w:kern w:val="2"/>
          <w:sz w:val="32"/>
          <w:szCs w:val="32"/>
          <w:highlight w:val="none"/>
          <w:lang w:val="en-US" w:eastAsia="zh-CN" w:bidi="ar-SA"/>
        </w:rPr>
        <w:t>%；科学技术支出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%；文化旅游体育与传媒支出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%；社会保障和就业支出1361.47万元，占</w:t>
      </w:r>
      <w:r>
        <w:rPr>
          <w:rFonts w:hint="eastAsia" w:eastAsia="仿宋_GB2312" w:cs="仿宋_GB2312"/>
          <w:color w:val="auto"/>
          <w:kern w:val="2"/>
          <w:sz w:val="32"/>
          <w:szCs w:val="32"/>
          <w:highlight w:val="none"/>
          <w:lang w:val="en-US" w:eastAsia="zh-CN" w:bidi="ar-SA"/>
        </w:rPr>
        <w:t>3.62</w:t>
      </w:r>
      <w:r>
        <w:rPr>
          <w:rFonts w:hint="eastAsia" w:ascii="Times New Roman" w:hAnsi="Times New Roman" w:eastAsia="仿宋_GB2312" w:cs="仿宋_GB2312"/>
          <w:color w:val="auto"/>
          <w:kern w:val="2"/>
          <w:sz w:val="32"/>
          <w:szCs w:val="32"/>
          <w:highlight w:val="none"/>
          <w:lang w:val="en-US" w:eastAsia="zh-CN" w:bidi="ar-SA"/>
        </w:rPr>
        <w:t>%；卫生健康支出539.98万元，占</w:t>
      </w:r>
      <w:r>
        <w:rPr>
          <w:rFonts w:hint="eastAsia" w:eastAsia="仿宋_GB2312" w:cs="仿宋_GB2312"/>
          <w:color w:val="auto"/>
          <w:kern w:val="2"/>
          <w:sz w:val="32"/>
          <w:szCs w:val="32"/>
          <w:highlight w:val="none"/>
          <w:lang w:val="en-US" w:eastAsia="zh-CN" w:bidi="ar-SA"/>
        </w:rPr>
        <w:t>1.44</w:t>
      </w:r>
      <w:r>
        <w:rPr>
          <w:rFonts w:hint="eastAsia" w:ascii="Times New Roman" w:hAnsi="Times New Roman" w:eastAsia="仿宋_GB2312" w:cs="仿宋_GB2312"/>
          <w:color w:val="auto"/>
          <w:kern w:val="2"/>
          <w:sz w:val="32"/>
          <w:szCs w:val="32"/>
          <w:highlight w:val="none"/>
          <w:lang w:val="en-US" w:eastAsia="zh-CN" w:bidi="ar-SA"/>
        </w:rPr>
        <w:t>%；住房保障支出761.09万元，占</w:t>
      </w:r>
      <w:r>
        <w:rPr>
          <w:rFonts w:hint="eastAsia" w:eastAsia="仿宋_GB2312" w:cs="仿宋_GB2312"/>
          <w:color w:val="auto"/>
          <w:kern w:val="2"/>
          <w:sz w:val="32"/>
          <w:szCs w:val="32"/>
          <w:highlight w:val="none"/>
          <w:lang w:val="en-US" w:eastAsia="zh-CN" w:bidi="ar-SA"/>
        </w:rPr>
        <w:t>2.02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C6F05D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（注：仅罗列本部门涉及的全部功能分类科目，至类级）</w:t>
      </w:r>
    </w:p>
    <w:p w14:paraId="7388A9FC">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0"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30"/>
    </w:p>
    <w:p w14:paraId="69AC32B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31" w:name="_Toc15377213"/>
      <w:bookmarkStart w:id="32" w:name="_Toc15377444"/>
      <w:bookmarkStart w:id="33"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rPr>
        <w:t>37606.52</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124.27</w:t>
      </w:r>
      <w:r>
        <w:rPr>
          <w:rFonts w:hint="eastAsia" w:ascii="Times New Roman" w:hAnsi="Times New Roman" w:eastAsia="仿宋_GB2312" w:cs="仿宋_GB2312"/>
          <w:color w:val="auto"/>
          <w:kern w:val="2"/>
          <w:sz w:val="32"/>
          <w:szCs w:val="32"/>
          <w:highlight w:val="none"/>
          <w:lang w:val="en-US" w:eastAsia="zh-CN" w:bidi="ar-SA"/>
        </w:rPr>
        <w:t>%。其中：</w:t>
      </w:r>
      <w:bookmarkEnd w:id="31"/>
      <w:bookmarkEnd w:id="32"/>
      <w:bookmarkEnd w:id="33"/>
    </w:p>
    <w:p w14:paraId="48B46DC6">
      <w:pPr>
        <w:numPr>
          <w:ilvl w:val="0"/>
          <w:numId w:val="3"/>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一般公共服务（类）</w:t>
      </w:r>
      <w:r>
        <w:rPr>
          <w:rFonts w:hint="eastAsia" w:eastAsia="仿宋_GB2312" w:cs="仿宋_GB2312"/>
          <w:color w:val="auto"/>
          <w:kern w:val="2"/>
          <w:sz w:val="32"/>
          <w:szCs w:val="32"/>
          <w:highlight w:val="none"/>
          <w:lang w:val="en-US" w:eastAsia="zh-CN" w:bidi="ar-SA"/>
        </w:rPr>
        <w:t>201：</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13</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528EBEAC">
      <w:pPr>
        <w:numPr>
          <w:ilvl w:val="0"/>
          <w:numId w:val="0"/>
        </w:numPr>
        <w:spacing w:line="600" w:lineRule="exact"/>
        <w:ind w:firstLine="640" w:firstLineChars="20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2.教育（类）</w:t>
      </w:r>
      <w:r>
        <w:rPr>
          <w:rFonts w:hint="eastAsia" w:eastAsia="仿宋_GB2312" w:cs="仿宋_GB2312"/>
          <w:color w:val="auto"/>
          <w:kern w:val="2"/>
          <w:sz w:val="32"/>
          <w:szCs w:val="32"/>
          <w:highlight w:val="none"/>
          <w:lang w:val="en-US" w:eastAsia="zh-CN" w:bidi="ar-SA"/>
        </w:rPr>
        <w:t>205</w:t>
      </w:r>
      <w:r>
        <w:rPr>
          <w:rFonts w:hint="eastAsia" w:ascii="Times New Roman" w:hAnsi="Times New Roman" w:eastAsia="仿宋_GB2312" w:cs="仿宋_GB2312"/>
          <w:color w:val="auto"/>
          <w:kern w:val="2"/>
          <w:sz w:val="32"/>
          <w:szCs w:val="32"/>
          <w:highlight w:val="none"/>
          <w:lang w:val="en-US" w:eastAsia="zh-CN" w:bidi="ar-SA"/>
        </w:rPr>
        <w:t>: 支出决算为35402.49万元，完成预算</w:t>
      </w:r>
      <w:r>
        <w:rPr>
          <w:rFonts w:hint="eastAsia" w:eastAsia="仿宋_GB2312" w:cs="仿宋_GB2312"/>
          <w:color w:val="auto"/>
          <w:kern w:val="2"/>
          <w:sz w:val="32"/>
          <w:szCs w:val="32"/>
          <w:highlight w:val="none"/>
          <w:lang w:val="en-US" w:eastAsia="zh-CN" w:bidi="ar-SA"/>
        </w:rPr>
        <w:t>155.92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6C7CE87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3.科学技术（类）***（款）***（项）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3AFDFDDF">
      <w:p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4.文化旅游体育与传媒（类）***（款）***（项）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支出决算为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1BE8956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5.社会保障和就业（类）</w:t>
      </w:r>
      <w:r>
        <w:rPr>
          <w:rFonts w:hint="eastAsia" w:eastAsia="仿宋_GB2312" w:cs="仿宋_GB2312"/>
          <w:color w:val="auto"/>
          <w:kern w:val="2"/>
          <w:sz w:val="32"/>
          <w:szCs w:val="32"/>
          <w:highlight w:val="none"/>
          <w:lang w:val="en-US" w:eastAsia="zh-CN" w:bidi="ar-SA"/>
        </w:rPr>
        <w:t>208：</w:t>
      </w:r>
      <w:r>
        <w:rPr>
          <w:rFonts w:hint="eastAsia" w:ascii="Times New Roman" w:hAnsi="Times New Roman" w:eastAsia="仿宋_GB2312" w:cs="仿宋_GB2312"/>
          <w:color w:val="auto"/>
          <w:kern w:val="2"/>
          <w:sz w:val="32"/>
          <w:szCs w:val="32"/>
          <w:highlight w:val="none"/>
          <w:lang w:val="en-US" w:eastAsia="zh-CN" w:bidi="ar-SA"/>
        </w:rPr>
        <w:t>支出决算为1361.47万元，完成预算</w:t>
      </w:r>
      <w:r>
        <w:rPr>
          <w:rFonts w:hint="eastAsia" w:eastAsia="仿宋_GB2312" w:cs="仿宋_GB2312"/>
          <w:color w:val="auto"/>
          <w:kern w:val="2"/>
          <w:sz w:val="32"/>
          <w:szCs w:val="32"/>
          <w:highlight w:val="none"/>
          <w:lang w:val="en-US" w:eastAsia="zh-CN" w:bidi="ar-SA"/>
        </w:rPr>
        <w:t>34.03</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CB0DBBD">
      <w:pPr>
        <w:spacing w:line="600" w:lineRule="exact"/>
        <w:ind w:firstLine="640"/>
        <w:rPr>
          <w:rFonts w:hint="default"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6.卫生健康（类）</w:t>
      </w:r>
      <w:r>
        <w:rPr>
          <w:rFonts w:hint="eastAsia" w:eastAsia="仿宋_GB2312" w:cs="仿宋_GB2312"/>
          <w:color w:val="auto"/>
          <w:kern w:val="2"/>
          <w:sz w:val="32"/>
          <w:szCs w:val="32"/>
          <w:highlight w:val="none"/>
          <w:lang w:val="en-US" w:eastAsia="zh-CN" w:bidi="ar-SA"/>
        </w:rPr>
        <w:t>210：</w:t>
      </w:r>
      <w:r>
        <w:rPr>
          <w:rFonts w:hint="eastAsia" w:ascii="Times New Roman" w:hAnsi="Times New Roman" w:eastAsia="仿宋_GB2312" w:cs="仿宋_GB2312"/>
          <w:color w:val="auto"/>
          <w:kern w:val="2"/>
          <w:sz w:val="32"/>
          <w:szCs w:val="32"/>
          <w:highlight w:val="none"/>
          <w:lang w:val="en-US" w:eastAsia="zh-CN" w:bidi="ar-SA"/>
        </w:rPr>
        <w:t>支出决算为539.98万元，完成预算</w:t>
      </w:r>
      <w:r>
        <w:rPr>
          <w:rFonts w:hint="eastAsia" w:eastAsia="仿宋_GB2312" w:cs="仿宋_GB2312"/>
          <w:color w:val="auto"/>
          <w:kern w:val="2"/>
          <w:sz w:val="32"/>
          <w:szCs w:val="32"/>
          <w:highlight w:val="none"/>
          <w:lang w:val="en-US" w:eastAsia="zh-CN" w:bidi="ar-SA"/>
        </w:rPr>
        <w:t>38.38</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4377A75D">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（注：仅罗列本部门涉及的全部功能分类科目，至项级。上述“预算”口径为全年预算数。增减变动原因为决算数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和全年预算数</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项级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比较，与预算数持平可以不写原因）</w:t>
      </w:r>
    </w:p>
    <w:p w14:paraId="5B6EAA8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5A7B163">
      <w:pPr>
        <w:tabs>
          <w:tab w:val="right" w:pos="8306"/>
        </w:tabs>
        <w:spacing w:line="600" w:lineRule="exact"/>
        <w:ind w:firstLine="640"/>
        <w:outlineLvl w:val="1"/>
        <w:rPr>
          <w:rStyle w:val="29"/>
          <w:rFonts w:ascii="Times New Roman" w:hAnsi="Times New Roman"/>
          <w:color w:val="auto"/>
          <w:highlight w:val="none"/>
        </w:rPr>
      </w:pPr>
      <w:bookmarkStart w:id="34" w:name="_Toc15396608"/>
      <w:bookmarkStart w:id="35" w:name="_Toc15377214"/>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34"/>
      <w:bookmarkEnd w:id="35"/>
      <w:r>
        <w:rPr>
          <w:rStyle w:val="29"/>
          <w:rFonts w:ascii="Times New Roman" w:hAnsi="Times New Roman" w:eastAsia="黑体"/>
          <w:b w:val="0"/>
          <w:color w:val="auto"/>
          <w:highlight w:val="none"/>
        </w:rPr>
        <w:tab/>
      </w:r>
    </w:p>
    <w:p w14:paraId="2E54F9D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rPr>
        <w:t>27620.19</w:t>
      </w:r>
      <w:r>
        <w:rPr>
          <w:rFonts w:hint="eastAsia" w:ascii="Times New Roman" w:hAnsi="Times New Roman" w:eastAsia="仿宋_GB2312" w:cs="仿宋_GB2312"/>
          <w:color w:val="auto"/>
          <w:kern w:val="2"/>
          <w:sz w:val="32"/>
          <w:szCs w:val="32"/>
          <w:highlight w:val="none"/>
          <w:lang w:val="en-US" w:eastAsia="zh-CN" w:bidi="ar-SA"/>
        </w:rPr>
        <w:t>万元，其中：</w:t>
      </w:r>
    </w:p>
    <w:p w14:paraId="0E2AC03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rPr>
        <w:t>27165.31</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rPr>
        <w:t>454.88</w:t>
      </w:r>
      <w:r>
        <w:rPr>
          <w:rFonts w:hint="eastAsia" w:ascii="Times New Roman" w:hAnsi="Times New Roman" w:eastAsia="仿宋_GB2312" w:cs="仿宋_GB2312"/>
          <w:color w:val="auto"/>
          <w:kern w:val="2"/>
          <w:sz w:val="32"/>
          <w:szCs w:val="32"/>
          <w:highlight w:val="none"/>
          <w:lang w:val="en-US" w:eastAsia="zh-CN" w:bidi="ar-SA"/>
        </w:rPr>
        <w:t>万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14:paraId="769872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（注：仅罗列本部门实际支出涉及的经济分类科目）</w:t>
      </w:r>
    </w:p>
    <w:p w14:paraId="26B83D75">
      <w:pPr>
        <w:spacing w:line="600" w:lineRule="exact"/>
        <w:ind w:firstLine="640"/>
        <w:outlineLvl w:val="1"/>
        <w:rPr>
          <w:rStyle w:val="29"/>
          <w:rFonts w:ascii="Times New Roman" w:hAnsi="Times New Roman" w:eastAsia="黑体"/>
          <w:b w:val="0"/>
          <w:color w:val="auto"/>
          <w:highlight w:val="none"/>
        </w:rPr>
      </w:pPr>
      <w:bookmarkStart w:id="36" w:name="_Toc15396609"/>
      <w:bookmarkStart w:id="37"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6"/>
      <w:bookmarkEnd w:id="37"/>
    </w:p>
    <w:p w14:paraId="24091B00">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8"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8"/>
    </w:p>
    <w:p w14:paraId="51BB1D1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rPr>
        <w:t>6.97</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0.17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p>
    <w:p w14:paraId="4EBD088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（注：上述“预算”口径为全年预算数，包括一般公共预算和政府性基金预算财政拨款支出决算情况，与预算数持平可以不写原因）</w:t>
      </w:r>
    </w:p>
    <w:p w14:paraId="040AE209">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9"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9"/>
    </w:p>
    <w:p w14:paraId="72E13D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ascii="仿宋_GB2312" w:hAnsi="仿宋_GB2312" w:eastAsia="仿宋_GB2312" w:cs="仿宋_GB2312"/>
          <w:sz w:val="32"/>
          <w:szCs w:val="32"/>
        </w:rPr>
        <w:t>6.97</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%；公务接待费支出决算</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%。具体情况如下：</w:t>
      </w:r>
    </w:p>
    <w:p w14:paraId="11C61A57">
      <w:pPr>
        <w:numPr>
          <w:ilvl w:val="0"/>
          <w:numId w:val="4"/>
        </w:numPr>
        <w:spacing w:line="600" w:lineRule="exact"/>
        <w:ind w:firstLine="640"/>
        <w:rPr>
          <w:rFonts w:hint="eastAsia"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因公出国（境）经费支出</w:t>
      </w:r>
      <w:r>
        <w:rPr>
          <w:rFonts w:hint="eastAsia" w:ascii="仿宋_GB2312" w:hAnsi="仿宋_GB2312" w:eastAsia="仿宋_GB2312" w:cs="仿宋_GB2312"/>
          <w:sz w:val="32"/>
          <w:szCs w:val="32"/>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全年安排因公出国（境）团组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次，出国（境）</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人。因公出国（境）支出决算比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 xml:space="preserve"> </w:t>
      </w:r>
    </w:p>
    <w:p w14:paraId="5D4F3E96">
      <w:pPr>
        <w:numPr>
          <w:ilvl w:val="0"/>
          <w:numId w:val="0"/>
        </w:numPr>
        <w:spacing w:line="600" w:lineRule="exact"/>
        <w:ind w:firstLine="640"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开支内容包括：……（团组名称、出访地点、取得成效等）</w:t>
      </w:r>
    </w:p>
    <w:p w14:paraId="18E62D4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6.97</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公务用车购置及运行维护费支出决算比</w:t>
      </w:r>
      <w:r>
        <w:rPr>
          <w:rFonts w:hint="eastAsia" w:eastAsia="仿宋_GB2312" w:cs="仿宋_GB2312"/>
          <w:color w:val="auto"/>
          <w:kern w:val="2"/>
          <w:sz w:val="32"/>
          <w:szCs w:val="32"/>
          <w:highlight w:val="none"/>
          <w:lang w:val="en-US" w:eastAsia="zh-CN" w:bidi="ar-SA"/>
        </w:rPr>
        <w:t>上年度</w:t>
      </w:r>
      <w:r>
        <w:rPr>
          <w:rFonts w:hint="eastAsia" w:ascii="Times New Roman" w:hAnsi="Times New Roman" w:eastAsia="仿宋_GB2312" w:cs="仿宋_GB2312"/>
          <w:color w:val="auto"/>
          <w:kern w:val="2"/>
          <w:sz w:val="32"/>
          <w:szCs w:val="32"/>
          <w:highlight w:val="none"/>
          <w:lang w:val="en-US" w:eastAsia="zh-CN" w:bidi="ar-SA"/>
        </w:rPr>
        <w:t>增加</w:t>
      </w:r>
      <w:r>
        <w:rPr>
          <w:rFonts w:hint="eastAsia" w:eastAsia="仿宋_GB2312" w:cs="仿宋_GB2312"/>
          <w:color w:val="auto"/>
          <w:kern w:val="2"/>
          <w:sz w:val="32"/>
          <w:szCs w:val="32"/>
          <w:highlight w:val="none"/>
          <w:lang w:val="en-US" w:eastAsia="zh-CN" w:bidi="ar-SA"/>
        </w:rPr>
        <w:t>0.17</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2.5</w:t>
      </w:r>
      <w:r>
        <w:rPr>
          <w:rFonts w:hint="eastAsia" w:ascii="Times New Roman" w:hAnsi="Times New Roman" w:eastAsia="仿宋_GB2312" w:cs="仿宋_GB2312"/>
          <w:color w:val="auto"/>
          <w:kern w:val="2"/>
          <w:sz w:val="32"/>
          <w:szCs w:val="32"/>
          <w:highlight w:val="none"/>
          <w:lang w:val="en-US" w:eastAsia="zh-CN" w:bidi="ar-SA"/>
        </w:rPr>
        <w:t>%。</w:t>
      </w:r>
    </w:p>
    <w:p w14:paraId="09B1D4D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万元，越野车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1847EA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辆，其中：轿车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辆、越野车</w:t>
      </w:r>
      <w:r>
        <w:rPr>
          <w:rFonts w:hint="eastAsia" w:eastAsia="仿宋_GB2312" w:cs="仿宋_GB2312"/>
          <w:color w:val="auto"/>
          <w:kern w:val="2"/>
          <w:sz w:val="32"/>
          <w:szCs w:val="32"/>
          <w:highlight w:val="none"/>
          <w:lang w:val="en-US" w:eastAsia="zh-CN" w:bidi="ar-SA"/>
        </w:rPr>
        <w:t>3</w:t>
      </w:r>
      <w:r>
        <w:rPr>
          <w:rFonts w:hint="eastAsia" w:ascii="Times New Roman" w:hAnsi="Times New Roman" w:eastAsia="仿宋_GB2312" w:cs="仿宋_GB2312"/>
          <w:color w:val="auto"/>
          <w:kern w:val="2"/>
          <w:sz w:val="32"/>
          <w:szCs w:val="32"/>
          <w:highlight w:val="none"/>
          <w:lang w:val="en-US" w:eastAsia="zh-CN" w:bidi="ar-SA"/>
        </w:rPr>
        <w:t>辆、载客汽车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14:paraId="25D85E2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rPr>
        <w:t>6.97</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保障全县教育教学正常运转</w:t>
      </w:r>
      <w:r>
        <w:rPr>
          <w:rFonts w:hint="eastAsia" w:ascii="Times New Roman" w:hAnsi="Times New Roman" w:eastAsia="仿宋_GB2312" w:cs="仿宋_GB2312"/>
          <w:color w:val="auto"/>
          <w:kern w:val="2"/>
          <w:sz w:val="32"/>
          <w:szCs w:val="32"/>
          <w:highlight w:val="none"/>
          <w:lang w:val="en-US" w:eastAsia="zh-CN" w:bidi="ar-SA"/>
        </w:rPr>
        <w:t>所需的公务用车燃料费、维修费、过路过桥费、保险费等支出。</w:t>
      </w:r>
    </w:p>
    <w:p w14:paraId="666CBBA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%。主要原因是……。其中：</w:t>
      </w:r>
    </w:p>
    <w:p w14:paraId="7984366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执行公务、开展业务活动开支的交通费、住宿费、用餐费等</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万元，具体内容包括：……（接待具体项目、金额）。</w:t>
      </w:r>
    </w:p>
    <w:p w14:paraId="406C277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万元，主要用于……（具体项目）。外事接待</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w:t>
      </w:r>
    </w:p>
    <w:p w14:paraId="77503B7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40" w:name="_Toc15377218"/>
      <w:bookmarkStart w:id="41" w:name="_Toc15396610"/>
    </w:p>
    <w:p w14:paraId="6B723DD0">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40"/>
      <w:bookmarkEnd w:id="41"/>
    </w:p>
    <w:p w14:paraId="268E5E4B">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rPr>
        <w:t>17.98</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0.04</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年度相比，政府性基金预算财政拨款支出减少</w:t>
      </w:r>
      <w:r>
        <w:rPr>
          <w:rFonts w:hint="eastAsia" w:eastAsia="仿宋_GB2312" w:cs="仿宋_GB2312"/>
          <w:color w:val="auto"/>
          <w:kern w:val="2"/>
          <w:sz w:val="32"/>
          <w:szCs w:val="32"/>
          <w:highlight w:val="none"/>
          <w:lang w:val="en-US" w:eastAsia="zh-CN" w:bidi="ar-SA"/>
        </w:rPr>
        <w:t>8.57</w:t>
      </w:r>
      <w:r>
        <w:rPr>
          <w:rFonts w:hint="eastAsia" w:ascii="Times New Roman" w:hAnsi="Times New Roman" w:eastAsia="仿宋_GB2312" w:cs="仿宋_GB2312"/>
          <w:color w:val="auto"/>
          <w:kern w:val="2"/>
          <w:sz w:val="32"/>
          <w:szCs w:val="32"/>
          <w:highlight w:val="none"/>
          <w:lang w:val="en-US" w:eastAsia="zh-CN" w:bidi="ar-SA"/>
        </w:rPr>
        <w:t>万元，下降</w:t>
      </w:r>
      <w:r>
        <w:rPr>
          <w:rFonts w:hint="eastAsia" w:eastAsia="仿宋_GB2312" w:cs="仿宋_GB2312"/>
          <w:color w:val="auto"/>
          <w:kern w:val="2"/>
          <w:sz w:val="32"/>
          <w:szCs w:val="32"/>
          <w:highlight w:val="none"/>
          <w:lang w:val="en-US" w:eastAsia="zh-CN" w:bidi="ar-SA"/>
        </w:rPr>
        <w:t>32.28</w:t>
      </w:r>
      <w:r>
        <w:rPr>
          <w:rFonts w:hint="eastAsia" w:ascii="Times New Roman" w:hAnsi="Times New Roman" w:eastAsia="仿宋_GB2312" w:cs="仿宋_GB2312"/>
          <w:color w:val="auto"/>
          <w:kern w:val="2"/>
          <w:sz w:val="32"/>
          <w:szCs w:val="32"/>
          <w:highlight w:val="none"/>
          <w:lang w:val="en-US" w:eastAsia="zh-CN" w:bidi="ar-SA"/>
        </w:rPr>
        <w:t>%。</w:t>
      </w:r>
    </w:p>
    <w:p w14:paraId="3EF9FC4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C03DD6C">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42" w:name="_Toc15377219"/>
      <w:bookmarkStart w:id="43"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42"/>
      <w:bookmarkEnd w:id="43"/>
    </w:p>
    <w:p w14:paraId="0E2443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年度相比，国有资本经营预算财政拨款支出增加/减少</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万元，增长/下降</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w:t>
      </w:r>
    </w:p>
    <w:p w14:paraId="5D6453C0">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44" w:name="_Toc15377221"/>
      <w:bookmarkStart w:id="45" w:name="_Toc15396612"/>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44"/>
      <w:bookmarkEnd w:id="45"/>
    </w:p>
    <w:p w14:paraId="6762101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6" w:name="_Toc15377222"/>
      <w:r>
        <w:rPr>
          <w:rFonts w:hint="eastAsia" w:ascii="Times New Roman" w:hAnsi="Times New Roman" w:eastAsia="楷体_GB2312" w:cs="楷体_GB2312"/>
          <w:b/>
          <w:color w:val="auto"/>
          <w:sz w:val="32"/>
          <w:szCs w:val="32"/>
          <w:highlight w:val="none"/>
        </w:rPr>
        <w:t>（一）机关运行经费支出情况</w:t>
      </w:r>
      <w:bookmarkEnd w:id="46"/>
    </w:p>
    <w:p w14:paraId="5D1BA09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松潘县教育局</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rPr>
        <w:t>123.5</w:t>
      </w:r>
      <w:r>
        <w:rPr>
          <w:rFonts w:hint="eastAsia" w:ascii="Times New Roman" w:hAnsi="Times New Roman" w:eastAsia="仿宋_GB2312" w:cs="仿宋_GB2312"/>
          <w:color w:val="auto"/>
          <w:kern w:val="2"/>
          <w:sz w:val="32"/>
          <w:szCs w:val="32"/>
          <w:highlight w:val="none"/>
          <w:lang w:val="en-US" w:eastAsia="zh-CN" w:bidi="ar-SA"/>
        </w:rPr>
        <w:t>万元，比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6.41</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5.47</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14:paraId="228AC41D">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7" w:name="_Toc15377223"/>
      <w:r>
        <w:rPr>
          <w:rFonts w:hint="eastAsia" w:ascii="Times New Roman" w:hAnsi="Times New Roman" w:eastAsia="楷体_GB2312" w:cs="楷体_GB2312"/>
          <w:b/>
          <w:color w:val="auto"/>
          <w:sz w:val="32"/>
          <w:szCs w:val="32"/>
          <w:highlight w:val="none"/>
        </w:rPr>
        <w:t>（二）政府采购支出情况</w:t>
      </w:r>
      <w:bookmarkEnd w:id="47"/>
    </w:p>
    <w:p w14:paraId="466D96C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rPr>
        <w:t>松潘县教育局</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rPr>
        <w:t>1764.88</w:t>
      </w:r>
      <w:r>
        <w:rPr>
          <w:rFonts w:hint="eastAsia" w:ascii="Times New Roman" w:hAnsi="Times New Roman" w:eastAsia="仿宋_GB2312" w:cs="仿宋_GB2312"/>
          <w:color w:val="auto"/>
          <w:kern w:val="2"/>
          <w:sz w:val="32"/>
          <w:szCs w:val="32"/>
          <w:highlight w:val="none"/>
          <w:lang w:val="en-US" w:eastAsia="zh-CN" w:bidi="ar-SA"/>
        </w:rPr>
        <w:t>万元，其中：政府采购货物支出</w:t>
      </w:r>
      <w:r>
        <w:rPr>
          <w:rFonts w:hint="eastAsia" w:ascii="仿宋_GB2312" w:hAnsi="仿宋_GB2312" w:eastAsia="仿宋_GB2312" w:cs="仿宋_GB2312"/>
          <w:sz w:val="32"/>
          <w:szCs w:val="32"/>
        </w:rPr>
        <w:t>903.11</w:t>
      </w:r>
      <w:r>
        <w:rPr>
          <w:rFonts w:hint="eastAsia" w:ascii="Times New Roman" w:hAnsi="Times New Roman" w:eastAsia="仿宋_GB2312" w:cs="仿宋_GB2312"/>
          <w:color w:val="auto"/>
          <w:kern w:val="2"/>
          <w:sz w:val="32"/>
          <w:szCs w:val="32"/>
          <w:highlight w:val="none"/>
          <w:lang w:val="en-US" w:eastAsia="zh-CN" w:bidi="ar-SA"/>
        </w:rPr>
        <w:t>万元、政府采购工程支出</w:t>
      </w:r>
      <w:r>
        <w:rPr>
          <w:rFonts w:hint="eastAsia" w:ascii="仿宋_GB2312" w:hAnsi="仿宋_GB2312" w:eastAsia="仿宋_GB2312" w:cs="仿宋_GB2312"/>
          <w:sz w:val="32"/>
          <w:szCs w:val="32"/>
        </w:rPr>
        <w:t>384.21</w:t>
      </w:r>
      <w:r>
        <w:rPr>
          <w:rFonts w:hint="eastAsia" w:ascii="Times New Roman" w:hAnsi="Times New Roman" w:eastAsia="仿宋_GB2312" w:cs="仿宋_GB2312"/>
          <w:color w:val="auto"/>
          <w:kern w:val="2"/>
          <w:sz w:val="32"/>
          <w:szCs w:val="32"/>
          <w:highlight w:val="none"/>
          <w:lang w:val="en-US" w:eastAsia="zh-CN" w:bidi="ar-SA"/>
        </w:rPr>
        <w:t>万元、政府采购服务支出</w:t>
      </w:r>
      <w:r>
        <w:rPr>
          <w:rFonts w:hint="eastAsia" w:ascii="仿宋_GB2312" w:hAnsi="仿宋_GB2312" w:eastAsia="仿宋_GB2312" w:cs="仿宋_GB2312"/>
          <w:sz w:val="32"/>
          <w:szCs w:val="32"/>
        </w:rPr>
        <w:t>477.56</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学校基本建设及设备采购等</w:t>
      </w:r>
      <w:r>
        <w:rPr>
          <w:rFonts w:hint="eastAsia" w:ascii="Times New Roman" w:hAnsi="Times New Roman" w:eastAsia="仿宋_GB2312" w:cs="仿宋_GB2312"/>
          <w:color w:val="auto"/>
          <w:kern w:val="2"/>
          <w:sz w:val="32"/>
          <w:szCs w:val="32"/>
          <w:highlight w:val="none"/>
          <w:lang w:val="en-US" w:eastAsia="zh-CN" w:bidi="ar-SA"/>
        </w:rPr>
        <w:t>。授予中小企业合同金额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%，其中：授予小微企业合同金额</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万元，占政府采购支出总额的</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w:t>
      </w:r>
    </w:p>
    <w:p w14:paraId="25F5718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11FD6A2">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8" w:name="_Toc15377224"/>
      <w:r>
        <w:rPr>
          <w:rFonts w:hint="eastAsia" w:ascii="Times New Roman" w:hAnsi="Times New Roman" w:eastAsia="楷体_GB2312" w:cs="楷体_GB2312"/>
          <w:b/>
          <w:color w:val="auto"/>
          <w:sz w:val="32"/>
          <w:szCs w:val="32"/>
          <w:highlight w:val="none"/>
        </w:rPr>
        <w:t>（三）国有资产占有使用情况</w:t>
      </w:r>
      <w:bookmarkEnd w:id="48"/>
    </w:p>
    <w:p w14:paraId="58B5B2E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rPr>
        <w:t>松潘县教育局</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辆，其中：副部（省）级及以上领导用车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辆、主要</w:t>
      </w:r>
      <w:r>
        <w:rPr>
          <w:rFonts w:hint="eastAsia" w:eastAsia="仿宋_GB2312" w:cs="仿宋_GB2312"/>
          <w:color w:val="auto"/>
          <w:kern w:val="2"/>
          <w:sz w:val="32"/>
          <w:szCs w:val="32"/>
          <w:highlight w:val="none"/>
          <w:lang w:val="en-US" w:eastAsia="zh-CN" w:bidi="ar-SA"/>
        </w:rPr>
        <w:t>负责人</w:t>
      </w:r>
      <w:r>
        <w:rPr>
          <w:rFonts w:hint="eastAsia" w:ascii="Times New Roman" w:hAnsi="Times New Roman" w:eastAsia="仿宋_GB2312" w:cs="仿宋_GB2312"/>
          <w:color w:val="auto"/>
          <w:kern w:val="2"/>
          <w:sz w:val="32"/>
          <w:szCs w:val="32"/>
          <w:highlight w:val="none"/>
          <w:lang w:val="en-US" w:eastAsia="zh-CN" w:bidi="ar-SA"/>
        </w:rPr>
        <w:t>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辆、机要通信用车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辆、应急保障用车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辆、执法执勤用车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辆、特种专业技术用车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辆、离退休干部服务用车</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辆、其他用车</w:t>
      </w:r>
      <w:r>
        <w:rPr>
          <w:rFonts w:hint="eastAsia" w:ascii="仿宋_GB2312" w:hAnsi="仿宋_GB2312" w:eastAsia="仿宋_GB2312" w:cs="仿宋_GB2312"/>
          <w:sz w:val="32"/>
          <w:szCs w:val="32"/>
        </w:rPr>
        <w:t>3</w:t>
      </w:r>
      <w:r>
        <w:rPr>
          <w:rFonts w:hint="eastAsia" w:ascii="Times New Roman" w:hAnsi="Times New Roman" w:eastAsia="仿宋_GB2312" w:cs="仿宋_GB2312"/>
          <w:color w:val="auto"/>
          <w:kern w:val="2"/>
          <w:sz w:val="32"/>
          <w:szCs w:val="32"/>
          <w:highlight w:val="none"/>
          <w:lang w:val="en-US" w:eastAsia="zh-CN" w:bidi="ar-SA"/>
        </w:rPr>
        <w:t>辆，其他用车主要是用于</w:t>
      </w:r>
      <w:r>
        <w:rPr>
          <w:rFonts w:hint="eastAsia" w:eastAsia="仿宋_GB2312" w:cs="仿宋_GB2312"/>
          <w:color w:val="auto"/>
          <w:kern w:val="2"/>
          <w:sz w:val="32"/>
          <w:szCs w:val="32"/>
          <w:highlight w:val="none"/>
          <w:lang w:val="en-US" w:eastAsia="zh-CN" w:bidi="ar-SA"/>
        </w:rPr>
        <w:t>全县学校教育教学督查及检查等。</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rPr>
        <w:t>0</w:t>
      </w:r>
      <w:r>
        <w:rPr>
          <w:rFonts w:hint="eastAsia" w:ascii="Times New Roman" w:hAnsi="Times New Roman" w:eastAsia="仿宋_GB2312" w:cs="仿宋_GB2312"/>
          <w:color w:val="auto"/>
          <w:kern w:val="2"/>
          <w:sz w:val="32"/>
          <w:szCs w:val="32"/>
          <w:highlight w:val="none"/>
          <w:lang w:val="en-US" w:eastAsia="zh-CN" w:bidi="ar-SA"/>
        </w:rPr>
        <w:t>台（套）。</w:t>
      </w:r>
    </w:p>
    <w:p w14:paraId="2853082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5D2FBFA3">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14:paraId="406150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教育局计财股</w:t>
      </w:r>
      <w:r>
        <w:rPr>
          <w:rFonts w:hint="eastAsia" w:ascii="Times New Roman" w:hAnsi="Times New Roman" w:eastAsia="仿宋_GB2312" w:cs="仿宋_GB2312"/>
          <w:color w:val="auto"/>
          <w:kern w:val="2"/>
          <w:sz w:val="32"/>
          <w:szCs w:val="32"/>
          <w:highlight w:val="none"/>
          <w:lang w:val="en-US" w:eastAsia="zh-CN" w:bidi="ar-SA"/>
        </w:rPr>
        <w:t>在2025年度，组织对松潘县教育局义务教育生均公用经费（项目名称）等</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9986.33</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个项目编制了绩效目标</w:t>
      </w:r>
      <w:r>
        <w:rPr>
          <w:rFonts w:hint="eastAsia" w:eastAsia="仿宋_GB2312" w:cs="仿宋_GB2312"/>
          <w:color w:val="auto"/>
          <w:kern w:val="2"/>
          <w:sz w:val="32"/>
          <w:szCs w:val="32"/>
          <w:highlight w:val="none"/>
          <w:lang w:val="en-US" w:eastAsia="zh-CN" w:bidi="ar-SA"/>
        </w:rPr>
        <w:t>，在</w:t>
      </w:r>
      <w:r>
        <w:rPr>
          <w:rFonts w:hint="eastAsia" w:ascii="Times New Roman" w:hAnsi="Times New Roman" w:eastAsia="仿宋_GB2312" w:cs="仿宋_GB2312"/>
          <w:color w:val="auto"/>
          <w:kern w:val="2"/>
          <w:sz w:val="32"/>
          <w:szCs w:val="32"/>
          <w:highlight w:val="none"/>
          <w:lang w:val="en-US" w:eastAsia="zh-CN" w:bidi="ar-SA"/>
        </w:rPr>
        <w:t>预算执行过程中，选取</w:t>
      </w:r>
      <w:r>
        <w:rPr>
          <w:rFonts w:hint="eastAsia" w:eastAsia="仿宋_GB2312" w:cs="仿宋_GB2312"/>
          <w:color w:val="auto"/>
          <w:kern w:val="2"/>
          <w:sz w:val="32"/>
          <w:szCs w:val="32"/>
          <w:highlight w:val="none"/>
          <w:lang w:val="en-US" w:eastAsia="zh-CN" w:bidi="ar-SA"/>
        </w:rPr>
        <w:t>21</w:t>
      </w:r>
      <w:r>
        <w:rPr>
          <w:rFonts w:hint="eastAsia" w:ascii="Times New Roman" w:hAnsi="Times New Roman" w:eastAsia="仿宋_GB2312" w:cs="仿宋_GB2312"/>
          <w:color w:val="auto"/>
          <w:kern w:val="2"/>
          <w:sz w:val="32"/>
          <w:szCs w:val="32"/>
          <w:highlight w:val="none"/>
          <w:lang w:val="en-US" w:eastAsia="zh-CN" w:bidi="ar-SA"/>
        </w:rPr>
        <w:t>个项目开展绩效监控。</w:t>
      </w:r>
    </w:p>
    <w:p w14:paraId="3AB2C4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组织对2025年度一般公共预算、政府性基金预算、国有资本经营预算、社会保险基金预算以及资本资产、债券资金等全面开展绩效自评，形成***部门预算（含部门预算项目）绩效自评报告（此项单位不涉及）、***等专项预算项目绩效自评报告，其中，***部门预算（含部门预算项目）绩效自评得分为***分，绩效自评综述……；***专项预算项目绩效自评得分为***分，绩效自评综述……。绩效自评报告详见附件。（注：如不涉及，可根据实际修改表述。）</w:t>
      </w:r>
    </w:p>
    <w:p w14:paraId="6691BA1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14:paraId="0FE7D6E2">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9" w:name="_Toc15377225"/>
      <w:bookmarkStart w:id="50"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9"/>
      <w:bookmarkEnd w:id="50"/>
    </w:p>
    <w:p w14:paraId="35100123">
      <w:pPr>
        <w:spacing w:line="600" w:lineRule="exact"/>
        <w:jc w:val="left"/>
        <w:rPr>
          <w:rFonts w:ascii="Times New Roman" w:hAnsi="Times New Roman"/>
          <w:b/>
          <w:color w:val="auto"/>
          <w:sz w:val="44"/>
          <w:szCs w:val="44"/>
          <w:highlight w:val="none"/>
        </w:rPr>
      </w:pPr>
    </w:p>
    <w:p w14:paraId="1D6A199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14:paraId="6C7B70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2.事业收入：指事业单位开展专业业务活动及辅助活动取得的收入。如……（二级预算单位事业收入情况）等。</w:t>
      </w:r>
    </w:p>
    <w:p w14:paraId="7C3183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3.经营收入：指事业单位在专业业务活动及其辅助活动之外开展非独立核算经营活动取得的收入。如……（二级预算单位经营收入情况）等。</w:t>
      </w:r>
    </w:p>
    <w:p w14:paraId="3C9C212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4.其他收入：指单位取得的除上述收入以外的各项收入。主要是……（收入类型）等。 </w:t>
      </w:r>
    </w:p>
    <w:p w14:paraId="2A40B2E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5.使用非财政拨款结余（含专用结余）：指事业单位使用以前年度积累的非财政拨款结余弥补当年收支差额的金额。 </w:t>
      </w:r>
    </w:p>
    <w:p w14:paraId="59A0F6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6.年初结转和结余：指以前年度尚未完成、结转到本年按有关规定继续使用的资金。 </w:t>
      </w:r>
    </w:p>
    <w:p w14:paraId="3F93A9C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7.结余分配：指事业单位按照会计制度规定缴纳的所得税、提取的专用结余以及转入非财政拨款结余的金额等。</w:t>
      </w:r>
    </w:p>
    <w:p w14:paraId="765D028D">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8.年末结转和结余：指单位按有关规定结转到下年或以后年度继续使用的资金。</w:t>
      </w:r>
    </w:p>
    <w:p w14:paraId="450E906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9.一般公共服务（类）……（款）……（项）：指……</w:t>
      </w:r>
    </w:p>
    <w:p w14:paraId="6957FF0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10.外交（类）……（款）……（项）：指……</w:t>
      </w:r>
    </w:p>
    <w:p w14:paraId="4C83526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11.公共安全（类）……（款）……（项）：指……</w:t>
      </w:r>
    </w:p>
    <w:p w14:paraId="2C6EA2F4">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12.教育（类）……（款）……（项）：指……</w:t>
      </w:r>
    </w:p>
    <w:p w14:paraId="6D65C69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13.科学技术（类）……（款）……（项）：指……</w:t>
      </w:r>
    </w:p>
    <w:p w14:paraId="6270FF0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14.文化旅游体育与传媒（类）……（款）……（项）：指……</w:t>
      </w:r>
    </w:p>
    <w:p w14:paraId="6A98ADD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15.社会保障和就业（类）……（款）……（项）：指……</w:t>
      </w:r>
    </w:p>
    <w:p w14:paraId="0826598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16.卫生健康（类）……（款）……（项）：指……</w:t>
      </w:r>
    </w:p>
    <w:p w14:paraId="44B9C6D0">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17.节能环保（类）……（款）……（项）</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指……</w:t>
      </w:r>
    </w:p>
    <w:p w14:paraId="45CA094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18.城乡社区（类）……（款）……（项）：指……</w:t>
      </w:r>
    </w:p>
    <w:p w14:paraId="5F67168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19.农林水（类）……（款）……（项）：指……</w:t>
      </w:r>
    </w:p>
    <w:p w14:paraId="42A36C0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20.交通运输（类）……（款）……（项）：指……</w:t>
      </w:r>
    </w:p>
    <w:p w14:paraId="33752F57">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21.资源勘探工业信息等（类）……（款）……（项）：指……</w:t>
      </w:r>
    </w:p>
    <w:p w14:paraId="308F1EA6">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22.商业服务业（类）……（款）……（项）：指……</w:t>
      </w:r>
    </w:p>
    <w:p w14:paraId="22EC651A">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23.金融（类）……（款）……（项）：指……</w:t>
      </w:r>
    </w:p>
    <w:p w14:paraId="62163D3F">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24.自然资源海洋气象等（类）……（款）……（项）：指……</w:t>
      </w:r>
    </w:p>
    <w:p w14:paraId="7FDF64BB">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25.住房保障（类）……（款）……（项）：指……</w:t>
      </w:r>
    </w:p>
    <w:p w14:paraId="122EB09C">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26.粮油物资储备（类）……（款）……（项）：指……</w:t>
      </w:r>
    </w:p>
    <w:p w14:paraId="56D79CC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w:t>
      </w:r>
    </w:p>
    <w:p w14:paraId="44B54C51">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w:t>
      </w:r>
      <w:r>
        <w:rPr>
          <w:rFonts w:hint="eastAsia" w:eastAsia="仿宋_GB2312" w:cs="仿宋_GB2312"/>
          <w:b/>
          <w:bCs/>
          <w:color w:val="auto"/>
          <w:kern w:val="2"/>
          <w:sz w:val="32"/>
          <w:szCs w:val="32"/>
          <w:highlight w:val="none"/>
          <w:lang w:val="en-US" w:eastAsia="zh-CN" w:bidi="ar-SA"/>
        </w:rPr>
        <w:t>注：</w:t>
      </w:r>
      <w:r>
        <w:rPr>
          <w:rFonts w:hint="eastAsia" w:ascii="Times New Roman" w:hAnsi="Times New Roman" w:eastAsia="仿宋_GB2312" w:cs="仿宋_GB2312"/>
          <w:b/>
          <w:bCs/>
          <w:color w:val="auto"/>
          <w:kern w:val="2"/>
          <w:sz w:val="32"/>
          <w:szCs w:val="32"/>
          <w:highlight w:val="none"/>
          <w:lang w:val="en-US" w:eastAsia="zh-CN" w:bidi="ar-SA"/>
        </w:rPr>
        <w:t>解释本部门决算报表中涉及的全部功能分类科目至项级，不涉及的科目请自行删除。请参照</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202</w:t>
      </w:r>
      <w:r>
        <w:rPr>
          <w:rFonts w:hint="eastAsia" w:eastAsia="仿宋_GB2312"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年政府收支分类科目</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增减内容）</w:t>
      </w:r>
    </w:p>
    <w:p w14:paraId="11203118">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27.基本支出：指为保障机构正常运转、完成日常工作任务而发生的人员支出和公用支出。</w:t>
      </w:r>
    </w:p>
    <w:p w14:paraId="486CDE12">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 xml:space="preserve">28.项目支出：指在基本支出之外为完成特定行政任务和事业发展目标所发生的支出。 </w:t>
      </w:r>
    </w:p>
    <w:p w14:paraId="3DFA468E">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29.经营支出：指事业单位在专业业务活动及其辅助活动之外开展非独立核算经营活动发生的支出。</w:t>
      </w:r>
    </w:p>
    <w:p w14:paraId="3B2327F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30.</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三公</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经费：指部门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289C2755">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31.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F4780E3">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32.……</w:t>
      </w:r>
    </w:p>
    <w:p w14:paraId="32E4FAD9">
      <w:pPr>
        <w:spacing w:line="600" w:lineRule="exact"/>
        <w:ind w:firstLine="640"/>
        <w:rPr>
          <w:rFonts w:hint="eastAsia" w:ascii="Times New Roman" w:hAnsi="Times New Roman" w:eastAsia="仿宋_GB2312" w:cs="仿宋_GB2312"/>
          <w:b/>
          <w:bCs/>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（注：名词解释部分请根据各部门实际列支情况罗列，并根据本部门职责职能增减名词解释内容）</w:t>
      </w:r>
    </w:p>
    <w:p w14:paraId="590CDF08">
      <w:pPr>
        <w:spacing w:line="600" w:lineRule="exact"/>
        <w:jc w:val="center"/>
        <w:rPr>
          <w:rStyle w:val="28"/>
          <w:rFonts w:hint="eastAsia" w:ascii="Times New Roman" w:hAnsi="Times New Roman" w:eastAsia="黑体"/>
          <w:b w:val="0"/>
          <w:color w:val="auto"/>
          <w:highlight w:val="none"/>
          <w:lang w:eastAsia="zh-CN"/>
        </w:rPr>
      </w:pPr>
      <w:bookmarkStart w:id="51" w:name="_Toc15377226"/>
      <w:r>
        <w:rPr>
          <w:rFonts w:hint="eastAsia" w:ascii="Times New Roman" w:hAnsi="Times New Roman" w:eastAsia="仿宋_GB2312" w:cs="仿宋_GB2312"/>
          <w:color w:val="auto"/>
          <w:kern w:val="2"/>
          <w:sz w:val="32"/>
          <w:szCs w:val="32"/>
          <w:highlight w:val="none"/>
          <w:lang w:val="en-US" w:eastAsia="zh-CN" w:bidi="ar-SA"/>
        </w:rPr>
        <w:br w:type="page"/>
      </w:r>
      <w:bookmarkStart w:id="52"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52"/>
    </w:p>
    <w:p w14:paraId="6B24C2F6">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14:paraId="6F23708A">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方正小标宋简体"/>
          <w:color w:val="auto"/>
          <w:sz w:val="44"/>
          <w:szCs w:val="44"/>
          <w:highlight w:val="none"/>
          <w:lang w:val="en-US" w:eastAsia="zh-CN"/>
        </w:rPr>
      </w:pPr>
      <w:r>
        <w:rPr>
          <w:rFonts w:hint="eastAsia" w:ascii="Times New Roman" w:hAnsi="Times New Roman" w:eastAsia="黑体" w:cs="黑体"/>
          <w:color w:val="auto"/>
          <w:sz w:val="32"/>
          <w:szCs w:val="32"/>
          <w:highlight w:val="none"/>
        </w:rPr>
        <w:t>附件</w:t>
      </w:r>
      <w:r>
        <w:rPr>
          <w:rFonts w:hint="eastAsia" w:ascii="Times New Roman" w:hAnsi="Times New Roman" w:eastAsia="黑体" w:cs="黑体"/>
          <w:color w:val="auto"/>
          <w:sz w:val="32"/>
          <w:szCs w:val="32"/>
          <w:highlight w:val="none"/>
          <w:lang w:val="en-US" w:eastAsia="zh-CN"/>
        </w:rPr>
        <w:t>1</w:t>
      </w:r>
    </w:p>
    <w:p w14:paraId="1C9F31BA">
      <w:pPr>
        <w:keepNext w:val="0"/>
        <w:keepLines w:val="0"/>
        <w:pageBreakBefore w:val="0"/>
        <w:widowControl/>
        <w:kinsoku/>
        <w:wordWrap/>
        <w:overflowPunct/>
        <w:topLinePunct w:val="0"/>
        <w:autoSpaceDE/>
        <w:autoSpaceDN/>
        <w:bidi w:val="0"/>
        <w:spacing w:line="578" w:lineRule="exact"/>
        <w:contextualSpacing/>
        <w:jc w:val="center"/>
        <w:textAlignment w:val="auto"/>
        <w:outlineLvl w:val="9"/>
        <w:rPr>
          <w:rFonts w:hint="default" w:ascii="Times New Roman" w:hAnsi="Times New Roman" w:eastAsia="方正小标宋简体" w:cs="Times New Roman"/>
          <w:b w:val="0"/>
          <w:bCs/>
          <w:sz w:val="44"/>
          <w:szCs w:val="44"/>
          <w:highlight w:val="none"/>
          <w:shd w:val="clear" w:color="auto" w:fill="FFFFFF"/>
        </w:rPr>
      </w:pPr>
    </w:p>
    <w:p w14:paraId="32822847">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方正小标宋简体" w:hAnsi="方正小标宋简体" w:eastAsia="方正小标宋简体" w:cs="方正小标宋简体"/>
          <w:color w:val="auto"/>
          <w:kern w:val="2"/>
          <w:sz w:val="44"/>
          <w:szCs w:val="44"/>
          <w:highlight w:val="none"/>
          <w:lang w:val="en-US" w:eastAsia="zh-CN"/>
        </w:rPr>
      </w:pPr>
      <w:r>
        <w:rPr>
          <w:rFonts w:hint="eastAsia" w:ascii="方正小标宋简体" w:hAnsi="方正小标宋简体" w:eastAsia="方正小标宋简体" w:cs="方正小标宋简体"/>
          <w:color w:val="auto"/>
          <w:kern w:val="2"/>
          <w:sz w:val="44"/>
          <w:szCs w:val="44"/>
          <w:highlight w:val="none"/>
          <w:lang w:val="en-US" w:eastAsia="zh-CN"/>
        </w:rPr>
        <w:t>专项预算项目绩效评价报告</w:t>
      </w:r>
    </w:p>
    <w:p w14:paraId="25D5A5A2">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仿宋_GB2312" w:hAnsi="仿宋_GB2312" w:eastAsia="仿宋_GB2312" w:cs="仿宋_GB2312"/>
          <w:color w:val="auto"/>
          <w:kern w:val="0"/>
          <w:sz w:val="32"/>
          <w:szCs w:val="32"/>
          <w:highlight w:val="none"/>
          <w:u w:val="none"/>
          <w:shd w:val="clear" w:color="auto" w:fill="FFFFFF"/>
          <w:lang w:val="en-US" w:eastAsia="zh-CN" w:bidi="ar-SA"/>
        </w:rPr>
      </w:pP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（义务教育生均公用经费）</w:t>
      </w:r>
    </w:p>
    <w:p w14:paraId="5A95A5A1">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宋体" w:hAnsi="宋体"/>
          <w:color w:val="auto"/>
          <w:kern w:val="2"/>
          <w:sz w:val="32"/>
          <w:szCs w:val="32"/>
          <w:highlight w:val="none"/>
        </w:rPr>
      </w:pPr>
    </w:p>
    <w:p w14:paraId="75A06600">
      <w:pPr>
        <w:keepNext w:val="0"/>
        <w:keepLines w:val="0"/>
        <w:pageBreakBefore w:val="0"/>
        <w:widowControl w:val="0"/>
        <w:kinsoku/>
        <w:wordWrap/>
        <w:overflowPunct/>
        <w:topLinePunct w:val="0"/>
        <w:autoSpaceDE/>
        <w:autoSpaceDN/>
        <w:bidi w:val="0"/>
        <w:adjustRightInd w:val="0"/>
        <w:snapToGrid w:val="0"/>
        <w:spacing w:line="578" w:lineRule="exact"/>
        <w:ind w:firstLine="420" w:firstLineChars="200"/>
        <w:textAlignment w:val="auto"/>
        <w:rPr>
          <w:rFonts w:ascii="黑体" w:hAnsi="宋体" w:eastAsia="黑体"/>
          <w:color w:val="auto"/>
          <w:highlight w:val="none"/>
          <w:lang w:val="zh-CN"/>
        </w:rPr>
      </w:pPr>
      <w:r>
        <w:rPr>
          <w:rFonts w:hint="eastAsia" w:ascii="黑体" w:hAnsi="宋体" w:eastAsia="黑体"/>
          <w:color w:val="auto"/>
          <w:highlight w:val="none"/>
        </w:rPr>
        <w:t>一、</w:t>
      </w:r>
      <w:r>
        <w:rPr>
          <w:rFonts w:hint="eastAsia" w:ascii="黑体" w:hAnsi="宋体" w:eastAsia="黑体"/>
          <w:color w:val="auto"/>
          <w:highlight w:val="none"/>
          <w:lang w:val="zh-CN"/>
        </w:rPr>
        <w:t>项目概况</w:t>
      </w:r>
    </w:p>
    <w:p w14:paraId="5C694AF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cs="仿宋_GB2312"/>
          <w:color w:val="auto"/>
          <w:kern w:val="0"/>
          <w:sz w:val="32"/>
          <w:szCs w:val="32"/>
          <w:highlight w:val="none"/>
          <w:u w:val="none"/>
          <w:shd w:val="clear" w:color="auto" w:fill="FFFFFF"/>
          <w:lang w:val="zh-CN" w:eastAsia="zh-CN"/>
        </w:rPr>
      </w:pPr>
      <w:r>
        <w:rPr>
          <w:rFonts w:hint="eastAsia" w:ascii="楷体_GB2312" w:hAnsi="宋体" w:eastAsia="楷体_GB2312"/>
          <w:b/>
          <w:color w:val="auto"/>
          <w:sz w:val="32"/>
          <w:szCs w:val="32"/>
          <w:highlight w:val="none"/>
          <w:u w:val="none"/>
          <w:lang w:val="zh-CN"/>
        </w:rPr>
        <w:t>（一）设立背景及基本情况。</w:t>
      </w:r>
      <w:r>
        <w:rPr>
          <w:rFonts w:hint="eastAsia" w:ascii="仿宋_GB2312" w:hAnsi="仿宋_GB2312" w:eastAsia="仿宋_GB2312" w:cs="仿宋_GB2312"/>
          <w:color w:val="auto"/>
          <w:kern w:val="0"/>
          <w:sz w:val="32"/>
          <w:szCs w:val="32"/>
          <w:highlight w:val="none"/>
          <w:u w:val="none"/>
          <w:shd w:val="clear" w:color="auto" w:fill="FFFFFF"/>
          <w:lang w:val="zh-CN"/>
        </w:rPr>
        <w:t>为深入贯彻落实党中央、国务院决策部署，统筹城乡义务教育资源均衡配置，推动十五年免费教育事业持续健康发展，根据《国务院关于进一步完善城乡义务教育经费保障机制的通知》（国发〔2015〕67号）、《四川省人民政府关于进一步完善城乡义务教育经费保障机制的实施意见》（川府发〔2016〕9号）、《四川省财政厅、教育厅关于支持民族自治地区实施十五年免费教育的通知》（川财教〔2016〕32号）和《阿坝州人民政府关于进一步完善十五年免费教育经费保障机制的实施意见》（阿府发〔2016〕18号）文件立项。</w:t>
      </w:r>
    </w:p>
    <w:p w14:paraId="279A306B">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ascii="楷体_GB2312" w:hAnsi="宋体" w:eastAsia="楷体_GB2312"/>
          <w:b/>
          <w:color w:val="auto"/>
          <w:sz w:val="32"/>
          <w:szCs w:val="32"/>
          <w:highlight w:val="none"/>
          <w:u w:val="none"/>
          <w:lang w:val="zh-CN"/>
        </w:rPr>
      </w:pPr>
      <w:r>
        <w:rPr>
          <w:rFonts w:hint="eastAsia" w:ascii="楷体_GB2312" w:hAnsi="宋体" w:eastAsia="楷体_GB2312"/>
          <w:b/>
          <w:color w:val="auto"/>
          <w:sz w:val="32"/>
          <w:szCs w:val="32"/>
          <w:highlight w:val="none"/>
          <w:u w:val="none"/>
          <w:lang w:val="zh-CN"/>
        </w:rPr>
        <w:t>（</w:t>
      </w:r>
      <w:r>
        <w:rPr>
          <w:rFonts w:hint="eastAsia" w:ascii="楷体_GB2312" w:hAnsi="宋体" w:eastAsia="楷体_GB2312" w:cs="Times New Roman"/>
          <w:b/>
          <w:color w:val="auto"/>
          <w:sz w:val="32"/>
          <w:szCs w:val="32"/>
          <w:highlight w:val="none"/>
          <w:u w:val="none"/>
          <w:lang w:val="zh-CN"/>
        </w:rPr>
        <w:t>二）</w:t>
      </w:r>
      <w:r>
        <w:rPr>
          <w:rFonts w:hint="default" w:ascii="楷体_GB2312" w:hAnsi="宋体" w:eastAsia="楷体_GB2312" w:cs="Times New Roman"/>
          <w:b/>
          <w:color w:val="auto"/>
          <w:sz w:val="32"/>
          <w:szCs w:val="32"/>
          <w:highlight w:val="none"/>
          <w:u w:val="none"/>
          <w:lang w:val="en-US" w:eastAsia="zh-CN"/>
        </w:rPr>
        <w:t>实施目的及支持方向</w:t>
      </w:r>
      <w:r>
        <w:rPr>
          <w:rFonts w:hint="eastAsia" w:ascii="楷体_GB2312" w:hAnsi="宋体" w:eastAsia="楷体_GB2312" w:cs="Times New Roman"/>
          <w:b/>
          <w:color w:val="auto"/>
          <w:sz w:val="32"/>
          <w:szCs w:val="32"/>
          <w:highlight w:val="none"/>
          <w:u w:val="none"/>
          <w:lang w:val="en-US" w:eastAsia="zh-CN"/>
        </w:rPr>
        <w:t>。</w:t>
      </w:r>
      <w:r>
        <w:rPr>
          <w:rFonts w:hint="eastAsia" w:ascii="仿宋_GB2312" w:hAnsi="仿宋_GB2312" w:eastAsia="仿宋_GB2312" w:cs="仿宋_GB2312"/>
          <w:color w:val="auto"/>
          <w:kern w:val="0"/>
          <w:sz w:val="32"/>
          <w:szCs w:val="32"/>
          <w:highlight w:val="none"/>
          <w:u w:val="none"/>
          <w:shd w:val="clear" w:color="auto" w:fill="FFFFFF"/>
          <w:lang w:val="zh-CN"/>
        </w:rPr>
        <w:t>该项目按照《阿坝州人民政府关于进一步完善十五年免费教育经费保障机制的实施意见》（阿府发〔2016〕18号）进行管理。</w:t>
      </w:r>
    </w:p>
    <w:p w14:paraId="4D7DA4DB">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仿宋_GB2312" w:hAnsi="仿宋_GB2312" w:eastAsia="仿宋_GB2312" w:cs="仿宋_GB2312"/>
          <w:b w:val="0"/>
          <w:bCs/>
          <w:color w:val="auto"/>
          <w:kern w:val="0"/>
          <w:sz w:val="32"/>
          <w:szCs w:val="32"/>
          <w:highlight w:val="none"/>
          <w:u w:val="none"/>
          <w:shd w:val="clear" w:color="auto" w:fill="FFFFFF"/>
          <w:lang w:val="en-US" w:eastAsia="zh-CN"/>
        </w:rPr>
      </w:pPr>
      <w:r>
        <w:rPr>
          <w:rFonts w:hint="eastAsia" w:ascii="楷体_GB2312" w:hAnsi="宋体" w:eastAsia="楷体_GB2312" w:cs="Times New Roman"/>
          <w:b/>
          <w:color w:val="auto"/>
          <w:sz w:val="32"/>
          <w:szCs w:val="32"/>
          <w:highlight w:val="none"/>
          <w:u w:val="none"/>
          <w:lang w:val="zh-CN" w:eastAsia="zh-CN"/>
        </w:rPr>
        <w:t>（三）</w:t>
      </w:r>
      <w:r>
        <w:rPr>
          <w:rFonts w:hint="default" w:ascii="楷体_GB2312" w:hAnsi="宋体" w:eastAsia="楷体_GB2312" w:cs="Times New Roman"/>
          <w:b/>
          <w:color w:val="auto"/>
          <w:sz w:val="32"/>
          <w:szCs w:val="32"/>
          <w:highlight w:val="none"/>
          <w:u w:val="none"/>
          <w:lang w:val="en-US" w:eastAsia="zh-CN"/>
        </w:rPr>
        <w:t>预算安排及分配管理</w:t>
      </w:r>
      <w:r>
        <w:rPr>
          <w:rFonts w:hint="eastAsia" w:ascii="楷体_GB2312" w:hAnsi="宋体" w:eastAsia="楷体_GB2312" w:cs="Times New Roman"/>
          <w:b/>
          <w:color w:val="auto"/>
          <w:sz w:val="32"/>
          <w:szCs w:val="32"/>
          <w:highlight w:val="none"/>
          <w:u w:val="none"/>
          <w:lang w:val="zh-CN" w:eastAsia="zh-CN"/>
        </w:rPr>
        <w:t>。</w:t>
      </w:r>
      <w:r>
        <w:rPr>
          <w:rFonts w:hint="eastAsia" w:ascii="仿宋_GB2312" w:hAnsi="仿宋_GB2312" w:eastAsia="仿宋_GB2312" w:cs="仿宋_GB2312"/>
          <w:b w:val="0"/>
          <w:bCs/>
          <w:color w:val="auto"/>
          <w:sz w:val="32"/>
          <w:szCs w:val="32"/>
          <w:highlight w:val="none"/>
          <w:u w:val="none"/>
          <w:lang w:val="en-US" w:eastAsia="zh-CN"/>
        </w:rPr>
        <w:t>根据阿州财教〔2025〕</w:t>
      </w:r>
      <w:r>
        <w:rPr>
          <w:rFonts w:hint="eastAsia" w:ascii="仿宋_GB2312" w:hAnsi="仿宋_GB2312" w:cs="仿宋_GB2312"/>
          <w:b w:val="0"/>
          <w:bCs/>
          <w:color w:val="auto"/>
          <w:sz w:val="32"/>
          <w:szCs w:val="32"/>
          <w:highlight w:val="none"/>
          <w:u w:val="none"/>
          <w:lang w:val="en-US" w:eastAsia="zh-CN"/>
        </w:rPr>
        <w:t>9</w:t>
      </w:r>
      <w:r>
        <w:rPr>
          <w:rFonts w:hint="eastAsia" w:ascii="仿宋_GB2312" w:hAnsi="仿宋_GB2312" w:eastAsia="仿宋_GB2312" w:cs="仿宋_GB2312"/>
          <w:b w:val="0"/>
          <w:bCs/>
          <w:color w:val="auto"/>
          <w:sz w:val="32"/>
          <w:szCs w:val="32"/>
          <w:highlight w:val="none"/>
          <w:u w:val="none"/>
          <w:lang w:val="en-US" w:eastAsia="zh-CN"/>
        </w:rPr>
        <w:t>号、阿州财教〔2025〕</w:t>
      </w:r>
      <w:r>
        <w:rPr>
          <w:rFonts w:hint="eastAsia" w:ascii="仿宋_GB2312" w:hAnsi="仿宋_GB2312" w:cs="仿宋_GB2312"/>
          <w:b w:val="0"/>
          <w:bCs/>
          <w:color w:val="auto"/>
          <w:sz w:val="32"/>
          <w:szCs w:val="32"/>
          <w:highlight w:val="none"/>
          <w:u w:val="none"/>
          <w:lang w:val="en-US" w:eastAsia="zh-CN"/>
        </w:rPr>
        <w:t>46</w:t>
      </w:r>
      <w:r>
        <w:rPr>
          <w:rFonts w:hint="eastAsia" w:ascii="仿宋_GB2312" w:hAnsi="仿宋_GB2312" w:eastAsia="仿宋_GB2312" w:cs="仿宋_GB2312"/>
          <w:b w:val="0"/>
          <w:bCs/>
          <w:color w:val="auto"/>
          <w:sz w:val="32"/>
          <w:szCs w:val="32"/>
          <w:highlight w:val="none"/>
          <w:u w:val="none"/>
          <w:lang w:val="en-US" w:eastAsia="zh-CN"/>
        </w:rPr>
        <w:t>号</w:t>
      </w:r>
      <w:r>
        <w:rPr>
          <w:rFonts w:hint="eastAsia" w:ascii="仿宋_GB2312" w:hAnsi="仿宋_GB2312" w:cs="仿宋_GB2312"/>
          <w:b w:val="0"/>
          <w:bCs/>
          <w:color w:val="auto"/>
          <w:sz w:val="32"/>
          <w:szCs w:val="32"/>
          <w:highlight w:val="none"/>
          <w:u w:val="none"/>
          <w:lang w:val="en-US" w:eastAsia="zh-CN"/>
        </w:rPr>
        <w:t>、</w:t>
      </w:r>
      <w:r>
        <w:rPr>
          <w:rFonts w:hint="eastAsia" w:ascii="仿宋_GB2312" w:hAnsi="仿宋_GB2312" w:eastAsia="仿宋_GB2312" w:cs="仿宋_GB2312"/>
          <w:b w:val="0"/>
          <w:bCs/>
          <w:color w:val="auto"/>
          <w:sz w:val="32"/>
          <w:szCs w:val="32"/>
          <w:highlight w:val="none"/>
          <w:u w:val="none"/>
          <w:lang w:val="en-US" w:eastAsia="zh-CN"/>
        </w:rPr>
        <w:t>阿州财教〔2025〕</w:t>
      </w:r>
      <w:r>
        <w:rPr>
          <w:rFonts w:hint="eastAsia" w:ascii="仿宋_GB2312" w:hAnsi="仿宋_GB2312" w:cs="仿宋_GB2312"/>
          <w:b w:val="0"/>
          <w:bCs/>
          <w:color w:val="auto"/>
          <w:sz w:val="32"/>
          <w:szCs w:val="32"/>
          <w:highlight w:val="none"/>
          <w:u w:val="none"/>
          <w:lang w:val="en-US" w:eastAsia="zh-CN"/>
        </w:rPr>
        <w:t>56</w:t>
      </w:r>
      <w:r>
        <w:rPr>
          <w:rFonts w:hint="eastAsia" w:ascii="仿宋_GB2312" w:hAnsi="仿宋_GB2312" w:eastAsia="仿宋_GB2312" w:cs="仿宋_GB2312"/>
          <w:b w:val="0"/>
          <w:bCs/>
          <w:color w:val="auto"/>
          <w:sz w:val="32"/>
          <w:szCs w:val="32"/>
          <w:highlight w:val="none"/>
          <w:u w:val="none"/>
          <w:lang w:val="en-US" w:eastAsia="zh-CN"/>
        </w:rPr>
        <w:t>号等文件，2025年度下达松潘县义务教育生均公用经费预算总额为668万元，其中中央财政资金541万元，地方财政资金127万元。全年实际执行资金609.4万元，预算执行率91.22%；其中中央财政资金执行509.4万元，执行率94.15%；地方财政资金执行100万元，执行率78.74%。资金分配按在校生数核拨，兼顾办学规模与实际需求，分配标准科学合理。资金分配按困难等级精准划分，兼顾学段、地域差异，分配标准合理、结果公平。</w:t>
      </w:r>
    </w:p>
    <w:p w14:paraId="3C7B02C3">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eastAsia="仿宋_GB2312" w:cs="Times New Roman"/>
          <w:color w:val="auto"/>
          <w:szCs w:val="32"/>
          <w:lang w:val="zh-CN" w:eastAsia="zh-CN"/>
        </w:rPr>
      </w:pPr>
      <w:r>
        <w:rPr>
          <w:rFonts w:hint="eastAsia" w:ascii="楷体_GB2312" w:hAnsi="宋体" w:eastAsia="楷体_GB2312" w:cs="Times New Roman"/>
          <w:b/>
          <w:color w:val="auto"/>
          <w:sz w:val="32"/>
          <w:szCs w:val="32"/>
          <w:highlight w:val="none"/>
          <w:u w:val="none"/>
          <w:lang w:val="zh-CN" w:eastAsia="zh-CN"/>
        </w:rPr>
        <w:t>（四）项目绩效目标设置。</w:t>
      </w:r>
      <w:r>
        <w:rPr>
          <w:rFonts w:hint="eastAsia" w:ascii="仿宋_GB2312" w:hAnsi="仿宋_GB2312" w:cs="仿宋_GB2312"/>
          <w:color w:val="auto"/>
          <w:kern w:val="0"/>
          <w:sz w:val="32"/>
          <w:szCs w:val="32"/>
          <w:highlight w:val="none"/>
          <w:u w:val="none"/>
          <w:shd w:val="clear" w:color="auto" w:fill="FFFFFF"/>
          <w:lang w:val="zh-CN" w:eastAsia="zh-CN"/>
        </w:rPr>
        <w:t>通过</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家庭经济困难学生生活补助</w:t>
      </w:r>
      <w:r>
        <w:rPr>
          <w:rFonts w:hint="eastAsia" w:ascii="仿宋_GB2312" w:hAnsi="仿宋_GB2312" w:cs="仿宋_GB2312"/>
          <w:color w:val="auto"/>
          <w:kern w:val="0"/>
          <w:sz w:val="32"/>
          <w:szCs w:val="32"/>
          <w:highlight w:val="none"/>
          <w:u w:val="none"/>
          <w:shd w:val="clear" w:color="auto" w:fill="FFFFFF"/>
          <w:lang w:val="zh-CN" w:eastAsia="zh-CN"/>
        </w:rPr>
        <w:t>项目的实施，对学生、家长接受教育的意识起到了稳固作用，坚定了家庭送子女上学的意愿，</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家庭经济困难学生生活补助</w:t>
      </w:r>
      <w:r>
        <w:rPr>
          <w:rFonts w:hint="eastAsia" w:ascii="仿宋_GB2312" w:hAnsi="仿宋_GB2312" w:cs="仿宋_GB2312"/>
          <w:color w:val="auto"/>
          <w:kern w:val="0"/>
          <w:sz w:val="32"/>
          <w:szCs w:val="32"/>
          <w:highlight w:val="none"/>
          <w:u w:val="none"/>
          <w:shd w:val="clear" w:color="auto" w:fill="FFFFFF"/>
          <w:lang w:val="zh-CN" w:eastAsia="zh-CN"/>
        </w:rPr>
        <w:t>项目效果明显。</w:t>
      </w:r>
    </w:p>
    <w:p w14:paraId="2B50EE05">
      <w:pPr>
        <w:keepNext w:val="0"/>
        <w:keepLines w:val="0"/>
        <w:pageBreakBefore w:val="0"/>
        <w:widowControl w:val="0"/>
        <w:kinsoku/>
        <w:wordWrap/>
        <w:overflowPunct/>
        <w:topLinePunct w:val="0"/>
        <w:autoSpaceDE/>
        <w:autoSpaceDN/>
        <w:bidi w:val="0"/>
        <w:adjustRightInd w:val="0"/>
        <w:snapToGrid w:val="0"/>
        <w:spacing w:line="578" w:lineRule="exact"/>
        <w:ind w:firstLine="420" w:firstLineChars="200"/>
        <w:textAlignment w:val="auto"/>
        <w:outlineLvl w:val="9"/>
        <w:rPr>
          <w:rFonts w:hint="eastAsia" w:ascii="黑体" w:hAnsi="宋体" w:eastAsia="黑体"/>
          <w:color w:val="auto"/>
          <w:highlight w:val="none"/>
          <w:lang w:eastAsia="zh-CN"/>
        </w:rPr>
      </w:pPr>
      <w:r>
        <w:rPr>
          <w:rFonts w:hint="eastAsia" w:ascii="黑体" w:hAnsi="宋体" w:eastAsia="黑体"/>
          <w:color w:val="auto"/>
          <w:highlight w:val="none"/>
        </w:rPr>
        <w:t>二、</w:t>
      </w:r>
      <w:r>
        <w:rPr>
          <w:rFonts w:hint="eastAsia" w:ascii="黑体" w:hAnsi="宋体" w:eastAsia="黑体"/>
          <w:color w:val="auto"/>
          <w:highlight w:val="none"/>
          <w:lang w:eastAsia="zh-CN"/>
        </w:rPr>
        <w:t>评价实施</w:t>
      </w:r>
    </w:p>
    <w:p w14:paraId="25AFCD8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cs="Times New Roman"/>
          <w:color w:val="auto"/>
          <w:szCs w:val="32"/>
          <w:lang w:eastAsia="zh-CN"/>
        </w:rPr>
      </w:pPr>
      <w:r>
        <w:rPr>
          <w:rFonts w:hint="eastAsia" w:ascii="楷体_GB2312" w:hAnsi="宋体" w:eastAsia="楷体_GB2312"/>
          <w:b/>
          <w:color w:val="auto"/>
          <w:sz w:val="32"/>
          <w:szCs w:val="32"/>
          <w:highlight w:val="none"/>
          <w:u w:val="none"/>
          <w:lang w:val="zh-CN"/>
        </w:rPr>
        <w:t>（一）评价目的。</w:t>
      </w:r>
      <w:r>
        <w:rPr>
          <w:rFonts w:hint="eastAsia" w:cs="Times New Roman"/>
          <w:color w:val="auto"/>
          <w:szCs w:val="32"/>
          <w:lang w:eastAsia="zh-CN"/>
        </w:rPr>
        <w:t>（1）科学决策，包括必要性（政策依据）及可行性（政策完善），通过查看项目立项文件判断执行项目是否符合中、省、州决策部署及当前经济社会发展需要；通过查看规划、管理办法、指导意见等判断制度是否健全完善、可行。</w:t>
      </w:r>
    </w:p>
    <w:p w14:paraId="64ED129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eastAsia="仿宋_GB2312" w:cs="Times New Roman"/>
          <w:color w:val="auto"/>
          <w:szCs w:val="32"/>
        </w:rPr>
      </w:pPr>
      <w:r>
        <w:rPr>
          <w:rFonts w:hint="eastAsia" w:cs="Times New Roman"/>
          <w:color w:val="auto"/>
          <w:szCs w:val="32"/>
          <w:lang w:eastAsia="zh-CN"/>
        </w:rPr>
        <w:t>（2）绩效目标明确性、合理性，查看项目是否存在预期提供的产品、服务、效益或其他明确细化，可衡量目标；分析绩效目标设定是否符合实际需求、合理可行。</w:t>
      </w:r>
    </w:p>
    <w:p w14:paraId="66E2BF9E">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cs="Times New Roman"/>
          <w:color w:val="auto"/>
          <w:szCs w:val="32"/>
          <w:lang w:eastAsia="zh-CN"/>
        </w:rPr>
      </w:pPr>
      <w:r>
        <w:rPr>
          <w:rFonts w:hint="eastAsia" w:ascii="楷体_GB2312" w:hAnsi="宋体" w:eastAsia="楷体_GB2312"/>
          <w:b/>
          <w:color w:val="auto"/>
          <w:sz w:val="32"/>
          <w:szCs w:val="32"/>
          <w:highlight w:val="none"/>
          <w:u w:val="none"/>
          <w:lang w:val="zh-CN"/>
        </w:rPr>
        <w:t>（二）预设问题及评价重点。</w:t>
      </w:r>
      <w:r>
        <w:rPr>
          <w:rFonts w:hint="eastAsia" w:eastAsia="仿宋_GB2312" w:cs="Times New Roman"/>
          <w:color w:val="auto"/>
          <w:szCs w:val="32"/>
        </w:rPr>
        <w:t>按照绩效评价指标体系，对资金支出使用全过程及其实施效果进行综合评价和判断</w:t>
      </w:r>
      <w:r>
        <w:rPr>
          <w:rFonts w:hint="eastAsia" w:eastAsia="仿宋_GB2312" w:cs="Times New Roman"/>
          <w:color w:val="auto"/>
          <w:szCs w:val="32"/>
          <w:lang w:eastAsia="zh-CN"/>
        </w:rPr>
        <w:t>。</w:t>
      </w:r>
    </w:p>
    <w:p w14:paraId="7D11352C">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cs="Times New Roman"/>
          <w:color w:val="auto"/>
          <w:szCs w:val="32"/>
          <w:lang w:val="zh-CN" w:eastAsia="zh-CN"/>
        </w:rPr>
      </w:pPr>
      <w:r>
        <w:rPr>
          <w:rFonts w:hint="eastAsia" w:ascii="楷体_GB2312" w:hAnsi="宋体" w:eastAsia="楷体_GB2312"/>
          <w:b/>
          <w:color w:val="auto"/>
          <w:sz w:val="32"/>
          <w:szCs w:val="32"/>
          <w:highlight w:val="none"/>
          <w:u w:val="none"/>
          <w:lang w:val="zh-CN"/>
        </w:rPr>
        <w:t>（三）评价选点。</w:t>
      </w:r>
      <w:r>
        <w:rPr>
          <w:rFonts w:hint="eastAsia" w:ascii="楷体_GB2312" w:hAnsi="宋体" w:eastAsia="楷体_GB2312"/>
          <w:b/>
          <w:color w:val="auto"/>
          <w:sz w:val="32"/>
          <w:szCs w:val="32"/>
          <w:highlight w:val="none"/>
          <w:u w:val="none"/>
          <w:lang w:val="en-US" w:eastAsia="zh-CN"/>
        </w:rPr>
        <w:t>2025年</w:t>
      </w:r>
      <w:r>
        <w:rPr>
          <w:rFonts w:hint="eastAsia" w:ascii="仿宋_GB2312" w:hAnsi="仿宋_GB2312" w:eastAsia="仿宋_GB2312" w:cs="仿宋_GB2312"/>
          <w:color w:val="auto"/>
          <w:kern w:val="0"/>
          <w:sz w:val="32"/>
          <w:szCs w:val="32"/>
          <w:highlight w:val="none"/>
          <w:u w:val="none"/>
          <w:shd w:val="clear" w:color="auto" w:fill="FFFFFF"/>
          <w:lang w:val="en-US" w:eastAsia="zh-CN" w:bidi="ar-SA"/>
        </w:rPr>
        <w:t>家庭经济困难学生生活补助</w:t>
      </w:r>
      <w:r>
        <w:rPr>
          <w:rFonts w:hint="eastAsia" w:cs="Times New Roman"/>
          <w:color w:val="auto"/>
          <w:szCs w:val="32"/>
          <w:lang w:val="zh-CN" w:eastAsia="zh-CN"/>
        </w:rPr>
        <w:t>由松潘县教育局组织实施，由实施学校提供申请补助材料。本次绩效评价审阅了该学校提交的决策资料、管理资料及完成效益资料。</w:t>
      </w:r>
    </w:p>
    <w:p w14:paraId="313A88D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color w:val="auto"/>
          <w:szCs w:val="32"/>
          <w:lang w:eastAsia="zh-CN"/>
        </w:rPr>
      </w:pPr>
      <w:r>
        <w:rPr>
          <w:rFonts w:hint="eastAsia" w:ascii="楷体_GB2312" w:hAnsi="宋体" w:eastAsia="楷体_GB2312"/>
          <w:b/>
          <w:color w:val="auto"/>
          <w:sz w:val="32"/>
          <w:szCs w:val="32"/>
          <w:highlight w:val="none"/>
          <w:u w:val="none"/>
          <w:lang w:val="zh-CN"/>
        </w:rPr>
        <w:t>（四）评价方法。</w:t>
      </w:r>
      <w:r>
        <w:rPr>
          <w:rFonts w:hint="eastAsia" w:cs="Times New Roman"/>
          <w:color w:val="auto"/>
          <w:szCs w:val="32"/>
          <w:lang w:eastAsia="zh-CN"/>
        </w:rPr>
        <w:t>该项目采用比较法和公众评判法相结合的方式实施绩效评价，比较法主要通过收集绩效目标效果指标的比较数据，综合分析绩效目标实现程度；公众评判法通过公众问卷及抽样调查等对该项目专项资金支出效果进行评判，评价绩效目标实现程度。</w:t>
      </w:r>
    </w:p>
    <w:p w14:paraId="0458B96F">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eastAsia="仿宋_GB2312" w:cs="Times New Roman"/>
          <w:bCs/>
          <w:color w:val="auto"/>
          <w:lang w:eastAsia="zh-CN"/>
        </w:rPr>
      </w:pPr>
      <w:r>
        <w:rPr>
          <w:rFonts w:hint="eastAsia" w:ascii="楷体_GB2312" w:hAnsi="宋体" w:eastAsia="楷体_GB2312"/>
          <w:b/>
          <w:color w:val="auto"/>
          <w:sz w:val="32"/>
          <w:szCs w:val="32"/>
          <w:highlight w:val="none"/>
          <w:u w:val="none"/>
          <w:lang w:val="zh-CN"/>
        </w:rPr>
        <w:t>（五）评价组织。</w:t>
      </w:r>
      <w:r>
        <w:rPr>
          <w:rFonts w:hint="eastAsia" w:cs="Times New Roman"/>
          <w:color w:val="auto"/>
          <w:szCs w:val="32"/>
          <w:lang w:val="en-US" w:eastAsia="zh-CN"/>
        </w:rPr>
        <w:t>评价组由教育局分管领导任组长，由计财股具体进行绩效评价。</w:t>
      </w:r>
    </w:p>
    <w:p w14:paraId="5F343B39">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仿宋_GB2312" w:hAnsi="宋体"/>
          <w:color w:val="auto"/>
          <w:sz w:val="32"/>
          <w:szCs w:val="32"/>
          <w:highlight w:val="none"/>
          <w:u w:val="none"/>
          <w:lang w:val="zh-CN"/>
        </w:rPr>
      </w:pPr>
      <w:r>
        <w:rPr>
          <w:rFonts w:hint="eastAsia" w:ascii="黑体" w:hAnsi="宋体" w:eastAsia="黑体"/>
          <w:color w:val="auto"/>
          <w:sz w:val="32"/>
          <w:szCs w:val="32"/>
          <w:highlight w:val="none"/>
          <w:u w:val="none"/>
        </w:rPr>
        <w:t>三、</w:t>
      </w:r>
      <w:r>
        <w:rPr>
          <w:rFonts w:hint="eastAsia" w:ascii="黑体" w:hAnsi="宋体" w:eastAsia="黑体"/>
          <w:color w:val="auto"/>
          <w:sz w:val="32"/>
          <w:szCs w:val="32"/>
          <w:highlight w:val="none"/>
          <w:u w:val="none"/>
          <w:lang w:eastAsia="zh-CN"/>
        </w:rPr>
        <w:t>绩效分析</w:t>
      </w:r>
    </w:p>
    <w:p w14:paraId="76100803">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楷体_GB2312" w:hAnsi="宋体" w:eastAsia="楷体_GB2312" w:cs="Times New Roman"/>
          <w:b/>
          <w:color w:val="auto"/>
          <w:sz w:val="32"/>
          <w:szCs w:val="32"/>
          <w:highlight w:val="none"/>
          <w:u w:val="none"/>
          <w:lang w:val="en-US" w:eastAsia="zh-CN"/>
        </w:rPr>
      </w:pPr>
      <w:r>
        <w:rPr>
          <w:rFonts w:hint="eastAsia" w:ascii="楷体_GB2312" w:hAnsi="宋体" w:eastAsia="楷体_GB2312" w:cs="Times New Roman"/>
          <w:b/>
          <w:color w:val="auto"/>
          <w:sz w:val="32"/>
          <w:szCs w:val="32"/>
          <w:highlight w:val="none"/>
          <w:u w:val="none"/>
          <w:lang w:val="zh-CN"/>
        </w:rPr>
        <w:t>（一）</w:t>
      </w:r>
      <w:r>
        <w:rPr>
          <w:rFonts w:hint="eastAsia" w:ascii="楷体_GB2312" w:hAnsi="宋体"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auto"/>
          <w:kern w:val="0"/>
          <w:szCs w:val="32"/>
          <w:highlight w:val="none"/>
          <w:shd w:val="clear" w:color="auto" w:fill="FFFFFF"/>
          <w:lang w:val="zh-CN"/>
        </w:rPr>
        <w:t>绩效分析。</w:t>
      </w:r>
      <w:r>
        <w:rPr>
          <w:rFonts w:hint="eastAsia" w:eastAsia="楷体_GB2312" w:cs="Times New Roman"/>
          <w:b/>
          <w:bCs/>
          <w:color w:val="auto"/>
          <w:kern w:val="0"/>
          <w:szCs w:val="32"/>
          <w:highlight w:val="none"/>
          <w:shd w:val="clear" w:color="auto" w:fill="FFFFFF"/>
          <w:lang w:val="zh-CN"/>
        </w:rPr>
        <w:t>（</w:t>
      </w:r>
      <w:r>
        <w:rPr>
          <w:rFonts w:hint="eastAsia" w:eastAsia="楷体_GB2312" w:cs="Times New Roman"/>
          <w:b/>
          <w:bCs/>
          <w:color w:val="auto"/>
          <w:kern w:val="0"/>
          <w:szCs w:val="32"/>
          <w:highlight w:val="none"/>
          <w:shd w:val="clear" w:color="auto" w:fill="FFFFFF"/>
          <w:lang w:val="en-US" w:eastAsia="zh-CN"/>
        </w:rPr>
        <w:t>50分</w:t>
      </w:r>
      <w:r>
        <w:rPr>
          <w:rFonts w:hint="eastAsia" w:eastAsia="楷体_GB2312" w:cs="Times New Roman"/>
          <w:b/>
          <w:bCs/>
          <w:color w:val="auto"/>
          <w:kern w:val="0"/>
          <w:szCs w:val="32"/>
          <w:highlight w:val="none"/>
          <w:shd w:val="clear" w:color="auto" w:fill="FFFFFF"/>
          <w:lang w:val="zh-CN"/>
        </w:rPr>
        <w:t>）</w:t>
      </w:r>
    </w:p>
    <w:p w14:paraId="4CD07889">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1.</w:t>
      </w:r>
      <w:r>
        <w:rPr>
          <w:rFonts w:hint="eastAsia" w:ascii="楷体_GB2312" w:hAnsi="楷体_GB2312" w:eastAsia="楷体_GB2312" w:cs="楷体_GB2312"/>
          <w:color w:val="auto"/>
          <w:szCs w:val="32"/>
          <w:lang w:eastAsia="zh-CN"/>
        </w:rPr>
        <w:t>项目决策（</w:t>
      </w:r>
      <w:r>
        <w:rPr>
          <w:rFonts w:hint="eastAsia" w:ascii="楷体_GB2312" w:hAnsi="楷体_GB2312" w:eastAsia="楷体_GB2312" w:cs="楷体_GB2312"/>
          <w:color w:val="auto"/>
          <w:szCs w:val="32"/>
          <w:lang w:val="en-US" w:eastAsia="zh-CN"/>
        </w:rPr>
        <w:t>16分</w:t>
      </w:r>
      <w:r>
        <w:rPr>
          <w:rFonts w:hint="eastAsia" w:ascii="楷体_GB2312" w:hAnsi="楷体_GB2312" w:eastAsia="楷体_GB2312" w:cs="楷体_GB2312"/>
          <w:color w:val="auto"/>
          <w:szCs w:val="32"/>
          <w:lang w:eastAsia="zh-CN"/>
        </w:rPr>
        <w:t>）。</w:t>
      </w:r>
      <w:r>
        <w:rPr>
          <w:rFonts w:hint="eastAsia" w:ascii="Times New Roman" w:hAnsi="Times New Roman" w:cs="Times New Roman"/>
          <w:color w:val="auto"/>
          <w:szCs w:val="32"/>
          <w:lang w:eastAsia="zh-CN"/>
        </w:rPr>
        <w:t>项目决策程序严密</w:t>
      </w:r>
      <w:r>
        <w:rPr>
          <w:rFonts w:hint="eastAsia" w:cs="Times New Roman"/>
          <w:color w:val="auto"/>
          <w:szCs w:val="32"/>
          <w:lang w:eastAsia="zh-CN"/>
        </w:rPr>
        <w:t>，</w:t>
      </w:r>
      <w:r>
        <w:rPr>
          <w:rFonts w:hint="eastAsia" w:cs="Times New Roman"/>
          <w:color w:val="auto"/>
          <w:szCs w:val="32"/>
          <w:lang w:val="en-US" w:eastAsia="zh-CN"/>
        </w:rPr>
        <w:t>得6分；项目规划论证符合中省要求，项目绩效目标设置科学合理，得6分；项目资金与项目总体规划、相关行业事业发展相匹配，聚焦重大任务、重点领域、重点环节和重点项目，得4分。</w:t>
      </w:r>
    </w:p>
    <w:p w14:paraId="36FA8AB1">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2.</w:t>
      </w:r>
      <w:r>
        <w:rPr>
          <w:rFonts w:hint="eastAsia" w:ascii="楷体_GB2312" w:hAnsi="楷体_GB2312" w:eastAsia="楷体_GB2312" w:cs="楷体_GB2312"/>
          <w:color w:val="auto"/>
          <w:szCs w:val="32"/>
          <w:lang w:eastAsia="zh-CN"/>
        </w:rPr>
        <w:t>项目管理（</w:t>
      </w:r>
      <w:r>
        <w:rPr>
          <w:rFonts w:hint="eastAsia" w:ascii="楷体_GB2312" w:hAnsi="楷体_GB2312" w:eastAsia="楷体_GB2312" w:cs="楷体_GB2312"/>
          <w:color w:val="auto"/>
          <w:szCs w:val="32"/>
          <w:lang w:val="en-US" w:eastAsia="zh-CN"/>
        </w:rPr>
        <w:t>18分</w:t>
      </w:r>
      <w:r>
        <w:rPr>
          <w:rFonts w:hint="eastAsia" w:ascii="楷体_GB2312" w:hAnsi="楷体_GB2312" w:eastAsia="楷体_GB2312" w:cs="楷体_GB2312"/>
          <w:color w:val="auto"/>
          <w:szCs w:val="32"/>
          <w:lang w:eastAsia="zh-CN"/>
        </w:rPr>
        <w:t>）。</w:t>
      </w:r>
      <w:r>
        <w:rPr>
          <w:rFonts w:hint="eastAsia" w:ascii="Times New Roman" w:hAnsi="Times New Roman" w:cs="Times New Roman"/>
          <w:color w:val="auto"/>
          <w:szCs w:val="32"/>
          <w:lang w:eastAsia="zh-CN"/>
        </w:rPr>
        <w:t>项目制度办法体系健全、要素完备</w:t>
      </w:r>
      <w:r>
        <w:rPr>
          <w:rFonts w:hint="eastAsia" w:cs="Times New Roman"/>
          <w:color w:val="auto"/>
          <w:szCs w:val="32"/>
          <w:lang w:eastAsia="zh-CN"/>
        </w:rPr>
        <w:t>，</w:t>
      </w:r>
      <w:r>
        <w:rPr>
          <w:rFonts w:hint="eastAsia" w:cs="Times New Roman"/>
          <w:color w:val="auto"/>
          <w:szCs w:val="32"/>
          <w:lang w:val="en-US" w:eastAsia="zh-CN"/>
        </w:rPr>
        <w:t>得2分；项目资金分配因素选取、权重设置、区域分布，项目管理、审批符合管理要求得10分；管资金、项目、政策是管绩效，项目绩效监管按要求开展，对下指导有力有效，得6分。</w:t>
      </w:r>
    </w:p>
    <w:p w14:paraId="025D0A52">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default" w:cs="Times New Roman"/>
          <w:color w:val="auto"/>
          <w:szCs w:val="32"/>
          <w:lang w:val="en-US" w:eastAsia="zh-CN"/>
        </w:rPr>
      </w:pPr>
      <w:r>
        <w:rPr>
          <w:rFonts w:hint="eastAsia" w:ascii="楷体_GB2312" w:hAnsi="楷体_GB2312" w:eastAsia="楷体_GB2312" w:cs="楷体_GB2312"/>
          <w:color w:val="auto"/>
          <w:szCs w:val="32"/>
          <w:lang w:val="en-US" w:eastAsia="zh-CN"/>
        </w:rPr>
        <w:t>3.项目实施（8分）。</w:t>
      </w:r>
      <w:r>
        <w:rPr>
          <w:rFonts w:hint="eastAsia" w:ascii="Times New Roman" w:hAnsi="Times New Roman" w:cs="Times New Roman"/>
          <w:color w:val="auto"/>
          <w:szCs w:val="32"/>
          <w:lang w:eastAsia="zh-CN"/>
        </w:rPr>
        <w:t>项目资金财政拨付、单位执行和地方配套</w:t>
      </w:r>
      <w:r>
        <w:rPr>
          <w:rFonts w:hint="eastAsia" w:cs="Times New Roman"/>
          <w:color w:val="auto"/>
          <w:szCs w:val="32"/>
          <w:lang w:val="en-US" w:eastAsia="zh-CN"/>
        </w:rPr>
        <w:t>全部</w:t>
      </w:r>
      <w:r>
        <w:rPr>
          <w:rFonts w:hint="eastAsia" w:ascii="Times New Roman" w:hAnsi="Times New Roman" w:cs="Times New Roman"/>
          <w:color w:val="auto"/>
          <w:szCs w:val="32"/>
          <w:lang w:eastAsia="zh-CN"/>
        </w:rPr>
        <w:t>到位</w:t>
      </w:r>
      <w:r>
        <w:rPr>
          <w:rFonts w:hint="eastAsia" w:cs="Times New Roman"/>
          <w:color w:val="auto"/>
          <w:szCs w:val="32"/>
          <w:lang w:eastAsia="zh-CN"/>
        </w:rPr>
        <w:t>，</w:t>
      </w:r>
      <w:r>
        <w:rPr>
          <w:rFonts w:hint="eastAsia" w:cs="Times New Roman"/>
          <w:color w:val="auto"/>
          <w:szCs w:val="32"/>
          <w:lang w:val="en-US" w:eastAsia="zh-CN"/>
        </w:rPr>
        <w:t>得6分；资金使用拨付、项目实施符合规定，得2分。</w:t>
      </w:r>
    </w:p>
    <w:p w14:paraId="053C6D18">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default" w:ascii="Times New Roman" w:hAnsi="Times New Roman" w:cs="Times New Roman"/>
          <w:color w:val="auto"/>
          <w:szCs w:val="32"/>
          <w:lang w:val="en-US" w:eastAsia="zh-CN"/>
        </w:rPr>
      </w:pPr>
      <w:r>
        <w:rPr>
          <w:rFonts w:hint="eastAsia" w:ascii="楷体_GB2312" w:hAnsi="楷体_GB2312" w:eastAsia="楷体_GB2312" w:cs="楷体_GB2312"/>
          <w:color w:val="auto"/>
          <w:szCs w:val="32"/>
          <w:lang w:val="en-US" w:eastAsia="zh-CN"/>
        </w:rPr>
        <w:t>4.项目结果（8分）。</w:t>
      </w:r>
      <w:r>
        <w:rPr>
          <w:rFonts w:hint="eastAsia" w:cs="Times New Roman"/>
          <w:color w:val="auto"/>
          <w:szCs w:val="32"/>
          <w:lang w:eastAsia="zh-CN"/>
        </w:rPr>
        <w:t>项目完成预期目标，实施结果与绩效目标相匹配，反映目标实现程度，</w:t>
      </w:r>
      <w:r>
        <w:rPr>
          <w:rFonts w:hint="eastAsia" w:cs="Times New Roman"/>
          <w:color w:val="auto"/>
          <w:szCs w:val="32"/>
          <w:lang w:val="en-US" w:eastAsia="zh-CN"/>
        </w:rPr>
        <w:t>得6分；项目实际完成时间与计划完成时间相符，得2分。</w:t>
      </w:r>
    </w:p>
    <w:p w14:paraId="5B1B6CB7">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eastAsia" w:ascii="楷体_GB2312" w:hAnsi="楷体_GB2312" w:eastAsia="楷体_GB2312" w:cs="楷体_GB2312"/>
          <w:color w:val="auto"/>
          <w:szCs w:val="32"/>
          <w:lang w:val="zh-CN" w:eastAsia="zh-CN"/>
        </w:rPr>
      </w:pPr>
      <w:r>
        <w:rPr>
          <w:rFonts w:hint="eastAsia" w:ascii="楷体_GB2312" w:hAnsi="宋体" w:eastAsia="楷体_GB2312" w:cs="Times New Roman"/>
          <w:b/>
          <w:color w:val="auto"/>
          <w:sz w:val="32"/>
          <w:szCs w:val="32"/>
          <w:highlight w:val="none"/>
          <w:u w:val="none"/>
          <w:lang w:val="zh-CN"/>
        </w:rPr>
        <w:t>（二）</w:t>
      </w:r>
      <w:r>
        <w:rPr>
          <w:rFonts w:hint="eastAsia" w:ascii="楷体_GB2312" w:hAnsi="宋体"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auto"/>
          <w:kern w:val="0"/>
          <w:szCs w:val="32"/>
          <w:highlight w:val="none"/>
          <w:shd w:val="clear" w:color="auto" w:fill="FFFFFF"/>
          <w:lang w:val="zh-CN"/>
        </w:rPr>
        <w:t>绩效分析。</w:t>
      </w:r>
      <w:r>
        <w:rPr>
          <w:rFonts w:hint="eastAsia" w:eastAsia="楷体_GB2312" w:cs="Times New Roman"/>
          <w:b/>
          <w:bCs/>
          <w:color w:val="auto"/>
          <w:kern w:val="0"/>
          <w:szCs w:val="32"/>
          <w:highlight w:val="none"/>
          <w:shd w:val="clear" w:color="auto" w:fill="FFFFFF"/>
          <w:lang w:val="zh-CN"/>
        </w:rPr>
        <w:t>（</w:t>
      </w:r>
      <w:r>
        <w:rPr>
          <w:rFonts w:hint="eastAsia" w:eastAsia="楷体_GB2312" w:cs="Times New Roman"/>
          <w:b/>
          <w:bCs/>
          <w:color w:val="auto"/>
          <w:kern w:val="0"/>
          <w:szCs w:val="32"/>
          <w:highlight w:val="none"/>
          <w:shd w:val="clear" w:color="auto" w:fill="FFFFFF"/>
          <w:lang w:val="en-US" w:eastAsia="zh-CN"/>
        </w:rPr>
        <w:t>30分</w:t>
      </w:r>
      <w:r>
        <w:rPr>
          <w:rFonts w:hint="eastAsia" w:eastAsia="楷体_GB2312" w:cs="Times New Roman"/>
          <w:b/>
          <w:bCs/>
          <w:color w:val="auto"/>
          <w:kern w:val="0"/>
          <w:szCs w:val="32"/>
          <w:highlight w:val="none"/>
          <w:shd w:val="clear" w:color="auto" w:fill="FFFFFF"/>
          <w:lang w:val="zh-CN"/>
        </w:rPr>
        <w:t>）</w:t>
      </w:r>
      <w:r>
        <w:rPr>
          <w:rFonts w:hint="eastAsia" w:ascii="Times New Roman" w:hAnsi="Times New Roman" w:cs="Times New Roman"/>
          <w:color w:val="auto"/>
          <w:szCs w:val="32"/>
          <w:lang w:val="zh-CN" w:eastAsia="zh-CN"/>
        </w:rPr>
        <w:t>根据</w:t>
      </w:r>
      <w:r>
        <w:rPr>
          <w:rFonts w:hint="eastAsia" w:ascii="Times New Roman" w:hAnsi="Times New Roman" w:cs="Times New Roman"/>
          <w:color w:val="auto"/>
          <w:szCs w:val="32"/>
          <w:lang w:val="en-US" w:eastAsia="zh-CN"/>
        </w:rPr>
        <w:t>专项预算项目</w:t>
      </w:r>
      <w:r>
        <w:rPr>
          <w:rFonts w:hint="eastAsia" w:cs="Times New Roman"/>
          <w:color w:val="auto"/>
          <w:szCs w:val="32"/>
          <w:lang w:val="en-US" w:eastAsia="zh-CN"/>
        </w:rPr>
        <w:t>资金支持对象</w:t>
      </w:r>
      <w:r>
        <w:rPr>
          <w:rFonts w:hint="eastAsia" w:ascii="Times New Roman" w:hAnsi="Times New Roman" w:cs="Times New Roman"/>
          <w:color w:val="auto"/>
          <w:szCs w:val="32"/>
          <w:lang w:val="en-US" w:eastAsia="zh-CN"/>
        </w:rPr>
        <w:t>选择所属指标进行绩效分析。</w:t>
      </w:r>
      <w:r>
        <w:rPr>
          <w:rFonts w:hint="eastAsia" w:cs="Times New Roman"/>
          <w:color w:val="auto"/>
          <w:szCs w:val="32"/>
          <w:lang w:val="en-US" w:eastAsia="zh-CN"/>
        </w:rPr>
        <w:t>支持对象</w:t>
      </w:r>
      <w:r>
        <w:rPr>
          <w:rFonts w:hint="eastAsia" w:ascii="Times New Roman" w:hAnsi="Times New Roman" w:cs="Times New Roman"/>
          <w:color w:val="auto"/>
          <w:szCs w:val="32"/>
          <w:lang w:val="zh-CN" w:eastAsia="zh-CN"/>
        </w:rPr>
        <w:t>包括产业发展、民生保障、基础设施、行政运转等方面。</w:t>
      </w:r>
    </w:p>
    <w:p w14:paraId="47BDB2DC">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本项目属于民生保障类（30分）：</w:t>
      </w:r>
    </w:p>
    <w:p w14:paraId="56321FFF">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按规定用途、适用范围精准分配专项资金，聚焦学校运转保障，使用范围合规（得10分）；</w:t>
      </w:r>
    </w:p>
    <w:p w14:paraId="76FB7762">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资金管理程序严格遵循四川省</w:t>
      </w:r>
      <w:r>
        <w:rPr>
          <w:rFonts w:hint="eastAsia" w:cs="Times New Roman"/>
          <w:color w:val="auto"/>
          <w:szCs w:val="32"/>
          <w:lang w:val="en-US" w:eastAsia="zh-CN"/>
        </w:rPr>
        <w:t>相关</w:t>
      </w:r>
      <w:r>
        <w:rPr>
          <w:rFonts w:hint="eastAsia" w:ascii="Times New Roman" w:hAnsi="Times New Roman" w:cs="Times New Roman"/>
          <w:color w:val="auto"/>
          <w:szCs w:val="32"/>
          <w:lang w:val="en-US" w:eastAsia="zh-CN"/>
        </w:rPr>
        <w:t>经费管理办法，流程规范、审批齐全（得10分）；</w:t>
      </w:r>
    </w:p>
    <w:p w14:paraId="46A0B506">
      <w:pPr>
        <w:keepNext w:val="0"/>
        <w:keepLines w:val="0"/>
        <w:pageBreakBefore w:val="0"/>
        <w:widowControl w:val="0"/>
        <w:kinsoku/>
        <w:wordWrap/>
        <w:overflowPunct/>
        <w:topLinePunct w:val="0"/>
        <w:autoSpaceDE/>
        <w:autoSpaceDN/>
        <w:bidi w:val="0"/>
        <w:adjustRightInd/>
        <w:snapToGrid/>
        <w:spacing w:line="578" w:lineRule="exact"/>
        <w:ind w:firstLine="420" w:firstLineChars="200"/>
        <w:textAlignment w:val="auto"/>
        <w:outlineLvl w:val="9"/>
        <w:rPr>
          <w:rFonts w:hint="eastAsia" w:ascii="Times New Roman" w:hAnsi="Times New Roman" w:cs="Times New Roman"/>
          <w:color w:val="auto"/>
          <w:szCs w:val="32"/>
          <w:lang w:val="en-US" w:eastAsia="zh-CN"/>
        </w:rPr>
      </w:pPr>
      <w:r>
        <w:rPr>
          <w:rFonts w:hint="eastAsia" w:ascii="Times New Roman" w:hAnsi="Times New Roman" w:cs="Times New Roman"/>
          <w:color w:val="auto"/>
          <w:szCs w:val="32"/>
          <w:lang w:val="en-US" w:eastAsia="zh-CN"/>
        </w:rPr>
        <w:t>资金分配标准结合在校生数、办学规模科学制定，符合专项资金管理要求（得10分）。</w:t>
      </w:r>
    </w:p>
    <w:p w14:paraId="359B2A85">
      <w:pPr>
        <w:keepNext w:val="0"/>
        <w:keepLines w:val="0"/>
        <w:pageBreakBefore w:val="0"/>
        <w:widowControl w:val="0"/>
        <w:kinsoku/>
        <w:wordWrap/>
        <w:overflowPunct/>
        <w:topLinePunct w:val="0"/>
        <w:autoSpaceDE/>
        <w:autoSpaceDN/>
        <w:bidi w:val="0"/>
        <w:adjustRightInd/>
        <w:snapToGrid/>
        <w:spacing w:line="578" w:lineRule="exact"/>
        <w:ind w:firstLine="643" w:firstLineChars="200"/>
        <w:textAlignment w:val="auto"/>
        <w:outlineLvl w:val="9"/>
        <w:rPr>
          <w:rFonts w:hint="default" w:cs="Times New Roman"/>
          <w:color w:val="auto"/>
          <w:szCs w:val="32"/>
          <w:lang w:val="en-US" w:eastAsia="zh-CN"/>
        </w:rPr>
      </w:pPr>
      <w:r>
        <w:rPr>
          <w:rFonts w:hint="eastAsia" w:ascii="楷体_GB2312" w:hAnsi="宋体" w:eastAsia="楷体_GB2312" w:cs="Times New Roman"/>
          <w:b/>
          <w:color w:val="auto"/>
          <w:sz w:val="32"/>
          <w:szCs w:val="32"/>
          <w:highlight w:val="none"/>
          <w:u w:val="none"/>
          <w:lang w:val="zh-CN"/>
        </w:rPr>
        <w:t>（三）</w:t>
      </w:r>
      <w:r>
        <w:rPr>
          <w:rFonts w:hint="eastAsia" w:ascii="楷体_GB2312" w:hAnsi="宋体"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auto"/>
          <w:kern w:val="0"/>
          <w:szCs w:val="32"/>
          <w:highlight w:val="none"/>
          <w:shd w:val="clear" w:color="auto" w:fill="FFFFFF"/>
          <w:lang w:val="zh-CN"/>
        </w:rPr>
        <w:t>绩效分析</w:t>
      </w:r>
      <w:r>
        <w:rPr>
          <w:rFonts w:hint="eastAsia" w:eastAsia="楷体_GB2312" w:cs="Times New Roman"/>
          <w:b/>
          <w:bCs/>
          <w:color w:val="auto"/>
          <w:kern w:val="0"/>
          <w:szCs w:val="32"/>
          <w:highlight w:val="none"/>
          <w:shd w:val="clear" w:color="auto" w:fill="FFFFFF"/>
          <w:lang w:val="zh-CN"/>
        </w:rPr>
        <w:t>（</w:t>
      </w:r>
      <w:r>
        <w:rPr>
          <w:rFonts w:hint="eastAsia" w:eastAsia="楷体_GB2312" w:cs="Times New Roman"/>
          <w:b/>
          <w:bCs/>
          <w:color w:val="auto"/>
          <w:kern w:val="0"/>
          <w:szCs w:val="32"/>
          <w:highlight w:val="none"/>
          <w:shd w:val="clear" w:color="auto" w:fill="FFFFFF"/>
          <w:lang w:val="en-US" w:eastAsia="zh-CN"/>
        </w:rPr>
        <w:t>14分</w:t>
      </w:r>
      <w:r>
        <w:rPr>
          <w:rFonts w:hint="eastAsia" w:eastAsia="楷体_GB2312" w:cs="Times New Roman"/>
          <w:b/>
          <w:bCs/>
          <w:color w:val="auto"/>
          <w:kern w:val="0"/>
          <w:szCs w:val="32"/>
          <w:highlight w:val="none"/>
          <w:shd w:val="clear" w:color="auto" w:fill="FFFFFF"/>
          <w:lang w:val="zh-CN"/>
        </w:rPr>
        <w:t>）</w:t>
      </w:r>
      <w:r>
        <w:rPr>
          <w:rFonts w:hint="default" w:ascii="Times New Roman" w:hAnsi="Times New Roman" w:eastAsia="楷体_GB2312" w:cs="Times New Roman"/>
          <w:b/>
          <w:bCs/>
          <w:color w:val="auto"/>
          <w:kern w:val="0"/>
          <w:szCs w:val="32"/>
          <w:highlight w:val="none"/>
          <w:shd w:val="clear" w:color="auto" w:fill="FFFFFF"/>
          <w:lang w:val="zh-CN"/>
        </w:rPr>
        <w:t>。</w:t>
      </w:r>
      <w:r>
        <w:rPr>
          <w:rFonts w:hint="eastAsia" w:cs="Times New Roman"/>
          <w:color w:val="auto"/>
          <w:szCs w:val="32"/>
          <w:lang w:val="zh-CN" w:eastAsia="zh-CN"/>
        </w:rPr>
        <w:t>每年年底完成</w:t>
      </w:r>
      <w:r>
        <w:rPr>
          <w:rFonts w:hint="eastAsia" w:cs="Times New Roman"/>
          <w:color w:val="auto"/>
          <w:szCs w:val="32"/>
          <w:lang w:val="en-US" w:eastAsia="zh-CN"/>
        </w:rPr>
        <w:t>公用经费</w:t>
      </w:r>
      <w:r>
        <w:rPr>
          <w:rFonts w:hint="eastAsia" w:cs="Times New Roman"/>
          <w:color w:val="auto"/>
          <w:szCs w:val="32"/>
          <w:lang w:val="zh-CN" w:eastAsia="zh-CN"/>
        </w:rPr>
        <w:t>的发放，</w:t>
      </w:r>
      <w:r>
        <w:rPr>
          <w:rFonts w:hint="eastAsia" w:cs="Times New Roman"/>
          <w:color w:val="auto"/>
          <w:szCs w:val="32"/>
          <w:lang w:val="en-US" w:eastAsia="zh-CN"/>
        </w:rPr>
        <w:t>得6分；改善基本办学条件，得4分；学前阶段巩固率的真实情况，得4分。</w:t>
      </w:r>
    </w:p>
    <w:p w14:paraId="4D83413E">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olor w:val="auto"/>
          <w:sz w:val="32"/>
          <w:szCs w:val="32"/>
          <w:highlight w:val="none"/>
          <w:u w:val="none"/>
        </w:rPr>
      </w:pPr>
      <w:r>
        <w:rPr>
          <w:rFonts w:hint="eastAsia" w:ascii="黑体" w:hAnsi="宋体" w:eastAsia="黑体"/>
          <w:color w:val="auto"/>
          <w:sz w:val="32"/>
          <w:szCs w:val="32"/>
          <w:highlight w:val="none"/>
          <w:u w:val="none"/>
          <w:lang w:eastAsia="zh-CN"/>
        </w:rPr>
        <w:t>四</w:t>
      </w:r>
      <w:r>
        <w:rPr>
          <w:rFonts w:hint="eastAsia" w:ascii="黑体" w:hAnsi="宋体" w:eastAsia="黑体"/>
          <w:color w:val="auto"/>
          <w:sz w:val="32"/>
          <w:szCs w:val="32"/>
          <w:highlight w:val="none"/>
          <w:u w:val="none"/>
        </w:rPr>
        <w:t>、评价结论</w:t>
      </w:r>
    </w:p>
    <w:p w14:paraId="2F3F750C">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黑体" w:cs="黑体"/>
          <w:b w:val="0"/>
          <w:bCs w:val="0"/>
          <w:color w:val="auto"/>
          <w:kern w:val="2"/>
          <w:position w:val="0"/>
          <w:sz w:val="32"/>
          <w:szCs w:val="32"/>
          <w:highlight w:val="none"/>
          <w:lang w:val="en-US" w:eastAsia="zh-CN" w:bidi="ar-SA"/>
        </w:rPr>
      </w:pPr>
      <w:r>
        <w:rPr>
          <w:rFonts w:hint="eastAsia" w:ascii="仿宋_GB2312" w:hAnsi="仿宋_GB2312" w:eastAsia="仿宋_GB2312" w:cs="仿宋_GB2312"/>
          <w:b w:val="0"/>
          <w:bCs w:val="0"/>
          <w:color w:val="auto"/>
          <w:sz w:val="32"/>
          <w:szCs w:val="32"/>
          <w:highlight w:val="none"/>
          <w:lang w:val="zh-CN"/>
        </w:rPr>
        <w:t>经评价，该项目总体完成情况较好，资金绩效目标明确，</w:t>
      </w:r>
      <w:r>
        <w:rPr>
          <w:rFonts w:hint="eastAsia" w:ascii="仿宋_GB2312" w:hAnsi="仿宋_GB2312" w:eastAsia="仿宋_GB2312" w:cs="仿宋_GB2312"/>
          <w:b w:val="0"/>
          <w:bCs w:val="0"/>
          <w:color w:val="auto"/>
          <w:sz w:val="32"/>
          <w:szCs w:val="32"/>
          <w:highlight w:val="none"/>
          <w:lang w:val="en-US" w:eastAsia="zh-CN"/>
        </w:rPr>
        <w:t>总得分94分，</w:t>
      </w:r>
      <w:r>
        <w:rPr>
          <w:rFonts w:hint="eastAsia" w:ascii="仿宋_GB2312" w:hAnsi="仿宋_GB2312" w:eastAsia="仿宋_GB2312" w:cs="仿宋_GB2312"/>
          <w:b w:val="0"/>
          <w:bCs w:val="0"/>
          <w:color w:val="auto"/>
          <w:sz w:val="32"/>
          <w:szCs w:val="32"/>
          <w:highlight w:val="none"/>
          <w:lang w:val="zh-CN"/>
        </w:rPr>
        <w:t>项目和资金管理较为落实，整体项目效果较好。</w:t>
      </w:r>
    </w:p>
    <w:p w14:paraId="200A8DF8">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sz w:val="32"/>
          <w:szCs w:val="32"/>
          <w:highlight w:val="none"/>
          <w:u w:val="none"/>
          <w:lang w:eastAsia="zh-CN"/>
        </w:rPr>
      </w:pPr>
      <w:bookmarkStart w:id="53" w:name="_Hlk110546638"/>
      <w:r>
        <w:rPr>
          <w:rFonts w:hint="eastAsia" w:ascii="黑体" w:hAnsi="宋体" w:cs="Times New Roman"/>
          <w:color w:val="auto"/>
          <w:sz w:val="32"/>
          <w:szCs w:val="32"/>
          <w:highlight w:val="none"/>
          <w:u w:val="none"/>
          <w:lang w:eastAsia="zh-CN"/>
        </w:rPr>
        <w:t>五、</w:t>
      </w:r>
      <w:r>
        <w:rPr>
          <w:rFonts w:hint="eastAsia" w:ascii="黑体" w:hAnsi="宋体" w:eastAsia="黑体" w:cs="Times New Roman"/>
          <w:color w:val="auto"/>
          <w:sz w:val="32"/>
          <w:szCs w:val="32"/>
          <w:highlight w:val="none"/>
          <w:u w:val="none"/>
          <w:lang w:eastAsia="zh-CN"/>
        </w:rPr>
        <w:t>存在主要问题</w:t>
      </w:r>
    </w:p>
    <w:p w14:paraId="1DDD3902">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仿宋_GB2312" w:hAnsi="仿宋_GB2312" w:eastAsia="仿宋_GB2312" w:cs="仿宋_GB2312"/>
          <w:b w:val="0"/>
          <w:bCs w:val="0"/>
          <w:color w:val="auto"/>
          <w:kern w:val="0"/>
          <w:position w:val="0"/>
          <w:sz w:val="32"/>
          <w:szCs w:val="32"/>
          <w:highlight w:val="none"/>
          <w:lang w:val="en-US" w:eastAsia="zh-CN" w:bidi="ar-SA"/>
        </w:rPr>
      </w:pPr>
      <w:r>
        <w:rPr>
          <w:rFonts w:hint="eastAsia" w:ascii="仿宋_GB2312" w:hAnsi="仿宋_GB2312" w:eastAsia="仿宋_GB2312" w:cs="仿宋_GB2312"/>
          <w:b w:val="0"/>
          <w:bCs w:val="0"/>
          <w:color w:val="auto"/>
          <w:sz w:val="32"/>
          <w:szCs w:val="32"/>
          <w:highlight w:val="none"/>
          <w:lang w:val="zh-CN"/>
        </w:rPr>
        <w:t>虽然项目整体完成情况良好，‌但在绩效管理工作中存在一些不足，‌如项目支出绩效指标设置不够合理、‌准确，‌绩效目标管理的规范性有待提升。</w:t>
      </w:r>
    </w:p>
    <w:p w14:paraId="3CE0BC26">
      <w:pPr>
        <w:pStyle w:val="6"/>
        <w:pageBreakBefore w:val="0"/>
        <w:numPr>
          <w:ilvl w:val="0"/>
          <w:numId w:val="0"/>
        </w:numPr>
        <w:tabs>
          <w:tab w:val="left" w:pos="2160"/>
        </w:tabs>
        <w:kinsoku/>
        <w:wordWrap/>
        <w:overflowPunct/>
        <w:topLinePunct w:val="0"/>
        <w:autoSpaceDE/>
        <w:autoSpaceDN/>
        <w:bidi w:val="0"/>
        <w:adjustRightInd/>
        <w:spacing w:line="600" w:lineRule="exact"/>
        <w:ind w:firstLine="640" w:firstLineChars="200"/>
        <w:textAlignment w:val="auto"/>
        <w:rPr>
          <w:rFonts w:hint="eastAsia" w:ascii="黑体" w:hAnsi="宋体" w:eastAsia="黑体" w:cs="Times New Roman"/>
          <w:color w:val="auto"/>
          <w:kern w:val="0"/>
          <w:position w:val="3"/>
          <w:sz w:val="32"/>
          <w:szCs w:val="32"/>
          <w:highlight w:val="none"/>
          <w:u w:val="none"/>
          <w:lang w:val="zh-CN" w:eastAsia="zh-CN" w:bidi="ar-SA"/>
        </w:rPr>
      </w:pPr>
      <w:r>
        <w:rPr>
          <w:rFonts w:hint="eastAsia" w:ascii="黑体" w:hAnsi="宋体" w:eastAsia="黑体" w:cs="Times New Roman"/>
          <w:color w:val="auto"/>
          <w:kern w:val="0"/>
          <w:position w:val="3"/>
          <w:sz w:val="32"/>
          <w:szCs w:val="32"/>
          <w:highlight w:val="none"/>
          <w:u w:val="none"/>
          <w:lang w:val="zh-CN" w:eastAsia="zh-CN" w:bidi="ar-SA"/>
        </w:rPr>
        <w:t>六、改进建议</w:t>
      </w:r>
    </w:p>
    <w:bookmarkEnd w:id="53"/>
    <w:p w14:paraId="0057139C">
      <w:pPr>
        <w:ind w:firstLine="640" w:firstLineChars="200"/>
        <w:rPr>
          <w:rFonts w:hint="eastAsia" w:ascii="仿宋_GB2312" w:hAnsi="仿宋_GB2312" w:eastAsia="仿宋_GB2312" w:cs="仿宋_GB2312"/>
          <w:b w:val="0"/>
          <w:bCs w:val="0"/>
          <w:color w:val="auto"/>
          <w:kern w:val="0"/>
          <w:position w:val="3"/>
          <w:sz w:val="32"/>
          <w:szCs w:val="32"/>
          <w:highlight w:val="none"/>
          <w:lang w:val="zh-CN" w:eastAsia="en-US" w:bidi="ar-SA"/>
        </w:rPr>
      </w:pPr>
      <w:r>
        <w:rPr>
          <w:rFonts w:hint="eastAsia" w:ascii="仿宋_GB2312" w:hAnsi="仿宋_GB2312" w:eastAsia="仿宋_GB2312" w:cs="仿宋_GB2312"/>
          <w:b w:val="0"/>
          <w:bCs w:val="0"/>
          <w:color w:val="auto"/>
          <w:kern w:val="0"/>
          <w:position w:val="3"/>
          <w:sz w:val="32"/>
          <w:szCs w:val="32"/>
          <w:highlight w:val="none"/>
          <w:lang w:val="zh-CN" w:eastAsia="en-US" w:bidi="ar-SA"/>
        </w:rPr>
        <w:t>（一）完善项目绩效指标，进一步发挥绩效目标导向性作用。</w:t>
      </w:r>
    </w:p>
    <w:p w14:paraId="2BD8DF27">
      <w:pPr>
        <w:ind w:firstLine="640" w:firstLineChars="200"/>
        <w:rPr>
          <w:rFonts w:hint="eastAsia" w:ascii="仿宋_GB2312" w:hAnsi="仿宋_GB2312" w:eastAsia="仿宋_GB2312" w:cs="仿宋_GB2312"/>
          <w:b w:val="0"/>
          <w:bCs w:val="0"/>
          <w:color w:val="auto"/>
          <w:kern w:val="0"/>
          <w:position w:val="3"/>
          <w:sz w:val="32"/>
          <w:szCs w:val="32"/>
          <w:highlight w:val="none"/>
          <w:lang w:val="zh-CN" w:eastAsia="en-US" w:bidi="ar-SA"/>
        </w:rPr>
      </w:pPr>
      <w:r>
        <w:rPr>
          <w:rFonts w:hint="eastAsia" w:ascii="仿宋_GB2312" w:hAnsi="仿宋_GB2312" w:eastAsia="仿宋_GB2312" w:cs="仿宋_GB2312"/>
          <w:b w:val="0"/>
          <w:bCs w:val="0"/>
          <w:color w:val="auto"/>
          <w:kern w:val="0"/>
          <w:position w:val="3"/>
          <w:sz w:val="32"/>
          <w:szCs w:val="32"/>
          <w:highlight w:val="none"/>
          <w:lang w:val="zh-CN" w:eastAsia="en-US" w:bidi="ar-SA"/>
        </w:rPr>
        <w:t>（二）建立健全管理机制，加大监管力度，实时跟踪各学校执行情况，规范学校资金管理水平。</w:t>
      </w:r>
    </w:p>
    <w:p w14:paraId="54978077">
      <w:pPr>
        <w:ind w:firstLine="640" w:firstLineChars="200"/>
        <w:rPr>
          <w:rFonts w:hint="eastAsia" w:ascii="仿宋_GB2312" w:hAnsi="仿宋_GB2312" w:eastAsia="仿宋_GB2312" w:cs="仿宋_GB2312"/>
          <w:b w:val="0"/>
          <w:bCs w:val="0"/>
          <w:color w:val="auto"/>
          <w:kern w:val="0"/>
          <w:position w:val="3"/>
          <w:sz w:val="32"/>
          <w:szCs w:val="32"/>
          <w:highlight w:val="none"/>
          <w:lang w:val="zh-CN" w:eastAsia="en-US" w:bidi="ar-SA"/>
        </w:rPr>
      </w:pPr>
      <w:r>
        <w:rPr>
          <w:rFonts w:hint="eastAsia" w:ascii="仿宋_GB2312" w:hAnsi="仿宋_GB2312" w:eastAsia="仿宋_GB2312" w:cs="仿宋_GB2312"/>
          <w:b w:val="0"/>
          <w:bCs w:val="0"/>
          <w:color w:val="auto"/>
          <w:kern w:val="0"/>
          <w:position w:val="3"/>
          <w:sz w:val="32"/>
          <w:szCs w:val="32"/>
          <w:highlight w:val="none"/>
          <w:lang w:val="zh-CN" w:eastAsia="en-US" w:bidi="ar-SA"/>
        </w:rPr>
        <w:t>（三）及时监督学校，重视教师培训，提高教师队伍素质水平。</w:t>
      </w:r>
    </w:p>
    <w:p w14:paraId="2F6B9F04">
      <w:pPr>
        <w:ind w:firstLine="640" w:firstLineChars="200"/>
        <w:rPr>
          <w:rFonts w:hint="eastAsia" w:ascii="仿宋_GB2312" w:hAnsi="仿宋_GB2312" w:cs="仿宋_GB2312"/>
          <w:b w:val="0"/>
          <w:bCs w:val="0"/>
          <w:color w:val="auto"/>
          <w:kern w:val="0"/>
          <w:position w:val="3"/>
          <w:sz w:val="32"/>
          <w:szCs w:val="32"/>
          <w:highlight w:val="none"/>
          <w:lang w:val="zh-CN" w:eastAsia="en-US" w:bidi="ar-SA"/>
        </w:rPr>
      </w:pPr>
      <w:r>
        <w:rPr>
          <w:rFonts w:hint="eastAsia" w:ascii="仿宋_GB2312" w:hAnsi="仿宋_GB2312" w:eastAsia="仿宋_GB2312" w:cs="仿宋_GB2312"/>
          <w:b w:val="0"/>
          <w:bCs w:val="0"/>
          <w:color w:val="auto"/>
          <w:kern w:val="0"/>
          <w:position w:val="3"/>
          <w:sz w:val="32"/>
          <w:szCs w:val="32"/>
          <w:highlight w:val="none"/>
          <w:lang w:val="zh-CN" w:eastAsia="en-US" w:bidi="ar-SA"/>
        </w:rPr>
        <w:t>（四）进一步督促学校改善教学条件和教学环境，提升教育公共服务水平</w:t>
      </w:r>
      <w:r>
        <w:rPr>
          <w:rFonts w:hint="eastAsia" w:ascii="仿宋_GB2312" w:hAnsi="仿宋_GB2312" w:cs="仿宋_GB2312"/>
          <w:b w:val="0"/>
          <w:bCs w:val="0"/>
          <w:color w:val="auto"/>
          <w:kern w:val="0"/>
          <w:position w:val="3"/>
          <w:sz w:val="32"/>
          <w:szCs w:val="32"/>
          <w:highlight w:val="none"/>
          <w:lang w:val="zh-CN" w:eastAsia="en-US" w:bidi="ar-SA"/>
        </w:rPr>
        <w:t>。</w:t>
      </w:r>
    </w:p>
    <w:p w14:paraId="7E0E433F">
      <w:pPr>
        <w:ind w:firstLine="480" w:firstLineChars="200"/>
        <w:rPr>
          <w:rFonts w:hint="default" w:ascii="黑体" w:hAnsi="黑体" w:eastAsia="黑体" w:cs="黑体"/>
          <w:color w:val="auto"/>
          <w:sz w:val="24"/>
          <w:szCs w:val="24"/>
          <w:highlight w:val="none"/>
          <w:lang w:val="en-US" w:eastAsia="zh-CN"/>
        </w:rPr>
      </w:pPr>
    </w:p>
    <w:p w14:paraId="29A181C2">
      <w:pPr>
        <w:pStyle w:val="8"/>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yellow"/>
          <w:lang w:val="zh-CN" w:eastAsia="zh-CN"/>
        </w:rPr>
      </w:pPr>
    </w:p>
    <w:p w14:paraId="12BC25B6">
      <w:pPr>
        <w:pStyle w:val="6"/>
        <w:rPr>
          <w:rFonts w:hint="eastAsia" w:ascii="Times New Roman" w:hAnsi="Times New Roman" w:cs="宋体"/>
          <w:color w:val="FF0000"/>
          <w:kern w:val="0"/>
          <w:sz w:val="32"/>
          <w:szCs w:val="32"/>
          <w:highlight w:val="yellow"/>
          <w:shd w:val="clear" w:color="auto" w:fill="FFFFFF"/>
          <w:lang w:val="zh-CN"/>
        </w:rPr>
      </w:pPr>
    </w:p>
    <w:p w14:paraId="2798459F">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14:paraId="22586727">
      <w:pPr>
        <w:pStyle w:val="6"/>
        <w:rPr>
          <w:rFonts w:hint="eastAsia" w:ascii="Times New Roman" w:hAnsi="Times New Roman" w:eastAsia="黑体" w:cs="黑体"/>
          <w:color w:val="auto"/>
          <w:sz w:val="32"/>
          <w:szCs w:val="32"/>
          <w:highlight w:val="none"/>
          <w:lang w:val="en-US" w:eastAsia="zh-CN"/>
        </w:rPr>
      </w:pPr>
      <w:r>
        <w:rPr>
          <w:rFonts w:hint="eastAsia" w:ascii="Times New Roman" w:hAnsi="Times New Roman" w:eastAsia="黑体" w:cs="黑体"/>
          <w:color w:val="auto"/>
          <w:kern w:val="0"/>
          <w:sz w:val="32"/>
          <w:szCs w:val="32"/>
          <w:highlight w:val="none"/>
          <w:shd w:val="clear" w:color="auto" w:fill="FFFFFF"/>
          <w:lang w:val="zh-CN"/>
        </w:rPr>
        <w:t>附件</w:t>
      </w:r>
      <w:r>
        <w:rPr>
          <w:rFonts w:hint="eastAsia" w:ascii="Times New Roman" w:hAnsi="Times New Roman" w:eastAsia="黑体" w:cs="黑体"/>
          <w:color w:val="auto"/>
          <w:kern w:val="0"/>
          <w:sz w:val="32"/>
          <w:szCs w:val="32"/>
          <w:highlight w:val="none"/>
          <w:shd w:val="clear" w:color="auto" w:fill="FFFFFF"/>
          <w:lang w:val="en-US" w:eastAsia="zh-CN"/>
        </w:rPr>
        <w:t>2</w:t>
      </w:r>
    </w:p>
    <w:p w14:paraId="09E79465">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p>
    <w:p w14:paraId="536D6808">
      <w:pPr>
        <w:pStyle w:val="34"/>
        <w:keepNext w:val="0"/>
        <w:keepLines w:val="0"/>
        <w:pageBreakBefore w:val="0"/>
        <w:widowControl w:val="0"/>
        <w:kinsoku/>
        <w:wordWrap/>
        <w:overflowPunct/>
        <w:topLinePunct w:val="0"/>
        <w:autoSpaceDE/>
        <w:autoSpaceDN/>
        <w:bidi w:val="0"/>
        <w:spacing w:line="578" w:lineRule="exact"/>
        <w:ind w:left="0" w:leftChars="0"/>
        <w:jc w:val="center"/>
        <w:textAlignment w:val="auto"/>
        <w:rPr>
          <w:rFonts w:hint="eastAsia" w:ascii="Times New Roman" w:hAnsi="Times New Roman" w:eastAsia="方正小标宋简体" w:cs="方正小标宋简体"/>
          <w:color w:val="auto"/>
          <w:kern w:val="2"/>
          <w:sz w:val="44"/>
          <w:szCs w:val="44"/>
          <w:highlight w:val="none"/>
          <w:lang w:val="en-US" w:eastAsia="zh-CN"/>
        </w:rPr>
      </w:pPr>
      <w:r>
        <w:rPr>
          <w:rFonts w:hint="eastAsia" w:ascii="Times New Roman" w:hAnsi="Times New Roman" w:eastAsia="方正小标宋简体" w:cs="方正小标宋简体"/>
          <w:color w:val="auto"/>
          <w:kern w:val="2"/>
          <w:sz w:val="44"/>
          <w:szCs w:val="44"/>
          <w:highlight w:val="none"/>
          <w:lang w:val="en-US" w:eastAsia="zh-CN"/>
        </w:rPr>
        <w:t>专项预算项目绩效评价报告范本</w:t>
      </w:r>
    </w:p>
    <w:p w14:paraId="02097791">
      <w:pPr>
        <w:pStyle w:val="34"/>
        <w:keepNext w:val="0"/>
        <w:keepLines w:val="0"/>
        <w:pageBreakBefore w:val="0"/>
        <w:widowControl w:val="0"/>
        <w:kinsoku/>
        <w:wordWrap/>
        <w:overflowPunct/>
        <w:topLinePunct w:val="0"/>
        <w:autoSpaceDE/>
        <w:autoSpaceDN/>
        <w:bidi w:val="0"/>
        <w:spacing w:line="578" w:lineRule="exact"/>
        <w:ind w:left="0" w:leftChars="0" w:firstLine="640"/>
        <w:jc w:val="center"/>
        <w:textAlignment w:val="auto"/>
        <w:rPr>
          <w:rFonts w:ascii="Times New Roman" w:hAnsi="Times New Roman"/>
          <w:color w:val="auto"/>
          <w:kern w:val="2"/>
          <w:sz w:val="32"/>
          <w:szCs w:val="32"/>
          <w:highlight w:val="none"/>
        </w:rPr>
      </w:pPr>
    </w:p>
    <w:p w14:paraId="7C85D05A">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eastAsia="黑体"/>
          <w:sz w:val="32"/>
          <w:szCs w:val="32"/>
          <w:highlight w:val="none"/>
          <w:lang w:val="zh-CN"/>
        </w:rPr>
      </w:pPr>
      <w:r>
        <w:rPr>
          <w:rFonts w:hint="eastAsia" w:ascii="Times New Roman" w:hAnsi="Times New Roman" w:eastAsia="黑体"/>
          <w:sz w:val="32"/>
          <w:szCs w:val="32"/>
          <w:highlight w:val="none"/>
        </w:rPr>
        <w:t>一、</w:t>
      </w:r>
      <w:r>
        <w:rPr>
          <w:rFonts w:hint="eastAsia" w:ascii="Times New Roman" w:hAnsi="Times New Roman" w:eastAsia="黑体"/>
          <w:sz w:val="32"/>
          <w:szCs w:val="32"/>
          <w:highlight w:val="none"/>
          <w:lang w:val="zh-CN"/>
        </w:rPr>
        <w:t>项目概况</w:t>
      </w:r>
    </w:p>
    <w:p w14:paraId="40C57898">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color w:val="auto"/>
          <w:kern w:val="0"/>
          <w:sz w:val="32"/>
          <w:szCs w:val="32"/>
          <w:highlight w:val="none"/>
          <w:u w:val="none"/>
          <w:shd w:val="clear" w:color="auto" w:fill="FFFFFF"/>
          <w:lang w:val="zh-CN"/>
        </w:rPr>
      </w:pPr>
      <w:r>
        <w:rPr>
          <w:rFonts w:hint="eastAsia" w:ascii="Times New Roman" w:hAnsi="Times New Roman" w:eastAsia="楷体_GB2312"/>
          <w:b/>
          <w:color w:val="auto"/>
          <w:sz w:val="32"/>
          <w:szCs w:val="32"/>
          <w:highlight w:val="none"/>
          <w:u w:val="none"/>
          <w:lang w:val="zh-CN"/>
        </w:rPr>
        <w:t>（一）设立背景及基本情况。</w:t>
      </w:r>
      <w:r>
        <w:rPr>
          <w:rFonts w:hint="eastAsia" w:ascii="Times New Roman" w:hAnsi="Times New Roman" w:eastAsia="仿宋_GB2312" w:cs="仿宋_GB2312"/>
          <w:b w:val="0"/>
          <w:bCs w:val="0"/>
          <w:kern w:val="0"/>
          <w:position w:val="0"/>
          <w:sz w:val="32"/>
          <w:szCs w:val="32"/>
          <w:highlight w:val="none"/>
          <w:lang w:val="en-US" w:eastAsia="zh-CN" w:bidi="ar-SA"/>
        </w:rPr>
        <w:t>项目设立原因及背景，</w:t>
      </w:r>
      <w:r>
        <w:rPr>
          <w:rFonts w:hint="eastAsia" w:ascii="Times New Roman" w:hAnsi="Times New Roman" w:eastAsia="仿宋_GB2312" w:cs="仿宋_GB2312"/>
          <w:b w:val="0"/>
          <w:bCs w:val="0"/>
          <w:kern w:val="0"/>
          <w:position w:val="0"/>
          <w:sz w:val="32"/>
          <w:szCs w:val="32"/>
          <w:highlight w:val="none"/>
          <w:lang w:val="zh-CN" w:eastAsia="zh-CN" w:bidi="ar-SA"/>
        </w:rPr>
        <w:t>项目立项、资金申报的依据，项目主要内容</w:t>
      </w:r>
      <w:r>
        <w:rPr>
          <w:rFonts w:hint="eastAsia" w:ascii="Times New Roman" w:hAnsi="Times New Roman" w:eastAsia="仿宋_GB2312" w:cs="仿宋_GB2312"/>
          <w:b w:val="0"/>
          <w:bCs w:val="0"/>
          <w:kern w:val="0"/>
          <w:position w:val="0"/>
          <w:sz w:val="32"/>
          <w:szCs w:val="32"/>
          <w:highlight w:val="none"/>
          <w:lang w:val="en-US" w:eastAsia="zh-CN" w:bidi="ar-SA"/>
        </w:rPr>
        <w:t>。</w:t>
      </w:r>
      <w:r>
        <w:rPr>
          <w:rFonts w:hint="eastAsia" w:ascii="Times New Roman" w:hAnsi="Times New Roman" w:eastAsia="仿宋_GB2312" w:cs="仿宋_GB2312"/>
          <w:b w:val="0"/>
          <w:bCs w:val="0"/>
          <w:kern w:val="0"/>
          <w:position w:val="0"/>
          <w:sz w:val="32"/>
          <w:szCs w:val="32"/>
          <w:highlight w:val="none"/>
          <w:lang w:val="zh-CN" w:eastAsia="zh-CN" w:bidi="ar-SA"/>
        </w:rPr>
        <w:t>主管部门职能</w:t>
      </w:r>
      <w:r>
        <w:rPr>
          <w:rFonts w:hint="eastAsia" w:ascii="Times New Roman" w:hAnsi="Times New Roman" w:eastAsia="仿宋_GB2312" w:cs="仿宋_GB2312"/>
          <w:color w:val="auto"/>
          <w:kern w:val="0"/>
          <w:sz w:val="32"/>
          <w:szCs w:val="32"/>
          <w:highlight w:val="none"/>
          <w:u w:val="none"/>
          <w:shd w:val="clear" w:color="auto" w:fill="FFFFFF"/>
          <w:lang w:val="zh-CN"/>
        </w:rPr>
        <w:t>。</w:t>
      </w:r>
    </w:p>
    <w:p w14:paraId="2D378A18">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w:t>
      </w:r>
      <w:r>
        <w:rPr>
          <w:rFonts w:hint="eastAsia" w:ascii="Times New Roman" w:hAnsi="Times New Roman" w:eastAsia="楷体_GB2312" w:cs="Times New Roman"/>
          <w:b/>
          <w:color w:val="auto"/>
          <w:sz w:val="32"/>
          <w:szCs w:val="32"/>
          <w:highlight w:val="none"/>
          <w:u w:val="none"/>
          <w:lang w:val="zh-CN"/>
        </w:rPr>
        <w:t>二）</w:t>
      </w:r>
      <w:r>
        <w:rPr>
          <w:rFonts w:hint="default" w:ascii="Times New Roman" w:hAnsi="Times New Roman" w:eastAsia="楷体_GB2312" w:cs="Times New Roman"/>
          <w:b/>
          <w:color w:val="auto"/>
          <w:sz w:val="32"/>
          <w:szCs w:val="32"/>
          <w:highlight w:val="none"/>
          <w:u w:val="none"/>
          <w:lang w:val="en-US" w:eastAsia="zh-CN"/>
        </w:rPr>
        <w:t>实施目的及支持方向</w:t>
      </w:r>
      <w:r>
        <w:rPr>
          <w:rFonts w:hint="eastAsia" w:ascii="Times New Roman" w:hAnsi="Times New Roman" w:eastAsia="楷体_GB2312" w:cs="Times New Roman"/>
          <w:b/>
          <w:color w:val="auto"/>
          <w:sz w:val="32"/>
          <w:szCs w:val="32"/>
          <w:highlight w:val="none"/>
          <w:u w:val="none"/>
          <w:lang w:val="en-US" w:eastAsia="zh-CN"/>
        </w:rPr>
        <w:t>。</w:t>
      </w:r>
      <w:r>
        <w:rPr>
          <w:rFonts w:hint="eastAsia" w:ascii="Times New Roman" w:hAnsi="Times New Roman" w:eastAsia="仿宋_GB2312" w:cs="仿宋_GB2312"/>
          <w:b w:val="0"/>
          <w:bCs w:val="0"/>
          <w:kern w:val="0"/>
          <w:position w:val="0"/>
          <w:sz w:val="32"/>
          <w:szCs w:val="32"/>
          <w:highlight w:val="none"/>
          <w:lang w:val="en-US" w:eastAsia="zh-CN" w:bidi="ar-SA"/>
        </w:rPr>
        <w:t>项目资金</w:t>
      </w:r>
      <w:r>
        <w:rPr>
          <w:rFonts w:hint="eastAsia" w:ascii="Times New Roman" w:hAnsi="Times New Roman" w:eastAsia="仿宋_GB2312" w:cs="仿宋_GB2312"/>
          <w:b w:val="0"/>
          <w:bCs w:val="0"/>
          <w:kern w:val="0"/>
          <w:position w:val="0"/>
          <w:sz w:val="32"/>
          <w:szCs w:val="32"/>
          <w:highlight w:val="none"/>
          <w:lang w:val="zh-CN" w:eastAsia="zh-CN" w:bidi="ar-SA"/>
        </w:rPr>
        <w:t>管理办法制定情况，项目实施目的和主要工作任务，项目支持方向。</w:t>
      </w:r>
    </w:p>
    <w:p w14:paraId="0AA7FB13">
      <w:pPr>
        <w:keepNext w:val="0"/>
        <w:keepLines w:val="0"/>
        <w:pageBreakBefore w:val="0"/>
        <w:widowControl/>
        <w:numPr>
          <w:ilvl w:val="0"/>
          <w:numId w:val="0"/>
        </w:numPr>
        <w:kinsoku/>
        <w:wordWrap/>
        <w:overflowPunct/>
        <w:topLinePunct w:val="0"/>
        <w:autoSpaceDE/>
        <w:autoSpaceDN/>
        <w:bidi w:val="0"/>
        <w:adjustRightInd w:val="0"/>
        <w:snapToGrid w:val="0"/>
        <w:spacing w:line="578" w:lineRule="exact"/>
        <w:ind w:left="0" w:leftChars="0" w:firstLine="643" w:firstLineChars="200"/>
        <w:contextualSpacing/>
        <w:jc w:val="left"/>
        <w:textAlignment w:val="auto"/>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（三）</w:t>
      </w:r>
      <w:r>
        <w:rPr>
          <w:rFonts w:hint="default" w:ascii="Times New Roman" w:hAnsi="Times New Roman" w:eastAsia="楷体_GB2312" w:cs="Times New Roman"/>
          <w:b/>
          <w:color w:val="auto"/>
          <w:sz w:val="32"/>
          <w:szCs w:val="32"/>
          <w:highlight w:val="none"/>
          <w:u w:val="none"/>
          <w:lang w:val="en-US" w:eastAsia="zh-CN"/>
        </w:rPr>
        <w:t>预算安排及分配管理</w:t>
      </w:r>
      <w:r>
        <w:rPr>
          <w:rFonts w:hint="eastAsia" w:ascii="Times New Roman" w:hAnsi="Times New Roman" w:eastAsia="楷体_GB2312" w:cs="Times New Roman"/>
          <w:b/>
          <w:color w:val="auto"/>
          <w:sz w:val="32"/>
          <w:szCs w:val="32"/>
          <w:highlight w:val="none"/>
          <w:u w:val="none"/>
          <w:lang w:val="zh-CN" w:eastAsia="zh-CN"/>
        </w:rPr>
        <w:t>。</w:t>
      </w:r>
      <w:r>
        <w:rPr>
          <w:rFonts w:hint="eastAsia" w:ascii="Times New Roman" w:hAnsi="Times New Roman" w:eastAsia="仿宋_GB2312" w:cs="仿宋_GB2312"/>
          <w:b w:val="0"/>
          <w:bCs w:val="0"/>
          <w:kern w:val="0"/>
          <w:position w:val="0"/>
          <w:sz w:val="32"/>
          <w:szCs w:val="32"/>
          <w:highlight w:val="none"/>
          <w:lang w:val="zh-CN" w:eastAsia="zh-CN" w:bidi="ar-SA"/>
        </w:rPr>
        <w:t>项目预算安排情况，项目资金分配原则及考虑因素，项目资金分配情况。</w:t>
      </w:r>
    </w:p>
    <w:p w14:paraId="793D4B91">
      <w:pPr>
        <w:keepNext w:val="0"/>
        <w:keepLines w:val="0"/>
        <w:pageBreakBefore w:val="0"/>
        <w:kinsoku/>
        <w:wordWrap/>
        <w:overflowPunct/>
        <w:topLinePunct w:val="0"/>
        <w:autoSpaceDE/>
        <w:autoSpaceDN/>
        <w:bidi w:val="0"/>
        <w:adjustRightInd w:val="0"/>
        <w:snapToGrid w:val="0"/>
        <w:spacing w:line="578" w:lineRule="exact"/>
        <w:ind w:left="0" w:leftChars="0" w:firstLine="643" w:firstLineChars="200"/>
        <w:textAlignment w:val="auto"/>
        <w:rPr>
          <w:rFonts w:hint="default"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eastAsia="zh-CN"/>
        </w:rPr>
        <w:t>（四）项目绩效目标设置。</w:t>
      </w:r>
      <w:r>
        <w:rPr>
          <w:rFonts w:hint="eastAsia" w:ascii="Times New Roman" w:hAnsi="Times New Roman" w:eastAsia="仿宋_GB2312" w:cs="仿宋_GB2312"/>
          <w:b w:val="0"/>
          <w:bCs w:val="0"/>
          <w:kern w:val="0"/>
          <w:position w:val="0"/>
          <w:sz w:val="32"/>
          <w:szCs w:val="32"/>
          <w:highlight w:val="none"/>
          <w:lang w:val="zh-CN" w:eastAsia="zh-CN" w:bidi="ar-SA"/>
        </w:rPr>
        <w:t>项目整体、区域和具体绩效目标设置情况，项目自评工作开展情况。</w:t>
      </w:r>
    </w:p>
    <w:p w14:paraId="66505AA1">
      <w:pPr>
        <w:keepNext w:val="0"/>
        <w:keepLines w:val="0"/>
        <w:pageBreakBefore w:val="0"/>
        <w:widowControl w:val="0"/>
        <w:kinsoku/>
        <w:wordWrap/>
        <w:overflowPunct/>
        <w:topLinePunct w:val="0"/>
        <w:autoSpaceDE/>
        <w:autoSpaceDN/>
        <w:bidi w:val="0"/>
        <w:adjustRightInd w:val="0"/>
        <w:snapToGrid w:val="0"/>
        <w:spacing w:line="578" w:lineRule="exact"/>
        <w:ind w:firstLine="640" w:firstLineChars="200"/>
        <w:textAlignment w:val="auto"/>
        <w:outlineLvl w:val="9"/>
        <w:rPr>
          <w:rFonts w:hint="eastAsia" w:ascii="Times New Roman" w:hAnsi="Times New Roman" w:eastAsia="黑体"/>
          <w:sz w:val="32"/>
          <w:szCs w:val="32"/>
          <w:highlight w:val="none"/>
          <w:lang w:eastAsia="zh-CN"/>
        </w:rPr>
      </w:pPr>
      <w:r>
        <w:rPr>
          <w:rFonts w:hint="eastAsia" w:ascii="Times New Roman" w:hAnsi="Times New Roman" w:eastAsia="黑体"/>
          <w:sz w:val="32"/>
          <w:szCs w:val="32"/>
          <w:highlight w:val="none"/>
        </w:rPr>
        <w:t>二、</w:t>
      </w:r>
      <w:r>
        <w:rPr>
          <w:rFonts w:hint="eastAsia" w:ascii="Times New Roman" w:hAnsi="Times New Roman" w:eastAsia="黑体"/>
          <w:sz w:val="32"/>
          <w:szCs w:val="32"/>
          <w:highlight w:val="none"/>
          <w:lang w:eastAsia="zh-CN"/>
        </w:rPr>
        <w:t>评价实施</w:t>
      </w:r>
    </w:p>
    <w:p w14:paraId="0B0B3FE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（一）评价目的。</w:t>
      </w:r>
      <w:r>
        <w:rPr>
          <w:rFonts w:hint="eastAsia" w:ascii="Times New Roman" w:hAnsi="Times New Roman" w:eastAsia="仿宋_GB2312" w:cs="仿宋_GB2312"/>
          <w:b w:val="0"/>
          <w:bCs w:val="0"/>
          <w:kern w:val="0"/>
          <w:position w:val="0"/>
          <w:sz w:val="32"/>
          <w:szCs w:val="32"/>
          <w:highlight w:val="none"/>
          <w:lang w:val="zh-CN" w:eastAsia="zh-CN" w:bidi="ar-SA"/>
        </w:rPr>
        <w:t>通过项目绩效自评要实现的目的。</w:t>
      </w:r>
    </w:p>
    <w:p w14:paraId="600D71FF">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（二）预设问题及评价重点。</w:t>
      </w:r>
      <w:r>
        <w:rPr>
          <w:rFonts w:hint="eastAsia" w:ascii="Times New Roman" w:hAnsi="Times New Roman" w:eastAsia="仿宋_GB2312" w:cs="仿宋_GB2312"/>
          <w:b w:val="0"/>
          <w:bCs w:val="0"/>
          <w:kern w:val="0"/>
          <w:position w:val="0"/>
          <w:sz w:val="32"/>
          <w:szCs w:val="32"/>
          <w:highlight w:val="none"/>
          <w:lang w:val="zh-CN" w:eastAsia="zh-CN" w:bidi="ar-SA"/>
        </w:rPr>
        <w:t>按照绩效评价指标体系，对资金支出使用全过程及其实施效果进行综合评价和判断。</w:t>
      </w:r>
    </w:p>
    <w:p w14:paraId="3CDAF6D9">
      <w:pPr>
        <w:keepNext w:val="0"/>
        <w:keepLines w:val="0"/>
        <w:pageBreakBefore w:val="0"/>
        <w:widowControl w:val="0"/>
        <w:kinsoku/>
        <w:wordWrap/>
        <w:overflowPunct/>
        <w:topLinePunct w:val="0"/>
        <w:autoSpaceDE/>
        <w:autoSpaceDN/>
        <w:bidi w:val="0"/>
        <w:adjustRightInd w:val="0"/>
        <w:snapToGrid w:val="0"/>
        <w:spacing w:line="578" w:lineRule="exact"/>
        <w:ind w:left="0" w:leftChars="0" w:firstLine="643" w:firstLineChars="20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eastAsia="zh-CN"/>
        </w:rPr>
        <w:t>（三）评价选点。</w:t>
      </w:r>
      <w:r>
        <w:rPr>
          <w:rFonts w:hint="eastAsia" w:ascii="Times New Roman" w:hAnsi="Times New Roman" w:eastAsia="仿宋_GB2312" w:cs="仿宋_GB2312"/>
          <w:b w:val="0"/>
          <w:bCs w:val="0"/>
          <w:kern w:val="0"/>
          <w:position w:val="0"/>
          <w:sz w:val="32"/>
          <w:szCs w:val="32"/>
          <w:highlight w:val="none"/>
          <w:lang w:val="zh-CN" w:eastAsia="zh-CN" w:bidi="ar-SA"/>
        </w:rPr>
        <w:t>项目绩效自评所抽样点位情况。每个专项预算项目应选取专项资金分配涉及市县总数的20%、总计不超过20个的市县点位进行实地踏勘，且点位清单应作为自评附表。</w:t>
      </w:r>
    </w:p>
    <w:p w14:paraId="7FC3843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b/>
          <w:color w:val="auto"/>
          <w:sz w:val="32"/>
          <w:szCs w:val="32"/>
          <w:highlight w:val="none"/>
          <w:u w:val="none"/>
          <w:lang w:val="zh-CN"/>
        </w:rPr>
        <w:t>（四）评价方法。</w:t>
      </w:r>
      <w:r>
        <w:rPr>
          <w:rFonts w:hint="eastAsia" w:ascii="Times New Roman" w:hAnsi="Times New Roman" w:eastAsia="仿宋_GB2312" w:cs="仿宋_GB2312"/>
          <w:b w:val="0"/>
          <w:bCs w:val="0"/>
          <w:kern w:val="0"/>
          <w:position w:val="0"/>
          <w:sz w:val="32"/>
          <w:szCs w:val="32"/>
          <w:highlight w:val="none"/>
          <w:lang w:val="zh-CN" w:eastAsia="zh-CN" w:bidi="ar-SA"/>
        </w:rPr>
        <w:t>根据项目情况和评价重点，</w:t>
      </w:r>
      <w:bookmarkStart w:id="68" w:name="_GoBack"/>
      <w:r>
        <w:rPr>
          <w:rFonts w:hint="eastAsia" w:eastAsia="仿宋_GB2312" w:cs="仿宋_GB2312"/>
          <w:b w:val="0"/>
          <w:bCs w:val="0"/>
          <w:kern w:val="0"/>
          <w:position w:val="0"/>
          <w:sz w:val="32"/>
          <w:szCs w:val="32"/>
          <w:highlight w:val="none"/>
          <w:lang w:val="zh-CN" w:eastAsia="zh-CN" w:bidi="ar-SA"/>
        </w:rPr>
        <w:t>用于</w:t>
      </w:r>
      <w:bookmarkEnd w:id="68"/>
      <w:r>
        <w:rPr>
          <w:rFonts w:hint="eastAsia" w:ascii="Times New Roman" w:hAnsi="Times New Roman" w:eastAsia="仿宋_GB2312" w:cs="仿宋_GB2312"/>
          <w:b w:val="0"/>
          <w:bCs w:val="0"/>
          <w:kern w:val="0"/>
          <w:position w:val="0"/>
          <w:sz w:val="32"/>
          <w:szCs w:val="32"/>
          <w:highlight w:val="none"/>
          <w:lang w:val="zh-CN" w:eastAsia="zh-CN" w:bidi="ar-SA"/>
        </w:rPr>
        <w:t>收集相关材料和开展具体评价的方法。包括：采用成本效益分析法、标杆管理法、案卷研究法、单位自评法、实地勘察法、问卷调查法、座谈调研法等多种方法。</w:t>
      </w:r>
    </w:p>
    <w:p w14:paraId="11DC2E05">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Times New Roman"/>
          <w:bCs/>
          <w:lang w:eastAsia="zh-CN"/>
        </w:rPr>
      </w:pPr>
      <w:r>
        <w:rPr>
          <w:rFonts w:hint="eastAsia" w:ascii="Times New Roman" w:hAnsi="Times New Roman" w:eastAsia="楷体_GB2312"/>
          <w:b/>
          <w:color w:val="auto"/>
          <w:sz w:val="32"/>
          <w:szCs w:val="32"/>
          <w:highlight w:val="none"/>
          <w:u w:val="none"/>
          <w:lang w:val="zh-CN"/>
        </w:rPr>
        <w:t>（五）评价组织。</w:t>
      </w:r>
      <w:r>
        <w:rPr>
          <w:rFonts w:hint="eastAsia" w:ascii="Times New Roman" w:hAnsi="Times New Roman" w:eastAsia="仿宋_GB2312" w:cs="仿宋_GB2312"/>
          <w:b w:val="0"/>
          <w:bCs w:val="0"/>
          <w:kern w:val="0"/>
          <w:position w:val="0"/>
          <w:sz w:val="32"/>
          <w:szCs w:val="32"/>
          <w:highlight w:val="none"/>
          <w:lang w:val="zh-CN" w:eastAsia="zh-CN" w:bidi="ar-SA"/>
        </w:rPr>
        <w:t>评价组人员构成和职责分工。</w:t>
      </w:r>
    </w:p>
    <w:p w14:paraId="3CF40725">
      <w:pPr>
        <w:keepNext w:val="0"/>
        <w:keepLines w:val="0"/>
        <w:pageBreakBefore w:val="0"/>
        <w:kinsoku/>
        <w:wordWrap/>
        <w:overflowPunct/>
        <w:topLinePunct w:val="0"/>
        <w:autoSpaceDE/>
        <w:autoSpaceDN/>
        <w:bidi w:val="0"/>
        <w:adjustRightInd w:val="0"/>
        <w:snapToGrid w:val="0"/>
        <w:spacing w:line="578" w:lineRule="exact"/>
        <w:ind w:firstLine="640" w:firstLineChars="200"/>
        <w:textAlignment w:val="auto"/>
        <w:rPr>
          <w:rFonts w:ascii="Times New Roman" w:hAnsi="Times New Roman"/>
          <w:color w:val="auto"/>
          <w:sz w:val="32"/>
          <w:szCs w:val="32"/>
          <w:highlight w:val="none"/>
          <w:u w:val="none"/>
          <w:lang w:val="zh-CN"/>
        </w:rPr>
      </w:pPr>
      <w:r>
        <w:rPr>
          <w:rFonts w:hint="eastAsia" w:ascii="Times New Roman" w:hAnsi="Times New Roman" w:eastAsia="黑体"/>
          <w:color w:val="auto"/>
          <w:sz w:val="32"/>
          <w:szCs w:val="32"/>
          <w:highlight w:val="none"/>
          <w:u w:val="none"/>
        </w:rPr>
        <w:t>三、</w:t>
      </w:r>
      <w:r>
        <w:rPr>
          <w:rFonts w:hint="eastAsia" w:ascii="Times New Roman" w:hAnsi="Times New Roman" w:eastAsia="黑体"/>
          <w:color w:val="auto"/>
          <w:sz w:val="32"/>
          <w:szCs w:val="32"/>
          <w:highlight w:val="none"/>
          <w:u w:val="none"/>
          <w:lang w:eastAsia="zh-CN"/>
        </w:rPr>
        <w:t>绩效分析</w:t>
      </w:r>
      <w:r>
        <w:rPr>
          <w:rFonts w:hint="eastAsia" w:ascii="Times New Roman" w:hAnsi="Times New Roman"/>
          <w:color w:val="auto"/>
          <w:sz w:val="32"/>
          <w:szCs w:val="32"/>
          <w:highlight w:val="none"/>
          <w:u w:val="none"/>
          <w:lang w:val="zh-CN"/>
        </w:rPr>
        <w:tab/>
      </w:r>
    </w:p>
    <w:p w14:paraId="229CD72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default"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zh-CN" w:eastAsia="zh-CN" w:bidi="ar-SA"/>
        </w:rPr>
        <w:t>项目</w:t>
      </w:r>
      <w:r>
        <w:rPr>
          <w:rFonts w:hint="default" w:ascii="Times New Roman" w:hAnsi="Times New Roman" w:eastAsia="仿宋_GB2312" w:cs="仿宋_GB2312"/>
          <w:b w:val="0"/>
          <w:bCs w:val="0"/>
          <w:kern w:val="0"/>
          <w:position w:val="0"/>
          <w:sz w:val="32"/>
          <w:szCs w:val="32"/>
          <w:highlight w:val="none"/>
          <w:lang w:val="zh-CN" w:eastAsia="zh-CN" w:bidi="ar-SA"/>
        </w:rPr>
        <w:t>预算绩效评价指标体系</w:t>
      </w:r>
      <w:r>
        <w:rPr>
          <w:rFonts w:hint="eastAsia" w:ascii="Times New Roman" w:hAnsi="Times New Roman" w:eastAsia="仿宋_GB2312" w:cs="仿宋_GB2312"/>
          <w:b w:val="0"/>
          <w:bCs w:val="0"/>
          <w:kern w:val="0"/>
          <w:position w:val="0"/>
          <w:sz w:val="32"/>
          <w:szCs w:val="32"/>
          <w:highlight w:val="none"/>
          <w:lang w:val="zh-CN" w:eastAsia="zh-CN" w:bidi="ar-SA"/>
        </w:rPr>
        <w:t>通用指标、专用指标、个性指标</w:t>
      </w:r>
      <w:r>
        <w:rPr>
          <w:rFonts w:hint="default" w:ascii="Times New Roman" w:hAnsi="Times New Roman" w:eastAsia="仿宋_GB2312" w:cs="仿宋_GB2312"/>
          <w:b w:val="0"/>
          <w:bCs w:val="0"/>
          <w:kern w:val="0"/>
          <w:position w:val="0"/>
          <w:sz w:val="32"/>
          <w:szCs w:val="32"/>
          <w:highlight w:val="none"/>
          <w:lang w:val="zh-CN" w:eastAsia="zh-CN" w:bidi="ar-SA"/>
        </w:rPr>
        <w:t>涉及</w:t>
      </w:r>
      <w:r>
        <w:rPr>
          <w:rFonts w:hint="eastAsia" w:ascii="Times New Roman" w:hAnsi="Times New Roman" w:eastAsia="仿宋_GB2312" w:cs="仿宋_GB2312"/>
          <w:b w:val="0"/>
          <w:bCs w:val="0"/>
          <w:kern w:val="0"/>
          <w:position w:val="0"/>
          <w:sz w:val="32"/>
          <w:szCs w:val="32"/>
          <w:highlight w:val="none"/>
          <w:lang w:val="zh-CN" w:eastAsia="zh-CN" w:bidi="ar-SA"/>
        </w:rPr>
        <w:t>二、三级</w:t>
      </w:r>
      <w:r>
        <w:rPr>
          <w:rFonts w:hint="default" w:ascii="Times New Roman" w:hAnsi="Times New Roman" w:eastAsia="仿宋_GB2312" w:cs="仿宋_GB2312"/>
          <w:b w:val="0"/>
          <w:bCs w:val="0"/>
          <w:kern w:val="0"/>
          <w:position w:val="0"/>
          <w:sz w:val="32"/>
          <w:szCs w:val="32"/>
          <w:highlight w:val="none"/>
          <w:lang w:val="zh-CN" w:eastAsia="zh-CN" w:bidi="ar-SA"/>
        </w:rPr>
        <w:t>指标进行</w:t>
      </w:r>
      <w:r>
        <w:rPr>
          <w:rFonts w:hint="eastAsia" w:ascii="Times New Roman" w:hAnsi="Times New Roman" w:eastAsia="仿宋_GB2312" w:cs="仿宋_GB2312"/>
          <w:b w:val="0"/>
          <w:bCs w:val="0"/>
          <w:kern w:val="0"/>
          <w:position w:val="0"/>
          <w:sz w:val="32"/>
          <w:szCs w:val="32"/>
          <w:highlight w:val="none"/>
          <w:lang w:val="zh-CN" w:eastAsia="zh-CN" w:bidi="ar-SA"/>
        </w:rPr>
        <w:t>逐项</w:t>
      </w:r>
      <w:r>
        <w:rPr>
          <w:rFonts w:hint="default" w:ascii="Times New Roman" w:hAnsi="Times New Roman" w:eastAsia="仿宋_GB2312" w:cs="仿宋_GB2312"/>
          <w:b w:val="0"/>
          <w:bCs w:val="0"/>
          <w:kern w:val="0"/>
          <w:position w:val="0"/>
          <w:sz w:val="32"/>
          <w:szCs w:val="32"/>
          <w:highlight w:val="none"/>
          <w:lang w:val="zh-CN" w:eastAsia="zh-CN" w:bidi="ar-SA"/>
        </w:rPr>
        <w:t>绩效分析</w:t>
      </w:r>
      <w:r>
        <w:rPr>
          <w:rFonts w:hint="eastAsia" w:ascii="Times New Roman" w:hAnsi="Times New Roman" w:eastAsia="仿宋_GB2312" w:cs="仿宋_GB2312"/>
          <w:b w:val="0"/>
          <w:bCs w:val="0"/>
          <w:kern w:val="0"/>
          <w:position w:val="0"/>
          <w:sz w:val="32"/>
          <w:szCs w:val="32"/>
          <w:highlight w:val="none"/>
          <w:lang w:val="zh-CN" w:eastAsia="zh-CN" w:bidi="ar-SA"/>
        </w:rPr>
        <w:t>并评分</w:t>
      </w:r>
      <w:r>
        <w:rPr>
          <w:rFonts w:hint="eastAsia" w:ascii="Times New Roman" w:hAnsi="Times New Roman" w:eastAsia="仿宋_GB2312" w:cs="仿宋_GB2312"/>
          <w:b w:val="0"/>
          <w:bCs w:val="0"/>
          <w:kern w:val="0"/>
          <w:position w:val="0"/>
          <w:sz w:val="32"/>
          <w:szCs w:val="32"/>
          <w:highlight w:val="none"/>
          <w:lang w:val="en-US" w:eastAsia="zh-CN" w:bidi="ar-SA"/>
        </w:rPr>
        <w:t>。</w:t>
      </w:r>
    </w:p>
    <w:p w14:paraId="7C195855">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楷体_GB2312" w:cs="Times New Roman"/>
          <w:b/>
          <w:color w:val="auto"/>
          <w:sz w:val="32"/>
          <w:szCs w:val="32"/>
          <w:highlight w:val="none"/>
          <w:u w:val="none"/>
          <w:lang w:val="en-US" w:eastAsia="zh-CN"/>
        </w:rPr>
      </w:pPr>
      <w:r>
        <w:rPr>
          <w:rFonts w:hint="eastAsia" w:ascii="Times New Roman" w:hAnsi="Times New Roman" w:eastAsia="楷体_GB2312" w:cs="Times New Roman"/>
          <w:b/>
          <w:color w:val="auto"/>
          <w:sz w:val="32"/>
          <w:szCs w:val="32"/>
          <w:highlight w:val="none"/>
          <w:u w:val="none"/>
          <w:lang w:val="zh-CN"/>
        </w:rPr>
        <w:t>（一）</w:t>
      </w:r>
      <w:r>
        <w:rPr>
          <w:rFonts w:hint="eastAsia" w:ascii="Times New Roman" w:hAnsi="Times New Roman" w:eastAsia="楷体_GB2312" w:cs="Times New Roman"/>
          <w:b/>
          <w:color w:val="auto"/>
          <w:sz w:val="32"/>
          <w:szCs w:val="32"/>
          <w:highlight w:val="none"/>
          <w:u w:val="none"/>
          <w:lang w:val="en-US" w:eastAsia="zh-CN"/>
        </w:rPr>
        <w:t>通用指标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p>
    <w:p w14:paraId="4B4637AE">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w:t>
      </w:r>
      <w:r>
        <w:rPr>
          <w:rFonts w:hint="eastAsia" w:ascii="Times New Roman" w:hAnsi="Times New Roman" w:eastAsia="仿宋_GB2312" w:cs="仿宋_GB2312"/>
          <w:b w:val="0"/>
          <w:bCs w:val="0"/>
          <w:kern w:val="0"/>
          <w:position w:val="0"/>
          <w:sz w:val="32"/>
          <w:szCs w:val="32"/>
          <w:highlight w:val="none"/>
          <w:lang w:val="zh-CN" w:eastAsia="zh-CN" w:bidi="ar-SA"/>
        </w:rPr>
        <w:t>项目决策。围绕决策程序、规划论证、资金投向进行绩效分析。</w:t>
      </w:r>
    </w:p>
    <w:p w14:paraId="65B1860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项目管理。围绕制度办法、分配管理、绩效监管进行绩效分析。</w:t>
      </w:r>
    </w:p>
    <w:p w14:paraId="466920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3.项目实施。</w:t>
      </w:r>
      <w:r>
        <w:rPr>
          <w:rFonts w:hint="eastAsia" w:ascii="Times New Roman" w:hAnsi="Times New Roman" w:eastAsia="仿宋_GB2312" w:cs="仿宋_GB2312"/>
          <w:b w:val="0"/>
          <w:bCs w:val="0"/>
          <w:kern w:val="0"/>
          <w:position w:val="0"/>
          <w:sz w:val="32"/>
          <w:szCs w:val="32"/>
          <w:highlight w:val="none"/>
          <w:lang w:val="zh-CN" w:eastAsia="zh-CN" w:bidi="ar-SA"/>
        </w:rPr>
        <w:t>围绕预算执行、资金使用进行绩效分析。</w:t>
      </w:r>
    </w:p>
    <w:p w14:paraId="41C3CBF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4.项目结果。围绕</w:t>
      </w:r>
      <w:r>
        <w:rPr>
          <w:rFonts w:hint="eastAsia" w:ascii="Times New Roman" w:hAnsi="Times New Roman" w:eastAsia="仿宋_GB2312" w:cs="仿宋_GB2312"/>
          <w:b w:val="0"/>
          <w:bCs w:val="0"/>
          <w:kern w:val="0"/>
          <w:position w:val="0"/>
          <w:sz w:val="32"/>
          <w:szCs w:val="32"/>
          <w:highlight w:val="none"/>
          <w:lang w:val="zh-CN" w:eastAsia="zh-CN" w:bidi="ar-SA"/>
        </w:rPr>
        <w:t>目标完成、完成时效进行绩效分析。</w:t>
      </w:r>
    </w:p>
    <w:p w14:paraId="78FE104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zh-CN" w:eastAsia="zh-CN" w:bidi="ar-SA"/>
        </w:rPr>
      </w:pPr>
      <w:r>
        <w:rPr>
          <w:rFonts w:hint="eastAsia" w:ascii="Times New Roman" w:hAnsi="Times New Roman" w:eastAsia="楷体_GB2312" w:cs="Times New Roman"/>
          <w:b/>
          <w:color w:val="auto"/>
          <w:sz w:val="32"/>
          <w:szCs w:val="32"/>
          <w:highlight w:val="none"/>
          <w:u w:val="none"/>
          <w:lang w:val="zh-CN"/>
        </w:rPr>
        <w:t>（二）</w:t>
      </w:r>
      <w:r>
        <w:rPr>
          <w:rFonts w:hint="eastAsia" w:ascii="Times New Roman" w:hAnsi="Times New Roman" w:eastAsia="楷体_GB2312" w:cs="Times New Roman"/>
          <w:b/>
          <w:color w:val="auto"/>
          <w:sz w:val="32"/>
          <w:szCs w:val="32"/>
          <w:highlight w:val="none"/>
          <w:u w:val="none"/>
          <w:lang w:val="en-US" w:eastAsia="zh-CN"/>
        </w:rPr>
        <w:t>专用指标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w:t>
      </w:r>
      <w:r>
        <w:rPr>
          <w:rFonts w:hint="eastAsia" w:ascii="Times New Roman" w:hAnsi="Times New Roman" w:eastAsia="仿宋_GB2312" w:cs="仿宋_GB2312"/>
          <w:b w:val="0"/>
          <w:bCs w:val="0"/>
          <w:kern w:val="0"/>
          <w:position w:val="0"/>
          <w:sz w:val="32"/>
          <w:szCs w:val="32"/>
          <w:highlight w:val="none"/>
          <w:lang w:val="en-US" w:eastAsia="zh-CN" w:bidi="ar-SA"/>
        </w:rPr>
        <w:t>专项预算项目资金支持对象选择所属指标进行绩效分析。支持对象</w:t>
      </w:r>
      <w:r>
        <w:rPr>
          <w:rFonts w:hint="eastAsia" w:ascii="Times New Roman" w:hAnsi="Times New Roman" w:eastAsia="仿宋_GB2312" w:cs="仿宋_GB2312"/>
          <w:b w:val="0"/>
          <w:bCs w:val="0"/>
          <w:kern w:val="0"/>
          <w:position w:val="0"/>
          <w:sz w:val="32"/>
          <w:szCs w:val="32"/>
          <w:highlight w:val="none"/>
          <w:lang w:val="zh-CN" w:eastAsia="zh-CN" w:bidi="ar-SA"/>
        </w:rPr>
        <w:t>包括产业发展、民生保障、基础设施、行政运转等方面。</w:t>
      </w:r>
    </w:p>
    <w:p w14:paraId="42D59148">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1.产业发展。围绕符合性、成长性、经济性进行绩效分析。</w:t>
      </w:r>
    </w:p>
    <w:p w14:paraId="640BDD0B">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2.</w:t>
      </w:r>
      <w:r>
        <w:rPr>
          <w:rFonts w:hint="eastAsia" w:ascii="Times New Roman" w:hAnsi="Times New Roman" w:eastAsia="仿宋_GB2312" w:cs="仿宋_GB2312"/>
          <w:b w:val="0"/>
          <w:bCs w:val="0"/>
          <w:kern w:val="0"/>
          <w:position w:val="0"/>
          <w:sz w:val="32"/>
          <w:szCs w:val="32"/>
          <w:highlight w:val="none"/>
          <w:lang w:val="zh-CN" w:eastAsia="zh-CN" w:bidi="ar-SA"/>
        </w:rPr>
        <w:t>民生保障。</w:t>
      </w:r>
      <w:r>
        <w:rPr>
          <w:rFonts w:hint="eastAsia" w:ascii="Times New Roman" w:hAnsi="Times New Roman" w:eastAsia="仿宋_GB2312" w:cs="仿宋_GB2312"/>
          <w:b w:val="0"/>
          <w:bCs w:val="0"/>
          <w:kern w:val="0"/>
          <w:position w:val="0"/>
          <w:sz w:val="32"/>
          <w:szCs w:val="32"/>
          <w:highlight w:val="none"/>
          <w:lang w:val="en-US" w:eastAsia="zh-CN" w:bidi="ar-SA"/>
        </w:rPr>
        <w:t>围绕区域均衡性、对象精准性、标准合理性、群众满意度进行绩效分析。</w:t>
      </w:r>
    </w:p>
    <w:p w14:paraId="6E0E549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3.基础设施。在建项目围绕工程进度和资金拨付进行绩效分析；建成项目围绕项目验收、功能实现、后续管护进行</w:t>
      </w:r>
      <w:r>
        <w:rPr>
          <w:rFonts w:hint="eastAsia" w:ascii="Times New Roman" w:hAnsi="Times New Roman" w:eastAsia="仿宋_GB2312" w:cs="仿宋_GB2312"/>
          <w:b w:val="0"/>
          <w:bCs w:val="0"/>
          <w:kern w:val="0"/>
          <w:position w:val="0"/>
          <w:sz w:val="32"/>
          <w:szCs w:val="32"/>
          <w:highlight w:val="none"/>
          <w:lang w:val="zh-CN" w:eastAsia="zh-CN" w:bidi="ar-SA"/>
        </w:rPr>
        <w:t>绩效分析。</w:t>
      </w:r>
    </w:p>
    <w:p w14:paraId="313BD810">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4.</w:t>
      </w:r>
      <w:r>
        <w:rPr>
          <w:rFonts w:hint="eastAsia" w:ascii="Times New Roman" w:hAnsi="Times New Roman" w:eastAsia="仿宋_GB2312" w:cs="仿宋_GB2312"/>
          <w:b w:val="0"/>
          <w:bCs w:val="0"/>
          <w:kern w:val="0"/>
          <w:position w:val="0"/>
          <w:sz w:val="32"/>
          <w:szCs w:val="32"/>
          <w:highlight w:val="none"/>
          <w:lang w:val="zh-CN" w:eastAsia="zh-CN" w:bidi="ar-SA"/>
        </w:rPr>
        <w:t>行政运转。围绕用途合规性、程序合规性、标准合规性进行绩效分析。</w:t>
      </w:r>
    </w:p>
    <w:p w14:paraId="744682DE">
      <w:pPr>
        <w:keepNext w:val="0"/>
        <w:keepLines w:val="0"/>
        <w:pageBreakBefore w:val="0"/>
        <w:widowControl w:val="0"/>
        <w:kinsoku/>
        <w:wordWrap/>
        <w:overflowPunct/>
        <w:topLinePunct w:val="0"/>
        <w:autoSpaceDE/>
        <w:autoSpaceDN/>
        <w:bidi w:val="0"/>
        <w:adjustRightInd/>
        <w:snapToGrid/>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楷体_GB2312" w:cs="Times New Roman"/>
          <w:b/>
          <w:color w:val="auto"/>
          <w:sz w:val="32"/>
          <w:szCs w:val="32"/>
          <w:highlight w:val="none"/>
          <w:u w:val="none"/>
          <w:lang w:val="zh-CN"/>
        </w:rPr>
        <w:t>（三）</w:t>
      </w:r>
      <w:r>
        <w:rPr>
          <w:rFonts w:hint="eastAsia" w:ascii="Times New Roman" w:hAnsi="Times New Roman" w:eastAsia="楷体_GB2312" w:cs="Times New Roman"/>
          <w:b/>
          <w:color w:val="auto"/>
          <w:sz w:val="32"/>
          <w:szCs w:val="32"/>
          <w:highlight w:val="none"/>
          <w:u w:val="none"/>
          <w:lang w:val="en-US" w:eastAsia="zh-CN"/>
        </w:rPr>
        <w:t>个性指标</w:t>
      </w:r>
      <w:r>
        <w:rPr>
          <w:rFonts w:hint="default" w:ascii="Times New Roman" w:hAnsi="Times New Roman" w:eastAsia="楷体_GB2312" w:cs="Times New Roman"/>
          <w:b/>
          <w:bCs/>
          <w:color w:val="000000"/>
          <w:kern w:val="0"/>
          <w:sz w:val="32"/>
          <w:szCs w:val="32"/>
          <w:highlight w:val="none"/>
          <w:shd w:val="clear" w:color="auto" w:fill="FFFFFF"/>
          <w:lang w:val="zh-CN"/>
        </w:rPr>
        <w:t>绩效分析。</w:t>
      </w:r>
      <w:r>
        <w:rPr>
          <w:rFonts w:hint="eastAsia" w:ascii="Times New Roman" w:hAnsi="Times New Roman" w:eastAsia="仿宋_GB2312" w:cs="仿宋_GB2312"/>
          <w:b w:val="0"/>
          <w:bCs w:val="0"/>
          <w:kern w:val="0"/>
          <w:position w:val="0"/>
          <w:sz w:val="32"/>
          <w:szCs w:val="32"/>
          <w:highlight w:val="none"/>
          <w:lang w:val="zh-CN" w:eastAsia="zh-CN" w:bidi="ar-SA"/>
        </w:rPr>
        <w:t>根据项目个性自行设定部分指标，反映该项指标执行完成情况。</w:t>
      </w:r>
    </w:p>
    <w:p w14:paraId="308CBCF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四、评价结论</w:t>
      </w:r>
    </w:p>
    <w:p w14:paraId="2799C01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简要阐述专项预算项目绩效自评总体结论，包含评价总分、</w:t>
      </w:r>
      <w:r>
        <w:rPr>
          <w:rFonts w:hint="eastAsia" w:ascii="Times New Roman" w:hAnsi="Times New Roman" w:eastAsia="仿宋_GB2312" w:cs="仿宋_GB2312"/>
          <w:b w:val="0"/>
          <w:bCs w:val="0"/>
          <w:kern w:val="0"/>
          <w:position w:val="0"/>
          <w:sz w:val="32"/>
          <w:szCs w:val="32"/>
          <w:highlight w:val="none"/>
          <w:lang w:val="zh-CN" w:eastAsia="zh-CN" w:bidi="ar-SA"/>
        </w:rPr>
        <w:t>项目实施情况。</w:t>
      </w:r>
    </w:p>
    <w:p w14:paraId="3220D1A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en-US" w:eastAsia="zh-CN" w:bidi="ar-SA"/>
        </w:rPr>
      </w:pPr>
      <w:r>
        <w:rPr>
          <w:rFonts w:hint="eastAsia" w:ascii="黑体" w:hAnsi="黑体" w:eastAsia="黑体" w:cs="黑体"/>
          <w:b w:val="0"/>
          <w:bCs w:val="0"/>
          <w:kern w:val="0"/>
          <w:position w:val="0"/>
          <w:sz w:val="32"/>
          <w:szCs w:val="32"/>
          <w:highlight w:val="none"/>
          <w:lang w:val="en-US" w:eastAsia="zh-CN" w:bidi="ar-SA"/>
        </w:rPr>
        <w:t>五、存在主要问题</w:t>
      </w:r>
    </w:p>
    <w:p w14:paraId="298D696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简要阐述专项预算项目绩效自评发现的主要问题。</w:t>
      </w:r>
    </w:p>
    <w:p w14:paraId="76F477CD">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黑体" w:hAnsi="黑体" w:eastAsia="黑体" w:cs="黑体"/>
          <w:b w:val="0"/>
          <w:bCs w:val="0"/>
          <w:kern w:val="0"/>
          <w:position w:val="0"/>
          <w:sz w:val="32"/>
          <w:szCs w:val="32"/>
          <w:highlight w:val="none"/>
          <w:lang w:val="zh-CN" w:eastAsia="zh-CN" w:bidi="ar-SA"/>
        </w:rPr>
      </w:pPr>
      <w:r>
        <w:rPr>
          <w:rFonts w:hint="eastAsia" w:ascii="黑体" w:hAnsi="黑体" w:eastAsia="黑体" w:cs="黑体"/>
          <w:b w:val="0"/>
          <w:bCs w:val="0"/>
          <w:kern w:val="0"/>
          <w:position w:val="0"/>
          <w:sz w:val="32"/>
          <w:szCs w:val="32"/>
          <w:highlight w:val="none"/>
          <w:lang w:val="zh-CN" w:eastAsia="zh-CN" w:bidi="ar-SA"/>
        </w:rPr>
        <w:t>六、改进建议</w:t>
      </w:r>
    </w:p>
    <w:p w14:paraId="40384433">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r>
        <w:rPr>
          <w:rFonts w:hint="eastAsia" w:ascii="Times New Roman" w:hAnsi="Times New Roman" w:eastAsia="仿宋_GB2312" w:cs="仿宋_GB2312"/>
          <w:b w:val="0"/>
          <w:bCs w:val="0"/>
          <w:kern w:val="0"/>
          <w:position w:val="0"/>
          <w:sz w:val="32"/>
          <w:szCs w:val="32"/>
          <w:highlight w:val="none"/>
          <w:lang w:val="en-US" w:eastAsia="zh-CN" w:bidi="ar-SA"/>
        </w:rPr>
        <w:t>简要阐述专项预算项目在</w:t>
      </w:r>
      <w:r>
        <w:rPr>
          <w:rFonts w:hint="eastAsia" w:ascii="Times New Roman" w:hAnsi="Times New Roman" w:eastAsia="仿宋_GB2312" w:cs="仿宋_GB2312"/>
          <w:b w:val="0"/>
          <w:bCs w:val="0"/>
          <w:kern w:val="0"/>
          <w:position w:val="0"/>
          <w:sz w:val="32"/>
          <w:szCs w:val="32"/>
          <w:highlight w:val="none"/>
          <w:lang w:val="en" w:eastAsia="zh-CN" w:bidi="ar-SA"/>
        </w:rPr>
        <w:t>预算安排、完善政策、改进管理等方面的</w:t>
      </w:r>
      <w:r>
        <w:rPr>
          <w:rFonts w:hint="eastAsia" w:ascii="Times New Roman" w:hAnsi="Times New Roman" w:eastAsia="仿宋_GB2312" w:cs="仿宋_GB2312"/>
          <w:b w:val="0"/>
          <w:bCs w:val="0"/>
          <w:kern w:val="0"/>
          <w:position w:val="0"/>
          <w:sz w:val="32"/>
          <w:szCs w:val="32"/>
          <w:highlight w:val="none"/>
          <w:lang w:val="en-US" w:eastAsia="zh-CN" w:bidi="ar-SA"/>
        </w:rPr>
        <w:t>措施</w:t>
      </w:r>
      <w:r>
        <w:rPr>
          <w:rFonts w:hint="eastAsia" w:ascii="Times New Roman" w:hAnsi="Times New Roman" w:eastAsia="仿宋_GB2312" w:cs="仿宋_GB2312"/>
          <w:b w:val="0"/>
          <w:bCs w:val="0"/>
          <w:kern w:val="0"/>
          <w:position w:val="0"/>
          <w:sz w:val="32"/>
          <w:szCs w:val="32"/>
          <w:highlight w:val="none"/>
          <w:lang w:val="en" w:eastAsia="zh-CN" w:bidi="ar-SA"/>
        </w:rPr>
        <w:t>建议，其中</w:t>
      </w:r>
      <w:r>
        <w:rPr>
          <w:rFonts w:hint="eastAsia" w:ascii="Times New Roman" w:hAnsi="Times New Roman" w:eastAsia="仿宋_GB2312" w:cs="仿宋_GB2312"/>
          <w:b w:val="0"/>
          <w:bCs w:val="0"/>
          <w:kern w:val="0"/>
          <w:position w:val="0"/>
          <w:sz w:val="32"/>
          <w:szCs w:val="32"/>
          <w:highlight w:val="none"/>
          <w:lang w:val="en-US" w:eastAsia="zh-CN" w:bidi="ar-SA"/>
        </w:rPr>
        <w:t>必须对应评价发现的主要问题一一提出措施建议。</w:t>
      </w:r>
    </w:p>
    <w:p w14:paraId="0D03B12A">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bCs/>
          <w:kern w:val="0"/>
          <w:position w:val="0"/>
          <w:sz w:val="32"/>
          <w:szCs w:val="32"/>
          <w:highlight w:val="none"/>
          <w:lang w:val="en-US" w:eastAsia="zh-CN" w:bidi="ar-SA"/>
        </w:rPr>
      </w:pPr>
      <w:r>
        <w:rPr>
          <w:rFonts w:hint="eastAsia" w:ascii="Times New Roman" w:hAnsi="Times New Roman" w:eastAsia="仿宋_GB2312" w:cs="仿宋_GB2312"/>
          <w:b/>
          <w:bCs/>
          <w:kern w:val="0"/>
          <w:position w:val="0"/>
          <w:sz w:val="32"/>
          <w:szCs w:val="32"/>
          <w:highlight w:val="none"/>
          <w:lang w:val="en-US" w:eastAsia="zh-CN" w:bidi="ar-SA"/>
        </w:rPr>
        <w:t>（</w:t>
      </w:r>
      <w:r>
        <w:rPr>
          <w:rFonts w:hint="eastAsia" w:eastAsia="仿宋_GB2312" w:cs="仿宋_GB2312"/>
          <w:b/>
          <w:bCs/>
          <w:kern w:val="0"/>
          <w:position w:val="0"/>
          <w:sz w:val="32"/>
          <w:szCs w:val="32"/>
          <w:highlight w:val="none"/>
          <w:lang w:val="en-US" w:eastAsia="zh-CN" w:bidi="ar-SA"/>
        </w:rPr>
        <w:t>注：</w:t>
      </w:r>
      <w:r>
        <w:rPr>
          <w:rFonts w:hint="eastAsia" w:ascii="Times New Roman" w:hAnsi="Times New Roman" w:eastAsia="仿宋_GB2312" w:cs="仿宋_GB2312"/>
          <w:b/>
          <w:bCs/>
          <w:kern w:val="0"/>
          <w:position w:val="0"/>
          <w:sz w:val="32"/>
          <w:szCs w:val="32"/>
          <w:highlight w:val="none"/>
          <w:lang w:val="en-US" w:eastAsia="zh-CN" w:bidi="ar-SA"/>
        </w:rPr>
        <w:t>以上绩效自评报告，除涉密敏感内容外，原则上都应予以公开）</w:t>
      </w:r>
    </w:p>
    <w:p w14:paraId="32F7CB29">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2C32B052">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14:paraId="4D315207">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bookmarkStart w:id="54" w:name="_Toc15396618"/>
      <w:r>
        <w:rPr>
          <w:rFonts w:hint="eastAsia" w:ascii="Times New Roman" w:hAnsi="Times New Roman" w:eastAsia="仿宋_GB2312" w:cs="仿宋_GB2312"/>
          <w:b w:val="0"/>
          <w:bCs w:val="0"/>
          <w:kern w:val="0"/>
          <w:position w:val="0"/>
          <w:sz w:val="32"/>
          <w:szCs w:val="32"/>
          <w:highlight w:val="none"/>
          <w:lang w:val="en-US" w:eastAsia="zh-CN" w:bidi="ar-SA"/>
        </w:rPr>
        <w:br w:type="page"/>
      </w:r>
    </w:p>
    <w:p w14:paraId="35163211">
      <w:pPr>
        <w:widowControl/>
        <w:jc w:val="center"/>
        <w:rPr>
          <w:rFonts w:hint="eastAsia" w:ascii="Times New Roman" w:hAnsi="Times New Roman" w:eastAsia="仿宋"/>
          <w:b w:val="0"/>
          <w:color w:val="auto"/>
          <w:highlight w:val="none"/>
        </w:rPr>
      </w:pPr>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51"/>
      <w:bookmarkEnd w:id="54"/>
      <w:bookmarkStart w:id="55" w:name="_Toc15396619"/>
    </w:p>
    <w:p w14:paraId="5C46D0A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14:paraId="46F2FA1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55"/>
    </w:p>
    <w:p w14:paraId="3EF3DDEE">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0"/>
      <w:r>
        <w:rPr>
          <w:rFonts w:hint="eastAsia" w:ascii="Times New Roman" w:hAnsi="Times New Roman" w:eastAsia="仿宋_GB2312" w:cs="仿宋_GB2312"/>
          <w:color w:val="auto"/>
          <w:sz w:val="32"/>
          <w:szCs w:val="32"/>
          <w:highlight w:val="none"/>
        </w:rPr>
        <w:t>二、收入决算表</w:t>
      </w:r>
      <w:bookmarkEnd w:id="56"/>
    </w:p>
    <w:p w14:paraId="04F387C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1"/>
      <w:r>
        <w:rPr>
          <w:rFonts w:hint="eastAsia" w:ascii="Times New Roman" w:hAnsi="Times New Roman" w:eastAsia="仿宋_GB2312" w:cs="仿宋_GB2312"/>
          <w:color w:val="auto"/>
          <w:sz w:val="32"/>
          <w:szCs w:val="32"/>
          <w:highlight w:val="none"/>
        </w:rPr>
        <w:t>三、支出决算表</w:t>
      </w:r>
      <w:bookmarkEnd w:id="57"/>
    </w:p>
    <w:p w14:paraId="5130CCE9">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2"/>
      <w:r>
        <w:rPr>
          <w:rFonts w:hint="eastAsia" w:ascii="Times New Roman" w:hAnsi="Times New Roman" w:eastAsia="仿宋_GB2312" w:cs="仿宋_GB2312"/>
          <w:color w:val="auto"/>
          <w:sz w:val="32"/>
          <w:szCs w:val="32"/>
          <w:highlight w:val="none"/>
        </w:rPr>
        <w:t>四、财政拨款收入支出决算总表</w:t>
      </w:r>
      <w:bookmarkEnd w:id="58"/>
    </w:p>
    <w:p w14:paraId="5CD3541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23"/>
      <w:r>
        <w:rPr>
          <w:rFonts w:hint="eastAsia" w:ascii="Times New Roman" w:hAnsi="Times New Roman" w:eastAsia="仿宋_GB2312" w:cs="仿宋_GB2312"/>
          <w:color w:val="auto"/>
          <w:sz w:val="32"/>
          <w:szCs w:val="32"/>
          <w:highlight w:val="none"/>
        </w:rPr>
        <w:t>五、财政拨款支出决算明细表</w:t>
      </w:r>
      <w:bookmarkEnd w:id="59"/>
      <w:bookmarkStart w:id="60" w:name="_Toc15396624"/>
    </w:p>
    <w:p w14:paraId="0A5FC53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60"/>
    </w:p>
    <w:p w14:paraId="0B6A600C">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1" w:name="_Toc15396625"/>
      <w:r>
        <w:rPr>
          <w:rFonts w:hint="eastAsia" w:ascii="Times New Roman" w:hAnsi="Times New Roman" w:eastAsia="仿宋_GB2312" w:cs="仿宋_GB2312"/>
          <w:color w:val="auto"/>
          <w:sz w:val="32"/>
          <w:szCs w:val="32"/>
          <w:highlight w:val="none"/>
        </w:rPr>
        <w:t>七、一般公共预算财政拨款支出决算明细表</w:t>
      </w:r>
      <w:bookmarkEnd w:id="61"/>
    </w:p>
    <w:p w14:paraId="015F5556">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2" w:name="_Toc15396626"/>
      <w:r>
        <w:rPr>
          <w:rFonts w:hint="eastAsia" w:ascii="Times New Roman" w:hAnsi="Times New Roman" w:eastAsia="仿宋_GB2312" w:cs="仿宋_GB2312"/>
          <w:color w:val="auto"/>
          <w:sz w:val="32"/>
          <w:szCs w:val="32"/>
          <w:highlight w:val="none"/>
        </w:rPr>
        <w:t>八、一般公共预算财政拨款基本支出决算表</w:t>
      </w:r>
      <w:bookmarkEnd w:id="62"/>
    </w:p>
    <w:p w14:paraId="71EC9FBD">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3" w:name="_Toc15396627"/>
      <w:r>
        <w:rPr>
          <w:rFonts w:hint="eastAsia" w:ascii="Times New Roman" w:hAnsi="Times New Roman" w:eastAsia="仿宋_GB2312" w:cs="仿宋_GB2312"/>
          <w:color w:val="auto"/>
          <w:sz w:val="32"/>
          <w:szCs w:val="32"/>
          <w:highlight w:val="none"/>
        </w:rPr>
        <w:t>九、一般公共预算财政拨款项目支出决算表</w:t>
      </w:r>
      <w:bookmarkEnd w:id="63"/>
    </w:p>
    <w:p w14:paraId="0FD0845F">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4" w:name="_Toc15396628"/>
      <w:r>
        <w:rPr>
          <w:rFonts w:hint="eastAsia" w:ascii="Times New Roman" w:hAnsi="Times New Roman" w:eastAsia="仿宋_GB2312" w:cs="仿宋_GB2312"/>
          <w:color w:val="auto"/>
          <w:sz w:val="32"/>
          <w:szCs w:val="32"/>
          <w:highlight w:val="none"/>
        </w:rPr>
        <w:t>十、</w:t>
      </w:r>
      <w:bookmarkEnd w:id="64"/>
      <w:r>
        <w:rPr>
          <w:rFonts w:hint="eastAsia" w:ascii="Times New Roman" w:hAnsi="Times New Roman" w:eastAsia="仿宋_GB2312" w:cs="仿宋_GB2312"/>
          <w:color w:val="auto"/>
          <w:sz w:val="32"/>
          <w:szCs w:val="32"/>
          <w:highlight w:val="none"/>
        </w:rPr>
        <w:t>政府性基金预算财政拨款收入支出决算表</w:t>
      </w:r>
    </w:p>
    <w:p w14:paraId="1B3DF9A5">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5" w:name="_Toc15396629"/>
      <w:r>
        <w:rPr>
          <w:rFonts w:hint="eastAsia" w:ascii="Times New Roman" w:hAnsi="Times New Roman" w:eastAsia="仿宋_GB2312" w:cs="仿宋_GB2312"/>
          <w:color w:val="auto"/>
          <w:sz w:val="32"/>
          <w:szCs w:val="32"/>
          <w:highlight w:val="none"/>
        </w:rPr>
        <w:t>十一、</w:t>
      </w:r>
      <w:bookmarkEnd w:id="65"/>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14:paraId="5454A9B7">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66" w:name="_Toc15396630"/>
      <w:r>
        <w:rPr>
          <w:rFonts w:hint="eastAsia" w:ascii="Times New Roman" w:hAnsi="Times New Roman" w:eastAsia="仿宋_GB2312" w:cs="仿宋_GB2312"/>
          <w:color w:val="auto"/>
          <w:sz w:val="32"/>
          <w:szCs w:val="32"/>
          <w:highlight w:val="none"/>
        </w:rPr>
        <w:t>十二、</w:t>
      </w:r>
      <w:bookmarkEnd w:id="66"/>
      <w:r>
        <w:rPr>
          <w:rFonts w:hint="eastAsia" w:ascii="Times New Roman" w:hAnsi="Times New Roman" w:eastAsia="仿宋_GB2312" w:cs="仿宋_GB2312"/>
          <w:color w:val="auto"/>
          <w:sz w:val="32"/>
          <w:szCs w:val="32"/>
          <w:highlight w:val="none"/>
          <w:lang w:eastAsia="zh-CN"/>
        </w:rPr>
        <w:t>国有资本经营预算财政拨款支出决算表</w:t>
      </w:r>
    </w:p>
    <w:p w14:paraId="7DA68C28">
      <w:pPr>
        <w:pStyle w:val="15"/>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7" w:name="_Toc15396631"/>
      <w:r>
        <w:rPr>
          <w:rFonts w:hint="eastAsia" w:ascii="Times New Roman" w:hAnsi="Times New Roman" w:eastAsia="仿宋_GB2312" w:cs="仿宋_GB2312"/>
          <w:color w:val="auto"/>
          <w:sz w:val="32"/>
          <w:szCs w:val="32"/>
          <w:highlight w:val="none"/>
        </w:rPr>
        <w:t>十三、</w:t>
      </w:r>
      <w:bookmarkEnd w:id="67"/>
      <w:r>
        <w:rPr>
          <w:rFonts w:hint="eastAsia" w:ascii="Times New Roman" w:hAnsi="Times New Roman" w:eastAsia="仿宋_GB2312" w:cs="仿宋_GB2312"/>
          <w:color w:val="auto"/>
          <w:sz w:val="32"/>
          <w:szCs w:val="32"/>
          <w:highlight w:val="none"/>
          <w:lang w:eastAsia="zh-CN"/>
        </w:rPr>
        <w:t>财政拨款“三公”经费支出决算表</w:t>
      </w:r>
    </w:p>
    <w:p w14:paraId="4FF15A04">
      <w:pPr>
        <w:rPr>
          <w:rFonts w:hint="eastAsia" w:ascii="Times New Roman" w:hAnsi="Times New Roman"/>
          <w:lang w:eastAsia="zh-CN"/>
        </w:rPr>
      </w:pPr>
    </w:p>
    <w:sectPr>
      <w:footerReference r:id="rId8" w:type="first"/>
      <w:footerReference r:id="rId7"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E86FE24-ABEB-430E-857D-8461F6FA3B3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panose1 w:val="02010609030101010101"/>
    <w:charset w:val="86"/>
    <w:family w:val="modern"/>
    <w:pitch w:val="default"/>
    <w:sig w:usb0="00000001" w:usb1="080E0000" w:usb2="00000000" w:usb3="00000000" w:csb0="00040000" w:csb1="00000000"/>
    <w:embedRegular r:id="rId2" w:fontKey="{13B1FA71-3E40-43BD-ADEF-CD33E3635DCD}"/>
  </w:font>
  <w:font w:name="仿宋">
    <w:panose1 w:val="02010609060101010101"/>
    <w:charset w:val="86"/>
    <w:family w:val="modern"/>
    <w:pitch w:val="default"/>
    <w:sig w:usb0="800002BF" w:usb1="38CF7CFA" w:usb2="00000016" w:usb3="00000000" w:csb0="00040001" w:csb1="00000000"/>
    <w:embedRegular r:id="rId3" w:fontKey="{37894BE6-2F1D-4AE2-A453-4E573FB98483}"/>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10600010101010101"/>
    <w:charset w:val="86"/>
    <w:family w:val="script"/>
    <w:pitch w:val="default"/>
    <w:sig w:usb0="00000001" w:usb1="080E0000" w:usb2="00000000" w:usb3="00000000" w:csb0="00040000" w:csb1="00000000"/>
    <w:embedRegular r:id="rId4" w:fontKey="{DDC87A75-DC1B-406A-9491-4433C2E337ED}"/>
  </w:font>
  <w:font w:name="楷体_GB2312">
    <w:panose1 w:val="02010609030101010101"/>
    <w:charset w:val="86"/>
    <w:family w:val="auto"/>
    <w:pitch w:val="default"/>
    <w:sig w:usb0="00000001" w:usb1="080E0000" w:usb2="00000000" w:usb3="00000000" w:csb0="00040000" w:csb1="00000000"/>
    <w:embedRegular r:id="rId5" w:fontKey="{4AE4E2A4-911A-49C5-B4E4-182A7BDBB3F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14C30">
    <w:pPr>
      <w:pStyle w:val="11"/>
      <w:jc w:val="center"/>
    </w:pPr>
  </w:p>
  <w:p w14:paraId="2B622ACA">
    <w:pPr>
      <w:pStyle w:val="11"/>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78CEBA">
    <w:pPr>
      <w:pStyle w:val="11"/>
      <w:jc w:val="center"/>
    </w:pPr>
  </w:p>
  <w:p w14:paraId="41872E12">
    <w:pPr>
      <w:pStyle w:val="11"/>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F45DF3">
    <w:pPr>
      <w:pStyle w:val="11"/>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CAA54E">
    <w:pPr>
      <w:pStyle w:val="11"/>
      <w:jc w:val="center"/>
    </w:pPr>
  </w:p>
  <w:p w14:paraId="17AE740A">
    <w:pPr>
      <w:pStyle w:val="11"/>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289702">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AA22F6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AA22F68">
                    <w:pPr>
                      <w:pStyle w:val="11"/>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47C09">
    <w:pPr>
      <w:pStyle w:val="12"/>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F54C0E1"/>
    <w:multiLevelType w:val="singleLevel"/>
    <w:tmpl w:val="CF54C0E1"/>
    <w:lvl w:ilvl="0" w:tentative="0">
      <w:start w:val="2"/>
      <w:numFmt w:val="chineseCounting"/>
      <w:suff w:val="nothing"/>
      <w:lvlText w:val="%1、"/>
      <w:lvlJc w:val="left"/>
      <w:rPr>
        <w:rFonts w:hint="eastAsia"/>
      </w:rPr>
    </w:lvl>
  </w:abstractNum>
  <w:abstractNum w:abstractNumId="1">
    <w:nsid w:val="2C48F1F5"/>
    <w:multiLevelType w:val="singleLevel"/>
    <w:tmpl w:val="2C48F1F5"/>
    <w:lvl w:ilvl="0" w:tentative="0">
      <w:start w:val="1"/>
      <w:numFmt w:val="decimal"/>
      <w:lvlText w:val="%1."/>
      <w:lvlJc w:val="left"/>
      <w:pPr>
        <w:tabs>
          <w:tab w:val="left" w:pos="312"/>
        </w:tabs>
      </w:pPr>
    </w:lvl>
  </w:abstractNum>
  <w:abstractNum w:abstractNumId="2">
    <w:nsid w:val="3059071D"/>
    <w:multiLevelType w:val="singleLevel"/>
    <w:tmpl w:val="3059071D"/>
    <w:lvl w:ilvl="0" w:tentative="0">
      <w:start w:val="1"/>
      <w:numFmt w:val="decimal"/>
      <w:lvlText w:val="%1."/>
      <w:lvlJc w:val="left"/>
      <w:pPr>
        <w:tabs>
          <w:tab w:val="left" w:pos="312"/>
        </w:tabs>
      </w:pPr>
    </w:lvl>
  </w:abstractNum>
  <w:abstractNum w:abstractNumId="3">
    <w:nsid w:val="43526DFA"/>
    <w:multiLevelType w:val="singleLevel"/>
    <w:tmpl w:val="43526DFA"/>
    <w:lvl w:ilvl="0" w:tentative="0">
      <w:start w:val="1"/>
      <w:numFmt w:val="chineseCounting"/>
      <w:suff w:val="nothing"/>
      <w:lvlText w:val="%1、"/>
      <w:lvlJc w:val="left"/>
      <w:rPr>
        <w:rFonts w:hint="eastAsia"/>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5975B8"/>
    <w:rsid w:val="01A23516"/>
    <w:rsid w:val="01B2075B"/>
    <w:rsid w:val="02317B1B"/>
    <w:rsid w:val="02FEBE30"/>
    <w:rsid w:val="03962305"/>
    <w:rsid w:val="03D90444"/>
    <w:rsid w:val="05A10D8F"/>
    <w:rsid w:val="061E35DE"/>
    <w:rsid w:val="066E0107"/>
    <w:rsid w:val="07996F6E"/>
    <w:rsid w:val="07DFD8BA"/>
    <w:rsid w:val="08DB07E4"/>
    <w:rsid w:val="09867E8F"/>
    <w:rsid w:val="0A2032A3"/>
    <w:rsid w:val="0C6C4794"/>
    <w:rsid w:val="0CA8290A"/>
    <w:rsid w:val="0D006A41"/>
    <w:rsid w:val="0D35B1ED"/>
    <w:rsid w:val="0DAB10A3"/>
    <w:rsid w:val="0DE07E2B"/>
    <w:rsid w:val="0F98263C"/>
    <w:rsid w:val="101860EC"/>
    <w:rsid w:val="10C055FF"/>
    <w:rsid w:val="11772AA4"/>
    <w:rsid w:val="118107EC"/>
    <w:rsid w:val="13957196"/>
    <w:rsid w:val="13D50BC4"/>
    <w:rsid w:val="14022904"/>
    <w:rsid w:val="147E306D"/>
    <w:rsid w:val="152F2A07"/>
    <w:rsid w:val="165E0673"/>
    <w:rsid w:val="16BB723D"/>
    <w:rsid w:val="16F13FCB"/>
    <w:rsid w:val="186504BB"/>
    <w:rsid w:val="1938089F"/>
    <w:rsid w:val="19A445FC"/>
    <w:rsid w:val="1B7D550C"/>
    <w:rsid w:val="1BE8440E"/>
    <w:rsid w:val="1CC97B6D"/>
    <w:rsid w:val="1D155CEE"/>
    <w:rsid w:val="1DE178F3"/>
    <w:rsid w:val="1E740ACF"/>
    <w:rsid w:val="1FF35744"/>
    <w:rsid w:val="1FF6BC77"/>
    <w:rsid w:val="21962A9E"/>
    <w:rsid w:val="21AE7C77"/>
    <w:rsid w:val="22BC3C41"/>
    <w:rsid w:val="22CA07BE"/>
    <w:rsid w:val="23860B96"/>
    <w:rsid w:val="240371BF"/>
    <w:rsid w:val="251F5B27"/>
    <w:rsid w:val="260F557C"/>
    <w:rsid w:val="281408E2"/>
    <w:rsid w:val="29FD04D3"/>
    <w:rsid w:val="2BFF7BC6"/>
    <w:rsid w:val="2C8A61B5"/>
    <w:rsid w:val="2D2E01CF"/>
    <w:rsid w:val="2DF04E50"/>
    <w:rsid w:val="2E9545B0"/>
    <w:rsid w:val="2F040D46"/>
    <w:rsid w:val="2FAE5751"/>
    <w:rsid w:val="2FB1A395"/>
    <w:rsid w:val="2FD9A7D8"/>
    <w:rsid w:val="319F7F4E"/>
    <w:rsid w:val="321B2544"/>
    <w:rsid w:val="3304709D"/>
    <w:rsid w:val="33226E62"/>
    <w:rsid w:val="34281836"/>
    <w:rsid w:val="34542AFE"/>
    <w:rsid w:val="349D6851"/>
    <w:rsid w:val="34A55555"/>
    <w:rsid w:val="35BA6CAF"/>
    <w:rsid w:val="35D37231"/>
    <w:rsid w:val="364D14C1"/>
    <w:rsid w:val="36AA5135"/>
    <w:rsid w:val="36BE0DA7"/>
    <w:rsid w:val="376B6AA6"/>
    <w:rsid w:val="376D39B2"/>
    <w:rsid w:val="37E16F03"/>
    <w:rsid w:val="37F53A3B"/>
    <w:rsid w:val="389B6C89"/>
    <w:rsid w:val="38D469F0"/>
    <w:rsid w:val="39627CCD"/>
    <w:rsid w:val="397BAF1F"/>
    <w:rsid w:val="39E80EC0"/>
    <w:rsid w:val="3AB79AF3"/>
    <w:rsid w:val="3B7EF35A"/>
    <w:rsid w:val="3B9FDB6C"/>
    <w:rsid w:val="3BF5BC2F"/>
    <w:rsid w:val="3CEBA265"/>
    <w:rsid w:val="3D98207C"/>
    <w:rsid w:val="3D9B0D99"/>
    <w:rsid w:val="3DEE7CF3"/>
    <w:rsid w:val="3DF02244"/>
    <w:rsid w:val="3E78745D"/>
    <w:rsid w:val="3FF4CAE0"/>
    <w:rsid w:val="3FF7B227"/>
    <w:rsid w:val="40827192"/>
    <w:rsid w:val="40E54C45"/>
    <w:rsid w:val="41313393"/>
    <w:rsid w:val="41AE11D8"/>
    <w:rsid w:val="43A407DF"/>
    <w:rsid w:val="44515BEA"/>
    <w:rsid w:val="44E268DA"/>
    <w:rsid w:val="453F7E5B"/>
    <w:rsid w:val="457347AA"/>
    <w:rsid w:val="486A6C7A"/>
    <w:rsid w:val="49176D9B"/>
    <w:rsid w:val="494006BD"/>
    <w:rsid w:val="4A627F82"/>
    <w:rsid w:val="4B0E749A"/>
    <w:rsid w:val="4B4F25DA"/>
    <w:rsid w:val="4BDA0CFB"/>
    <w:rsid w:val="4BE068DB"/>
    <w:rsid w:val="4D3C0CCC"/>
    <w:rsid w:val="4D577224"/>
    <w:rsid w:val="4DBF1CEB"/>
    <w:rsid w:val="4EAB630A"/>
    <w:rsid w:val="4ECE2238"/>
    <w:rsid w:val="4F833267"/>
    <w:rsid w:val="4FDC4AE1"/>
    <w:rsid w:val="4FE9BD67"/>
    <w:rsid w:val="4FFB052F"/>
    <w:rsid w:val="50D86F23"/>
    <w:rsid w:val="53083A92"/>
    <w:rsid w:val="536D24E5"/>
    <w:rsid w:val="537E6D0A"/>
    <w:rsid w:val="53AF27A2"/>
    <w:rsid w:val="53F74C96"/>
    <w:rsid w:val="55FB0B22"/>
    <w:rsid w:val="56E47B74"/>
    <w:rsid w:val="57BD3DD4"/>
    <w:rsid w:val="5AF92295"/>
    <w:rsid w:val="5BDD79E6"/>
    <w:rsid w:val="5BF561CA"/>
    <w:rsid w:val="5BFF5DFC"/>
    <w:rsid w:val="5CD71FC4"/>
    <w:rsid w:val="5D1F11B5"/>
    <w:rsid w:val="5DAE1B18"/>
    <w:rsid w:val="5DE7D9E5"/>
    <w:rsid w:val="5EA11D0A"/>
    <w:rsid w:val="5ECEC941"/>
    <w:rsid w:val="5F493CB7"/>
    <w:rsid w:val="5FBF9FF3"/>
    <w:rsid w:val="5FCD4E2C"/>
    <w:rsid w:val="5FD15F49"/>
    <w:rsid w:val="5FEF394A"/>
    <w:rsid w:val="5FF67715"/>
    <w:rsid w:val="60C2565D"/>
    <w:rsid w:val="61B351FF"/>
    <w:rsid w:val="62BF3928"/>
    <w:rsid w:val="64164D3B"/>
    <w:rsid w:val="647F5392"/>
    <w:rsid w:val="664B1D71"/>
    <w:rsid w:val="67AA3209"/>
    <w:rsid w:val="681C4F0D"/>
    <w:rsid w:val="69046D0F"/>
    <w:rsid w:val="698D0931"/>
    <w:rsid w:val="6A993CED"/>
    <w:rsid w:val="6AE91BB9"/>
    <w:rsid w:val="6B053271"/>
    <w:rsid w:val="6BCE6674"/>
    <w:rsid w:val="6C4A05C8"/>
    <w:rsid w:val="6C8742B8"/>
    <w:rsid w:val="6C8A170F"/>
    <w:rsid w:val="6CB54609"/>
    <w:rsid w:val="6DBF5E93"/>
    <w:rsid w:val="6DFF077E"/>
    <w:rsid w:val="6E7E3605"/>
    <w:rsid w:val="6E7FDCC7"/>
    <w:rsid w:val="6ED6A62E"/>
    <w:rsid w:val="6EE00B15"/>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332FE48"/>
    <w:rsid w:val="73AB61DA"/>
    <w:rsid w:val="73AD73D5"/>
    <w:rsid w:val="73B6EB34"/>
    <w:rsid w:val="73FA497D"/>
    <w:rsid w:val="744731E5"/>
    <w:rsid w:val="74527205"/>
    <w:rsid w:val="74BBD01D"/>
    <w:rsid w:val="74ED5379"/>
    <w:rsid w:val="74FC2395"/>
    <w:rsid w:val="75DEEEC2"/>
    <w:rsid w:val="76403023"/>
    <w:rsid w:val="76767F00"/>
    <w:rsid w:val="76E3355F"/>
    <w:rsid w:val="76FF5125"/>
    <w:rsid w:val="776F6FFA"/>
    <w:rsid w:val="778769C8"/>
    <w:rsid w:val="77DC22F5"/>
    <w:rsid w:val="79086DAD"/>
    <w:rsid w:val="79974F09"/>
    <w:rsid w:val="79D7FD79"/>
    <w:rsid w:val="79EE5BA4"/>
    <w:rsid w:val="7A894339"/>
    <w:rsid w:val="7AFF7572"/>
    <w:rsid w:val="7B6C7DFB"/>
    <w:rsid w:val="7BBFBED0"/>
    <w:rsid w:val="7BC3E394"/>
    <w:rsid w:val="7C1F3737"/>
    <w:rsid w:val="7CBFC87B"/>
    <w:rsid w:val="7CFE0F48"/>
    <w:rsid w:val="7D7EC23E"/>
    <w:rsid w:val="7D916348"/>
    <w:rsid w:val="7E8ADEBF"/>
    <w:rsid w:val="7EEF11D3"/>
    <w:rsid w:val="7F0971A6"/>
    <w:rsid w:val="7F3F679B"/>
    <w:rsid w:val="7F4FC4EF"/>
    <w:rsid w:val="7F5E4D54"/>
    <w:rsid w:val="7F6E0135"/>
    <w:rsid w:val="7FA30C79"/>
    <w:rsid w:val="7FAF8ABF"/>
    <w:rsid w:val="7FB7269E"/>
    <w:rsid w:val="7FC96657"/>
    <w:rsid w:val="7FDA9588"/>
    <w:rsid w:val="7FDF220F"/>
    <w:rsid w:val="7FEDC5F7"/>
    <w:rsid w:val="7FEDD9DE"/>
    <w:rsid w:val="7FF5890D"/>
    <w:rsid w:val="7FF93490"/>
    <w:rsid w:val="99FF2014"/>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7">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customStyle="1" w:styleId="2">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paragraph" w:styleId="6">
    <w:name w:val="Body Text"/>
    <w:basedOn w:val="1"/>
    <w:link w:val="25"/>
    <w:qFormat/>
    <w:uiPriority w:val="99"/>
    <w:pPr>
      <w:spacing w:beforeLines="30"/>
    </w:pPr>
    <w:rPr>
      <w:rFonts w:ascii="仿宋_GB2312" w:eastAsia="仿宋_GB2312"/>
      <w:kern w:val="0"/>
      <w:sz w:val="30"/>
    </w:rPr>
  </w:style>
  <w:style w:type="paragraph" w:styleId="7">
    <w:name w:val="Body Text Indent"/>
    <w:basedOn w:val="1"/>
    <w:next w:val="8"/>
    <w:qFormat/>
    <w:uiPriority w:val="0"/>
    <w:pPr>
      <w:spacing w:after="120"/>
      <w:ind w:leftChars="200"/>
    </w:pPr>
    <w:rPr>
      <w:rFonts w:ascii="仿宋_GB2312"/>
      <w:szCs w:val="32"/>
    </w:rPr>
  </w:style>
  <w:style w:type="paragraph" w:styleId="8">
    <w:name w:val="Body Text First Indent 2"/>
    <w:basedOn w:val="7"/>
    <w:next w:val="1"/>
    <w:unhideWhenUsed/>
    <w:qFormat/>
    <w:uiPriority w:val="99"/>
    <w:pPr>
      <w:ind w:firstLine="420" w:firstLineChars="200"/>
    </w:pPr>
  </w:style>
  <w:style w:type="paragraph" w:styleId="9">
    <w:name w:val="toc 3"/>
    <w:basedOn w:val="1"/>
    <w:next w:val="1"/>
    <w:unhideWhenUsed/>
    <w:qFormat/>
    <w:uiPriority w:val="39"/>
    <w:pPr>
      <w:tabs>
        <w:tab w:val="right" w:leader="dot" w:pos="8296"/>
      </w:tabs>
      <w:ind w:left="840" w:leftChars="400"/>
    </w:pPr>
  </w:style>
  <w:style w:type="paragraph" w:styleId="10">
    <w:name w:val="Balloon Text"/>
    <w:basedOn w:val="1"/>
    <w:link w:val="31"/>
    <w:semiHidden/>
    <w:unhideWhenUsed/>
    <w:qFormat/>
    <w:uiPriority w:val="99"/>
    <w:rPr>
      <w:sz w:val="18"/>
      <w:szCs w:val="18"/>
    </w:rPr>
  </w:style>
  <w:style w:type="paragraph" w:styleId="11">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2">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3">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4">
    <w:name w:val="footnote text"/>
    <w:basedOn w:val="1"/>
    <w:next w:val="8"/>
    <w:semiHidden/>
    <w:qFormat/>
    <w:uiPriority w:val="0"/>
    <w:pPr>
      <w:snapToGrid w:val="0"/>
      <w:jc w:val="left"/>
    </w:pPr>
    <w:rPr>
      <w:sz w:val="18"/>
      <w:szCs w:val="18"/>
    </w:rPr>
  </w:style>
  <w:style w:type="paragraph" w:styleId="15">
    <w:name w:val="toc 2"/>
    <w:basedOn w:val="1"/>
    <w:next w:val="1"/>
    <w:unhideWhenUsed/>
    <w:qFormat/>
    <w:uiPriority w:val="39"/>
    <w:pPr>
      <w:tabs>
        <w:tab w:val="right" w:leader="dot" w:pos="8296"/>
      </w:tabs>
      <w:ind w:left="420" w:leftChars="200"/>
    </w:pPr>
  </w:style>
  <w:style w:type="character" w:styleId="18">
    <w:name w:val="Strong"/>
    <w:basedOn w:val="17"/>
    <w:qFormat/>
    <w:uiPriority w:val="99"/>
    <w:rPr>
      <w:b/>
    </w:rPr>
  </w:style>
  <w:style w:type="character" w:styleId="19">
    <w:name w:val="Hyperlink"/>
    <w:basedOn w:val="17"/>
    <w:unhideWhenUsed/>
    <w:qFormat/>
    <w:uiPriority w:val="99"/>
    <w:rPr>
      <w:color w:val="0000FF" w:themeColor="hyperlink"/>
      <w:u w:val="single"/>
      <w14:textFill>
        <w14:solidFill>
          <w14:schemeClr w14:val="hlink"/>
        </w14:solidFill>
      </w14:textFill>
    </w:rPr>
  </w:style>
  <w:style w:type="character" w:customStyle="1" w:styleId="20">
    <w:name w:val="Header Char"/>
    <w:basedOn w:val="17"/>
    <w:semiHidden/>
    <w:qFormat/>
    <w:uiPriority w:val="99"/>
    <w:rPr>
      <w:rFonts w:ascii="Times New Roman" w:hAnsi="Times New Roman"/>
      <w:sz w:val="18"/>
      <w:szCs w:val="18"/>
    </w:rPr>
  </w:style>
  <w:style w:type="character" w:customStyle="1" w:styleId="21">
    <w:name w:val="页眉 Char"/>
    <w:link w:val="12"/>
    <w:semiHidden/>
    <w:qFormat/>
    <w:locked/>
    <w:uiPriority w:val="99"/>
    <w:rPr>
      <w:sz w:val="18"/>
    </w:rPr>
  </w:style>
  <w:style w:type="character" w:customStyle="1" w:styleId="22">
    <w:name w:val="Footer Char"/>
    <w:basedOn w:val="17"/>
    <w:semiHidden/>
    <w:qFormat/>
    <w:uiPriority w:val="99"/>
    <w:rPr>
      <w:rFonts w:ascii="Times New Roman" w:hAnsi="Times New Roman"/>
      <w:sz w:val="18"/>
      <w:szCs w:val="18"/>
    </w:rPr>
  </w:style>
  <w:style w:type="character" w:customStyle="1" w:styleId="23">
    <w:name w:val="页脚 Char"/>
    <w:link w:val="11"/>
    <w:qFormat/>
    <w:locked/>
    <w:uiPriority w:val="99"/>
    <w:rPr>
      <w:sz w:val="18"/>
    </w:rPr>
  </w:style>
  <w:style w:type="character" w:customStyle="1" w:styleId="24">
    <w:name w:val="Body Text Char"/>
    <w:basedOn w:val="17"/>
    <w:semiHidden/>
    <w:qFormat/>
    <w:uiPriority w:val="99"/>
    <w:rPr>
      <w:rFonts w:ascii="Times New Roman" w:hAnsi="Times New Roman"/>
      <w:szCs w:val="24"/>
    </w:rPr>
  </w:style>
  <w:style w:type="character" w:customStyle="1" w:styleId="25">
    <w:name w:val="正文文本 Char"/>
    <w:link w:val="6"/>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7"/>
    <w:link w:val="3"/>
    <w:qFormat/>
    <w:uiPriority w:val="9"/>
    <w:rPr>
      <w:rFonts w:ascii="Times New Roman" w:hAnsi="Times New Roman"/>
      <w:b/>
      <w:bCs/>
      <w:kern w:val="44"/>
      <w:sz w:val="44"/>
      <w:szCs w:val="44"/>
    </w:rPr>
  </w:style>
  <w:style w:type="character" w:customStyle="1" w:styleId="29">
    <w:name w:val="标题 2 Char"/>
    <w:basedOn w:val="17"/>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7"/>
    <w:link w:val="10"/>
    <w:semiHidden/>
    <w:qFormat/>
    <w:uiPriority w:val="99"/>
    <w:rPr>
      <w:rFonts w:ascii="Times New Roman" w:hAnsi="Times New Roman"/>
      <w:kern w:val="2"/>
      <w:sz w:val="18"/>
      <w:szCs w:val="18"/>
    </w:rPr>
  </w:style>
  <w:style w:type="character" w:customStyle="1" w:styleId="32">
    <w:name w:val="标题 3 Char"/>
    <w:basedOn w:val="17"/>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contractReview xmlns="http://schemas.wps.cn/vas-ai-hub/contract-review">
  <reviewItems>
    <reviewItem>
      <errorID>053a33c6-63a6-4ee5-8435-ff0c9d426ac8</errorID>
      <errorWord>法律、法规</errorWord>
      <group>L1_Word</group>
      <groupName>字词问题</groupName>
      <ability>L2_Typo</ability>
      <abilityName>字词错误</abilityName>
      <candidateList>
        <item>法律法规</item>
      </candidateList>
      <explain/>
      <paraID>458113F4</paraID>
      <start>13</start>
      <end>17</end>
      <status>modified</status>
      <modifiedWord>法律法规</modifiedWord>
      <trackRevisions>false</trackRevisions>
    </reviewItem>
    <reviewItem>
      <errorID>9e084860-b96d-4bd5-8258-7f434de240da</errorID>
      <errorWord>&lt;</errorWord>
      <group>L1_Format</group>
      <groupName>格式问题</groupName>
      <ability>L2_HalfPunc_CN</ability>
      <abilityName>全半角问题</abilityName>
      <candidateList>
        <item>〈</item>
      </candidateList>
      <explain>文本全半角错误。</explain>
      <paraID>4377A75D</paraID>
      <start>50</start>
      <end>51</end>
      <status>modified</status>
      <modifiedWord>〈</modifiedWord>
      <trackRevisions>false</trackRevisions>
    </reviewItem>
    <reviewItem>
      <errorID>83aa08b0-048c-44aa-bd02-4655f206f562</errorID>
      <errorWord>&gt;</errorWord>
      <group>L1_Format</group>
      <groupName>格式问题</groupName>
      <ability>L2_HalfPunc_CN</ability>
      <abilityName>全半角问题</abilityName>
      <candidateList>
        <item>〉</item>
      </candidateList>
      <explain>文本全半角错误。</explain>
      <paraID>4377A75D</paraID>
      <start>53</start>
      <end>54</end>
      <status>modified</status>
      <modifiedWord>〉</modifiedWord>
      <trackRevisions>false</trackRevisions>
    </reviewItem>
    <reviewItem>
      <errorID>354ace23-3182-494f-bcdf-8dbb90324211</errorID>
      <errorWord>&lt;</errorWord>
      <group>L1_Format</group>
      <groupName>格式问题</groupName>
      <ability>L2_HalfPunc_CN</ability>
      <abilityName>全半角问题</abilityName>
      <candidateList>
        <item>〈</item>
      </candidateList>
      <explain>文本全半角错误。</explain>
      <paraID>4377A75D</paraID>
      <start>60</start>
      <end>61</end>
      <status>modified</status>
      <modifiedWord>〈</modifiedWord>
      <trackRevisions>false</trackRevisions>
    </reviewItem>
    <reviewItem>
      <errorID>9f8689cc-57a9-487f-83d2-efa06d761142</errorID>
      <errorWord>&gt;</errorWord>
      <group>L1_Format</group>
      <groupName>格式问题</groupName>
      <ability>L2_HalfPunc_CN</ability>
      <abilityName>全半角问题</abilityName>
      <candidateList>
        <item>〉</item>
      </candidateList>
      <explain>文本全半角错误。</explain>
      <paraID>4377A75D</paraID>
      <start>63</start>
      <end>64</end>
      <status>modified</status>
      <modifiedWord>〉</modifiedWord>
      <trackRevisions>false</trackRevisions>
    </reviewItem>
    <reviewItem>
      <errorID>3fd1303a-63e1-4101-9f3c-7e3d38d3b001</errorID>
      <errorWord>，</errorWord>
      <group>L1_Word</group>
      <groupName>字词问题</groupName>
      <ability>L2_Typo</ability>
      <abilityName>字词错误</abilityName>
      <candidateList>
        <item>，在</item>
      </candidateList>
      <explain/>
      <paraID>406150E3</paraID>
      <start>92</start>
      <end>94</end>
      <status>modified</status>
      <modifiedWord>，在</modifiedWord>
      <trackRevisions>false</trackRevisions>
    </reviewItem>
    <reviewItem>
      <errorID>0b28a026-ea4f-4bab-87b7-d4fb2009d556</errorID>
      <errorWord>[2015]67号</errorWord>
      <group>L1_Knowledge</group>
      <groupName>知识性问题</groupName>
      <ability>L2_Knowledge</ability>
      <abilityName>其他知识</abilityName>
      <candidateList>
        <item>〔2015〕67号</item>
      </candidateList>
      <explain>发文字号格式错误。</explain>
      <paraID>5C694AF3</paraID>
      <start>97</start>
      <end>106</end>
      <status>modified</status>
      <modifiedWord>〔2015〕67号</modifiedWord>
      <trackRevisions>false</trackRevisions>
    </reviewItem>
    <reviewItem>
      <errorID>1289149d-c967-4f9f-82e2-e1075a87d060</errorID>
      <errorWord>[2016]9号</errorWord>
      <group>L1_Knowledge</group>
      <groupName>知识性问题</groupName>
      <ability>L2_Knowledge</ability>
      <abilityName>其他知识</abilityName>
      <candidateList>
        <item>〔2016〕9号</item>
      </candidateList>
      <explain>发文字号格式错误。</explain>
      <paraID>5C694AF3</paraID>
      <start>145</start>
      <end>153</end>
      <status>modified</status>
      <modifiedWord>〔2016〕9号</modifiedWord>
      <trackRevisions>false</trackRevisions>
    </reviewItem>
    <reviewItem>
      <errorID>3b59d67e-6d99-44eb-ab46-466b554367f1</errorID>
      <errorWord>[2016]32号</errorWord>
      <group>L1_Knowledge</group>
      <groupName>知识性问题</groupName>
      <ability>L2_Knowledge</ability>
      <abilityName>其他知识</abilityName>
      <candidateList>
        <item>〔2016〕32号</item>
      </candidateList>
      <explain>发文字号格式错误。</explain>
      <paraID>5C694AF3</paraID>
      <start>193</start>
      <end>202</end>
      <status>modified</status>
      <modifiedWord>〔2016〕32号</modifiedWord>
      <trackRevisions>false</trackRevisions>
    </reviewItem>
    <reviewItem>
      <errorID>8fa67828-1984-42b3-b1e1-6878d0250642</errorID>
      <errorWord>[2016]18号</errorWord>
      <group>L1_Knowledge</group>
      <groupName>知识性问题</groupName>
      <ability>L2_Knowledge</ability>
      <abilityName>其他知识</abilityName>
      <candidateList>
        <item>〔2016〕18号</item>
      </candidateList>
      <explain>发文字号格式错误。</explain>
      <paraID>5C694AF3</paraID>
      <start>242</start>
      <end>251</end>
      <status>modified</status>
      <modifiedWord>〔2016〕18号</modifiedWord>
      <trackRevisions>false</trackRevisions>
    </reviewItem>
    <reviewItem>
      <errorID>d637ab01-af1b-4452-8ceb-3677b0f3718a</errorID>
      <errorWord>[2016]18号</errorWord>
      <group>L1_Knowledge</group>
      <groupName>知识性问题</groupName>
      <ability>L2_Knowledge</ability>
      <abilityName>其他知识</abilityName>
      <candidateList>
        <item>〔2016〕18号</item>
      </candidateList>
      <explain>发文字号格式错误。</explain>
      <paraID>279A306B</paraID>
      <start>56</start>
      <end>65</end>
      <status>modified</status>
      <modifiedWord>〔2016〕18号</modifiedWord>
      <trackRevisions>false</trackRevisions>
    </reviewItem>
    <reviewItem>
      <errorID>4dc164a6-b532-410d-99e5-50a3d5ba32ea</errorID>
      <errorWord>用来</errorWord>
      <group>L1_Grammar</group>
      <groupName>语法问题</groupName>
      <ability>L2_Grammar</ability>
      <abilityName>语法错误</abilityName>
      <candidateList>
        <item>用于</item>
      </candidateList>
      <explain>“用来～开展”搭配不当，建议修改为“用于～开展”。</explain>
      <paraID>7FC3843B</paraID>
      <start>20</start>
      <end>22</end>
      <status>modified</status>
      <modifiedWord>用于</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d027e5e-c727-4b85-8f1d-7e4ddccc0bb8}">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24</Pages>
  <Words>8757</Words>
  <Characters>9619</Characters>
  <Lines>61</Lines>
  <Paragraphs>17</Paragraphs>
  <TotalTime>18</TotalTime>
  <ScaleCrop>false</ScaleCrop>
  <LinksUpToDate>false</LinksUpToDate>
  <CharactersWithSpaces>9648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2020-08-08T17:49:00Z</dcterms:created>
  <dc:creator>曹颖</dc:creator>
  <cp:lastModifiedBy>奕夕^_^</cp:lastModifiedBy>
  <cp:lastPrinted>2026-08-03T09:27:00Z</cp:lastPrinted>
  <dcterms:modified xsi:type="dcterms:W3CDTF">2026-10-16T01:36:45Z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400D301575C74348A5277D00A7902E06</vt:lpwstr>
  </property>
  <property fmtid="{D5CDD505-2E9C-101B-9397-08002B2CF9AE}" pid="4" name="KSOTemplateDocerSaveRecord">
    <vt:lpwstr>eyJoZGlkIjoiNTU1MWNhN2ZmY2ZhZmY3ODhlYTg0MWU5OGMyY2QwZmUiLCJ1c2VySWQiOiI0MzQ2NTM0NzEifQ==</vt:lpwstr>
  </property>
</Properties>
</file>