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69489">
      <w:pPr>
        <w:pStyle w:val="8"/>
        <w:rPr>
          <w:rFonts w:hint="eastAsia" w:ascii="黑体" w:hAnsi="黑体" w:eastAsia="黑体" w:cs="黑体"/>
          <w:color w:val="auto"/>
          <w:kern w:val="2"/>
          <w:sz w:val="32"/>
          <w:szCs w:val="32"/>
          <w:highlight w:val="none"/>
          <w:lang w:val="en-US" w:eastAsia="zh-CN" w:bidi="ar-SA"/>
        </w:rPr>
      </w:pPr>
      <w:bookmarkStart w:id="0" w:name="_Toc15378441"/>
      <w:bookmarkStart w:id="1" w:name="_Toc15377193"/>
      <w:bookmarkStart w:id="2" w:name="_Toc15377425"/>
      <w:bookmarkStart w:id="3" w:name="_Toc15396475"/>
      <w:bookmarkStart w:id="4" w:name="_Toc15306267"/>
      <w:bookmarkStart w:id="5" w:name="_Toc15396597"/>
      <w:r>
        <w:rPr>
          <w:rFonts w:hint="eastAsia" w:ascii="黑体" w:hAnsi="黑体" w:eastAsia="黑体" w:cs="黑体"/>
          <w:color w:val="auto"/>
          <w:kern w:val="2"/>
          <w:sz w:val="32"/>
          <w:szCs w:val="32"/>
          <w:highlight w:val="none"/>
          <w:lang w:val="en-US" w:eastAsia="zh-CN" w:bidi="ar-SA"/>
        </w:rPr>
        <w:t>附件4</w:t>
      </w:r>
    </w:p>
    <w:p w14:paraId="7096076C">
      <w:pPr>
        <w:pStyle w:val="8"/>
        <w:rPr>
          <w:rFonts w:hint="eastAsia" w:ascii="Times New Roman" w:hAnsi="Times New Roman" w:eastAsia="方正小标宋简体" w:cs="Times New Roman"/>
          <w:color w:val="auto"/>
          <w:kern w:val="2"/>
          <w:sz w:val="72"/>
          <w:szCs w:val="72"/>
          <w:highlight w:val="none"/>
          <w:lang w:val="en-US" w:eastAsia="zh-CN" w:bidi="ar-SA"/>
        </w:rPr>
      </w:pPr>
    </w:p>
    <w:p w14:paraId="6028A756">
      <w:pPr>
        <w:pStyle w:val="8"/>
        <w:rPr>
          <w:rFonts w:hint="eastAsia" w:ascii="Times New Roman" w:hAnsi="Times New Roman" w:eastAsia="方正小标宋简体" w:cs="Times New Roman"/>
          <w:color w:val="auto"/>
          <w:kern w:val="2"/>
          <w:sz w:val="72"/>
          <w:szCs w:val="72"/>
          <w:highlight w:val="none"/>
          <w:lang w:val="en-US" w:eastAsia="zh-CN" w:bidi="ar-SA"/>
        </w:rPr>
      </w:pPr>
    </w:p>
    <w:p w14:paraId="2BC57731">
      <w:pPr>
        <w:pStyle w:val="8"/>
        <w:rPr>
          <w:rFonts w:hint="eastAsia" w:ascii="Times New Roman" w:hAnsi="Times New Roman" w:eastAsia="方正小标宋简体" w:cs="Times New Roman"/>
          <w:color w:val="auto"/>
          <w:kern w:val="2"/>
          <w:sz w:val="72"/>
          <w:szCs w:val="72"/>
          <w:highlight w:val="none"/>
          <w:lang w:val="en-US" w:eastAsia="zh-CN" w:bidi="ar-SA"/>
        </w:rPr>
      </w:pPr>
    </w:p>
    <w:p w14:paraId="30B70758">
      <w:pPr>
        <w:pStyle w:val="8"/>
        <w:rPr>
          <w:rFonts w:hint="eastAsia" w:ascii="Times New Roman" w:hAnsi="Times New Roman" w:eastAsia="方正小标宋简体" w:cs="Times New Roman"/>
          <w:color w:val="auto"/>
          <w:kern w:val="2"/>
          <w:sz w:val="72"/>
          <w:szCs w:val="72"/>
          <w:highlight w:val="none"/>
          <w:lang w:val="en-US" w:eastAsia="zh-CN" w:bidi="ar-SA"/>
        </w:rPr>
      </w:pPr>
    </w:p>
    <w:p w14:paraId="07006BCA">
      <w:pPr>
        <w:pStyle w:val="8"/>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方正小标宋简体" w:hAnsi="宋体" w:eastAsia="方正小标宋简体" w:cs="Times New Roman"/>
          <w:color w:val="auto"/>
          <w:kern w:val="2"/>
          <w:sz w:val="44"/>
          <w:szCs w:val="44"/>
          <w:highlight w:val="none"/>
          <w:lang w:val="en-US" w:eastAsia="zh-CN" w:bidi="ar-SA"/>
        </w:rPr>
        <w:t>四川省阿坝州</w:t>
      </w:r>
    </w:p>
    <w:p w14:paraId="1CAC07A0">
      <w:pPr>
        <w:pStyle w:val="8"/>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松潘县节能监察中心决算</w:t>
      </w:r>
    </w:p>
    <w:bookmarkEnd w:id="0"/>
    <w:bookmarkEnd w:id="1"/>
    <w:bookmarkEnd w:id="2"/>
    <w:bookmarkEnd w:id="3"/>
    <w:bookmarkEnd w:id="4"/>
    <w:bookmarkEnd w:id="5"/>
    <w:p w14:paraId="37803D0A">
      <w:pPr>
        <w:widowControl/>
        <w:jc w:val="both"/>
        <w:rPr>
          <w:rFonts w:hint="eastAsia" w:ascii="Times New Roman" w:hAnsi="Times New Roman" w:eastAsia="黑体"/>
          <w:color w:val="auto"/>
          <w:sz w:val="48"/>
          <w:szCs w:val="48"/>
          <w:highlight w:val="none"/>
          <w:lang w:val="en-US"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6CDA0AB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3302CB1">
      <w:pPr>
        <w:widowControl/>
        <w:jc w:val="center"/>
        <w:rPr>
          <w:rFonts w:ascii="Times New Roman" w:hAnsi="Times New Roman" w:eastAsia="黑体" w:cstheme="minorBidi"/>
          <w:color w:val="auto"/>
          <w:sz w:val="28"/>
          <w:szCs w:val="28"/>
          <w:highlight w:val="none"/>
        </w:rPr>
      </w:pPr>
    </w:p>
    <w:p w14:paraId="66B19DFA">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43173C1C">
      <w:pPr>
        <w:rPr>
          <w:rFonts w:ascii="Times New Roman" w:hAnsi="Times New Roman"/>
          <w:color w:val="auto"/>
          <w:highlight w:val="none"/>
        </w:rPr>
      </w:pPr>
    </w:p>
    <w:p w14:paraId="2490A98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7B251AD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1558C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74F5FE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4646693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B623D0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7D91C5B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CA9E0F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EA5DF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775EF7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46708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43D6BA4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2EFBD2D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77D115B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07C8B45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55D160E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0C9108C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77AA0C5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21CE7C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FE93C7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40E244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D09848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AFDC8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54F87A0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823FC0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57D35C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63609DD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1BA14A5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0936EB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052ABFD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D63F77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DB00005">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082133A2">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0A48CF03">
      <w:pPr>
        <w:widowControl/>
        <w:jc w:val="left"/>
        <w:rPr>
          <w:rFonts w:ascii="Times New Roman" w:hAnsi="Times New Roman" w:eastAsia="黑体"/>
          <w:color w:val="auto"/>
          <w:sz w:val="32"/>
          <w:szCs w:val="32"/>
          <w:highlight w:val="none"/>
        </w:rPr>
      </w:pPr>
    </w:p>
    <w:p w14:paraId="1E5BB8F5">
      <w:pPr>
        <w:pStyle w:val="6"/>
        <w:rPr>
          <w:rStyle w:val="29"/>
          <w:rFonts w:hint="eastAsia" w:ascii="Times New Roman" w:hAnsi="Times New Roman" w:eastAsia="黑体"/>
          <w:b w:val="0"/>
          <w:bCs w:val="0"/>
          <w:color w:val="auto"/>
          <w:highlight w:val="none"/>
          <w:lang w:eastAsia="zh-CN"/>
        </w:rPr>
      </w:pPr>
      <w:bookmarkStart w:id="8" w:name="_Toc15396600"/>
      <w:bookmarkStart w:id="9" w:name="_Toc15377197"/>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14:paraId="3DA42864">
      <w:pPr>
        <w:keepNext w:val="0"/>
        <w:keepLines w:val="0"/>
        <w:widowControl w:val="0"/>
        <w:suppressLineNumbers w:val="0"/>
        <w:autoSpaceDE w:val="0"/>
        <w:autoSpaceDN/>
        <w:spacing w:line="560" w:lineRule="exact"/>
        <w:ind w:left="0" w:right="0" w:rightChars="0" w:firstLine="480" w:firstLineChars="200"/>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（一）主要职能。</w:t>
      </w:r>
    </w:p>
    <w:p w14:paraId="7C0B2ECF">
      <w:pPr>
        <w:keepNext w:val="0"/>
        <w:keepLines w:val="0"/>
        <w:widowControl w:val="0"/>
        <w:suppressLineNumbers w:val="0"/>
        <w:autoSpaceDE w:val="0"/>
        <w:autoSpaceDN/>
        <w:spacing w:line="560" w:lineRule="exact"/>
        <w:ind w:left="0" w:right="0" w:rightChars="0" w:firstLine="560" w:firstLineChars="200"/>
        <w:rPr>
          <w:rFonts w:hint="default" w:ascii="仿宋_GB2312" w:hAnsi="宋体" w:eastAsia="仿宋_GB2312" w:cs="宋体"/>
          <w:b w:val="0"/>
          <w:bCs w:val="0"/>
          <w:kern w:val="0"/>
          <w:sz w:val="28"/>
          <w:szCs w:val="28"/>
        </w:rPr>
      </w:pPr>
      <w:r>
        <w:rPr>
          <w:rFonts w:hint="default" w:ascii="仿宋_GB2312" w:hAnsi="宋体" w:eastAsia="仿宋_GB2312" w:cs="仿宋_GB2312"/>
          <w:b w:val="0"/>
          <w:bCs w:val="0"/>
          <w:kern w:val="0"/>
          <w:sz w:val="28"/>
          <w:szCs w:val="28"/>
        </w:rPr>
        <w:t>负责全县工业和信息化领域的节能降耗、清洁生产和资源节约与综合利用工作，协调推进工业化与生态环境协调发展中的相关问题，组织实施相关示范项目和新产品、新技术、新工艺、新设备、新材料的推广应用。</w:t>
      </w:r>
    </w:p>
    <w:p w14:paraId="3F9841B4">
      <w:pPr>
        <w:keepNext w:val="0"/>
        <w:keepLines w:val="0"/>
        <w:widowControl w:val="0"/>
        <w:suppressLineNumbers w:val="0"/>
        <w:autoSpaceDE w:val="0"/>
        <w:autoSpaceDN/>
        <w:spacing w:line="560" w:lineRule="exact"/>
        <w:ind w:right="0" w:rightChars="0"/>
        <w:rPr>
          <w:rFonts w:hint="default" w:ascii="仿宋_GB2312" w:hAnsi="宋体" w:eastAsia="仿宋_GB2312" w:cs="宋体"/>
          <w:b w:val="0"/>
          <w:bCs w:val="0"/>
          <w:kern w:val="0"/>
          <w:sz w:val="28"/>
          <w:szCs w:val="28"/>
        </w:rPr>
      </w:pPr>
      <w:r>
        <w:rPr>
          <w:rFonts w:hint="eastAsia" w:ascii="宋体" w:hAnsi="仿宋_GB2312" w:eastAsia="宋体" w:cs="宋体"/>
          <w:b w:val="0"/>
          <w:bCs w:val="0"/>
          <w:kern w:val="0"/>
          <w:sz w:val="28"/>
          <w:szCs w:val="28"/>
        </w:rPr>
        <w:t xml:space="preserve">    </w:t>
      </w:r>
      <w:r>
        <w:rPr>
          <w:rFonts w:hint="default" w:ascii="仿宋_GB2312" w:hAnsi="宋体" w:eastAsia="仿宋_GB2312" w:cs="仿宋_GB2312"/>
          <w:b w:val="0"/>
          <w:bCs w:val="0"/>
          <w:kern w:val="0"/>
          <w:sz w:val="28"/>
          <w:szCs w:val="28"/>
        </w:rPr>
        <w:t>对工业经济政策实施情况进行督查，指导企业建立现代企业制度、改组改造、兼并重组，负责全县企业治乱减负工作，指导企业经营管理人员、专业技术人员培训，负责全县龙头骨干企业的培育工作，负责全县中小企业发展的指导推进工作，综合协调有关部门拟订促进中小企业发展的政策措施，负责推进中小企业服务体系建设。</w:t>
      </w:r>
    </w:p>
    <w:p w14:paraId="3D1648A0">
      <w:pPr>
        <w:pStyle w:val="3"/>
        <w:keepNext w:val="0"/>
        <w:keepLines w:val="0"/>
        <w:widowControl w:val="0"/>
        <w:suppressLineNumbers w:val="0"/>
        <w:autoSpaceDE w:val="0"/>
        <w:autoSpaceDN/>
        <w:spacing w:line="360" w:lineRule="auto"/>
        <w:ind w:left="0" w:leftChars="0" w:firstLine="560" w:firstLineChars="200"/>
        <w:rPr>
          <w:rFonts w:hint="default" w:ascii="仿宋_GB2312" w:hAnsi="Times New Roman" w:eastAsia="仿宋_GB2312" w:cs="Times New Roman"/>
          <w:b/>
          <w:bCs w:val="0"/>
          <w:kern w:val="0"/>
          <w:sz w:val="24"/>
          <w:szCs w:val="24"/>
        </w:rPr>
      </w:pPr>
      <w:r>
        <w:rPr>
          <w:rFonts w:hint="default" w:ascii="仿宋_GB2312" w:hAnsi="Times New Roman" w:eastAsia="仿宋_GB2312" w:cs="仿宋_GB2312"/>
          <w:b w:val="0"/>
          <w:bCs w:val="0"/>
          <w:kern w:val="0"/>
          <w:sz w:val="28"/>
          <w:szCs w:val="28"/>
        </w:rPr>
        <w:t>负责指导全县中小企业协调发展，综合协调有关部门研究拟订全县中小企业发展规划和促进中小企业发展的政策；推进企业信用制度建设，负责中小企业信用担保和融资体系建设并实施行业监管，负责制订工业发展资金等财政专项资金使用计划，负责企业技术改造、技术创新、生产运行等涉及财政、信贷、税收、保险等方面问题的协调，指导工业企业融资工作，推进产业园区发展，统筹大中小企业协调发展；参与对非公有制企业的指导、协调和服务工作</w:t>
      </w:r>
      <w:r>
        <w:rPr>
          <w:rFonts w:hint="default" w:ascii="仿宋_GB2312" w:hAnsi="Times New Roman" w:eastAsia="仿宋_GB2312" w:cs="仿宋_GB2312"/>
          <w:b/>
          <w:bCs w:val="0"/>
          <w:kern w:val="0"/>
          <w:sz w:val="28"/>
          <w:szCs w:val="28"/>
        </w:rPr>
        <w:t>。</w:t>
      </w:r>
    </w:p>
    <w:p w14:paraId="4B8B0B54">
      <w:pPr>
        <w:rPr>
          <w:rFonts w:hint="eastAsia"/>
          <w:lang w:eastAsia="zh-CN"/>
        </w:rPr>
      </w:pPr>
    </w:p>
    <w:p w14:paraId="7C2B6E99">
      <w:pPr>
        <w:pStyle w:val="6"/>
        <w:numPr>
          <w:ilvl w:val="0"/>
          <w:numId w:val="1"/>
        </w:numPr>
        <w:ind w:left="0" w:leftChars="0" w:firstLine="0" w:firstLineChars="0"/>
        <w:rPr>
          <w:rFonts w:hint="eastAsia" w:ascii="黑体" w:hAnsi="黑体" w:eastAsia="黑体"/>
          <w:b w:val="0"/>
          <w:color w:val="auto"/>
          <w:highlight w:val="none"/>
          <w:lang w:val="en-US" w:eastAsia="zh-CN"/>
        </w:rPr>
      </w:pPr>
      <w:r>
        <w:rPr>
          <w:rFonts w:hint="eastAsia" w:ascii="黑体" w:hAnsi="黑体" w:eastAsia="黑体"/>
          <w:b w:val="0"/>
          <w:color w:val="auto"/>
          <w:highlight w:val="none"/>
          <w:lang w:val="en-US" w:eastAsia="zh-CN"/>
        </w:rPr>
        <w:t>机构设置</w:t>
      </w:r>
    </w:p>
    <w:p w14:paraId="0FB0A609">
      <w:pPr>
        <w:numPr>
          <w:ilvl w:val="0"/>
          <w:numId w:val="0"/>
        </w:numPr>
        <w:ind w:leftChars="0"/>
        <w:rPr>
          <w:rFonts w:hint="eastAsia" w:eastAsia="仿宋_GB2312"/>
          <w:lang w:val="en-US" w:eastAsia="zh-CN"/>
        </w:rPr>
      </w:pPr>
      <w:r>
        <w:rPr>
          <w:rFonts w:hint="eastAsia"/>
          <w:lang w:val="en-US" w:eastAsia="zh-CN"/>
        </w:rPr>
        <w:t xml:space="preserve">   </w:t>
      </w:r>
      <w:r>
        <w:rPr>
          <w:rFonts w:hint="default" w:ascii="仿宋_GB2312" w:hAnsi="宋体" w:eastAsia="仿宋_GB2312" w:cs="仿宋_GB2312"/>
          <w:b w:val="0"/>
          <w:bCs/>
          <w:kern w:val="0"/>
          <w:sz w:val="28"/>
          <w:szCs w:val="28"/>
        </w:rPr>
        <w:t>本单位本年度纳入本套决算编制范围的独立编制机构数共1个，独立核算机构数共1个</w:t>
      </w:r>
      <w:r>
        <w:rPr>
          <w:rFonts w:hint="eastAsia" w:ascii="仿宋_GB2312" w:hAnsi="宋体" w:eastAsia="仿宋_GB2312" w:cs="仿宋_GB2312"/>
          <w:b w:val="0"/>
          <w:bCs/>
          <w:kern w:val="0"/>
          <w:sz w:val="28"/>
          <w:szCs w:val="28"/>
          <w:lang w:eastAsia="zh-CN"/>
        </w:rPr>
        <w:t>。</w:t>
      </w:r>
    </w:p>
    <w:p w14:paraId="33A516CE">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6EC0E0B">
      <w:pPr>
        <w:pStyle w:val="5"/>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203B0619">
      <w:pPr>
        <w:rPr>
          <w:rFonts w:ascii="Times New Roman" w:hAnsi="Times New Roman"/>
          <w:color w:val="auto"/>
          <w:highlight w:val="none"/>
        </w:rPr>
      </w:pPr>
    </w:p>
    <w:p w14:paraId="5E84A30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14:paraId="5D1BAE2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15.02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9.74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人员增加，经费增加。</w:t>
      </w:r>
    </w:p>
    <w:p w14:paraId="11E20A9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48D738D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33ED9BC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33A68365">
      <w:pPr>
        <w:ind w:firstLine="800" w:firstLineChars="250"/>
        <w:rPr>
          <w:rFonts w:hint="eastAsia" w:ascii="Times New Roman" w:hAnsi="Times New Roman" w:eastAsia="仿宋_GB2312" w:cs="仿宋_GB2312"/>
          <w:color w:val="auto"/>
          <w:sz w:val="32"/>
          <w:szCs w:val="32"/>
          <w:highlight w:val="none"/>
          <w:lang w:eastAsia="zh-CN"/>
        </w:rPr>
      </w:pPr>
    </w:p>
    <w:p w14:paraId="757D5FC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14:paraId="297A40A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5E9A3251">
      <w:pPr>
        <w:spacing w:line="600" w:lineRule="exact"/>
        <w:ind w:firstLine="640" w:firstLineChars="200"/>
        <w:outlineLvl w:val="1"/>
        <w:rPr>
          <w:rStyle w:val="29"/>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14:paraId="44F87B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15.02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9.74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人员增加，经费增加。</w:t>
      </w:r>
    </w:p>
    <w:p w14:paraId="513F3241">
      <w:pPr>
        <w:spacing w:line="600" w:lineRule="exact"/>
        <w:ind w:firstLine="640" w:firstLineChars="200"/>
        <w:outlineLvl w:val="1"/>
        <w:rPr>
          <w:rStyle w:val="29"/>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14:paraId="3442BE4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2682A3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15.02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9.74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人员增加，经费增加。</w:t>
      </w:r>
    </w:p>
    <w:p w14:paraId="4B9077B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42E5FB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123.93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73.25</w:t>
      </w:r>
      <w:r>
        <w:rPr>
          <w:rFonts w:hint="eastAsia" w:ascii="Times New Roman" w:hAnsi="Times New Roman" w:eastAsia="仿宋_GB2312" w:cs="仿宋_GB2312"/>
          <w:color w:val="auto"/>
          <w:kern w:val="2"/>
          <w:sz w:val="32"/>
          <w:szCs w:val="32"/>
          <w:highlight w:val="none"/>
          <w:lang w:val="en-US" w:eastAsia="zh-CN" w:bidi="ar-SA"/>
        </w:rPr>
        <w:t>%；教育支出**万元，占**%；科学技术支出**万元，占**%；文化旅游体育与传媒支出**万元，占**%；社会保障和就业支出</w:t>
      </w:r>
      <w:r>
        <w:rPr>
          <w:rFonts w:hint="eastAsia" w:eastAsia="仿宋_GB2312" w:cs="仿宋_GB2312"/>
          <w:color w:val="auto"/>
          <w:kern w:val="2"/>
          <w:sz w:val="32"/>
          <w:szCs w:val="32"/>
          <w:highlight w:val="none"/>
          <w:lang w:val="en-US" w:eastAsia="zh-CN" w:bidi="ar-SA"/>
        </w:rPr>
        <w:t>23.53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13.91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8.61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5.09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13.11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7.75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5B0959E">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07C0FD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443606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444"/>
      <w:bookmarkStart w:id="2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kern w:val="2"/>
          <w:sz w:val="32"/>
          <w:szCs w:val="32"/>
          <w:highlight w:val="none"/>
          <w:lang w:val="en-US" w:eastAsia="zh-CN" w:bidi="ar-SA"/>
        </w:rPr>
        <w:t>，完成预算**%。其中：</w:t>
      </w:r>
      <w:bookmarkEnd w:id="25"/>
      <w:bookmarkEnd w:id="26"/>
      <w:bookmarkEnd w:id="27"/>
    </w:p>
    <w:p w14:paraId="429DABC1">
      <w:pPr>
        <w:keepNext w:val="0"/>
        <w:keepLines w:val="0"/>
        <w:widowControl/>
        <w:numPr>
          <w:ilvl w:val="0"/>
          <w:numId w:val="2"/>
        </w:numPr>
        <w:suppressLineNumbers w:val="0"/>
        <w:spacing w:line="600" w:lineRule="exact"/>
        <w:ind w:right="0" w:rightChars="0" w:firstLine="643" w:firstLineChars="200"/>
        <w:rPr>
          <w:rFonts w:hint="eastAsia" w:ascii="仿宋" w:hAnsi="仿宋" w:eastAsia="仿宋" w:cs="仿宋"/>
          <w:b/>
          <w:bCs w:val="0"/>
          <w:color w:val="000000"/>
          <w:kern w:val="0"/>
          <w:sz w:val="32"/>
          <w:szCs w:val="32"/>
        </w:rPr>
      </w:pPr>
      <w:r>
        <w:rPr>
          <w:rFonts w:hint="eastAsia" w:ascii="仿宋" w:hAnsi="仿宋" w:eastAsia="仿宋" w:cs="仿宋"/>
          <w:b/>
          <w:bCs w:val="0"/>
          <w:color w:val="000000"/>
          <w:kern w:val="0"/>
          <w:sz w:val="32"/>
          <w:szCs w:val="32"/>
        </w:rPr>
        <w:t>一般公共服务支出（2</w:t>
      </w:r>
      <w:r>
        <w:rPr>
          <w:rFonts w:hint="eastAsia" w:ascii="仿宋" w:hAnsi="仿宋" w:eastAsia="仿宋" w:cs="仿宋"/>
          <w:b/>
          <w:bCs w:val="0"/>
          <w:color w:val="000000"/>
          <w:kern w:val="0"/>
          <w:sz w:val="32"/>
          <w:szCs w:val="32"/>
          <w:lang w:val="en-US" w:eastAsia="zh-CN"/>
        </w:rPr>
        <w:t>01</w:t>
      </w:r>
      <w:r>
        <w:rPr>
          <w:rFonts w:hint="eastAsia" w:ascii="仿宋" w:hAnsi="仿宋" w:eastAsia="仿宋" w:cs="仿宋"/>
          <w:b/>
          <w:bCs w:val="0"/>
          <w:color w:val="000000"/>
          <w:kern w:val="0"/>
          <w:sz w:val="32"/>
          <w:szCs w:val="32"/>
        </w:rPr>
        <w:t>）商贸事务（20113）事业运行（20113</w:t>
      </w:r>
      <w:r>
        <w:rPr>
          <w:rFonts w:hint="eastAsia" w:ascii="仿宋" w:hAnsi="仿宋" w:eastAsia="仿宋" w:cs="仿宋"/>
          <w:b/>
          <w:bCs w:val="0"/>
          <w:color w:val="000000"/>
          <w:kern w:val="0"/>
          <w:sz w:val="32"/>
          <w:szCs w:val="32"/>
          <w:lang w:val="en-US" w:eastAsia="zh-CN"/>
        </w:rPr>
        <w:t>50</w:t>
      </w:r>
      <w:r>
        <w:rPr>
          <w:rFonts w:hint="eastAsia" w:ascii="仿宋" w:hAnsi="仿宋" w:eastAsia="仿宋" w:cs="仿宋"/>
          <w:b/>
          <w:bCs w:val="0"/>
          <w:color w:val="000000"/>
          <w:kern w:val="0"/>
          <w:sz w:val="32"/>
          <w:szCs w:val="32"/>
        </w:rPr>
        <w:t>）</w:t>
      </w:r>
      <w:r>
        <w:rPr>
          <w:rFonts w:hint="eastAsia" w:ascii="仿宋" w:hAnsi="仿宋" w:eastAsia="仿宋" w:cs="仿宋"/>
          <w:b/>
          <w:bCs w:val="0"/>
          <w:color w:val="000000"/>
          <w:kern w:val="0"/>
          <w:sz w:val="32"/>
          <w:szCs w:val="32"/>
          <w:lang w:eastAsia="zh-CN"/>
        </w:rPr>
        <w:t>：</w:t>
      </w:r>
      <w:r>
        <w:rPr>
          <w:rFonts w:hint="eastAsia" w:ascii="仿宋" w:hAnsi="仿宋" w:eastAsia="仿宋" w:cs="仿宋"/>
          <w:b w:val="0"/>
          <w:bCs/>
          <w:color w:val="000000"/>
          <w:kern w:val="0"/>
          <w:sz w:val="32"/>
          <w:szCs w:val="32"/>
        </w:rPr>
        <w:t>支出决算</w:t>
      </w:r>
      <w:r>
        <w:rPr>
          <w:rFonts w:hint="eastAsia" w:ascii="仿宋" w:hAnsi="仿宋" w:eastAsia="仿宋" w:cs="仿宋"/>
          <w:b w:val="0"/>
          <w:bCs/>
          <w:color w:val="000000"/>
          <w:kern w:val="0"/>
          <w:sz w:val="32"/>
          <w:szCs w:val="32"/>
          <w:lang w:val="en-US" w:eastAsia="zh-CN"/>
        </w:rPr>
        <w:t>123.93</w:t>
      </w:r>
      <w:r>
        <w:rPr>
          <w:rFonts w:hint="eastAsia" w:ascii="仿宋" w:hAnsi="仿宋" w:eastAsia="仿宋" w:cs="仿宋"/>
          <w:b w:val="0"/>
          <w:bCs/>
          <w:color w:val="000000"/>
          <w:kern w:val="0"/>
          <w:sz w:val="32"/>
          <w:szCs w:val="32"/>
        </w:rPr>
        <w:t>万元，完成预算100%。</w:t>
      </w:r>
    </w:p>
    <w:p w14:paraId="55FEDEE8">
      <w:pPr>
        <w:keepNext w:val="0"/>
        <w:keepLines w:val="0"/>
        <w:widowControl/>
        <w:numPr>
          <w:ilvl w:val="0"/>
          <w:numId w:val="2"/>
        </w:numPr>
        <w:suppressLineNumbers w:val="0"/>
        <w:spacing w:line="600" w:lineRule="exact"/>
        <w:ind w:right="0" w:rightChars="0" w:firstLine="643" w:firstLineChars="200"/>
        <w:rPr>
          <w:rFonts w:hint="eastAsia" w:ascii="仿宋" w:hAnsi="仿宋" w:eastAsia="仿宋" w:cs="仿宋"/>
          <w:b w:val="0"/>
          <w:bCs/>
          <w:kern w:val="0"/>
          <w:sz w:val="32"/>
          <w:szCs w:val="32"/>
        </w:rPr>
      </w:pPr>
      <w:r>
        <w:rPr>
          <w:rFonts w:hint="eastAsia" w:ascii="仿宋" w:hAnsi="仿宋" w:eastAsia="仿宋" w:cs="仿宋"/>
          <w:b/>
          <w:bCs w:val="0"/>
          <w:kern w:val="0"/>
          <w:sz w:val="32"/>
          <w:szCs w:val="32"/>
        </w:rPr>
        <w:t>社会保障和就业支出（208）行政事业单位养老支出（20805）机关事业单位基本养老保险缴费支出（2080505）</w:t>
      </w:r>
      <w:r>
        <w:rPr>
          <w:rFonts w:hint="eastAsia" w:ascii="仿宋" w:hAnsi="仿宋" w:eastAsia="仿宋" w:cs="仿宋"/>
          <w:b/>
          <w:bCs w:val="0"/>
          <w:kern w:val="0"/>
          <w:sz w:val="32"/>
          <w:szCs w:val="32"/>
          <w:lang w:eastAsia="zh-CN"/>
        </w:rPr>
        <w:t>：</w:t>
      </w:r>
      <w:r>
        <w:rPr>
          <w:rFonts w:hint="eastAsia" w:ascii="仿宋" w:hAnsi="仿宋" w:eastAsia="仿宋" w:cs="仿宋"/>
          <w:b w:val="0"/>
          <w:bCs/>
          <w:kern w:val="0"/>
          <w:sz w:val="32"/>
          <w:szCs w:val="32"/>
        </w:rPr>
        <w:t>支出决算</w:t>
      </w:r>
      <w:r>
        <w:rPr>
          <w:rFonts w:hint="eastAsia" w:ascii="仿宋" w:hAnsi="仿宋" w:eastAsia="仿宋" w:cs="仿宋"/>
          <w:b w:val="0"/>
          <w:bCs/>
          <w:kern w:val="0"/>
          <w:sz w:val="32"/>
          <w:szCs w:val="32"/>
          <w:lang w:val="en-US" w:eastAsia="zh-CN"/>
        </w:rPr>
        <w:t>15.68</w:t>
      </w:r>
      <w:r>
        <w:rPr>
          <w:rFonts w:hint="eastAsia" w:ascii="仿宋" w:hAnsi="仿宋" w:eastAsia="仿宋" w:cs="仿宋"/>
          <w:b w:val="0"/>
          <w:bCs/>
          <w:kern w:val="0"/>
          <w:sz w:val="32"/>
          <w:szCs w:val="32"/>
        </w:rPr>
        <w:t>万元，完成预算100%。</w:t>
      </w:r>
    </w:p>
    <w:p w14:paraId="3E698013">
      <w:pPr>
        <w:keepNext w:val="0"/>
        <w:keepLines w:val="0"/>
        <w:widowControl/>
        <w:numPr>
          <w:ilvl w:val="0"/>
          <w:numId w:val="2"/>
        </w:numPr>
        <w:suppressLineNumbers w:val="0"/>
        <w:spacing w:line="600" w:lineRule="exact"/>
        <w:ind w:right="0" w:rightChars="0" w:firstLine="643" w:firstLineChars="200"/>
        <w:rPr>
          <w:rFonts w:hint="eastAsia" w:ascii="仿宋" w:hAnsi="仿宋" w:eastAsia="仿宋" w:cs="仿宋"/>
          <w:b w:val="0"/>
          <w:bCs/>
          <w:kern w:val="0"/>
          <w:sz w:val="32"/>
          <w:szCs w:val="32"/>
        </w:rPr>
      </w:pPr>
      <w:r>
        <w:rPr>
          <w:rFonts w:hint="eastAsia" w:ascii="仿宋" w:hAnsi="仿宋" w:eastAsia="仿宋" w:cs="仿宋"/>
          <w:b/>
          <w:bCs w:val="0"/>
          <w:kern w:val="0"/>
          <w:sz w:val="32"/>
          <w:szCs w:val="32"/>
        </w:rPr>
        <w:t>社会保障和就业支出（208）行政事业单位养老支出（20806）机关事业单位职业年金缴费支出（2080506）</w:t>
      </w:r>
      <w:r>
        <w:rPr>
          <w:rFonts w:hint="eastAsia" w:ascii="仿宋" w:hAnsi="仿宋" w:eastAsia="仿宋" w:cs="仿宋"/>
          <w:b/>
          <w:bCs w:val="0"/>
          <w:kern w:val="0"/>
          <w:sz w:val="32"/>
          <w:szCs w:val="32"/>
          <w:lang w:eastAsia="zh-CN"/>
        </w:rPr>
        <w:t>：</w:t>
      </w:r>
      <w:r>
        <w:rPr>
          <w:rFonts w:hint="eastAsia" w:ascii="仿宋" w:hAnsi="仿宋" w:eastAsia="仿宋" w:cs="仿宋"/>
          <w:b w:val="0"/>
          <w:bCs/>
          <w:kern w:val="0"/>
          <w:sz w:val="32"/>
          <w:szCs w:val="32"/>
        </w:rPr>
        <w:t>支出决算</w:t>
      </w:r>
      <w:r>
        <w:rPr>
          <w:rFonts w:hint="eastAsia" w:ascii="仿宋" w:hAnsi="仿宋" w:eastAsia="仿宋" w:cs="仿宋"/>
          <w:b w:val="0"/>
          <w:bCs/>
          <w:kern w:val="0"/>
          <w:sz w:val="32"/>
          <w:szCs w:val="32"/>
          <w:lang w:val="en-US" w:eastAsia="zh-CN"/>
        </w:rPr>
        <w:t>7.84</w:t>
      </w:r>
      <w:r>
        <w:rPr>
          <w:rFonts w:hint="eastAsia" w:ascii="仿宋" w:hAnsi="仿宋" w:eastAsia="仿宋" w:cs="仿宋"/>
          <w:b w:val="0"/>
          <w:bCs/>
          <w:kern w:val="0"/>
          <w:sz w:val="32"/>
          <w:szCs w:val="32"/>
        </w:rPr>
        <w:t>万元，完成预算100%。</w:t>
      </w:r>
    </w:p>
    <w:p w14:paraId="634AF979">
      <w:pPr>
        <w:keepNext w:val="0"/>
        <w:keepLines w:val="0"/>
        <w:widowControl/>
        <w:numPr>
          <w:ilvl w:val="0"/>
          <w:numId w:val="2"/>
        </w:numPr>
        <w:suppressLineNumbers w:val="0"/>
        <w:spacing w:line="600" w:lineRule="exact"/>
        <w:ind w:right="0" w:rightChars="0" w:firstLine="643" w:firstLineChars="200"/>
        <w:rPr>
          <w:rFonts w:hint="eastAsia" w:ascii="仿宋" w:hAnsi="仿宋" w:eastAsia="仿宋" w:cs="仿宋"/>
          <w:b w:val="0"/>
          <w:bCs/>
          <w:kern w:val="0"/>
          <w:sz w:val="32"/>
          <w:szCs w:val="32"/>
        </w:rPr>
      </w:pPr>
      <w:r>
        <w:rPr>
          <w:rFonts w:hint="eastAsia" w:ascii="仿宋" w:hAnsi="仿宋" w:eastAsia="仿宋" w:cs="仿宋"/>
          <w:b/>
          <w:bCs w:val="0"/>
          <w:kern w:val="0"/>
          <w:sz w:val="32"/>
          <w:szCs w:val="32"/>
        </w:rPr>
        <w:t>卫生健康支出（210）行政事业单位医疗（21011）事业单位医疗补助（2101102）</w:t>
      </w:r>
      <w:r>
        <w:rPr>
          <w:rFonts w:hint="eastAsia" w:ascii="仿宋" w:hAnsi="仿宋" w:eastAsia="仿宋" w:cs="仿宋"/>
          <w:b/>
          <w:bCs w:val="0"/>
          <w:kern w:val="0"/>
          <w:sz w:val="32"/>
          <w:szCs w:val="32"/>
          <w:lang w:eastAsia="zh-CN"/>
        </w:rPr>
        <w:t>：</w:t>
      </w:r>
      <w:r>
        <w:rPr>
          <w:rFonts w:hint="eastAsia" w:ascii="仿宋" w:hAnsi="仿宋" w:eastAsia="仿宋" w:cs="仿宋"/>
          <w:b w:val="0"/>
          <w:bCs/>
          <w:kern w:val="0"/>
          <w:sz w:val="32"/>
          <w:szCs w:val="32"/>
        </w:rPr>
        <w:t>支出决算</w:t>
      </w:r>
      <w:r>
        <w:rPr>
          <w:rFonts w:hint="eastAsia" w:ascii="仿宋" w:hAnsi="仿宋" w:eastAsia="仿宋" w:cs="仿宋"/>
          <w:b w:val="0"/>
          <w:bCs/>
          <w:kern w:val="0"/>
          <w:sz w:val="32"/>
          <w:szCs w:val="32"/>
          <w:lang w:val="en-US" w:eastAsia="zh-CN"/>
        </w:rPr>
        <w:t>7.17</w:t>
      </w:r>
      <w:r>
        <w:rPr>
          <w:rFonts w:hint="eastAsia" w:ascii="仿宋" w:hAnsi="仿宋" w:eastAsia="仿宋" w:cs="仿宋"/>
          <w:b w:val="0"/>
          <w:bCs/>
          <w:kern w:val="0"/>
          <w:sz w:val="32"/>
          <w:szCs w:val="32"/>
        </w:rPr>
        <w:t>万元，完成预算100%。</w:t>
      </w:r>
    </w:p>
    <w:p w14:paraId="3AEF08E6">
      <w:pPr>
        <w:keepNext w:val="0"/>
        <w:keepLines w:val="0"/>
        <w:widowControl/>
        <w:numPr>
          <w:ilvl w:val="0"/>
          <w:numId w:val="2"/>
        </w:numPr>
        <w:suppressLineNumbers w:val="0"/>
        <w:spacing w:line="600" w:lineRule="exact"/>
        <w:ind w:right="0" w:rightChars="0" w:firstLine="643" w:firstLineChars="200"/>
        <w:rPr>
          <w:rFonts w:hint="eastAsia" w:ascii="仿宋" w:hAnsi="仿宋" w:eastAsia="仿宋" w:cs="仿宋"/>
          <w:b w:val="0"/>
          <w:bCs/>
          <w:kern w:val="0"/>
          <w:sz w:val="32"/>
          <w:szCs w:val="32"/>
        </w:rPr>
      </w:pPr>
      <w:r>
        <w:rPr>
          <w:rFonts w:hint="eastAsia" w:ascii="仿宋" w:hAnsi="仿宋" w:eastAsia="仿宋" w:cs="仿宋"/>
          <w:b/>
          <w:bCs w:val="0"/>
          <w:kern w:val="0"/>
          <w:sz w:val="32"/>
          <w:szCs w:val="32"/>
        </w:rPr>
        <w:t>卫生健康支出（210）行政事业单位医疗（21011）其他行政事业单位医疗支出（21011</w:t>
      </w:r>
      <w:r>
        <w:rPr>
          <w:rFonts w:hint="eastAsia" w:ascii="仿宋" w:hAnsi="仿宋" w:eastAsia="仿宋" w:cs="仿宋"/>
          <w:b/>
          <w:bCs w:val="0"/>
          <w:kern w:val="0"/>
          <w:sz w:val="32"/>
          <w:szCs w:val="32"/>
          <w:lang w:val="en-US" w:eastAsia="zh-CN"/>
        </w:rPr>
        <w:t>99</w:t>
      </w:r>
      <w:r>
        <w:rPr>
          <w:rFonts w:hint="eastAsia" w:ascii="仿宋" w:hAnsi="仿宋" w:eastAsia="仿宋" w:cs="仿宋"/>
          <w:b/>
          <w:bCs w:val="0"/>
          <w:kern w:val="0"/>
          <w:sz w:val="32"/>
          <w:szCs w:val="32"/>
        </w:rPr>
        <w:t>）</w:t>
      </w:r>
      <w:r>
        <w:rPr>
          <w:rFonts w:hint="eastAsia" w:ascii="仿宋" w:hAnsi="仿宋" w:eastAsia="仿宋" w:cs="仿宋"/>
          <w:b/>
          <w:bCs w:val="0"/>
          <w:kern w:val="0"/>
          <w:sz w:val="32"/>
          <w:szCs w:val="32"/>
          <w:lang w:eastAsia="zh-CN"/>
        </w:rPr>
        <w:t>：</w:t>
      </w:r>
      <w:r>
        <w:rPr>
          <w:rFonts w:hint="eastAsia" w:ascii="仿宋" w:hAnsi="仿宋" w:eastAsia="仿宋" w:cs="仿宋"/>
          <w:b w:val="0"/>
          <w:bCs/>
          <w:kern w:val="0"/>
          <w:sz w:val="32"/>
          <w:szCs w:val="32"/>
        </w:rPr>
        <w:t>支出决算</w:t>
      </w:r>
      <w:r>
        <w:rPr>
          <w:rFonts w:hint="eastAsia" w:ascii="仿宋" w:hAnsi="仿宋" w:eastAsia="仿宋" w:cs="仿宋"/>
          <w:b w:val="0"/>
          <w:bCs/>
          <w:kern w:val="0"/>
          <w:sz w:val="32"/>
          <w:szCs w:val="32"/>
          <w:lang w:val="en-US" w:eastAsia="zh-CN"/>
        </w:rPr>
        <w:t>1.44</w:t>
      </w:r>
      <w:r>
        <w:rPr>
          <w:rFonts w:hint="eastAsia" w:ascii="仿宋" w:hAnsi="仿宋" w:eastAsia="仿宋" w:cs="仿宋"/>
          <w:b w:val="0"/>
          <w:bCs/>
          <w:kern w:val="0"/>
          <w:sz w:val="32"/>
          <w:szCs w:val="32"/>
        </w:rPr>
        <w:t>万元，完成预算100%。</w:t>
      </w:r>
    </w:p>
    <w:p w14:paraId="36C3A7BE">
      <w:pPr>
        <w:keepNext w:val="0"/>
        <w:keepLines w:val="0"/>
        <w:widowControl/>
        <w:numPr>
          <w:ilvl w:val="0"/>
          <w:numId w:val="2"/>
        </w:numPr>
        <w:suppressLineNumbers w:val="0"/>
        <w:spacing w:line="600" w:lineRule="exact"/>
        <w:ind w:right="0" w:rightChars="0" w:firstLine="643" w:firstLineChars="200"/>
        <w:rPr>
          <w:rFonts w:hint="eastAsia" w:ascii="仿宋" w:hAnsi="仿宋" w:eastAsia="仿宋" w:cs="仿宋"/>
          <w:b/>
          <w:bCs w:val="0"/>
          <w:kern w:val="0"/>
          <w:sz w:val="32"/>
          <w:szCs w:val="32"/>
        </w:rPr>
      </w:pPr>
      <w:r>
        <w:rPr>
          <w:rFonts w:hint="eastAsia" w:ascii="仿宋" w:hAnsi="仿宋" w:eastAsia="仿宋" w:cs="仿宋"/>
          <w:b/>
          <w:bCs w:val="0"/>
          <w:kern w:val="0"/>
          <w:sz w:val="32"/>
          <w:szCs w:val="32"/>
        </w:rPr>
        <w:t>住房保障支出（221）住房改革支出（22102）住房公积金（2210201）</w:t>
      </w:r>
      <w:r>
        <w:rPr>
          <w:rFonts w:hint="eastAsia" w:ascii="仿宋" w:hAnsi="仿宋" w:eastAsia="仿宋" w:cs="仿宋"/>
          <w:b/>
          <w:bCs w:val="0"/>
          <w:kern w:val="0"/>
          <w:sz w:val="32"/>
          <w:szCs w:val="32"/>
          <w:lang w:eastAsia="zh-CN"/>
        </w:rPr>
        <w:t>：</w:t>
      </w:r>
      <w:r>
        <w:rPr>
          <w:rFonts w:hint="eastAsia" w:ascii="仿宋" w:hAnsi="仿宋" w:eastAsia="仿宋" w:cs="仿宋"/>
          <w:b w:val="0"/>
          <w:bCs/>
          <w:kern w:val="0"/>
          <w:sz w:val="32"/>
          <w:szCs w:val="32"/>
        </w:rPr>
        <w:t>支出决算</w:t>
      </w:r>
      <w:r>
        <w:rPr>
          <w:rFonts w:hint="eastAsia" w:ascii="仿宋" w:hAnsi="仿宋" w:eastAsia="仿宋" w:cs="仿宋"/>
          <w:b w:val="0"/>
          <w:bCs/>
          <w:kern w:val="0"/>
          <w:sz w:val="32"/>
          <w:szCs w:val="32"/>
          <w:lang w:val="en-US" w:eastAsia="zh-CN"/>
        </w:rPr>
        <w:t>13.11</w:t>
      </w:r>
      <w:r>
        <w:rPr>
          <w:rFonts w:hint="eastAsia" w:ascii="仿宋" w:hAnsi="仿宋" w:eastAsia="仿宋" w:cs="仿宋"/>
          <w:b w:val="0"/>
          <w:bCs/>
          <w:kern w:val="0"/>
          <w:sz w:val="32"/>
          <w:szCs w:val="32"/>
        </w:rPr>
        <w:t>万元，完成预算100%</w:t>
      </w:r>
      <w:r>
        <w:rPr>
          <w:rFonts w:hint="eastAsia" w:ascii="仿宋" w:hAnsi="仿宋" w:eastAsia="仿宋" w:cs="仿宋"/>
          <w:b w:val="0"/>
          <w:bCs/>
          <w:kern w:val="0"/>
          <w:sz w:val="32"/>
          <w:szCs w:val="32"/>
          <w:lang w:eastAsia="zh-CN"/>
        </w:rPr>
        <w:t>。</w:t>
      </w:r>
    </w:p>
    <w:p w14:paraId="0626AD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1A6D9B8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bookmarkStart w:id="61" w:name="_GoBack"/>
      <w:r>
        <w:rPr>
          <w:rFonts w:hint="eastAsia" w:eastAsia="仿宋_GB2312" w:cs="仿宋_GB2312"/>
          <w:b/>
          <w:bCs/>
          <w:color w:val="auto"/>
          <w:kern w:val="2"/>
          <w:sz w:val="32"/>
          <w:szCs w:val="32"/>
          <w:highlight w:val="none"/>
          <w:lang w:val="en-US" w:eastAsia="zh-CN" w:bidi="ar-SA"/>
        </w:rPr>
        <w:t>〈</w:t>
      </w:r>
      <w:bookmarkEnd w:id="61"/>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30B542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7B91254">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14:paraId="258704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169.18</w:t>
      </w:r>
      <w:r>
        <w:rPr>
          <w:rFonts w:hint="eastAsia" w:ascii="Times New Roman" w:hAnsi="Times New Roman" w:eastAsia="仿宋_GB2312" w:cs="仿宋_GB2312"/>
          <w:color w:val="auto"/>
          <w:kern w:val="2"/>
          <w:sz w:val="32"/>
          <w:szCs w:val="32"/>
          <w:highlight w:val="none"/>
          <w:lang w:val="en-US" w:eastAsia="zh-CN" w:bidi="ar-SA"/>
        </w:rPr>
        <w:t>万元，其中：</w:t>
      </w:r>
    </w:p>
    <w:p w14:paraId="012431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162.07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7.11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8BFBBA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51CFA8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42530A1">
      <w:pPr>
        <w:spacing w:line="600" w:lineRule="exact"/>
        <w:ind w:firstLine="640"/>
        <w:outlineLvl w:val="1"/>
        <w:rPr>
          <w:rStyle w:val="29"/>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14:paraId="41B876A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68DE11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F7213E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5071EB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3DD072A3">
      <w:pPr>
        <w:spacing w:line="600" w:lineRule="exact"/>
        <w:ind w:firstLine="640"/>
        <w:rPr>
          <w:rFonts w:ascii="仿宋" w:hAnsi="仿宋" w:eastAsia="仿宋"/>
          <w:color w:val="auto"/>
          <w:sz w:val="32"/>
          <w:szCs w:val="32"/>
          <w:highlight w:val="none"/>
        </w:rPr>
      </w:pPr>
      <w:r>
        <w:rPr>
          <w:rFonts w:hint="eastAsia" w:eastAsia="仿宋_GB2312" w:cs="仿宋_GB2312"/>
          <w:color w:val="auto"/>
          <w:kern w:val="2"/>
          <w:sz w:val="32"/>
          <w:szCs w:val="32"/>
          <w:highlight w:val="none"/>
          <w:lang w:val="en-US" w:eastAsia="zh-CN" w:bidi="ar-SA"/>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78EE30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w:t>
      </w:r>
    </w:p>
    <w:p w14:paraId="061D79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E4B13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7368EA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57CC055E">
      <w:pPr>
        <w:numPr>
          <w:ilvl w:val="0"/>
          <w:numId w:val="3"/>
        </w:numPr>
        <w:spacing w:line="60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247AE7D9">
      <w:pPr>
        <w:numPr>
          <w:ilvl w:val="0"/>
          <w:numId w:val="0"/>
        </w:numPr>
        <w:spacing w:line="600" w:lineRule="exact"/>
        <w:ind w:firstLine="640" w:firstLineChars="200"/>
        <w:rPr>
          <w:rFonts w:ascii="仿宋_GB2312" w:eastAsia="仿宋_GB2312"/>
          <w:b w:val="0"/>
          <w:bCs/>
          <w:color w:val="auto"/>
          <w:sz w:val="32"/>
          <w:szCs w:val="32"/>
          <w:highlight w:val="none"/>
        </w:rPr>
      </w:pPr>
      <w:r>
        <w:rPr>
          <w:rFonts w:hint="eastAsia" w:ascii="仿宋" w:hAnsi="仿宋" w:eastAsia="仿宋"/>
          <w:b w:val="0"/>
          <w:bCs/>
          <w:color w:val="auto"/>
          <w:sz w:val="32"/>
          <w:szCs w:val="32"/>
          <w:highlight w:val="none"/>
        </w:rPr>
        <w:t>国内公务接待支出</w:t>
      </w:r>
      <w:r>
        <w:rPr>
          <w:rFonts w:hint="eastAsia" w:ascii="仿宋" w:hAnsi="仿宋" w:eastAsia="仿宋"/>
          <w:b w:val="0"/>
          <w:bCs/>
          <w:color w:val="auto"/>
          <w:sz w:val="32"/>
          <w:szCs w:val="32"/>
          <w:highlight w:val="none"/>
          <w:lang w:val="en-US" w:eastAsia="zh-CN"/>
        </w:rPr>
        <w:t>0</w:t>
      </w:r>
      <w:r>
        <w:rPr>
          <w:rFonts w:hint="eastAsia" w:ascii="仿宋_GB2312" w:eastAsia="仿宋_GB2312"/>
          <w:b w:val="0"/>
          <w:bCs/>
          <w:color w:val="auto"/>
          <w:sz w:val="32"/>
          <w:szCs w:val="32"/>
          <w:highlight w:val="none"/>
        </w:rPr>
        <w:t>万元。国内公务接待</w:t>
      </w:r>
      <w:r>
        <w:rPr>
          <w:rFonts w:hint="eastAsia" w:ascii="仿宋_GB2312" w:eastAsia="仿宋_GB2312"/>
          <w:b w:val="0"/>
          <w:bCs/>
          <w:color w:val="auto"/>
          <w:sz w:val="32"/>
          <w:szCs w:val="32"/>
          <w:highlight w:val="none"/>
          <w:lang w:val="en-US" w:eastAsia="zh-CN"/>
        </w:rPr>
        <w:t>0</w:t>
      </w:r>
      <w:r>
        <w:rPr>
          <w:rFonts w:hint="eastAsia" w:ascii="仿宋_GB2312" w:eastAsia="仿宋_GB2312"/>
          <w:b w:val="0"/>
          <w:bCs/>
          <w:color w:val="auto"/>
          <w:sz w:val="32"/>
          <w:szCs w:val="32"/>
          <w:highlight w:val="none"/>
        </w:rPr>
        <w:t>批次，</w:t>
      </w:r>
      <w:r>
        <w:rPr>
          <w:rFonts w:hint="eastAsia" w:ascii="仿宋_GB2312" w:eastAsia="仿宋_GB2312"/>
          <w:b w:val="0"/>
          <w:bCs/>
          <w:color w:val="auto"/>
          <w:sz w:val="32"/>
          <w:szCs w:val="32"/>
          <w:highlight w:val="none"/>
          <w:lang w:val="en-US" w:eastAsia="zh-CN"/>
        </w:rPr>
        <w:t>0</w:t>
      </w:r>
      <w:r>
        <w:rPr>
          <w:rFonts w:hint="eastAsia" w:ascii="仿宋_GB2312" w:eastAsia="仿宋_GB2312"/>
          <w:b w:val="0"/>
          <w:bCs/>
          <w:color w:val="auto"/>
          <w:sz w:val="32"/>
          <w:szCs w:val="32"/>
          <w:highlight w:val="none"/>
        </w:rPr>
        <w:t>人次（不包括陪同人员），共计支出</w:t>
      </w:r>
      <w:r>
        <w:rPr>
          <w:rFonts w:hint="eastAsia" w:ascii="仿宋_GB2312" w:eastAsia="仿宋_GB2312"/>
          <w:b w:val="0"/>
          <w:bCs/>
          <w:color w:val="auto"/>
          <w:sz w:val="32"/>
          <w:szCs w:val="32"/>
          <w:highlight w:val="none"/>
          <w:lang w:val="en-US" w:eastAsia="zh-CN"/>
        </w:rPr>
        <w:t>0</w:t>
      </w:r>
      <w:r>
        <w:rPr>
          <w:rFonts w:hint="eastAsia" w:ascii="仿宋_GB2312" w:eastAsia="仿宋_GB2312"/>
          <w:b w:val="0"/>
          <w:bCs/>
          <w:color w:val="auto"/>
          <w:sz w:val="32"/>
          <w:szCs w:val="32"/>
          <w:highlight w:val="none"/>
        </w:rPr>
        <w:t>万元。</w:t>
      </w:r>
    </w:p>
    <w:p w14:paraId="1BE400EA">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仿宋" w:hAnsi="仿宋" w:eastAsia="仿宋"/>
          <w:b w:val="0"/>
          <w:bCs/>
          <w:color w:val="auto"/>
          <w:sz w:val="32"/>
          <w:szCs w:val="32"/>
          <w:highlight w:val="none"/>
        </w:rPr>
        <w:t>外事接待支出</w:t>
      </w:r>
      <w:r>
        <w:rPr>
          <w:rFonts w:hint="eastAsia" w:ascii="仿宋" w:hAnsi="仿宋" w:eastAsia="仿宋"/>
          <w:b w:val="0"/>
          <w:bCs/>
          <w:color w:val="auto"/>
          <w:sz w:val="32"/>
          <w:szCs w:val="32"/>
          <w:highlight w:val="none"/>
          <w:lang w:val="en-US" w:eastAsia="zh-CN"/>
        </w:rPr>
        <w:t>0</w:t>
      </w:r>
      <w:r>
        <w:rPr>
          <w:rFonts w:hint="eastAsia" w:ascii="仿宋_GB2312" w:eastAsia="仿宋_GB2312"/>
          <w:b w:val="0"/>
          <w:bCs/>
          <w:color w:val="auto"/>
          <w:sz w:val="32"/>
          <w:szCs w:val="32"/>
          <w:highlight w:val="none"/>
        </w:rPr>
        <w:t>万元</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rPr>
        <w:t>外事接</w:t>
      </w:r>
      <w:r>
        <w:rPr>
          <w:rFonts w:hint="eastAsia" w:ascii="仿宋_GB2312" w:eastAsia="仿宋_GB2312"/>
          <w:b w:val="0"/>
          <w:bCs/>
          <w:color w:val="auto"/>
          <w:sz w:val="32"/>
          <w:szCs w:val="32"/>
          <w:highlight w:val="none"/>
          <w:lang w:val="en-US" w:eastAsia="zh-CN"/>
        </w:rPr>
        <w:t>0</w:t>
      </w:r>
      <w:r>
        <w:rPr>
          <w:rFonts w:hint="eastAsia" w:ascii="仿宋_GB2312" w:eastAsia="仿宋_GB2312"/>
          <w:b w:val="0"/>
          <w:bCs/>
          <w:color w:val="auto"/>
          <w:sz w:val="32"/>
          <w:szCs w:val="32"/>
          <w:highlight w:val="none"/>
        </w:rPr>
        <w:t>批次</w:t>
      </w:r>
      <w:r>
        <w:rPr>
          <w:rFonts w:hint="eastAsia" w:ascii="仿宋_GB2312" w:eastAsia="仿宋_GB2312"/>
          <w:b w:val="0"/>
          <w:bCs/>
          <w:color w:val="auto"/>
          <w:sz w:val="32"/>
          <w:szCs w:val="32"/>
          <w:highlight w:val="none"/>
          <w:lang w:val="en-US" w:eastAsia="zh-CN"/>
        </w:rPr>
        <w:t>0</w:t>
      </w:r>
      <w:r>
        <w:rPr>
          <w:rFonts w:hint="eastAsia" w:ascii="仿宋_GB2312" w:eastAsia="仿宋_GB2312"/>
          <w:b w:val="0"/>
          <w:bCs/>
          <w:color w:val="auto"/>
          <w:sz w:val="32"/>
          <w:szCs w:val="32"/>
          <w:highlight w:val="none"/>
        </w:rPr>
        <w:t>人</w:t>
      </w:r>
      <w:r>
        <w:rPr>
          <w:rFonts w:hint="eastAsia" w:ascii="仿宋_GB2312" w:eastAsia="仿宋_GB2312"/>
          <w:b w:val="0"/>
          <w:bCs/>
          <w:color w:val="auto"/>
          <w:sz w:val="32"/>
          <w:szCs w:val="32"/>
          <w:highlight w:val="none"/>
          <w:lang w:eastAsia="zh-CN"/>
        </w:rPr>
        <w:t>次（不包括陪同人员）</w:t>
      </w:r>
      <w:r>
        <w:rPr>
          <w:rFonts w:hint="eastAsia" w:ascii="仿宋_GB2312" w:eastAsia="仿宋_GB2312"/>
          <w:b w:val="0"/>
          <w:bCs/>
          <w:color w:val="auto"/>
          <w:sz w:val="32"/>
          <w:szCs w:val="32"/>
          <w:highlight w:val="none"/>
        </w:rPr>
        <w:t>，共计支出</w:t>
      </w:r>
      <w:r>
        <w:rPr>
          <w:rFonts w:hint="eastAsia" w:ascii="仿宋_GB2312" w:eastAsia="仿宋_GB2312"/>
          <w:b w:val="0"/>
          <w:bCs/>
          <w:color w:val="auto"/>
          <w:sz w:val="32"/>
          <w:szCs w:val="32"/>
          <w:highlight w:val="none"/>
          <w:lang w:val="en-US" w:eastAsia="zh-CN"/>
        </w:rPr>
        <w:t>0</w:t>
      </w:r>
      <w:r>
        <w:rPr>
          <w:rFonts w:hint="eastAsia" w:ascii="仿宋_GB2312" w:eastAsia="仿宋_GB2312"/>
          <w:b w:val="0"/>
          <w:bCs/>
          <w:color w:val="auto"/>
          <w:sz w:val="32"/>
          <w:szCs w:val="32"/>
          <w:highlight w:val="none"/>
        </w:rPr>
        <w:t>万元</w:t>
      </w:r>
    </w:p>
    <w:p w14:paraId="2CBC97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96610"/>
      <w:bookmarkStart w:id="35" w:name="_Toc15377218"/>
    </w:p>
    <w:p w14:paraId="08E774CB">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14:paraId="6A590BC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FCFC6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51333A">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96611"/>
      <w:bookmarkStart w:id="37"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14:paraId="05B840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69215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2454B46">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77221"/>
      <w:bookmarkStart w:id="39"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14:paraId="2D4CDF7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17D76A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松潘县工业节能监察中心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5.32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本单位属于经信局二级股室类部门，未单独核算机关运行经费支出。</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3E1B49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F8197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73A43C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松潘县工业节能监察中心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3998C8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250680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503FD3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松潘县工业节能监察中心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22CC4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B5C83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D069561">
      <w:pPr>
        <w:spacing w:line="60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w:t>
      </w:r>
      <w:r>
        <w:rPr>
          <w:rFonts w:hint="eastAsia" w:ascii="仿宋_GB2312"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val="en-US" w:eastAsia="zh-CN"/>
        </w:rPr>
        <w:t>年度</w:t>
      </w:r>
      <w:r>
        <w:rPr>
          <w:rFonts w:hint="eastAsia" w:ascii="仿宋_GB2312" w:hAnsi="Times New Roman" w:eastAsia="仿宋_GB2312" w:cs="Times New Roman"/>
          <w:color w:val="auto"/>
          <w:sz w:val="32"/>
          <w:szCs w:val="32"/>
          <w:highlight w:val="none"/>
          <w:lang w:eastAsia="zh-CN"/>
        </w:rPr>
        <w:t>预算编制阶段，组织对</w:t>
      </w:r>
      <w:r>
        <w:rPr>
          <w:rFonts w:hint="eastAsia" w:ascii="仿宋_GB2312" w:hAnsi="Times New Roman" w:eastAsia="仿宋_GB2312" w:cs="Times New Roman"/>
          <w:color w:val="auto"/>
          <w:sz w:val="32"/>
          <w:szCs w:val="32"/>
          <w:highlight w:val="none"/>
          <w:lang w:val="en-US" w:eastAsia="zh-CN"/>
        </w:rPr>
        <w:t>0</w:t>
      </w:r>
      <w:r>
        <w:rPr>
          <w:rFonts w:hint="eastAsia" w:ascii="仿宋_GB2312" w:hAnsi="Times New Roman" w:eastAsia="仿宋_GB2312" w:cs="Times New Roman"/>
          <w:color w:val="auto"/>
          <w:sz w:val="32"/>
          <w:szCs w:val="32"/>
          <w:highlight w:val="none"/>
          <w:lang w:eastAsia="zh-CN"/>
        </w:rPr>
        <w:t>项目（项目名称）等</w:t>
      </w:r>
      <w:r>
        <w:rPr>
          <w:rFonts w:hint="eastAsia" w:ascii="仿宋_GB2312" w:hAnsi="Times New Roman" w:eastAsia="仿宋_GB2312" w:cs="Times New Roman"/>
          <w:color w:val="auto"/>
          <w:sz w:val="32"/>
          <w:szCs w:val="32"/>
          <w:highlight w:val="none"/>
          <w:lang w:val="en-US" w:eastAsia="zh-CN"/>
        </w:rPr>
        <w:t>0个项目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hAnsi="Times New Roman" w:eastAsia="仿宋_GB2312" w:cs="Times New Roman"/>
          <w:color w:val="auto"/>
          <w:sz w:val="32"/>
          <w:szCs w:val="32"/>
          <w:highlight w:val="none"/>
          <w:lang w:val="en-US" w:eastAsia="zh-CN"/>
        </w:rPr>
        <w:t>0</w:t>
      </w:r>
      <w:r>
        <w:rPr>
          <w:rFonts w:hint="eastAsia" w:ascii="仿宋_GB2312" w:hAnsi="Times New Roman" w:eastAsia="仿宋_GB2312" w:cs="Times New Roman"/>
          <w:color w:val="auto"/>
          <w:sz w:val="32"/>
          <w:szCs w:val="32"/>
          <w:highlight w:val="none"/>
          <w:lang w:eastAsia="zh-CN"/>
        </w:rPr>
        <w:t>个项目编制了绩效目标</w:t>
      </w:r>
      <w:r>
        <w:rPr>
          <w:rFonts w:hint="eastAsia" w:ascii="仿宋_GB2312" w:eastAsia="仿宋_GB2312" w:cs="Times New Roman"/>
          <w:color w:val="auto"/>
          <w:sz w:val="32"/>
          <w:szCs w:val="32"/>
          <w:highlight w:val="none"/>
          <w:lang w:eastAsia="zh-CN"/>
        </w:rPr>
        <w:t>，在</w:t>
      </w:r>
      <w:r>
        <w:rPr>
          <w:rFonts w:hint="eastAsia" w:ascii="仿宋_GB2312" w:hAnsi="Times New Roman" w:eastAsia="仿宋_GB2312" w:cs="Times New Roman"/>
          <w:color w:val="auto"/>
          <w:sz w:val="32"/>
          <w:szCs w:val="32"/>
          <w:highlight w:val="none"/>
          <w:lang w:eastAsia="zh-CN"/>
        </w:rPr>
        <w:t>预算执行过程中，选取</w:t>
      </w:r>
      <w:r>
        <w:rPr>
          <w:rFonts w:hint="eastAsia" w:ascii="仿宋_GB2312" w:hAnsi="Times New Roman" w:eastAsia="仿宋_GB2312" w:cs="Times New Roman"/>
          <w:color w:val="auto"/>
          <w:sz w:val="32"/>
          <w:szCs w:val="32"/>
          <w:highlight w:val="none"/>
          <w:lang w:val="en-US" w:eastAsia="zh-CN"/>
        </w:rPr>
        <w:t>0</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hAnsi="Times New Roman" w:eastAsia="仿宋_GB2312" w:cs="Times New Roman"/>
          <w:color w:val="auto"/>
          <w:sz w:val="32"/>
          <w:szCs w:val="32"/>
          <w:highlight w:val="none"/>
          <w:lang w:val="en-US" w:eastAsia="zh-CN"/>
        </w:rPr>
        <w:t>0个项目开展绩效自评，绩效自评表详见第四部分附件。</w:t>
      </w:r>
    </w:p>
    <w:p w14:paraId="2E415D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F9692C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612547C6">
      <w:pPr>
        <w:spacing w:line="600" w:lineRule="exact"/>
        <w:jc w:val="left"/>
        <w:rPr>
          <w:rFonts w:ascii="Times New Roman" w:hAnsi="Times New Roman"/>
          <w:b/>
          <w:color w:val="auto"/>
          <w:sz w:val="44"/>
          <w:szCs w:val="44"/>
          <w:highlight w:val="none"/>
        </w:rPr>
      </w:pPr>
    </w:p>
    <w:p w14:paraId="6168A8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8BA53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40B5B6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3552AD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7E83DA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CB4C8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FE017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1128F6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1F2A0E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144521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2F5016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658FEE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40FA8F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2CA402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7E71C4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7F6408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68AF64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5170A0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734BAD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049757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6E2EA6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2EF53C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404B8E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0D9E99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41A275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E4358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74740A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6BCEAF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3CCAB5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271DF6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1029A6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092832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0DB75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86D10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2B1C920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02F65435">
      <w:pPr>
        <w:numPr>
          <w:ilvl w:val="0"/>
          <w:numId w:val="4"/>
        </w:numPr>
        <w:spacing w:line="600" w:lineRule="exact"/>
        <w:jc w:val="center"/>
        <w:rPr>
          <w:rFonts w:hint="eastAsia" w:ascii="Times New Roman" w:hAnsi="Times New Roman" w:eastAsia="黑体"/>
          <w:color w:val="auto"/>
          <w:sz w:val="44"/>
          <w:szCs w:val="44"/>
          <w:highlight w:val="none"/>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 xml:space="preserve"> 附件</w:t>
      </w:r>
      <w:bookmarkEnd w:id="46"/>
      <w:bookmarkStart w:id="47" w:name="_Toc15396618"/>
    </w:p>
    <w:p w14:paraId="7CD9AC53">
      <w:pPr>
        <w:numPr>
          <w:ilvl w:val="0"/>
          <w:numId w:val="0"/>
        </w:numPr>
        <w:spacing w:line="600" w:lineRule="exact"/>
        <w:ind w:firstLine="2640" w:firstLineChars="600"/>
        <w:jc w:val="both"/>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7"/>
      <w:bookmarkStart w:id="48" w:name="_Toc15396619"/>
    </w:p>
    <w:p w14:paraId="1ECAF29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AF3999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7B25C24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4396971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74081F4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3414627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5CC82D1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4ECC666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2C6D139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4735C38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566F4AD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784B94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4D7B35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5A0E875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72A5B010">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D5F962-971F-4958-BA7A-B28864DB19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B7D5F6A-1508-4FD0-B72C-795EF30CB2B6}"/>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518D3FA1-DFB5-41E0-854F-BD938D18A083}"/>
  </w:font>
  <w:font w:name="仿宋">
    <w:panose1 w:val="02010609060101010101"/>
    <w:charset w:val="86"/>
    <w:family w:val="modern"/>
    <w:pitch w:val="default"/>
    <w:sig w:usb0="800002BF" w:usb1="38CF7CFA" w:usb2="00000016" w:usb3="00000000" w:csb0="00040001" w:csb1="00000000"/>
    <w:embedRegular r:id="rId4" w:fontKey="{D86EDECD-487D-4D11-8E41-0B1F011E555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7A3C23C9-C8AB-484E-98DE-87A39E938512}"/>
  </w:font>
  <w:font w:name="楷体_GB2312">
    <w:panose1 w:val="02010609030101010101"/>
    <w:charset w:val="86"/>
    <w:family w:val="auto"/>
    <w:pitch w:val="default"/>
    <w:sig w:usb0="00000001" w:usb1="080E0000" w:usb2="00000000" w:usb3="00000000" w:csb0="00040000" w:csb1="00000000"/>
    <w:embedRegular r:id="rId6" w:fontKey="{446B45C5-EBA0-4A93-A8FE-BF9A897069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0C7E8">
    <w:pPr>
      <w:pStyle w:val="11"/>
      <w:jc w:val="center"/>
    </w:pPr>
  </w:p>
  <w:p w14:paraId="6FD27B9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0B57">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7FBE4">
    <w:pPr>
      <w:pStyle w:val="11"/>
      <w:jc w:val="center"/>
    </w:pPr>
  </w:p>
  <w:p w14:paraId="4A5910D0">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6DE30">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E978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46E978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8296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089FC1"/>
    <w:multiLevelType w:val="singleLevel"/>
    <w:tmpl w:val="03089FC1"/>
    <w:lvl w:ilvl="0" w:tentative="0">
      <w:start w:val="1"/>
      <w:numFmt w:val="decimal"/>
      <w:lvlText w:val="%1."/>
      <w:lvlJc w:val="left"/>
      <w:pPr>
        <w:tabs>
          <w:tab w:val="left" w:pos="312"/>
        </w:tabs>
      </w:pPr>
    </w:lvl>
  </w:abstractNum>
  <w:abstractNum w:abstractNumId="1">
    <w:nsid w:val="0A0C8581"/>
    <w:multiLevelType w:val="singleLevel"/>
    <w:tmpl w:val="0A0C8581"/>
    <w:lvl w:ilvl="0" w:tentative="0">
      <w:start w:val="4"/>
      <w:numFmt w:val="chineseCounting"/>
      <w:suff w:val="space"/>
      <w:lvlText w:val="第%1部分"/>
      <w:lvlJc w:val="left"/>
      <w:rPr>
        <w:rFonts w:hint="eastAsia"/>
      </w:rPr>
    </w:lvl>
  </w:abstractNum>
  <w:abstractNum w:abstractNumId="2">
    <w:nsid w:val="2C962CAF"/>
    <w:multiLevelType w:val="singleLevel"/>
    <w:tmpl w:val="2C962CAF"/>
    <w:lvl w:ilvl="0" w:tentative="0">
      <w:start w:val="3"/>
      <w:numFmt w:val="decimal"/>
      <w:lvlText w:val="%1."/>
      <w:lvlJc w:val="left"/>
      <w:pPr>
        <w:tabs>
          <w:tab w:val="left" w:pos="312"/>
        </w:tabs>
      </w:p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0A1BE4"/>
    <w:rsid w:val="0D35B1ED"/>
    <w:rsid w:val="0DE07E2B"/>
    <w:rsid w:val="0F98263C"/>
    <w:rsid w:val="101860EC"/>
    <w:rsid w:val="104069AA"/>
    <w:rsid w:val="10C055FF"/>
    <w:rsid w:val="11772AA4"/>
    <w:rsid w:val="118107EC"/>
    <w:rsid w:val="13957196"/>
    <w:rsid w:val="13D50BC4"/>
    <w:rsid w:val="14022904"/>
    <w:rsid w:val="152F2A07"/>
    <w:rsid w:val="165E0673"/>
    <w:rsid w:val="16BB723D"/>
    <w:rsid w:val="16F13FCB"/>
    <w:rsid w:val="186504BB"/>
    <w:rsid w:val="1938089F"/>
    <w:rsid w:val="19A445FC"/>
    <w:rsid w:val="1A6562A7"/>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A40366"/>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9485D59"/>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2296C"/>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c1f94b19-8253-4d04-99c4-c47a33ad1bcd</errorID>
      <errorWord>&lt;</errorWord>
      <group>L1_Format</group>
      <groupName>格式问题</groupName>
      <ability>L2_HalfPunc_CN</ability>
      <abilityName>全半角问题</abilityName>
      <candidateList>
        <item>〈</item>
      </candidateList>
      <explain>文本全半角错误。</explain>
      <paraID>1A6D9B80</paraID>
      <start>50</start>
      <end>51</end>
      <status>modified</status>
      <modifiedWord>〈</modifiedWord>
      <trackRevisions>false</trackRevisions>
    </reviewItem>
    <reviewItem>
      <errorID>f9722a01-4c0c-48c8-b327-9db7149a6e72</errorID>
      <errorWord>&gt;</errorWord>
      <group>L1_Format</group>
      <groupName>格式问题</groupName>
      <ability>L2_HalfPunc_CN</ability>
      <abilityName>全半角问题</abilityName>
      <candidateList>
        <item>〉</item>
      </candidateList>
      <explain>文本全半角错误。</explain>
      <paraID>1A6D9B80</paraID>
      <start>53</start>
      <end>54</end>
      <status>modified</status>
      <modifiedWord>〉</modifiedWord>
      <trackRevisions>false</trackRevisions>
    </reviewItem>
    <reviewItem>
      <errorID>7d97dbc0-7f24-43fa-8c83-5a0f19664282</errorID>
      <errorWord>&lt;</errorWord>
      <group>L1_Format</group>
      <groupName>格式问题</groupName>
      <ability>L2_HalfPunc_CN</ability>
      <abilityName>全半角问题</abilityName>
      <candidateList>
        <item>〈</item>
      </candidateList>
      <explain>文本全半角错误。</explain>
      <paraID>1A6D9B80</paraID>
      <start>60</start>
      <end>61</end>
      <status>modified</status>
      <modifiedWord>〈</modifiedWord>
      <trackRevisions>false</trackRevisions>
    </reviewItem>
    <reviewItem>
      <errorID>eba11503-2bed-4b6f-91f4-a835ac8fa72d</errorID>
      <errorWord>&gt;</errorWord>
      <group>L1_Format</group>
      <groupName>格式问题</groupName>
      <ability>L2_HalfPunc_CN</ability>
      <abilityName>全半角问题</abilityName>
      <candidateList>
        <item>〉</item>
      </candidateList>
      <explain>文本全半角错误。</explain>
      <paraID>1A6D9B80</paraID>
      <start>63</start>
      <end>64</end>
      <status>modified</status>
      <modifiedWord>〉</modifiedWord>
      <trackRevisions>false</trackRevisions>
    </reviewItem>
    <reviewItem>
      <errorID>1976911f-fbb3-4d9e-8c83-99d13a5f938d</errorID>
      <errorWord>，</errorWord>
      <group>L1_Word</group>
      <groupName>字词问题</groupName>
      <ability>L2_Typo</ability>
      <abilityName>字词错误</abilityName>
      <candidateList>
        <item>，在</item>
      </candidateList>
      <explain/>
      <paraID>1D069561</paraID>
      <start>69</start>
      <end>71</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1f36f5-9fee-4008-ac68-1c6815ba77d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5278</Words>
  <Characters>5690</Characters>
  <Lines>61</Lines>
  <Paragraphs>17</Paragraphs>
  <TotalTime>0</TotalTime>
  <ScaleCrop>false</ScaleCrop>
  <LinksUpToDate>false</LinksUpToDate>
  <CharactersWithSpaces>5721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2026-10-15T02:35:19Z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