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B7C19C5">
      <w:pPr>
        <w:pStyle w:val="7"/>
        <w:rPr>
          <w:rFonts w:hint="eastAsia" w:ascii="黑体" w:hAnsi="黑体" w:eastAsia="黑体" w:cs="黑体"/>
          <w:color w:val="auto"/>
          <w:kern w:val="2"/>
          <w:sz w:val="32"/>
          <w:szCs w:val="32"/>
          <w:highlight w:val="none"/>
          <w:lang w:val="en-US" w:eastAsia="zh-CN" w:bidi="ar-SA"/>
        </w:rPr>
      </w:pPr>
      <w:bookmarkStart w:id="0" w:name="_Toc15377193"/>
      <w:bookmarkStart w:id="1" w:name="_Toc15378441"/>
      <w:bookmarkStart w:id="2" w:name="_Toc15396475"/>
      <w:bookmarkStart w:id="3" w:name="_Toc15377425"/>
      <w:bookmarkStart w:id="4" w:name="_Toc15306267"/>
      <w:bookmarkStart w:id="5" w:name="_Toc15396597"/>
      <w:r>
        <w:rPr>
          <w:rFonts w:hint="eastAsia" w:ascii="黑体" w:hAnsi="黑体" w:eastAsia="黑体" w:cs="黑体"/>
          <w:color w:val="auto"/>
          <w:kern w:val="2"/>
          <w:sz w:val="32"/>
          <w:szCs w:val="32"/>
          <w:highlight w:val="none"/>
          <w:lang w:val="en-US" w:eastAsia="zh-CN" w:bidi="ar-SA"/>
        </w:rPr>
        <w:t>附件4</w:t>
      </w:r>
    </w:p>
    <w:p w14:paraId="240EA3B1">
      <w:pPr>
        <w:pStyle w:val="7"/>
        <w:rPr>
          <w:rFonts w:hint="eastAsia" w:ascii="Times New Roman" w:hAnsi="Times New Roman" w:eastAsia="方正小标宋简体" w:cs="Times New Roman"/>
          <w:color w:val="auto"/>
          <w:kern w:val="2"/>
          <w:sz w:val="72"/>
          <w:szCs w:val="72"/>
          <w:highlight w:val="none"/>
          <w:lang w:val="en-US" w:eastAsia="zh-CN" w:bidi="ar-SA"/>
        </w:rPr>
      </w:pPr>
    </w:p>
    <w:p w14:paraId="7FB1724C">
      <w:pPr>
        <w:pStyle w:val="7"/>
        <w:rPr>
          <w:rFonts w:hint="eastAsia" w:ascii="Times New Roman" w:hAnsi="Times New Roman" w:eastAsia="方正小标宋简体" w:cs="Times New Roman"/>
          <w:color w:val="auto"/>
          <w:kern w:val="2"/>
          <w:sz w:val="72"/>
          <w:szCs w:val="72"/>
          <w:highlight w:val="none"/>
          <w:lang w:val="en-US" w:eastAsia="zh-CN" w:bidi="ar-SA"/>
        </w:rPr>
      </w:pPr>
    </w:p>
    <w:p w14:paraId="0D5F9A2F">
      <w:pPr>
        <w:pStyle w:val="7"/>
        <w:rPr>
          <w:rFonts w:hint="eastAsia" w:ascii="Times New Roman" w:hAnsi="Times New Roman" w:eastAsia="方正小标宋简体" w:cs="Times New Roman"/>
          <w:color w:val="auto"/>
          <w:kern w:val="2"/>
          <w:sz w:val="72"/>
          <w:szCs w:val="72"/>
          <w:highlight w:val="none"/>
          <w:lang w:val="en-US" w:eastAsia="zh-CN" w:bidi="ar-SA"/>
        </w:rPr>
      </w:pPr>
    </w:p>
    <w:p w14:paraId="3EE43717">
      <w:pPr>
        <w:pStyle w:val="7"/>
        <w:rPr>
          <w:rFonts w:hint="eastAsia" w:ascii="Times New Roman" w:hAnsi="Times New Roman" w:eastAsia="方正小标宋简体" w:cs="Times New Roman"/>
          <w:color w:val="auto"/>
          <w:kern w:val="2"/>
          <w:sz w:val="72"/>
          <w:szCs w:val="72"/>
          <w:highlight w:val="none"/>
          <w:lang w:val="en-US" w:eastAsia="zh-CN" w:bidi="ar-SA"/>
        </w:rPr>
      </w:pPr>
    </w:p>
    <w:p w14:paraId="08A55D01">
      <w:pPr>
        <w:pStyle w:val="7"/>
        <w:jc w:val="center"/>
        <w:rPr>
          <w:rFonts w:hint="eastAsia" w:ascii="方正小标宋简体" w:hAnsi="宋体" w:eastAsia="方正小标宋简体" w:cs="Times New Roman"/>
          <w:color w:val="auto"/>
          <w:kern w:val="2"/>
          <w:sz w:val="44"/>
          <w:szCs w:val="44"/>
          <w:highlight w:val="none"/>
          <w:lang w:val="en-US" w:eastAsia="zh-CN" w:bidi="ar-SA"/>
        </w:rPr>
      </w:pPr>
      <w:r>
        <w:rPr>
          <w:rFonts w:hint="eastAsia" w:ascii="Times New Roman" w:eastAsia="方正小标宋简体" w:cs="Times New Roman"/>
          <w:color w:val="auto"/>
          <w:kern w:val="2"/>
          <w:sz w:val="44"/>
          <w:szCs w:val="44"/>
          <w:highlight w:val="none"/>
          <w:lang w:val="en-US" w:eastAsia="zh-CN" w:bidi="ar-SA"/>
        </w:rPr>
        <w:t>2025年度</w:t>
      </w:r>
      <w:bookmarkEnd w:id="0"/>
      <w:bookmarkEnd w:id="1"/>
      <w:bookmarkEnd w:id="2"/>
      <w:bookmarkEnd w:id="3"/>
      <w:bookmarkEnd w:id="4"/>
      <w:bookmarkEnd w:id="5"/>
      <w:r>
        <w:rPr>
          <w:rFonts w:hint="eastAsia" w:ascii="方正小标宋简体" w:hAnsi="宋体" w:eastAsia="方正小标宋简体" w:cs="Times New Roman"/>
          <w:color w:val="auto"/>
          <w:kern w:val="2"/>
          <w:sz w:val="44"/>
          <w:szCs w:val="44"/>
          <w:highlight w:val="none"/>
          <w:lang w:val="en-US" w:eastAsia="zh-CN" w:bidi="ar-SA"/>
        </w:rPr>
        <w:t>四川省阿坝州</w:t>
      </w:r>
    </w:p>
    <w:p w14:paraId="3EA45258">
      <w:pPr>
        <w:widowControl/>
        <w:ind w:firstLine="880" w:firstLineChars="200"/>
        <w:jc w:val="both"/>
        <w:rPr>
          <w:rFonts w:hint="eastAsia" w:ascii="方正小标宋简体" w:hAnsi="宋体" w:eastAsia="方正小标宋简体" w:cs="Times New Roman"/>
          <w:color w:val="auto"/>
          <w:kern w:val="2"/>
          <w:sz w:val="44"/>
          <w:szCs w:val="44"/>
          <w:highlight w:val="none"/>
          <w:lang w:val="en-US" w:eastAsia="zh-CN" w:bidi="ar-SA"/>
        </w:rPr>
      </w:pPr>
      <w:r>
        <w:rPr>
          <w:rFonts w:hint="eastAsia" w:ascii="方正小标宋简体" w:hAnsi="宋体" w:eastAsia="方正小标宋简体" w:cs="Times New Roman"/>
          <w:color w:val="auto"/>
          <w:kern w:val="2"/>
          <w:sz w:val="44"/>
          <w:szCs w:val="44"/>
          <w:highlight w:val="none"/>
          <w:lang w:val="en-US" w:eastAsia="zh-CN" w:bidi="ar-SA"/>
        </w:rPr>
        <w:t>松潘县经济商务和信息化局决算</w:t>
      </w:r>
    </w:p>
    <w:p w14:paraId="06FAC412">
      <w:pPr>
        <w:pStyle w:val="3"/>
        <w:rPr>
          <w:rFonts w:hint="eastAsia" w:eastAsia="宋体"/>
          <w:lang w:val="en-US" w:eastAsia="zh-CN"/>
        </w:rPr>
        <w:sectPr>
          <w:footerReference r:id="rId5" w:type="first"/>
          <w:headerReference r:id="rId3" w:type="default"/>
          <w:footerReference r:id="rId4" w:type="default"/>
          <w:pgSz w:w="11906" w:h="16838"/>
          <w:pgMar w:top="1440" w:right="1800" w:bottom="1440" w:left="1800" w:header="851" w:footer="992" w:gutter="0"/>
          <w:pgNumType w:fmt="decimal" w:start="1"/>
          <w:cols w:space="425" w:num="1"/>
          <w:titlePg/>
          <w:docGrid w:type="lines" w:linePitch="312" w:charSpace="0"/>
        </w:sectPr>
      </w:pPr>
    </w:p>
    <w:p w14:paraId="54F98E9F">
      <w:pPr>
        <w:widowControl/>
        <w:jc w:val="center"/>
        <w:rPr>
          <w:rFonts w:ascii="Times New Roman" w:hAnsi="Times New Roman" w:eastAsia="黑体"/>
          <w:color w:val="auto"/>
          <w:sz w:val="48"/>
          <w:szCs w:val="48"/>
          <w:highlight w:val="none"/>
        </w:rPr>
      </w:pPr>
      <w:r>
        <w:rPr>
          <w:rFonts w:hint="eastAsia" w:ascii="Times New Roman" w:hAnsi="Times New Roman" w:eastAsia="黑体"/>
          <w:color w:val="auto"/>
          <w:sz w:val="48"/>
          <w:szCs w:val="48"/>
          <w:highlight w:val="none"/>
        </w:rPr>
        <w:t>目录</w:t>
      </w:r>
    </w:p>
    <w:p w14:paraId="62F56BAB">
      <w:pPr>
        <w:widowControl/>
        <w:jc w:val="center"/>
        <w:rPr>
          <w:rFonts w:ascii="Times New Roman" w:hAnsi="Times New Roman" w:eastAsia="黑体" w:cstheme="minorBidi"/>
          <w:color w:val="auto"/>
          <w:sz w:val="28"/>
          <w:szCs w:val="28"/>
          <w:highlight w:val="none"/>
        </w:rPr>
      </w:pPr>
    </w:p>
    <w:p w14:paraId="1B0C3947">
      <w:pPr>
        <w:pStyle w:val="14"/>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公开时间：20</w:t>
      </w:r>
      <w:r>
        <w:rPr>
          <w:rFonts w:hint="eastAsia" w:ascii="Times New Roman" w:hAnsi="Times New Roman" w:eastAsia="仿宋_GB2312" w:cs="仿宋_GB2312"/>
          <w:color w:val="auto"/>
          <w:sz w:val="32"/>
          <w:szCs w:val="32"/>
          <w:highlight w:val="none"/>
          <w:lang w:val="en-US" w:eastAsia="zh-CN"/>
        </w:rPr>
        <w:t>26</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val="en-US" w:eastAsia="zh-CN"/>
        </w:rPr>
        <w:t>10</w:t>
      </w:r>
      <w:r>
        <w:rPr>
          <w:rFonts w:hint="eastAsia" w:ascii="Times New Roman" w:hAnsi="Times New Roman" w:eastAsia="仿宋_GB2312" w:cs="仿宋_GB2312"/>
          <w:color w:val="auto"/>
          <w:sz w:val="32"/>
          <w:szCs w:val="32"/>
          <w:highlight w:val="none"/>
        </w:rPr>
        <w:t>月</w:t>
      </w:r>
      <w:r>
        <w:rPr>
          <w:rFonts w:hint="eastAsia" w:ascii="Times New Roman" w:hAnsi="Times New Roman" w:eastAsia="仿宋_GB2312" w:cs="仿宋_GB2312"/>
          <w:color w:val="auto"/>
          <w:sz w:val="32"/>
          <w:szCs w:val="32"/>
          <w:highlight w:val="none"/>
          <w:lang w:val="en-US" w:eastAsia="zh-CN"/>
        </w:rPr>
        <w:t xml:space="preserve">15 </w:t>
      </w:r>
      <w:r>
        <w:rPr>
          <w:rFonts w:hint="eastAsia" w:ascii="Times New Roman" w:hAnsi="Times New Roman" w:eastAsia="仿宋_GB2312" w:cs="仿宋_GB2312"/>
          <w:color w:val="auto"/>
          <w:sz w:val="32"/>
          <w:szCs w:val="32"/>
          <w:highlight w:val="none"/>
        </w:rPr>
        <w:t>日</w:t>
      </w:r>
    </w:p>
    <w:p w14:paraId="73635EF0">
      <w:pPr>
        <w:rPr>
          <w:rFonts w:ascii="Times New Roman" w:hAnsi="Times New Roman"/>
          <w:color w:val="auto"/>
          <w:highlight w:val="none"/>
        </w:rPr>
      </w:pPr>
    </w:p>
    <w:p w14:paraId="77309A22">
      <w:pPr>
        <w:pStyle w:val="14"/>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第一部分 部门概况</w:t>
      </w:r>
    </w:p>
    <w:p w14:paraId="69BEC1C9">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w:t>
      </w:r>
      <w:r>
        <w:rPr>
          <w:rFonts w:hint="eastAsia" w:ascii="Times New Roman" w:hAnsi="Times New Roman" w:eastAsia="仿宋_GB2312" w:cs="仿宋_GB2312"/>
          <w:color w:val="auto"/>
          <w:sz w:val="32"/>
          <w:szCs w:val="32"/>
          <w:highlight w:val="none"/>
          <w:lang w:eastAsia="zh-CN"/>
        </w:rPr>
        <w:t>部门职责</w:t>
      </w:r>
    </w:p>
    <w:p w14:paraId="0B8F717A">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二、机构设置</w:t>
      </w:r>
    </w:p>
    <w:p w14:paraId="6430DDF7">
      <w:pPr>
        <w:pStyle w:val="14"/>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第二部分</w:t>
      </w:r>
      <w:r>
        <w:rPr>
          <w:rFonts w:hint="eastAsia" w:ascii="Times New Roman" w:hAnsi="Times New Roman" w:eastAsia="黑体" w:cs="黑体"/>
          <w:color w:val="auto"/>
          <w:sz w:val="32"/>
          <w:szCs w:val="32"/>
          <w:highlight w:val="none"/>
          <w:lang w:val="en-US" w:eastAsia="zh-CN"/>
        </w:rPr>
        <w:t xml:space="preserve"> 2025年度</w:t>
      </w:r>
      <w:r>
        <w:rPr>
          <w:rFonts w:hint="eastAsia" w:ascii="Times New Roman" w:hAnsi="Times New Roman" w:eastAsia="黑体" w:cs="黑体"/>
          <w:color w:val="auto"/>
          <w:sz w:val="32"/>
          <w:szCs w:val="32"/>
          <w:highlight w:val="none"/>
        </w:rPr>
        <w:t>部门决算情况说明</w:t>
      </w:r>
    </w:p>
    <w:p w14:paraId="4864031B">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一、收入支出决算总体情况说明</w:t>
      </w:r>
    </w:p>
    <w:p w14:paraId="7C8BEECD">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二、收入决算情况说明</w:t>
      </w:r>
    </w:p>
    <w:p w14:paraId="30503B37">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三、支出决算情况说明</w:t>
      </w:r>
    </w:p>
    <w:p w14:paraId="4C24A212">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四、财政拨款收入支出决算总体情况说明</w:t>
      </w:r>
    </w:p>
    <w:p w14:paraId="5DADA457">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五、一般公共预算财政拨款支出决算情况说明</w:t>
      </w:r>
    </w:p>
    <w:p w14:paraId="396540CF">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六、一般公共预算财政拨款基本支出决算情况说明</w:t>
      </w:r>
    </w:p>
    <w:p w14:paraId="5D85FF4F">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七、财政拨款</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color w:val="auto"/>
          <w:sz w:val="32"/>
          <w:szCs w:val="32"/>
          <w:highlight w:val="none"/>
        </w:rPr>
        <w:t>三公”经费支出决算情况说明</w:t>
      </w:r>
    </w:p>
    <w:p w14:paraId="33076268">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八、政府性基金预算支出决算情况说明</w:t>
      </w:r>
    </w:p>
    <w:p w14:paraId="5FB8D9C3">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九、</w:t>
      </w:r>
      <w:r>
        <w:rPr>
          <w:rFonts w:hint="eastAsia" w:ascii="Times New Roman" w:hAnsi="Times New Roman" w:eastAsia="仿宋_GB2312" w:cs="仿宋_GB2312"/>
          <w:color w:val="auto"/>
          <w:sz w:val="32"/>
          <w:szCs w:val="32"/>
          <w:highlight w:val="none"/>
          <w:lang w:eastAsia="zh-CN"/>
        </w:rPr>
        <w:t>国</w:t>
      </w:r>
      <w:r>
        <w:rPr>
          <w:rFonts w:hint="eastAsia" w:ascii="Times New Roman" w:hAnsi="Times New Roman" w:eastAsia="仿宋_GB2312" w:cs="仿宋_GB2312"/>
          <w:color w:val="auto"/>
          <w:sz w:val="32"/>
          <w:szCs w:val="32"/>
          <w:highlight w:val="none"/>
        </w:rPr>
        <w:t>有资本经营预算支出决算情况说明</w:t>
      </w:r>
    </w:p>
    <w:p w14:paraId="4EEF9D18">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lang w:eastAsia="zh-CN"/>
        </w:rPr>
        <w:t>十</w:t>
      </w:r>
      <w:r>
        <w:rPr>
          <w:rFonts w:hint="eastAsia" w:ascii="Times New Roman" w:hAnsi="Times New Roman" w:eastAsia="仿宋_GB2312" w:cs="仿宋_GB2312"/>
          <w:color w:val="auto"/>
          <w:sz w:val="32"/>
          <w:szCs w:val="32"/>
          <w:highlight w:val="none"/>
        </w:rPr>
        <w:t>、其他重要事项的情况说明</w:t>
      </w:r>
    </w:p>
    <w:p w14:paraId="16E25BEC">
      <w:pPr>
        <w:pStyle w:val="14"/>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第三部分 名词解释</w:t>
      </w:r>
    </w:p>
    <w:p w14:paraId="4867CAFB">
      <w:pPr>
        <w:pStyle w:val="14"/>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第四部分 附件</w:t>
      </w:r>
    </w:p>
    <w:p w14:paraId="7B6D27A1">
      <w:pPr>
        <w:pStyle w:val="14"/>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第五部分 附表</w:t>
      </w:r>
    </w:p>
    <w:p w14:paraId="696025DB">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p>
    <w:p w14:paraId="344580CE">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二、收入决算表</w:t>
      </w:r>
    </w:p>
    <w:p w14:paraId="74B4EA98">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三、支出决算表</w:t>
      </w:r>
    </w:p>
    <w:p w14:paraId="4CE65A16">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四、财政拨款收入支出决算总表</w:t>
      </w:r>
    </w:p>
    <w:p w14:paraId="371BDB6B">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五、财政拨款支出决算明细表</w:t>
      </w:r>
    </w:p>
    <w:p w14:paraId="38493CA6">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p>
    <w:p w14:paraId="28AC690D">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七、一般公共预算财政拨款支出决算明细表</w:t>
      </w:r>
    </w:p>
    <w:p w14:paraId="52E7FF33">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八、一般公共预算财政拨款基本支出决算</w:t>
      </w:r>
      <w:r>
        <w:rPr>
          <w:rFonts w:hint="eastAsia" w:ascii="Times New Roman" w:hAnsi="Times New Roman" w:eastAsia="仿宋_GB2312" w:cs="仿宋_GB2312"/>
          <w:color w:val="auto"/>
          <w:sz w:val="32"/>
          <w:szCs w:val="32"/>
          <w:highlight w:val="none"/>
          <w:lang w:eastAsia="zh-CN"/>
        </w:rPr>
        <w:t>明细</w:t>
      </w:r>
      <w:r>
        <w:rPr>
          <w:rFonts w:hint="eastAsia" w:ascii="Times New Roman" w:hAnsi="Times New Roman" w:eastAsia="仿宋_GB2312" w:cs="仿宋_GB2312"/>
          <w:color w:val="auto"/>
          <w:sz w:val="32"/>
          <w:szCs w:val="32"/>
          <w:highlight w:val="none"/>
        </w:rPr>
        <w:t>表</w:t>
      </w:r>
    </w:p>
    <w:p w14:paraId="26375708">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九、一般公共预算财政拨款项目支出决算表</w:t>
      </w:r>
    </w:p>
    <w:p w14:paraId="123F85F4">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十、政府性基金预算财政拨款收入支出决算表</w:t>
      </w:r>
    </w:p>
    <w:p w14:paraId="2B256C32">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十一、国有资本经营预算财政拨款收入支出决算表</w:t>
      </w:r>
    </w:p>
    <w:p w14:paraId="3091ECA3">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十二、</w:t>
      </w:r>
      <w:r>
        <w:rPr>
          <w:rFonts w:hint="eastAsia" w:ascii="Times New Roman" w:hAnsi="Times New Roman" w:eastAsia="仿宋_GB2312" w:cs="仿宋_GB2312"/>
          <w:color w:val="auto"/>
          <w:sz w:val="32"/>
          <w:szCs w:val="32"/>
          <w:highlight w:val="none"/>
          <w:lang w:val="en-US" w:eastAsia="zh-CN"/>
        </w:rPr>
        <w:t>国有资本经营预算财政拨款支出决算表</w:t>
      </w:r>
    </w:p>
    <w:p w14:paraId="5D6B03FA">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十三、财政拨款“三公”经费支出决算表</w:t>
      </w:r>
    </w:p>
    <w:p w14:paraId="6ACEA5E6">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3" w:firstLineChars="200"/>
        <w:jc w:val="left"/>
        <w:textAlignment w:val="auto"/>
        <w:rPr>
          <w:rFonts w:hint="eastAsia" w:ascii="Times New Roman" w:hAnsi="Times New Roman" w:eastAsia="仿宋_GB2312" w:cs="仿宋_GB2312"/>
          <w:b/>
          <w:bCs/>
          <w:color w:val="auto"/>
          <w:sz w:val="32"/>
          <w:szCs w:val="32"/>
          <w:highlight w:val="none"/>
          <w:lang w:eastAsia="zh-CN"/>
        </w:rPr>
      </w:pPr>
      <w:r>
        <w:rPr>
          <w:rFonts w:hint="eastAsia" w:ascii="Times New Roman" w:hAnsi="Times New Roman" w:eastAsia="仿宋_GB2312" w:cs="仿宋_GB2312"/>
          <w:b/>
          <w:bCs/>
          <w:color w:val="auto"/>
          <w:sz w:val="32"/>
          <w:szCs w:val="32"/>
          <w:highlight w:val="none"/>
          <w:lang w:eastAsia="zh-CN"/>
        </w:rPr>
        <w:t>（</w:t>
      </w:r>
      <w:r>
        <w:rPr>
          <w:rFonts w:hint="eastAsia" w:ascii="Times New Roman" w:hAnsi="Times New Roman" w:eastAsia="仿宋_GB2312" w:cs="仿宋_GB2312"/>
          <w:b/>
          <w:bCs/>
          <w:color w:val="auto"/>
          <w:sz w:val="32"/>
          <w:szCs w:val="32"/>
          <w:highlight w:val="none"/>
        </w:rPr>
        <w:t>注：请部门根据实际注明页码</w:t>
      </w:r>
      <w:r>
        <w:rPr>
          <w:rFonts w:hint="eastAsia" w:ascii="Times New Roman" w:hAnsi="Times New Roman" w:eastAsia="仿宋_GB2312" w:cs="仿宋_GB2312"/>
          <w:b/>
          <w:bCs/>
          <w:color w:val="auto"/>
          <w:sz w:val="32"/>
          <w:szCs w:val="32"/>
          <w:highlight w:val="none"/>
          <w:lang w:eastAsia="zh-CN"/>
        </w:rPr>
        <w:t>）</w:t>
      </w:r>
    </w:p>
    <w:p w14:paraId="2625E6CF">
      <w:pPr>
        <w:keepNext w:val="0"/>
        <w:keepLines w:val="0"/>
        <w:pageBreakBefore w:val="0"/>
        <w:widowControl/>
        <w:kinsoku/>
        <w:wordWrap/>
        <w:overflowPunct/>
        <w:topLinePunct w:val="0"/>
        <w:autoSpaceDE/>
        <w:autoSpaceDN/>
        <w:bidi w:val="0"/>
        <w:spacing w:line="560" w:lineRule="exact"/>
        <w:jc w:val="left"/>
        <w:textAlignment w:val="auto"/>
        <w:rPr>
          <w:rFonts w:hint="eastAsia" w:ascii="Times New Roman" w:hAnsi="Times New Roman" w:eastAsia="仿宋_GB2312" w:cs="仿宋_GB2312"/>
          <w:bCs/>
          <w:color w:val="auto"/>
          <w:kern w:val="44"/>
          <w:sz w:val="32"/>
          <w:szCs w:val="32"/>
          <w:highlight w:val="none"/>
        </w:rPr>
      </w:pPr>
      <w:bookmarkStart w:id="6" w:name="_Toc15396599"/>
      <w:bookmarkStart w:id="7" w:name="_Toc15377196"/>
      <w:r>
        <w:rPr>
          <w:rFonts w:hint="eastAsia" w:ascii="Times New Roman" w:hAnsi="Times New Roman" w:eastAsia="仿宋_GB2312" w:cs="仿宋_GB2312"/>
          <w:b/>
          <w:color w:val="auto"/>
          <w:sz w:val="32"/>
          <w:szCs w:val="32"/>
          <w:highlight w:val="none"/>
        </w:rPr>
        <w:br w:type="page"/>
      </w:r>
    </w:p>
    <w:p w14:paraId="69A502F1">
      <w:pPr>
        <w:pStyle w:val="4"/>
        <w:jc w:val="center"/>
        <w:rPr>
          <w:rStyle w:val="29"/>
          <w:rFonts w:hint="eastAsia" w:ascii="Times New Roman" w:hAnsi="Times New Roman" w:eastAsia="方正小标宋简体" w:cs="方正小标宋简体"/>
          <w:b/>
          <w:bCs w:val="0"/>
          <w:color w:val="auto"/>
          <w:highlight w:val="none"/>
        </w:rPr>
      </w:pPr>
      <w:r>
        <w:rPr>
          <w:rFonts w:hint="eastAsia" w:ascii="Times New Roman" w:hAnsi="Times New Roman" w:eastAsia="方正小标宋简体" w:cs="方正小标宋简体"/>
          <w:b w:val="0"/>
          <w:color w:val="auto"/>
          <w:highlight w:val="none"/>
        </w:rPr>
        <w:t>第一部分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Style w:val="29"/>
          <w:rFonts w:hint="eastAsia" w:ascii="Times New Roman" w:hAnsi="Times New Roman" w:eastAsia="方正小标宋简体" w:cs="方正小标宋简体"/>
          <w:b w:val="0"/>
          <w:bCs w:val="0"/>
          <w:color w:val="auto"/>
          <w:highlight w:val="none"/>
        </w:rPr>
        <w:t>部门概况</w:t>
      </w:r>
      <w:bookmarkEnd w:id="6"/>
      <w:bookmarkEnd w:id="7"/>
    </w:p>
    <w:p w14:paraId="149421D2">
      <w:pPr>
        <w:widowControl/>
        <w:jc w:val="left"/>
        <w:rPr>
          <w:rFonts w:ascii="Times New Roman" w:hAnsi="Times New Roman" w:eastAsia="黑体"/>
          <w:color w:val="auto"/>
          <w:sz w:val="32"/>
          <w:szCs w:val="32"/>
          <w:highlight w:val="none"/>
        </w:rPr>
      </w:pPr>
    </w:p>
    <w:p w14:paraId="6813830F">
      <w:pPr>
        <w:pStyle w:val="5"/>
        <w:numPr>
          <w:ilvl w:val="0"/>
          <w:numId w:val="1"/>
        </w:numPr>
        <w:rPr>
          <w:rFonts w:hint="eastAsia" w:ascii="Times New Roman" w:hAnsi="Times New Roman" w:eastAsia="黑体"/>
          <w:b w:val="0"/>
          <w:color w:val="auto"/>
          <w:highlight w:val="none"/>
          <w:lang w:eastAsia="zh-CN"/>
        </w:rPr>
      </w:pPr>
      <w:r>
        <w:rPr>
          <w:rFonts w:hint="eastAsia" w:ascii="Times New Roman" w:hAnsi="Times New Roman" w:eastAsia="黑体"/>
          <w:b w:val="0"/>
          <w:color w:val="auto"/>
          <w:highlight w:val="none"/>
          <w:lang w:eastAsia="zh-CN"/>
        </w:rPr>
        <w:t>部门职责</w:t>
      </w:r>
    </w:p>
    <w:p w14:paraId="58B8FF66">
      <w:pPr>
        <w:pStyle w:val="5"/>
        <w:numPr>
          <w:ilvl w:val="0"/>
          <w:numId w:val="0"/>
        </w:numPr>
        <w:ind w:firstLine="560" w:firstLineChars="200"/>
        <w:rPr>
          <w:rFonts w:hint="eastAsia" w:ascii="仿宋_GB2312" w:hAnsi="宋体" w:eastAsia="仿宋_GB2312" w:cs="仿宋_GB2312"/>
          <w:b w:val="0"/>
          <w:bCs w:val="0"/>
          <w:kern w:val="0"/>
          <w:sz w:val="28"/>
          <w:szCs w:val="28"/>
        </w:rPr>
      </w:pPr>
      <w:r>
        <w:rPr>
          <w:rFonts w:hint="eastAsia" w:ascii="仿宋_GB2312" w:hAnsi="宋体" w:eastAsia="仿宋_GB2312" w:cs="仿宋_GB2312"/>
          <w:b w:val="0"/>
          <w:bCs w:val="0"/>
          <w:kern w:val="0"/>
          <w:sz w:val="28"/>
          <w:szCs w:val="28"/>
        </w:rPr>
        <w:t>（一）贯彻实施国家有关工业经济、信息化和无线电管理的方针、政策和</w:t>
      </w:r>
      <w:r>
        <w:rPr>
          <w:rFonts w:hint="eastAsia" w:ascii="仿宋_GB2312" w:hAnsi="宋体" w:eastAsia="仿宋_GB2312" w:cs="仿宋_GB2312"/>
          <w:b w:val="0"/>
          <w:bCs w:val="0"/>
          <w:kern w:val="0"/>
          <w:sz w:val="28"/>
          <w:szCs w:val="28"/>
          <w:lang w:eastAsia="zh-CN"/>
        </w:rPr>
        <w:t>法律法规</w:t>
      </w:r>
      <w:r>
        <w:rPr>
          <w:rFonts w:hint="eastAsia" w:ascii="仿宋_GB2312" w:hAnsi="宋体" w:eastAsia="仿宋_GB2312" w:cs="仿宋_GB2312"/>
          <w:b w:val="0"/>
          <w:bCs w:val="0"/>
          <w:kern w:val="0"/>
          <w:sz w:val="28"/>
          <w:szCs w:val="28"/>
        </w:rPr>
        <w:t>。监测、分析经济运行态势和质量，建立全县工业经济运行预警机制，拟订中、近期经济运行目标、政策并组织实施，协调解决经济运行中的重大问题。</w:t>
      </w:r>
    </w:p>
    <w:p w14:paraId="4DBF6F80">
      <w:pPr>
        <w:keepNext w:val="0"/>
        <w:keepLines w:val="0"/>
        <w:widowControl w:val="0"/>
        <w:suppressLineNumbers w:val="0"/>
        <w:autoSpaceDE w:val="0"/>
        <w:autoSpaceDN/>
        <w:spacing w:line="360" w:lineRule="auto"/>
        <w:ind w:right="0" w:rightChars="0"/>
        <w:rPr>
          <w:rFonts w:hint="eastAsia" w:ascii="仿宋_GB2312" w:hAnsi="宋体" w:eastAsia="仿宋_GB2312" w:cs="仿宋_GB2312"/>
          <w:kern w:val="0"/>
          <w:sz w:val="28"/>
          <w:szCs w:val="28"/>
        </w:rPr>
      </w:pPr>
      <w:r>
        <w:rPr>
          <w:rFonts w:hint="eastAsia" w:ascii="仿宋_GB2312" w:hAnsi="宋体" w:eastAsia="仿宋_GB2312" w:cs="仿宋_GB2312"/>
          <w:kern w:val="0"/>
          <w:sz w:val="28"/>
          <w:szCs w:val="28"/>
        </w:rPr>
        <w:t xml:space="preserve">   （二）负责电力、成品油、天然气等重要物资综合调控、紧急调度工作和交通运输协同配合工作，负责协同民爆物品销售环节的安全监督管理。负责推进全县工业结构调整；负责制定并落实工业信息化行业的年度计划和产业政策。承办年度工业经济目标和责任考核。</w:t>
      </w:r>
    </w:p>
    <w:p w14:paraId="7D0E874E">
      <w:pPr>
        <w:keepNext w:val="0"/>
        <w:keepLines w:val="0"/>
        <w:widowControl w:val="0"/>
        <w:suppressLineNumbers w:val="0"/>
        <w:autoSpaceDE w:val="0"/>
        <w:autoSpaceDN/>
        <w:spacing w:line="360" w:lineRule="auto"/>
        <w:ind w:right="0" w:rightChars="0"/>
        <w:rPr>
          <w:rFonts w:hint="eastAsia" w:ascii="仿宋_GB2312" w:hAnsi="宋体" w:eastAsia="仿宋_GB2312" w:cs="仿宋_GB2312"/>
          <w:kern w:val="0"/>
          <w:sz w:val="28"/>
          <w:szCs w:val="28"/>
        </w:rPr>
      </w:pPr>
      <w:r>
        <w:rPr>
          <w:rFonts w:hint="eastAsia" w:ascii="仿宋_GB2312" w:hAnsi="宋体" w:eastAsia="仿宋_GB2312" w:cs="仿宋_GB2312"/>
          <w:kern w:val="0"/>
          <w:sz w:val="28"/>
          <w:szCs w:val="28"/>
        </w:rPr>
        <w:t xml:space="preserve">   （三）负责全县企业技术创新体系建设，制定鼓励企业技术创新的政策措施，指导企业技术创新、技术引进。负责全县企业技术改造推进工作，组织制定并实施全县企业技术改造投资规划和政策，提出工业和信息化固定资产投资规模的意见，按照规定权限审批，核准、备案规划内全县企业技术改造项目，组织企业技术改造项目申报国家、省、州有关专项计划并组织实施。</w:t>
      </w:r>
    </w:p>
    <w:p w14:paraId="27BAE9CD">
      <w:pPr>
        <w:keepNext w:val="0"/>
        <w:keepLines w:val="0"/>
        <w:widowControl w:val="0"/>
        <w:suppressLineNumbers w:val="0"/>
        <w:autoSpaceDE w:val="0"/>
        <w:autoSpaceDN/>
        <w:spacing w:line="360" w:lineRule="auto"/>
        <w:ind w:right="0" w:rightChars="0"/>
        <w:rPr>
          <w:rFonts w:hint="eastAsia" w:ascii="仿宋_GB2312" w:hAnsi="宋体" w:eastAsia="仿宋_GB2312" w:cs="仿宋_GB2312"/>
          <w:kern w:val="0"/>
          <w:sz w:val="28"/>
          <w:szCs w:val="28"/>
        </w:rPr>
      </w:pPr>
      <w:r>
        <w:rPr>
          <w:rFonts w:hint="eastAsia" w:ascii="仿宋_GB2312" w:hAnsi="宋体" w:eastAsia="仿宋_GB2312" w:cs="仿宋_GB2312"/>
          <w:kern w:val="0"/>
          <w:sz w:val="28"/>
          <w:szCs w:val="28"/>
        </w:rPr>
        <w:t xml:space="preserve">   （四）负责全县工业和信息化领域的节能降耗、清洁生产和资源节约与综合利用工作，协调推进工业化与生态环境协调发展中的相关问题，组织实施相关示范项目和新产品、新技术、新工艺、新设备、新材料的推广应用。</w:t>
      </w:r>
    </w:p>
    <w:p w14:paraId="57FAF551">
      <w:pPr>
        <w:keepNext w:val="0"/>
        <w:keepLines w:val="0"/>
        <w:widowControl w:val="0"/>
        <w:suppressLineNumbers w:val="0"/>
        <w:autoSpaceDE w:val="0"/>
        <w:autoSpaceDN/>
        <w:spacing w:line="360" w:lineRule="auto"/>
        <w:ind w:right="0" w:rightChars="0"/>
        <w:rPr>
          <w:rFonts w:hint="eastAsia" w:ascii="仿宋_GB2312" w:hAnsi="宋体" w:eastAsia="仿宋_GB2312" w:cs="仿宋_GB2312"/>
          <w:kern w:val="0"/>
          <w:sz w:val="28"/>
          <w:szCs w:val="28"/>
        </w:rPr>
      </w:pPr>
      <w:r>
        <w:rPr>
          <w:rFonts w:hint="eastAsia" w:ascii="仿宋_GB2312" w:hAnsi="宋体" w:eastAsia="仿宋_GB2312" w:cs="仿宋_GB2312"/>
          <w:kern w:val="0"/>
          <w:sz w:val="28"/>
          <w:szCs w:val="28"/>
        </w:rPr>
        <w:t xml:space="preserve">   （五）对工业经济政策实施情况进行督查，指导企业建立现代企业制度、改组改造、兼并重组，负责全县企业治乱减负工作，指导企业经营管理人员、专业技术人员培训，负责全县龙头骨干企业的培育工作，负责全县中小企业发展的指导推进工作，综合协调有关部门拟订促进中小企业发展的政策措施，负责推进中小企业服务体系建设。</w:t>
      </w:r>
    </w:p>
    <w:p w14:paraId="2492A69C">
      <w:pPr>
        <w:keepNext w:val="0"/>
        <w:keepLines w:val="0"/>
        <w:widowControl w:val="0"/>
        <w:suppressLineNumbers w:val="0"/>
        <w:autoSpaceDE w:val="0"/>
        <w:autoSpaceDN/>
        <w:spacing w:line="360" w:lineRule="auto"/>
        <w:ind w:right="0" w:rightChars="0"/>
        <w:rPr>
          <w:rFonts w:hint="eastAsia" w:ascii="仿宋_GB2312" w:hAnsi="宋体" w:eastAsia="仿宋_GB2312" w:cs="仿宋_GB2312"/>
          <w:kern w:val="0"/>
          <w:sz w:val="28"/>
          <w:szCs w:val="28"/>
        </w:rPr>
      </w:pPr>
      <w:r>
        <w:rPr>
          <w:rFonts w:hint="eastAsia" w:ascii="仿宋_GB2312" w:hAnsi="宋体" w:eastAsia="仿宋_GB2312" w:cs="仿宋_GB2312"/>
          <w:kern w:val="0"/>
          <w:sz w:val="28"/>
          <w:szCs w:val="28"/>
        </w:rPr>
        <w:t xml:space="preserve">   （六）负责指导全县中小企业协调发展，综合协调有关部门研究拟订全县中小企业发展规划和促进中小企业发展的政策；推进企业信用制度建设，负责中小企业信用担保和融资体系建设并实施行业监管，负责制订工业发展资金等财政专项资金使用计划，负责企业技术改造、技术创新、生产运行等涉及财政、信贷、税收、保险等方面问题的协调，指导工业企业融资工作，推进产业园区发展，统筹大中小企业协调发展；参与对非公有制企业的指导、协调和服务工作。</w:t>
      </w:r>
    </w:p>
    <w:p w14:paraId="13E1CDBF">
      <w:pPr>
        <w:keepNext w:val="0"/>
        <w:keepLines w:val="0"/>
        <w:widowControl w:val="0"/>
        <w:suppressLineNumbers w:val="0"/>
        <w:autoSpaceDE w:val="0"/>
        <w:autoSpaceDN/>
        <w:spacing w:line="360" w:lineRule="auto"/>
        <w:ind w:right="0" w:rightChars="0"/>
        <w:rPr>
          <w:rFonts w:hint="eastAsia" w:ascii="仿宋_GB2312" w:hAnsi="宋体" w:eastAsia="仿宋_GB2312" w:cs="仿宋_GB2312"/>
          <w:kern w:val="0"/>
          <w:sz w:val="28"/>
          <w:szCs w:val="28"/>
        </w:rPr>
      </w:pPr>
      <w:r>
        <w:rPr>
          <w:rFonts w:hint="eastAsia" w:ascii="仿宋_GB2312" w:hAnsi="宋体" w:eastAsia="仿宋_GB2312" w:cs="仿宋_GB2312"/>
          <w:kern w:val="0"/>
          <w:sz w:val="28"/>
          <w:szCs w:val="28"/>
        </w:rPr>
        <w:t xml:space="preserve">   （七）贯彻国家内外贸易、利用外资和国际经济合作的发展战略、方针和政策，研究拟订我县内外贸易、利用外资和国际经济合作规范性文件，拟订全县商务发展规划、年度计划并组织实施。贯彻落实国家流通体制改革的方针政策，培育发展城乡市场，推进流通产业结构调整和连锁经营、物流配送、电子商务等现代流通方式。 </w:t>
      </w:r>
    </w:p>
    <w:p w14:paraId="241D0ECE">
      <w:pPr>
        <w:keepNext w:val="0"/>
        <w:keepLines w:val="0"/>
        <w:widowControl w:val="0"/>
        <w:suppressLineNumbers w:val="0"/>
        <w:autoSpaceDE w:val="0"/>
        <w:autoSpaceDN/>
        <w:spacing w:line="360" w:lineRule="auto"/>
        <w:ind w:right="0" w:rightChars="0"/>
        <w:rPr>
          <w:rFonts w:hint="eastAsia" w:ascii="仿宋_GB2312" w:hAnsi="宋体" w:eastAsia="仿宋_GB2312" w:cs="仿宋_GB2312"/>
          <w:kern w:val="0"/>
          <w:sz w:val="28"/>
          <w:szCs w:val="28"/>
        </w:rPr>
      </w:pPr>
      <w:r>
        <w:rPr>
          <w:rFonts w:hint="eastAsia" w:ascii="仿宋_GB2312" w:hAnsi="宋体" w:eastAsia="仿宋_GB2312" w:cs="仿宋_GB2312"/>
          <w:kern w:val="0"/>
          <w:sz w:val="28"/>
          <w:szCs w:val="28"/>
        </w:rPr>
        <w:t xml:space="preserve">   （八）贯彻落实国家规范市场运行、流通秩序和打破市场垄断、地区封锁的政策措施，建立健全统一、开放、竞争、有序、安全的现代市场体系；监测市场运行和商品供求状况，负责重要消费品市场的监控和重要生产资料的流通管理。研究起草全县商品流通和餐饮、美容美发等服务业的规范性文件，调查研究流通行业重大问题，提出政策建议；负责盐政稽查、拍卖、典当、民爆器材、再生资源、报废汽车、旧机动车交易等特种行业的监督管理的相关工作。 </w:t>
      </w:r>
    </w:p>
    <w:p w14:paraId="0507556F">
      <w:pPr>
        <w:keepNext w:val="0"/>
        <w:keepLines w:val="0"/>
        <w:widowControl w:val="0"/>
        <w:suppressLineNumbers w:val="0"/>
        <w:autoSpaceDE w:val="0"/>
        <w:autoSpaceDN/>
        <w:spacing w:line="360" w:lineRule="auto"/>
        <w:ind w:right="0" w:rightChars="0"/>
        <w:rPr>
          <w:rFonts w:hint="eastAsia" w:ascii="仿宋_GB2312" w:hAnsi="宋体" w:eastAsia="仿宋_GB2312" w:cs="仿宋_GB2312"/>
          <w:kern w:val="0"/>
          <w:sz w:val="28"/>
          <w:szCs w:val="28"/>
        </w:rPr>
      </w:pPr>
      <w:r>
        <w:rPr>
          <w:rFonts w:hint="eastAsia" w:ascii="仿宋_GB2312" w:hAnsi="宋体" w:eastAsia="仿宋_GB2312" w:cs="仿宋_GB2312"/>
          <w:kern w:val="0"/>
          <w:sz w:val="28"/>
          <w:szCs w:val="28"/>
        </w:rPr>
        <w:t xml:space="preserve">   （九）指导和管理全县招商引资、投资促进工作，负责组织省、市、县政府和上级商务部门举办的内外贸促销活动和招商引资、对外经济合作活动；指导、协调以松潘县名义在境内外举办的各种内外贸交易会、展览会、展销会和招商引资等活动；建立县级招商项目库，统一对外发布招商项目；负责县级招商签约项目的跟踪服务和督促落实；负责县直单位招商引资目标责任制的拟定和检查考核；分析研究全县招商引资情况、拟订招商引资发展战略和规划；依法核准外商投资项目的合同、章程及法律特别规定的重大变更事项；督促检查外商投资企业执行有关法律法规和合同、章程的情况；参与协调、指导县级</w:t>
      </w:r>
      <w:r>
        <w:rPr>
          <w:rFonts w:hint="eastAsia" w:ascii="仿宋_GB2312" w:hAnsi="宋体" w:eastAsia="仿宋_GB2312" w:cs="仿宋_GB2312"/>
          <w:kern w:val="0"/>
          <w:sz w:val="28"/>
          <w:szCs w:val="28"/>
          <w:lang w:eastAsia="zh-CN"/>
        </w:rPr>
        <w:t>经济技术开发区</w:t>
      </w:r>
      <w:r>
        <w:rPr>
          <w:rFonts w:hint="eastAsia" w:ascii="仿宋_GB2312" w:hAnsi="宋体" w:eastAsia="仿宋_GB2312" w:cs="仿宋_GB2312"/>
          <w:kern w:val="0"/>
          <w:sz w:val="28"/>
          <w:szCs w:val="28"/>
        </w:rPr>
        <w:t xml:space="preserve">的有关具体工作。 </w:t>
      </w:r>
    </w:p>
    <w:p w14:paraId="7471A03B">
      <w:pPr>
        <w:keepNext w:val="0"/>
        <w:keepLines w:val="0"/>
        <w:widowControl w:val="0"/>
        <w:suppressLineNumbers w:val="0"/>
        <w:autoSpaceDE w:val="0"/>
        <w:autoSpaceDN/>
        <w:spacing w:line="360" w:lineRule="auto"/>
        <w:ind w:right="0" w:rightChars="0"/>
        <w:rPr>
          <w:rFonts w:hint="eastAsia" w:ascii="仿宋_GB2312" w:hAnsi="宋体" w:eastAsia="仿宋_GB2312" w:cs="仿宋_GB2312"/>
          <w:kern w:val="0"/>
          <w:sz w:val="28"/>
          <w:szCs w:val="28"/>
        </w:rPr>
      </w:pPr>
      <w:r>
        <w:rPr>
          <w:rFonts w:hint="eastAsia" w:ascii="仿宋_GB2312" w:hAnsi="宋体" w:eastAsia="仿宋_GB2312" w:cs="仿宋_GB2312"/>
          <w:kern w:val="0"/>
          <w:sz w:val="28"/>
          <w:szCs w:val="28"/>
        </w:rPr>
        <w:t xml:space="preserve">   （十）贯彻执行国家对外技术贸易、进出口管制以及鼓励技术成套设备出口的政策；贯彻国家外商投资政策，指导全县外商投资工作；分析研究全县外商投资情况，定期向县政府和上级商务部门报告有关动态和建议，</w:t>
      </w:r>
      <w:r>
        <w:rPr>
          <w:rFonts w:hint="eastAsia" w:ascii="仿宋_GB2312" w:hAnsi="宋体" w:eastAsia="仿宋_GB2312" w:cs="仿宋_GB2312"/>
          <w:kern w:val="0"/>
          <w:sz w:val="28"/>
          <w:szCs w:val="28"/>
          <w:lang w:eastAsia="zh-CN"/>
        </w:rPr>
        <w:t>制定</w:t>
      </w:r>
      <w:r>
        <w:rPr>
          <w:rFonts w:hint="eastAsia" w:ascii="仿宋_GB2312" w:hAnsi="宋体" w:eastAsia="仿宋_GB2312" w:cs="仿宋_GB2312"/>
          <w:kern w:val="0"/>
          <w:sz w:val="28"/>
          <w:szCs w:val="28"/>
        </w:rPr>
        <w:t xml:space="preserve">和执行外商投资的管理办法，参与拟订利用外资的中长期发展规划；指导和管理全县投资促进及权限内外商投资企业的审批和进出口工作；负责全县外商投资和外商投资企业生产经营情况统计。 </w:t>
      </w:r>
    </w:p>
    <w:p w14:paraId="0B505850">
      <w:pPr>
        <w:keepNext w:val="0"/>
        <w:keepLines w:val="0"/>
        <w:widowControl w:val="0"/>
        <w:suppressLineNumbers w:val="0"/>
        <w:autoSpaceDE w:val="0"/>
        <w:autoSpaceDN/>
        <w:spacing w:line="360" w:lineRule="auto"/>
        <w:ind w:right="0" w:rightChars="0"/>
        <w:rPr>
          <w:rFonts w:hint="eastAsia" w:ascii="仿宋_GB2312" w:hAnsi="宋体" w:eastAsia="仿宋_GB2312" w:cs="仿宋_GB2312"/>
          <w:kern w:val="0"/>
          <w:sz w:val="28"/>
          <w:szCs w:val="28"/>
        </w:rPr>
      </w:pPr>
      <w:r>
        <w:rPr>
          <w:rFonts w:hint="eastAsia" w:ascii="仿宋_GB2312" w:hAnsi="宋体" w:eastAsia="仿宋_GB2312" w:cs="仿宋_GB2312"/>
          <w:kern w:val="0"/>
          <w:sz w:val="28"/>
          <w:szCs w:val="28"/>
        </w:rPr>
        <w:t xml:space="preserve">   （十一）负责全县对外经济合作工作；贯彻执行对港、澳、台地区的经贸政策、贸易中长期规划及管理规章；负责全县内外贸易、利用外资和国际经济合作新闻发布、宣传工作并提供信息咨询服务；指导全县商务领域信息网络和电子商务建设；指导全县商务行业协会、学会等社团组织工作。</w:t>
      </w:r>
    </w:p>
    <w:p w14:paraId="101AFD24">
      <w:pPr>
        <w:keepNext w:val="0"/>
        <w:keepLines w:val="0"/>
        <w:widowControl w:val="0"/>
        <w:suppressLineNumbers w:val="0"/>
        <w:autoSpaceDE w:val="0"/>
        <w:autoSpaceDN/>
        <w:spacing w:line="360" w:lineRule="auto"/>
        <w:ind w:right="0" w:rightChars="0"/>
        <w:rPr>
          <w:rFonts w:hint="eastAsia" w:ascii="仿宋_GB2312" w:hAnsi="宋体" w:eastAsia="仿宋_GB2312" w:cs="仿宋_GB2312"/>
          <w:kern w:val="0"/>
          <w:sz w:val="28"/>
          <w:szCs w:val="28"/>
        </w:rPr>
      </w:pPr>
      <w:r>
        <w:rPr>
          <w:rFonts w:hint="eastAsia" w:ascii="仿宋_GB2312" w:hAnsi="宋体" w:eastAsia="仿宋_GB2312" w:cs="仿宋_GB2312"/>
          <w:kern w:val="0"/>
          <w:sz w:val="28"/>
          <w:szCs w:val="28"/>
        </w:rPr>
        <w:t xml:space="preserve">   （十二）贯彻执行国家、省、州有关信息化工作的</w:t>
      </w:r>
      <w:r>
        <w:rPr>
          <w:rFonts w:hint="eastAsia" w:ascii="仿宋_GB2312" w:hAnsi="宋体" w:eastAsia="仿宋_GB2312" w:cs="仿宋_GB2312"/>
          <w:kern w:val="0"/>
          <w:sz w:val="28"/>
          <w:szCs w:val="28"/>
          <w:lang w:eastAsia="zh-CN"/>
        </w:rPr>
        <w:t>法律法规</w:t>
      </w:r>
      <w:r>
        <w:rPr>
          <w:rFonts w:hint="eastAsia" w:ascii="仿宋_GB2312" w:hAnsi="宋体" w:eastAsia="仿宋_GB2312" w:cs="仿宋_GB2312"/>
          <w:kern w:val="0"/>
          <w:sz w:val="28"/>
          <w:szCs w:val="28"/>
        </w:rPr>
        <w:t>和各项方针、政策，制定实施办法并组织实施；负责信息产业的行政执法和执法监督；组织实施国家和省、县信息技术规范与技术标准；负责本县信息化技术标准的行政监督管理工作；协调信息化建设和发展资金并监督使用；组织协调全县信息安全保障体系建设，指导和监督政府部门、重点行业的重要信息系统与信息网络的安全保障工作，指导信息安全防范工作，参与处理网络与信息安全重大事件。</w:t>
      </w:r>
    </w:p>
    <w:p w14:paraId="4C4B1585">
      <w:pPr>
        <w:keepNext w:val="0"/>
        <w:keepLines w:val="0"/>
        <w:widowControl w:val="0"/>
        <w:suppressLineNumbers w:val="0"/>
        <w:autoSpaceDE w:val="0"/>
        <w:autoSpaceDN/>
        <w:spacing w:line="360" w:lineRule="auto"/>
        <w:ind w:right="0" w:rightChars="0"/>
        <w:rPr>
          <w:rFonts w:hint="eastAsia" w:ascii="仿宋_GB2312" w:hAnsi="宋体" w:eastAsia="仿宋_GB2312" w:cs="仿宋_GB2312"/>
          <w:kern w:val="0"/>
          <w:sz w:val="28"/>
          <w:szCs w:val="28"/>
        </w:rPr>
      </w:pPr>
      <w:r>
        <w:rPr>
          <w:rFonts w:hint="eastAsia" w:ascii="仿宋_GB2312" w:hAnsi="宋体" w:eastAsia="仿宋_GB2312" w:cs="仿宋_GB2312"/>
          <w:kern w:val="0"/>
          <w:sz w:val="28"/>
          <w:szCs w:val="28"/>
        </w:rPr>
        <w:t xml:space="preserve">   （十三）承担全县信息化应用推进工作；负责指导、建立全县信息化安全保障体系；组织、协调、指导开展信息化宣传普及教育；负责信息化工作的对外交流与合作。</w:t>
      </w:r>
    </w:p>
    <w:p w14:paraId="42675721">
      <w:pPr>
        <w:keepNext w:val="0"/>
        <w:keepLines w:val="0"/>
        <w:widowControl w:val="0"/>
        <w:suppressLineNumbers w:val="0"/>
        <w:autoSpaceDE w:val="0"/>
        <w:autoSpaceDN/>
        <w:spacing w:line="360" w:lineRule="auto"/>
        <w:ind w:right="0" w:rightChars="0"/>
        <w:rPr>
          <w:rFonts w:hint="eastAsia" w:ascii="仿宋_GB2312" w:hAnsi="宋体" w:eastAsia="仿宋_GB2312" w:cs="仿宋_GB2312"/>
          <w:kern w:val="0"/>
          <w:sz w:val="28"/>
          <w:szCs w:val="28"/>
        </w:rPr>
      </w:pPr>
      <w:r>
        <w:rPr>
          <w:rFonts w:hint="eastAsia" w:ascii="仿宋_GB2312" w:hAnsi="宋体" w:eastAsia="仿宋_GB2312" w:cs="仿宋_GB2312"/>
          <w:kern w:val="0"/>
          <w:sz w:val="28"/>
          <w:szCs w:val="28"/>
        </w:rPr>
        <w:t xml:space="preserve">   （十四）贯彻执行国家无线电管理的方针、政策、法规和规章，拟定地方无线电管理的具体规章；负责全县无线电管理工作，统一配置和管理全县无线电频谱资源，依法监督管理无线电台</w:t>
      </w:r>
      <w:r>
        <w:rPr>
          <w:rFonts w:hint="eastAsia" w:ascii="仿宋_GB2312" w:hAnsi="宋体" w:eastAsia="仿宋_GB2312" w:cs="仿宋_GB2312"/>
          <w:kern w:val="0"/>
          <w:sz w:val="28"/>
          <w:szCs w:val="28"/>
          <w:lang w:eastAsia="zh-CN"/>
        </w:rPr>
        <w:t>（</w:t>
      </w:r>
      <w:r>
        <w:rPr>
          <w:rFonts w:hint="eastAsia" w:ascii="仿宋_GB2312" w:hAnsi="宋体" w:eastAsia="仿宋_GB2312" w:cs="仿宋_GB2312"/>
          <w:kern w:val="0"/>
          <w:sz w:val="28"/>
          <w:szCs w:val="28"/>
        </w:rPr>
        <w:t>站</w:t>
      </w:r>
      <w:r>
        <w:rPr>
          <w:rFonts w:hint="eastAsia" w:ascii="仿宋_GB2312" w:hAnsi="宋体" w:eastAsia="仿宋_GB2312" w:cs="仿宋_GB2312"/>
          <w:kern w:val="0"/>
          <w:sz w:val="28"/>
          <w:szCs w:val="28"/>
          <w:lang w:eastAsia="zh-CN"/>
        </w:rPr>
        <w:t>）</w:t>
      </w:r>
      <w:r>
        <w:rPr>
          <w:rFonts w:hint="eastAsia" w:ascii="仿宋_GB2312" w:hAnsi="宋体" w:eastAsia="仿宋_GB2312" w:cs="仿宋_GB2312"/>
          <w:kern w:val="0"/>
          <w:sz w:val="28"/>
          <w:szCs w:val="28"/>
        </w:rPr>
        <w:t>，负责无线电电磁环境保护工作，负责无线电监测、检测和干扰查处，协调军地间和市际间无线电管理相关事宜，维护空中电波秩序，依法组织实施无线电管制；负责国家和地方无线电管理机构规定的其他职责。</w:t>
      </w:r>
    </w:p>
    <w:p w14:paraId="1C7CB3CA">
      <w:pPr>
        <w:keepNext w:val="0"/>
        <w:keepLines w:val="0"/>
        <w:widowControl w:val="0"/>
        <w:suppressLineNumbers w:val="0"/>
        <w:autoSpaceDE w:val="0"/>
        <w:autoSpaceDN/>
        <w:spacing w:line="360" w:lineRule="auto"/>
        <w:ind w:right="0" w:rightChars="0"/>
        <w:rPr>
          <w:rFonts w:hint="eastAsia" w:ascii="仿宋_GB2312" w:hAnsi="宋体" w:eastAsia="仿宋_GB2312" w:cs="仿宋_GB2312"/>
          <w:kern w:val="0"/>
          <w:sz w:val="28"/>
          <w:szCs w:val="28"/>
        </w:rPr>
      </w:pPr>
      <w:r>
        <w:rPr>
          <w:rFonts w:hint="eastAsia" w:ascii="仿宋_GB2312" w:hAnsi="宋体" w:eastAsia="仿宋_GB2312" w:cs="仿宋_GB2312"/>
          <w:kern w:val="0"/>
          <w:sz w:val="28"/>
          <w:szCs w:val="28"/>
        </w:rPr>
        <w:t xml:space="preserve">    （十五）负责全县工程系列技术职称的审核上报工作</w:t>
      </w:r>
      <w:r>
        <w:rPr>
          <w:rFonts w:hint="eastAsia" w:ascii="仿宋_GB2312" w:hAnsi="宋体" w:eastAsia="仿宋_GB2312" w:cs="仿宋_GB2312"/>
          <w:kern w:val="0"/>
          <w:sz w:val="28"/>
          <w:szCs w:val="28"/>
          <w:lang w:eastAsia="zh-CN"/>
        </w:rPr>
        <w:t>。</w:t>
      </w:r>
    </w:p>
    <w:p w14:paraId="4B7A7D56">
      <w:pPr>
        <w:keepNext w:val="0"/>
        <w:keepLines w:val="0"/>
        <w:widowControl w:val="0"/>
        <w:suppressLineNumbers w:val="0"/>
        <w:autoSpaceDE w:val="0"/>
        <w:autoSpaceDN/>
        <w:spacing w:line="360" w:lineRule="auto"/>
        <w:ind w:left="0" w:right="0" w:rightChars="0" w:firstLine="560" w:firstLineChars="200"/>
        <w:rPr>
          <w:rFonts w:hint="eastAsia" w:ascii="仿宋_GB2312" w:hAnsi="宋体" w:eastAsia="仿宋_GB2312" w:cs="仿宋_GB2312"/>
          <w:kern w:val="0"/>
          <w:sz w:val="28"/>
          <w:szCs w:val="28"/>
        </w:rPr>
      </w:pPr>
      <w:r>
        <w:rPr>
          <w:rFonts w:hint="eastAsia" w:ascii="仿宋_GB2312" w:hAnsi="宋体" w:eastAsia="仿宋_GB2312" w:cs="仿宋_GB2312"/>
          <w:kern w:val="0"/>
          <w:sz w:val="28"/>
          <w:szCs w:val="28"/>
        </w:rPr>
        <w:t>（十六）承担县政府批准保留的行政审批事项</w:t>
      </w:r>
    </w:p>
    <w:p w14:paraId="4A792CE3">
      <w:pPr>
        <w:keepNext w:val="0"/>
        <w:keepLines w:val="0"/>
        <w:widowControl w:val="0"/>
        <w:suppressLineNumbers w:val="0"/>
        <w:autoSpaceDE w:val="0"/>
        <w:autoSpaceDN/>
        <w:spacing w:line="360" w:lineRule="auto"/>
        <w:ind w:left="0" w:right="0" w:rightChars="0" w:firstLine="560" w:firstLineChars="200"/>
        <w:rPr>
          <w:rFonts w:hint="eastAsia" w:ascii="仿宋_GB2312" w:hAnsi="宋体" w:eastAsia="仿宋_GB2312" w:cs="仿宋_GB2312"/>
          <w:kern w:val="0"/>
          <w:sz w:val="28"/>
          <w:szCs w:val="28"/>
        </w:rPr>
      </w:pPr>
      <w:r>
        <w:rPr>
          <w:rFonts w:hint="eastAsia" w:ascii="仿宋_GB2312" w:hAnsi="宋体" w:eastAsia="仿宋_GB2312" w:cs="仿宋_GB2312"/>
          <w:kern w:val="0"/>
          <w:sz w:val="28"/>
          <w:szCs w:val="28"/>
        </w:rPr>
        <w:t xml:space="preserve"> 1.食用盐零售经营许可证核发。</w:t>
      </w:r>
    </w:p>
    <w:p w14:paraId="4659DD78">
      <w:pPr>
        <w:keepNext w:val="0"/>
        <w:keepLines w:val="0"/>
        <w:widowControl w:val="0"/>
        <w:suppressLineNumbers w:val="0"/>
        <w:autoSpaceDE w:val="0"/>
        <w:autoSpaceDN/>
        <w:spacing w:line="360" w:lineRule="auto"/>
        <w:ind w:left="0" w:right="0" w:rightChars="0" w:firstLine="560" w:firstLineChars="200"/>
        <w:rPr>
          <w:rFonts w:hint="eastAsia" w:ascii="仿宋_GB2312" w:hAnsi="宋体" w:eastAsia="仿宋_GB2312" w:cs="仿宋_GB2312"/>
          <w:kern w:val="0"/>
          <w:sz w:val="28"/>
          <w:szCs w:val="28"/>
        </w:rPr>
      </w:pPr>
      <w:r>
        <w:rPr>
          <w:rFonts w:hint="eastAsia" w:ascii="仿宋_GB2312" w:hAnsi="宋体" w:eastAsia="仿宋_GB2312" w:cs="仿宋_GB2312"/>
          <w:kern w:val="0"/>
          <w:sz w:val="28"/>
          <w:szCs w:val="28"/>
        </w:rPr>
        <w:t xml:space="preserve"> 2.无线电管理行政审批事项。</w:t>
      </w:r>
    </w:p>
    <w:p w14:paraId="384D8AF6">
      <w:pPr>
        <w:pStyle w:val="36"/>
        <w:keepNext w:val="0"/>
        <w:keepLines w:val="0"/>
        <w:widowControl/>
        <w:suppressLineNumbers w:val="0"/>
        <w:spacing w:before="0" w:beforeAutospacing="0"/>
        <w:ind w:left="0"/>
        <w:jc w:val="left"/>
        <w:rPr>
          <w:rFonts w:hint="eastAsia"/>
          <w:lang w:eastAsia="zh-CN"/>
        </w:rPr>
      </w:pPr>
      <w:r>
        <w:rPr>
          <w:rFonts w:hint="eastAsia" w:ascii="仿宋_GB2312" w:hAnsi="宋体" w:eastAsia="仿宋_GB2312" w:cs="仿宋_GB2312"/>
          <w:kern w:val="0"/>
          <w:sz w:val="28"/>
          <w:szCs w:val="28"/>
        </w:rPr>
        <w:t xml:space="preserve">    （十七）承办县委、县政府交办</w:t>
      </w:r>
      <w:r>
        <w:rPr>
          <w:rFonts w:hint="eastAsia" w:ascii="仿宋_GB2312" w:eastAsia="仿宋_GB2312" w:cs="仿宋_GB2312"/>
          <w:kern w:val="0"/>
          <w:sz w:val="28"/>
          <w:szCs w:val="28"/>
          <w:lang w:eastAsia="zh-CN"/>
        </w:rPr>
        <w:t>的其他事项</w:t>
      </w:r>
      <w:r>
        <w:rPr>
          <w:rFonts w:hint="eastAsia" w:ascii="仿宋_GB2312" w:hAnsi="宋体" w:eastAsia="仿宋_GB2312" w:cs="仿宋_GB2312"/>
          <w:kern w:val="0"/>
          <w:sz w:val="28"/>
          <w:szCs w:val="28"/>
        </w:rPr>
        <w:t>。</w:t>
      </w:r>
    </w:p>
    <w:p w14:paraId="393AA586">
      <w:pPr>
        <w:pStyle w:val="5"/>
        <w:rPr>
          <w:rStyle w:val="30"/>
          <w:rFonts w:ascii="Times New Roman" w:hAnsi="Times New Roman"/>
          <w:b w:val="0"/>
          <w:bCs w:val="0"/>
          <w:color w:val="auto"/>
          <w:highlight w:val="none"/>
        </w:rPr>
      </w:pPr>
      <w:bookmarkStart w:id="8" w:name="_Toc15396601"/>
      <w:bookmarkStart w:id="9" w:name="_Toc15377200"/>
      <w:r>
        <w:rPr>
          <w:rFonts w:hint="eastAsia" w:ascii="Times New Roman" w:hAnsi="Times New Roman" w:eastAsia="黑体"/>
          <w:b w:val="0"/>
          <w:color w:val="auto"/>
          <w:highlight w:val="none"/>
        </w:rPr>
        <w:t>二、机</w:t>
      </w:r>
      <w:r>
        <w:rPr>
          <w:rStyle w:val="30"/>
          <w:rFonts w:hint="eastAsia" w:ascii="Times New Roman" w:hAnsi="Times New Roman" w:eastAsia="黑体"/>
          <w:b w:val="0"/>
          <w:bCs w:val="0"/>
          <w:color w:val="auto"/>
          <w:highlight w:val="none"/>
        </w:rPr>
        <w:t>构设置</w:t>
      </w:r>
      <w:bookmarkEnd w:id="8"/>
      <w:bookmarkEnd w:id="9"/>
    </w:p>
    <w:p w14:paraId="4CD3BB3D">
      <w:pPr>
        <w:keepNext w:val="0"/>
        <w:keepLines w:val="0"/>
        <w:widowControl w:val="0"/>
        <w:suppressLineNumbers w:val="0"/>
        <w:autoSpaceDE w:val="0"/>
        <w:autoSpaceDN/>
        <w:spacing w:line="560" w:lineRule="exact"/>
        <w:ind w:right="0" w:rightChars="0"/>
        <w:rPr>
          <w:rFonts w:hint="eastAsia" w:ascii="仿宋" w:hAnsi="仿宋" w:eastAsia="仿宋" w:cs="仿宋"/>
          <w:kern w:val="0"/>
          <w:sz w:val="28"/>
          <w:szCs w:val="28"/>
        </w:rPr>
      </w:pPr>
      <w:r>
        <w:rPr>
          <w:rFonts w:hint="eastAsia" w:ascii="仿宋" w:hAnsi="仿宋" w:eastAsia="仿宋" w:cs="仿宋"/>
          <w:b/>
          <w:bCs/>
          <w:kern w:val="0"/>
          <w:sz w:val="28"/>
          <w:szCs w:val="28"/>
        </w:rPr>
        <w:t>（一）办公室</w:t>
      </w:r>
      <w:r>
        <w:rPr>
          <w:rFonts w:hint="eastAsia" w:ascii="仿宋" w:hAnsi="仿宋" w:eastAsia="仿宋" w:cs="仿宋"/>
          <w:b w:val="0"/>
          <w:bCs w:val="0"/>
          <w:kern w:val="0"/>
          <w:sz w:val="28"/>
          <w:szCs w:val="28"/>
        </w:rPr>
        <w:t>（挂商务流通股、</w:t>
      </w:r>
      <w:r>
        <w:rPr>
          <w:rFonts w:hint="eastAsia" w:ascii="仿宋" w:hAnsi="仿宋" w:eastAsia="仿宋" w:cs="仿宋"/>
          <w:kern w:val="0"/>
          <w:sz w:val="28"/>
          <w:szCs w:val="28"/>
        </w:rPr>
        <w:t>挂招商引资股、县商务综合执法队牌子）拟订局工作制度，负责综合协调、公文处理、会议组织、信息发布、政务信息、秘书事务、政务督办、机要档案、目标管理、对外联络、信息化建设、后勤接待等机关日常政务和行政事务；负责局机关党的建设、人事管理、教育培训、劳动保障、精神文明建设等工作；承办局党委日常工作，承办局领导交办</w:t>
      </w:r>
      <w:r>
        <w:rPr>
          <w:rFonts w:hint="eastAsia" w:ascii="仿宋" w:hAnsi="仿宋" w:eastAsia="仿宋" w:cs="仿宋"/>
          <w:kern w:val="0"/>
          <w:sz w:val="28"/>
          <w:szCs w:val="28"/>
          <w:lang w:eastAsia="zh-CN"/>
        </w:rPr>
        <w:t>的其他工作</w:t>
      </w:r>
      <w:r>
        <w:rPr>
          <w:rFonts w:hint="eastAsia" w:ascii="仿宋" w:hAnsi="仿宋" w:eastAsia="仿宋" w:cs="仿宋"/>
          <w:kern w:val="0"/>
          <w:sz w:val="28"/>
          <w:szCs w:val="28"/>
        </w:rPr>
        <w:t xml:space="preserve">。 </w:t>
      </w:r>
    </w:p>
    <w:p w14:paraId="0E659B21">
      <w:pPr>
        <w:keepNext w:val="0"/>
        <w:keepLines w:val="0"/>
        <w:widowControl w:val="0"/>
        <w:suppressLineNumbers w:val="0"/>
        <w:autoSpaceDE w:val="0"/>
        <w:autoSpaceDN/>
        <w:spacing w:line="560" w:lineRule="exact"/>
        <w:ind w:right="0" w:rightChars="0"/>
        <w:rPr>
          <w:rFonts w:hint="eastAsia" w:ascii="仿宋" w:hAnsi="仿宋" w:eastAsia="仿宋" w:cs="仿宋"/>
          <w:kern w:val="0"/>
          <w:sz w:val="28"/>
          <w:szCs w:val="28"/>
        </w:rPr>
      </w:pPr>
      <w:r>
        <w:rPr>
          <w:rFonts w:hint="eastAsia" w:ascii="仿宋" w:hAnsi="仿宋" w:eastAsia="仿宋" w:cs="仿宋"/>
          <w:kern w:val="0"/>
          <w:sz w:val="28"/>
          <w:szCs w:val="28"/>
        </w:rPr>
        <w:t xml:space="preserve">    制订、完善我县市场体系和流通秩序管理办法，指导县城商业体系建设，推进农村市场体系建设，培育和发展农村市场；负责研究拟订药品流通行业的发展规划、政策和相关标准，推进药品流通行业结构调整；负责推进市场标准化建设；协调市场建设中的相关问题；负责商务工作所涉及的</w:t>
      </w:r>
      <w:r>
        <w:rPr>
          <w:rFonts w:hint="eastAsia" w:ascii="仿宋" w:hAnsi="仿宋" w:eastAsia="仿宋" w:cs="仿宋"/>
          <w:kern w:val="0"/>
          <w:sz w:val="28"/>
          <w:szCs w:val="28"/>
          <w:lang w:eastAsia="zh-CN"/>
        </w:rPr>
        <w:t>法律法规</w:t>
      </w:r>
      <w:r>
        <w:rPr>
          <w:rFonts w:hint="eastAsia" w:ascii="仿宋" w:hAnsi="仿宋" w:eastAsia="仿宋" w:cs="仿宋"/>
          <w:kern w:val="0"/>
          <w:sz w:val="28"/>
          <w:szCs w:val="28"/>
        </w:rPr>
        <w:t>和规章的收集、整理、归档工作；监测、分析市场运行和商品的供求状况，负责市场预测、预警和信息发布，研究提出市场运行及调控的政策建议，监测分析全县市场运行和商品供求状况；负责重要消费品（粮食、猪肉、边销茶等）储备的管理和市场调控；负责餐饮、住宿、娱乐等行业管理；研究拟定现代流通服务业的发展规划，提出优化流通业产业结构、深化流通体制改革、发展连锁经营、物流配送、特许经营等现代流通方式的政策和措施，并组织实施；指导城市商业网点规划，规范城市商业体系建设；推进农村市场体系发展，负责全县“万村千乡”市场工程建设工作；组织实施重要商品流通管理，负责对旧货流通、典当、拍卖、废旧车辆拆解、旧机动车交易等特殊行业的资格审核和执法监督管理工作。</w:t>
      </w:r>
    </w:p>
    <w:p w14:paraId="5A72748C">
      <w:pPr>
        <w:keepNext w:val="0"/>
        <w:keepLines w:val="0"/>
        <w:widowControl w:val="0"/>
        <w:suppressLineNumbers w:val="0"/>
        <w:autoSpaceDE w:val="0"/>
        <w:autoSpaceDN/>
        <w:spacing w:line="560" w:lineRule="exact"/>
        <w:ind w:left="0" w:right="0" w:rightChars="0" w:firstLine="560" w:firstLineChars="200"/>
        <w:rPr>
          <w:rFonts w:hint="eastAsia" w:ascii="仿宋" w:hAnsi="仿宋" w:eastAsia="仿宋" w:cs="仿宋"/>
          <w:kern w:val="0"/>
          <w:sz w:val="28"/>
          <w:szCs w:val="28"/>
        </w:rPr>
      </w:pPr>
      <w:r>
        <w:rPr>
          <w:rFonts w:hint="eastAsia" w:ascii="仿宋" w:hAnsi="仿宋" w:eastAsia="仿宋" w:cs="仿宋"/>
          <w:kern w:val="0"/>
          <w:sz w:val="28"/>
          <w:szCs w:val="28"/>
        </w:rPr>
        <w:t>负责全县招商活动的规划制定和指导协调，组织参与各级招商活动，接待投资客商，洽谈投资项目；研究提出全县招商引资中长期发展规划、产业导向要点和规划布局的意见和建议；建立招商引资项目库，统一对外发布招商项目信息；参与指导协调县工业园区有关招商引资方面的具体工作；提供招商引资信息咨询及服务，监督和检查外来投资企业执行有关法律法规和履行合同、章程的情况，牵头组织有关部门为外来投资企业提供良好的综合服务，受理投资业主的投诉；负责签约项目跟踪服务和督促落实；负责全县招商引资目标管理责任制的拟定和检查考核；负责全县招商引资签约项目及到位资金的统计；负责经济技术协作的日常工作。</w:t>
      </w:r>
    </w:p>
    <w:p w14:paraId="7E240579">
      <w:pPr>
        <w:keepNext w:val="0"/>
        <w:keepLines w:val="0"/>
        <w:widowControl/>
        <w:suppressLineNumbers w:val="0"/>
        <w:spacing w:line="560" w:lineRule="exact"/>
        <w:rPr>
          <w:rFonts w:hint="eastAsia" w:ascii="仿宋" w:hAnsi="仿宋" w:eastAsia="仿宋" w:cs="仿宋"/>
          <w:kern w:val="0"/>
          <w:sz w:val="28"/>
          <w:szCs w:val="28"/>
        </w:rPr>
      </w:pPr>
      <w:r>
        <w:rPr>
          <w:rFonts w:hint="eastAsia" w:ascii="仿宋" w:hAnsi="仿宋" w:eastAsia="仿宋" w:cs="仿宋"/>
          <w:b/>
          <w:bCs/>
          <w:kern w:val="0"/>
          <w:sz w:val="28"/>
          <w:szCs w:val="28"/>
        </w:rPr>
        <w:t xml:space="preserve">   （二）经济运行综合股</w:t>
      </w:r>
      <w:r>
        <w:rPr>
          <w:rFonts w:hint="eastAsia" w:ascii="仿宋" w:hAnsi="仿宋" w:eastAsia="仿宋" w:cs="仿宋"/>
          <w:kern w:val="0"/>
          <w:sz w:val="28"/>
          <w:szCs w:val="28"/>
        </w:rPr>
        <w:t>（挂信息化管理股、中小企业股牌子），负责经济运行综合管理，监测、分析工业经济运行态势和质量，建立工业经济运行预警机制，对重大问题提出政策措施建议；制订年度工业经济责任目标并监督实施。</w:t>
      </w:r>
      <w:r>
        <w:rPr>
          <w:rFonts w:hint="eastAsia" w:ascii="仿宋" w:hAnsi="仿宋" w:eastAsia="仿宋" w:cs="仿宋"/>
          <w:b w:val="0"/>
          <w:bCs w:val="0"/>
          <w:kern w:val="0"/>
          <w:sz w:val="28"/>
          <w:szCs w:val="28"/>
        </w:rPr>
        <w:t>负责全县电动汽车产业发展的相关工作，牵头拟订全县电动汽车发展规划、产业政策和相关标准。负责组织推动工业和信息化领域的清洁生产促进工作，贯彻落实国家工业和信息化领域的清洁生产专项规划、政策以及技术、工艺、设备和产品（服务）导向目录；研究拟订我县清洁生产地方性法规和综合性规划；配合环境保护局实施强制性清洁生产审核工作。</w:t>
      </w:r>
      <w:r>
        <w:rPr>
          <w:rFonts w:hint="eastAsia" w:ascii="仿宋" w:hAnsi="仿宋" w:eastAsia="仿宋" w:cs="仿宋"/>
          <w:kern w:val="0"/>
          <w:sz w:val="28"/>
          <w:szCs w:val="28"/>
        </w:rPr>
        <w:t>负责工业经济重大政策执行情况的绩效评估。负责工业经济信息收集、处理、研究、发布和系统信息网建设；指导民族地区工业发展规划编制、重大产业化项目布局和建设工作。负责工业和信息化节能降耗；负责企业技术改造项目节能评估审查，监管考核重点用能企业节能工作。</w:t>
      </w:r>
    </w:p>
    <w:p w14:paraId="6DB3A887">
      <w:pPr>
        <w:keepNext w:val="0"/>
        <w:keepLines w:val="0"/>
        <w:widowControl w:val="0"/>
        <w:suppressLineNumbers w:val="0"/>
        <w:autoSpaceDE w:val="0"/>
        <w:autoSpaceDN/>
        <w:spacing w:line="560" w:lineRule="exact"/>
        <w:ind w:right="0" w:rightChars="0"/>
        <w:rPr>
          <w:rFonts w:hint="eastAsia" w:ascii="仿宋" w:hAnsi="仿宋" w:eastAsia="仿宋" w:cs="仿宋"/>
          <w:kern w:val="0"/>
          <w:sz w:val="28"/>
          <w:szCs w:val="28"/>
        </w:rPr>
      </w:pPr>
      <w:r>
        <w:rPr>
          <w:rFonts w:hint="eastAsia" w:ascii="仿宋" w:hAnsi="仿宋" w:eastAsia="仿宋" w:cs="仿宋"/>
          <w:kern w:val="0"/>
          <w:sz w:val="28"/>
          <w:szCs w:val="28"/>
        </w:rPr>
        <w:t xml:space="preserve">    统筹中小企业协调配套发展，负责全县中小企业统计工作；指导协调企业脱困、扭亏和厂务公开及企业治乱减负、维稳工作；负责中小企业发展规划和综合协调工作；指导企业实施改组改造和兼并重组，指导企业建立现代企业制度和加强管理工作；拟订鼓励中小企业发展的政策措施并组织实施；推进中小企业创业平台建设工作；组织推进中小企业服务体系建设，规范中小企业服务市场；指导和促进创业投资发展；负责企业生产运行中涉及财政、金融、税收等方面问题的协调；牵头搭建工业企业信贷资金的融资平台，指导企业融资公共服务平台建设；推进中小企业信用担保体系建设，负责中小企业信用担保机构备案工作，指导中小企业信用担保行业自律组织建设。</w:t>
      </w:r>
    </w:p>
    <w:p w14:paraId="664EB8F1">
      <w:pPr>
        <w:keepNext w:val="0"/>
        <w:keepLines w:val="0"/>
        <w:widowControl w:val="0"/>
        <w:suppressLineNumbers w:val="0"/>
        <w:autoSpaceDE w:val="0"/>
        <w:autoSpaceDN/>
        <w:spacing w:line="560" w:lineRule="exact"/>
        <w:ind w:right="0" w:rightChars="0"/>
        <w:rPr>
          <w:rFonts w:hint="eastAsia" w:ascii="仿宋" w:hAnsi="仿宋" w:eastAsia="仿宋" w:cs="仿宋"/>
          <w:kern w:val="0"/>
          <w:sz w:val="28"/>
          <w:szCs w:val="28"/>
        </w:rPr>
      </w:pPr>
      <w:r>
        <w:rPr>
          <w:rFonts w:hint="eastAsia" w:ascii="仿宋" w:hAnsi="仿宋" w:eastAsia="仿宋" w:cs="仿宋"/>
          <w:kern w:val="0"/>
          <w:sz w:val="28"/>
          <w:szCs w:val="28"/>
        </w:rPr>
        <w:t xml:space="preserve">    负责实施电子信息产品制造业行业管理，组织制订并实施行业发展规划和相关技术标准、技术规范，引导产业合理布局，推动产品结构调整；负责软件与信息服务业行业管理；组织实施行业发展规划和技术标准、规范；推进软件公共服务体系建设；统筹推进信息化工作；负责工程建设领域项目信息公开和诚信体系建设；推进电子政务和信息资源开发利用，推动跨部门、跨行业、跨领域的互联互通，开展绩效评估工作；组织协调信息安全保障体系建设，指导监督政府部门、重点行业重要信息系统安全保障，参与处理网络与信息重大安全事件；协调信息安全测评、数字认证、等级保护等工作；负责信息基础设施建设的规划、协调和管理，统一规划并协调管理重大项目、工程通信设施；组织制订通信管线规划并实施管理；协调电信市场涉及社会公共利</w:t>
      </w:r>
      <w:r>
        <w:rPr>
          <w:rFonts w:hint="eastAsia" w:ascii="仿宋" w:hAnsi="仿宋" w:eastAsia="仿宋" w:cs="仿宋"/>
          <w:kern w:val="0"/>
          <w:sz w:val="28"/>
          <w:szCs w:val="28"/>
          <w:lang w:eastAsia="zh-CN"/>
        </w:rPr>
        <w:t>益的</w:t>
      </w:r>
      <w:r>
        <w:rPr>
          <w:rFonts w:hint="eastAsia" w:ascii="仿宋" w:hAnsi="仿宋" w:eastAsia="仿宋" w:cs="仿宋"/>
          <w:kern w:val="0"/>
          <w:sz w:val="28"/>
          <w:szCs w:val="28"/>
        </w:rPr>
        <w:t>重大事项。</w:t>
      </w:r>
    </w:p>
    <w:p w14:paraId="7D1C05F7">
      <w:pPr>
        <w:keepNext w:val="0"/>
        <w:keepLines w:val="0"/>
        <w:widowControl w:val="0"/>
        <w:suppressLineNumbers w:val="0"/>
        <w:autoSpaceDE w:val="0"/>
        <w:autoSpaceDN/>
        <w:spacing w:line="560" w:lineRule="exact"/>
        <w:ind w:right="0" w:rightChars="0"/>
        <w:rPr>
          <w:rFonts w:hint="eastAsia" w:ascii="仿宋" w:hAnsi="仿宋" w:eastAsia="仿宋" w:cs="仿宋"/>
          <w:kern w:val="0"/>
          <w:sz w:val="28"/>
          <w:szCs w:val="28"/>
        </w:rPr>
      </w:pPr>
      <w:r>
        <w:rPr>
          <w:rFonts w:hint="eastAsia" w:ascii="仿宋" w:hAnsi="仿宋" w:eastAsia="仿宋" w:cs="仿宋"/>
          <w:kern w:val="0"/>
          <w:sz w:val="28"/>
          <w:szCs w:val="28"/>
        </w:rPr>
        <w:t xml:space="preserve">    负责无线电管理发展规划；依法查处无线电违法行为；组织实施无线电管制；负责组织重要时期、重点区域、重大活动的无线电安全保障；管理无线电发射设备市场；负责协调处理军地及跨区域无线电行政执法事宜；负责收缴无线电频率资源占用费。</w:t>
      </w:r>
    </w:p>
    <w:p w14:paraId="6AF2FEF1">
      <w:pPr>
        <w:widowControl/>
        <w:jc w:val="left"/>
        <w:rPr>
          <w:rFonts w:ascii="Times New Roman" w:hAnsi="Times New Roman" w:eastAsia="仿宋"/>
          <w:color w:val="auto"/>
          <w:kern w:val="0"/>
          <w:sz w:val="32"/>
          <w:szCs w:val="32"/>
          <w:highlight w:val="none"/>
        </w:rPr>
      </w:pPr>
      <w:r>
        <w:rPr>
          <w:rFonts w:hint="eastAsia" w:ascii="仿宋" w:hAnsi="仿宋" w:eastAsia="仿宋" w:cs="仿宋"/>
          <w:kern w:val="0"/>
          <w:sz w:val="28"/>
          <w:szCs w:val="28"/>
        </w:rPr>
        <w:t>负责无线电频谱规划；负责指配无线电频率和台站呼号；审批无线电台</w:t>
      </w:r>
      <w:r>
        <w:rPr>
          <w:rFonts w:hint="eastAsia" w:ascii="仿宋" w:hAnsi="仿宋" w:eastAsia="仿宋" w:cs="仿宋"/>
          <w:kern w:val="0"/>
          <w:sz w:val="28"/>
          <w:szCs w:val="28"/>
          <w:lang w:eastAsia="zh-CN"/>
        </w:rPr>
        <w:t>（</w:t>
      </w:r>
      <w:r>
        <w:rPr>
          <w:rFonts w:hint="eastAsia" w:ascii="仿宋" w:hAnsi="仿宋" w:eastAsia="仿宋" w:cs="仿宋"/>
          <w:kern w:val="0"/>
          <w:sz w:val="28"/>
          <w:szCs w:val="28"/>
        </w:rPr>
        <w:t>站</w:t>
      </w:r>
      <w:r>
        <w:rPr>
          <w:rFonts w:hint="eastAsia" w:ascii="仿宋" w:hAnsi="仿宋" w:eastAsia="仿宋" w:cs="仿宋"/>
          <w:kern w:val="0"/>
          <w:sz w:val="28"/>
          <w:szCs w:val="28"/>
          <w:lang w:eastAsia="zh-CN"/>
        </w:rPr>
        <w:t>）</w:t>
      </w:r>
      <w:r>
        <w:rPr>
          <w:rFonts w:hint="eastAsia" w:ascii="仿宋" w:hAnsi="仿宋" w:eastAsia="仿宋" w:cs="仿宋"/>
          <w:kern w:val="0"/>
          <w:sz w:val="28"/>
          <w:szCs w:val="28"/>
        </w:rPr>
        <w:t>建设规划，核发电台执照，实施年检验证；负责无线电台（站）的日常管理；负责无线电设备型号核准及进口审批；负责协调处理军地及跨区域无线电频率管理相关</w:t>
      </w:r>
      <w:r>
        <w:rPr>
          <w:rFonts w:ascii="Times New Roman" w:hAnsi="Times New Roman" w:eastAsia="仿宋"/>
          <w:color w:val="auto"/>
          <w:sz w:val="32"/>
          <w:szCs w:val="32"/>
          <w:highlight w:val="none"/>
        </w:rPr>
        <w:br w:type="page"/>
      </w:r>
    </w:p>
    <w:p w14:paraId="22B4CC65">
      <w:pPr>
        <w:pStyle w:val="4"/>
        <w:jc w:val="center"/>
        <w:rPr>
          <w:rFonts w:hint="eastAsia" w:ascii="Times New Roman" w:hAnsi="Times New Roman" w:eastAsia="方正小标宋简体" w:cs="方正小标宋简体"/>
          <w:b w:val="0"/>
          <w:color w:val="auto"/>
          <w:highlight w:val="none"/>
        </w:rPr>
      </w:pPr>
      <w:bookmarkStart w:id="10" w:name="_Toc15377204"/>
      <w:bookmarkStart w:id="11" w:name="_Toc15396602"/>
      <w:r>
        <w:rPr>
          <w:rFonts w:hint="eastAsia" w:ascii="Times New Roman" w:hAnsi="Times New Roman" w:eastAsia="方正小标宋简体" w:cs="方正小标宋简体"/>
          <w:b w:val="0"/>
          <w:color w:val="auto"/>
          <w:highlight w:val="none"/>
        </w:rPr>
        <w:t>第二部分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Fonts w:hint="eastAsia" w:eastAsia="方正小标宋简体" w:cs="方正小标宋简体"/>
          <w:b w:val="0"/>
          <w:color w:val="auto"/>
          <w:highlight w:val="none"/>
          <w:lang w:val="en-US" w:eastAsia="zh-CN"/>
        </w:rPr>
        <w:t>2025年度</w:t>
      </w:r>
      <w:r>
        <w:rPr>
          <w:rFonts w:hint="eastAsia" w:ascii="Times New Roman" w:hAnsi="Times New Roman" w:eastAsia="方正小标宋简体" w:cs="方正小标宋简体"/>
          <w:b w:val="0"/>
          <w:color w:val="auto"/>
          <w:highlight w:val="none"/>
        </w:rPr>
        <w:t>部门决算情况说明</w:t>
      </w:r>
      <w:bookmarkEnd w:id="10"/>
      <w:bookmarkEnd w:id="11"/>
    </w:p>
    <w:p w14:paraId="49DA1587">
      <w:pPr>
        <w:rPr>
          <w:rFonts w:ascii="Times New Roman" w:hAnsi="Times New Roman"/>
          <w:color w:val="auto"/>
          <w:highlight w:val="none"/>
        </w:rPr>
      </w:pPr>
    </w:p>
    <w:p w14:paraId="67F4F1E3">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0"/>
          <w:rFonts w:hint="eastAsia" w:ascii="Times New Roman" w:hAnsi="Times New Roman" w:eastAsia="黑体"/>
          <w:b w:val="0"/>
          <w:color w:val="auto"/>
          <w:highlight w:val="none"/>
        </w:rPr>
      </w:pPr>
      <w:bookmarkStart w:id="12" w:name="_Toc15377205"/>
      <w:bookmarkStart w:id="13" w:name="_Toc15396603"/>
      <w:r>
        <w:rPr>
          <w:rFonts w:hint="eastAsia" w:ascii="Times New Roman" w:hAnsi="Times New Roman" w:eastAsia="黑体"/>
          <w:color w:val="auto"/>
          <w:sz w:val="32"/>
          <w:szCs w:val="32"/>
          <w:highlight w:val="none"/>
          <w:lang w:eastAsia="zh-CN"/>
        </w:rPr>
        <w:t>一、</w:t>
      </w:r>
      <w:r>
        <w:rPr>
          <w:rFonts w:hint="eastAsia" w:ascii="Times New Roman" w:hAnsi="Times New Roman" w:eastAsia="黑体"/>
          <w:color w:val="auto"/>
          <w:sz w:val="32"/>
          <w:szCs w:val="32"/>
          <w:highlight w:val="none"/>
        </w:rPr>
        <w:t>收</w:t>
      </w:r>
      <w:r>
        <w:rPr>
          <w:rStyle w:val="30"/>
          <w:rFonts w:hint="eastAsia" w:ascii="Times New Roman" w:hAnsi="Times New Roman" w:eastAsia="黑体"/>
          <w:b w:val="0"/>
          <w:color w:val="auto"/>
          <w:highlight w:val="none"/>
        </w:rPr>
        <w:t>入支出决算总体情况说明</w:t>
      </w:r>
      <w:bookmarkEnd w:id="12"/>
      <w:bookmarkEnd w:id="13"/>
    </w:p>
    <w:p w14:paraId="43C1D021">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w:t>
      </w:r>
      <w:r>
        <w:rPr>
          <w:rFonts w:hint="eastAsia" w:ascii="Times New Roman" w:hAnsi="Times New Roman" w:eastAsia="仿宋_GB2312" w:cs="仿宋_GB2312"/>
          <w:color w:val="auto"/>
          <w:sz w:val="32"/>
          <w:szCs w:val="32"/>
          <w:highlight w:val="none"/>
          <w:lang w:eastAsia="zh-CN"/>
        </w:rPr>
        <w:t>均为</w:t>
      </w:r>
      <w:r>
        <w:rPr>
          <w:rFonts w:hint="eastAsia" w:ascii="仿宋_GB2312" w:hAnsi="仿宋_GB2312" w:eastAsia="仿宋_GB2312" w:cs="仿宋_GB2312"/>
          <w:sz w:val="32"/>
          <w:szCs w:val="32"/>
        </w:rPr>
        <w:t>782.76</w:t>
      </w:r>
      <w:r>
        <w:rPr>
          <w:rFonts w:hint="eastAsia" w:ascii="Times New Roman" w:hAnsi="Times New Roman" w:eastAsia="仿宋_GB2312" w:cs="仿宋_GB2312"/>
          <w:color w:val="auto"/>
          <w:sz w:val="32"/>
          <w:szCs w:val="32"/>
          <w:highlight w:val="none"/>
        </w:rPr>
        <w:t>万元。与</w:t>
      </w:r>
      <w:r>
        <w:rPr>
          <w:rFonts w:hint="eastAsia" w:eastAsia="仿宋_GB2312" w:cs="仿宋_GB2312"/>
          <w:color w:val="auto"/>
          <w:sz w:val="32"/>
          <w:szCs w:val="32"/>
          <w:highlight w:val="none"/>
          <w:lang w:eastAsia="zh-CN"/>
        </w:rPr>
        <w:t>上</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eastAsia="zh-CN"/>
        </w:rPr>
        <w:t>度</w:t>
      </w:r>
      <w:r>
        <w:rPr>
          <w:rFonts w:hint="eastAsia" w:ascii="Times New Roman" w:hAnsi="Times New Roman" w:eastAsia="仿宋_GB2312" w:cs="仿宋_GB2312"/>
          <w:color w:val="auto"/>
          <w:sz w:val="32"/>
          <w:szCs w:val="32"/>
          <w:highlight w:val="none"/>
        </w:rPr>
        <w:t>相比，</w:t>
      </w:r>
      <w:r>
        <w:rPr>
          <w:rFonts w:hint="eastAsia" w:ascii="Times New Roman" w:hAnsi="Times New Roman" w:eastAsia="仿宋_GB2312" w:cs="仿宋_GB2312"/>
          <w:color w:val="auto"/>
          <w:sz w:val="32"/>
          <w:szCs w:val="32"/>
          <w:highlight w:val="none"/>
          <w:lang w:eastAsia="zh-CN"/>
        </w:rPr>
        <w:t>收入</w:t>
      </w:r>
      <w:r>
        <w:rPr>
          <w:rFonts w:hint="eastAsia" w:eastAsia="仿宋_GB2312" w:cs="仿宋_GB2312"/>
          <w:color w:val="auto"/>
          <w:sz w:val="32"/>
          <w:szCs w:val="32"/>
          <w:highlight w:val="none"/>
          <w:lang w:eastAsia="zh-CN"/>
        </w:rPr>
        <w:t>减少</w:t>
      </w:r>
      <w:r>
        <w:rPr>
          <w:rFonts w:hint="eastAsia" w:eastAsia="仿宋_GB2312" w:cs="仿宋_GB2312"/>
          <w:color w:val="auto"/>
          <w:sz w:val="32"/>
          <w:szCs w:val="32"/>
          <w:highlight w:val="none"/>
          <w:lang w:val="en-US" w:eastAsia="zh-CN"/>
        </w:rPr>
        <w:t>172.47万元，减少18.06%；</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减少</w:t>
      </w:r>
      <w:r>
        <w:rPr>
          <w:rFonts w:hint="eastAsia" w:eastAsia="仿宋_GB2312" w:cs="仿宋_GB2312"/>
          <w:color w:val="auto"/>
          <w:sz w:val="32"/>
          <w:szCs w:val="32"/>
          <w:highlight w:val="none"/>
          <w:lang w:val="en-US" w:eastAsia="zh-CN"/>
        </w:rPr>
        <w:t>199.4</w:t>
      </w:r>
      <w:r>
        <w:rPr>
          <w:rFonts w:hint="eastAsia" w:ascii="Times New Roman" w:hAnsi="Times New Roman" w:eastAsia="仿宋_GB2312" w:cs="仿宋_GB2312"/>
          <w:color w:val="auto"/>
          <w:sz w:val="32"/>
          <w:szCs w:val="32"/>
          <w:highlight w:val="none"/>
        </w:rPr>
        <w:t>万元，下降</w:t>
      </w:r>
      <w:r>
        <w:rPr>
          <w:rFonts w:hint="eastAsia" w:eastAsia="仿宋_GB2312" w:cs="仿宋_GB2312"/>
          <w:color w:val="auto"/>
          <w:sz w:val="32"/>
          <w:szCs w:val="32"/>
          <w:highlight w:val="none"/>
          <w:lang w:val="en-US" w:eastAsia="zh-CN"/>
        </w:rPr>
        <w:t>20.30</w:t>
      </w:r>
      <w:r>
        <w:rPr>
          <w:rFonts w:hint="eastAsia" w:ascii="Times New Roman" w:hAnsi="Times New Roman" w:eastAsia="仿宋_GB2312" w:cs="仿宋_GB2312"/>
          <w:color w:val="auto"/>
          <w:sz w:val="32"/>
          <w:szCs w:val="32"/>
          <w:highlight w:val="none"/>
        </w:rPr>
        <w:t>%。主要变动原因是</w:t>
      </w:r>
      <w:r>
        <w:rPr>
          <w:rFonts w:hint="eastAsia" w:eastAsia="仿宋_GB2312" w:cs="仿宋_GB2312"/>
          <w:color w:val="auto"/>
          <w:sz w:val="32"/>
          <w:szCs w:val="32"/>
          <w:highlight w:val="none"/>
          <w:lang w:eastAsia="zh-CN"/>
        </w:rPr>
        <w:t>较上年项目减少。</w:t>
      </w:r>
    </w:p>
    <w:p w14:paraId="1E2F3533">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bookmarkStart w:id="14" w:name="_Toc15396604"/>
      <w:bookmarkStart w:id="15" w:name="_Toc15377206"/>
      <w:r>
        <w:rPr>
          <w:rFonts w:hint="eastAsia" w:ascii="Times New Roman" w:hAnsi="Times New Roman" w:eastAsia="黑体"/>
          <w:color w:val="auto"/>
          <w:sz w:val="32"/>
          <w:szCs w:val="32"/>
          <w:highlight w:val="none"/>
          <w:lang w:eastAsia="zh-CN"/>
        </w:rPr>
        <w:t>二、收入决算情况说明</w:t>
      </w:r>
      <w:bookmarkEnd w:id="14"/>
      <w:bookmarkEnd w:id="15"/>
    </w:p>
    <w:p w14:paraId="320B75D0">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本年收入合计</w:t>
      </w:r>
      <w:r>
        <w:rPr>
          <w:rFonts w:hint="eastAsia" w:ascii="仿宋_GB2312" w:hAnsi="仿宋_GB2312" w:eastAsia="仿宋_GB2312" w:cs="仿宋_GB2312"/>
          <w:sz w:val="32"/>
          <w:szCs w:val="32"/>
        </w:rPr>
        <w:t>782.76</w:t>
      </w:r>
      <w:r>
        <w:rPr>
          <w:rFonts w:hint="eastAsia" w:ascii="Times New Roman" w:hAnsi="Times New Roman" w:eastAsia="仿宋_GB2312" w:cs="仿宋_GB2312"/>
          <w:color w:val="auto"/>
          <w:sz w:val="32"/>
          <w:szCs w:val="32"/>
          <w:highlight w:val="none"/>
          <w:lang w:eastAsia="zh-CN"/>
        </w:rPr>
        <w:t>万元，其中：一般公共预算财政拨款收入</w:t>
      </w:r>
      <w:r>
        <w:rPr>
          <w:rFonts w:hint="eastAsia" w:ascii="仿宋_GB2312" w:hAnsi="仿宋_GB2312" w:eastAsia="仿宋_GB2312" w:cs="仿宋_GB2312"/>
          <w:sz w:val="32"/>
          <w:szCs w:val="32"/>
        </w:rPr>
        <w:t>749.85</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95.79</w:t>
      </w:r>
      <w:r>
        <w:rPr>
          <w:rFonts w:hint="eastAsia" w:ascii="Times New Roman" w:hAnsi="Times New Roman" w:eastAsia="仿宋_GB2312" w:cs="仿宋_GB2312"/>
          <w:color w:val="auto"/>
          <w:sz w:val="32"/>
          <w:szCs w:val="32"/>
          <w:highlight w:val="none"/>
          <w:lang w:eastAsia="zh-CN"/>
        </w:rPr>
        <w:t>%；政府性基金预算财政拨款收入</w:t>
      </w:r>
      <w:r>
        <w:rPr>
          <w:rFonts w:hint="eastAsia" w:ascii="仿宋_GB2312" w:hAnsi="仿宋_GB2312" w:eastAsia="仿宋_GB2312" w:cs="仿宋_GB2312"/>
          <w:sz w:val="32"/>
          <w:szCs w:val="32"/>
        </w:rPr>
        <w:t>32.91</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4.2</w:t>
      </w:r>
      <w:r>
        <w:rPr>
          <w:rFonts w:hint="eastAsia" w:ascii="Times New Roman" w:hAnsi="Times New Roman" w:eastAsia="仿宋_GB2312" w:cs="仿宋_GB2312"/>
          <w:color w:val="auto"/>
          <w:sz w:val="32"/>
          <w:szCs w:val="32"/>
          <w:highlight w:val="none"/>
          <w:lang w:eastAsia="zh-CN"/>
        </w:rPr>
        <w:t>%；国有资本经营预算财政拨款收入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%；上级补助收入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%；事业收入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%；经营收入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%；附属单位上缴收入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%；其他收入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w:t>
      </w:r>
    </w:p>
    <w:p w14:paraId="3E865CE9">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b/>
          <w:bCs/>
          <w:color w:val="auto"/>
          <w:sz w:val="32"/>
          <w:szCs w:val="32"/>
          <w:highlight w:val="none"/>
          <w:lang w:eastAsia="zh-CN"/>
        </w:rPr>
        <w:t>（注：仅罗列本部门涉及的收入）</w:t>
      </w:r>
    </w:p>
    <w:p w14:paraId="61E08AEB">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0"/>
          <w:rFonts w:hint="eastAsia" w:ascii="Times New Roman" w:hAnsi="Times New Roman" w:eastAsia="黑体"/>
          <w:b w:val="0"/>
          <w:color w:val="auto"/>
          <w:highlight w:val="none"/>
        </w:rPr>
      </w:pPr>
      <w:bookmarkStart w:id="16" w:name="_Toc15396605"/>
      <w:bookmarkStart w:id="17" w:name="_Toc15377207"/>
      <w:r>
        <w:rPr>
          <w:rFonts w:hint="eastAsia" w:ascii="Times New Roman" w:hAnsi="Times New Roman" w:eastAsia="黑体"/>
          <w:color w:val="auto"/>
          <w:sz w:val="32"/>
          <w:szCs w:val="32"/>
          <w:highlight w:val="none"/>
          <w:lang w:eastAsia="zh-CN"/>
        </w:rPr>
        <w:t>三、</w:t>
      </w:r>
      <w:r>
        <w:rPr>
          <w:rFonts w:hint="eastAsia" w:ascii="Times New Roman" w:hAnsi="Times New Roman" w:eastAsia="黑体"/>
          <w:color w:val="auto"/>
          <w:sz w:val="32"/>
          <w:szCs w:val="32"/>
          <w:highlight w:val="none"/>
        </w:rPr>
        <w:t>支</w:t>
      </w:r>
      <w:r>
        <w:rPr>
          <w:rStyle w:val="30"/>
          <w:rFonts w:hint="eastAsia" w:ascii="Times New Roman" w:hAnsi="Times New Roman" w:eastAsia="黑体"/>
          <w:b w:val="0"/>
          <w:color w:val="auto"/>
          <w:highlight w:val="none"/>
        </w:rPr>
        <w:t>出决算情况说明</w:t>
      </w:r>
      <w:bookmarkEnd w:id="16"/>
      <w:bookmarkEnd w:id="17"/>
    </w:p>
    <w:p w14:paraId="5291F0DD">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本年支出合计</w:t>
      </w:r>
      <w:r>
        <w:rPr>
          <w:rFonts w:hint="eastAsia" w:ascii="仿宋_GB2312" w:hAnsi="仿宋_GB2312" w:eastAsia="仿宋_GB2312" w:cs="仿宋_GB2312"/>
          <w:sz w:val="32"/>
          <w:szCs w:val="32"/>
        </w:rPr>
        <w:t>782.76</w:t>
      </w:r>
      <w:r>
        <w:rPr>
          <w:rFonts w:hint="eastAsia" w:ascii="Times New Roman" w:hAnsi="Times New Roman" w:eastAsia="仿宋_GB2312" w:cs="仿宋_GB2312"/>
          <w:color w:val="auto"/>
          <w:sz w:val="32"/>
          <w:szCs w:val="32"/>
          <w:highlight w:val="none"/>
          <w:lang w:eastAsia="zh-CN"/>
        </w:rPr>
        <w:t>万元，其中：基本支出</w:t>
      </w:r>
      <w:r>
        <w:rPr>
          <w:rFonts w:hint="eastAsia" w:ascii="仿宋_GB2312" w:hAnsi="仿宋_GB2312" w:eastAsia="仿宋_GB2312" w:cs="仿宋_GB2312"/>
          <w:sz w:val="32"/>
          <w:szCs w:val="32"/>
        </w:rPr>
        <w:t>210.48</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26.88</w:t>
      </w:r>
      <w:r>
        <w:rPr>
          <w:rFonts w:hint="eastAsia" w:ascii="Times New Roman" w:hAnsi="Times New Roman" w:eastAsia="仿宋_GB2312" w:cs="仿宋_GB2312"/>
          <w:color w:val="auto"/>
          <w:sz w:val="32"/>
          <w:szCs w:val="32"/>
          <w:highlight w:val="none"/>
          <w:lang w:eastAsia="zh-CN"/>
        </w:rPr>
        <w:t>%；项目支出</w:t>
      </w:r>
      <w:r>
        <w:rPr>
          <w:rFonts w:hint="eastAsia" w:ascii="仿宋_GB2312" w:hAnsi="仿宋_GB2312" w:eastAsia="仿宋_GB2312" w:cs="仿宋_GB2312"/>
          <w:sz w:val="32"/>
          <w:szCs w:val="32"/>
        </w:rPr>
        <w:t>572.28</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73.11</w:t>
      </w:r>
      <w:r>
        <w:rPr>
          <w:rFonts w:hint="eastAsia" w:ascii="Times New Roman" w:hAnsi="Times New Roman" w:eastAsia="仿宋_GB2312" w:cs="仿宋_GB2312"/>
          <w:color w:val="auto"/>
          <w:sz w:val="32"/>
          <w:szCs w:val="32"/>
          <w:highlight w:val="none"/>
          <w:lang w:eastAsia="zh-CN"/>
        </w:rPr>
        <w:t>%；上缴上级支出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%；经营支出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%；对附属单位补助支出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w:t>
      </w:r>
    </w:p>
    <w:p w14:paraId="595B515A">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b/>
          <w:bCs/>
          <w:color w:val="auto"/>
          <w:sz w:val="32"/>
          <w:szCs w:val="32"/>
          <w:highlight w:val="none"/>
          <w:lang w:eastAsia="zh-CN"/>
        </w:rPr>
        <w:t>（注：仅罗列本部门涉及的支出）</w:t>
      </w:r>
    </w:p>
    <w:p w14:paraId="2A0F9CE1">
      <w:pPr>
        <w:spacing w:line="600" w:lineRule="exact"/>
        <w:ind w:firstLine="640" w:firstLineChars="200"/>
        <w:outlineLvl w:val="1"/>
        <w:rPr>
          <w:rStyle w:val="30"/>
          <w:rFonts w:ascii="Times New Roman" w:hAnsi="Times New Roman" w:eastAsia="黑体"/>
          <w:b w:val="0"/>
          <w:color w:val="auto"/>
          <w:highlight w:val="none"/>
        </w:rPr>
      </w:pPr>
      <w:bookmarkStart w:id="18" w:name="_Toc15396606"/>
      <w:bookmarkStart w:id="19" w:name="_Toc15377208"/>
      <w:r>
        <w:rPr>
          <w:rFonts w:hint="eastAsia" w:ascii="Times New Roman" w:hAnsi="Times New Roman" w:eastAsia="黑体"/>
          <w:color w:val="auto"/>
          <w:sz w:val="32"/>
          <w:szCs w:val="32"/>
          <w:highlight w:val="none"/>
        </w:rPr>
        <w:t>四、财</w:t>
      </w:r>
      <w:r>
        <w:rPr>
          <w:rStyle w:val="30"/>
          <w:rFonts w:hint="eastAsia" w:ascii="Times New Roman" w:hAnsi="Times New Roman" w:eastAsia="黑体"/>
          <w:b w:val="0"/>
          <w:color w:val="auto"/>
          <w:highlight w:val="none"/>
        </w:rPr>
        <w:t>政拨款收入支出决算总体情况说明</w:t>
      </w:r>
      <w:bookmarkEnd w:id="18"/>
      <w:bookmarkEnd w:id="19"/>
    </w:p>
    <w:p w14:paraId="2721839E">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w:t>
      </w:r>
      <w:r>
        <w:rPr>
          <w:rFonts w:hint="eastAsia" w:ascii="Times New Roman" w:hAnsi="Times New Roman" w:eastAsia="仿宋_GB2312" w:cs="仿宋_GB2312"/>
          <w:color w:val="auto"/>
          <w:sz w:val="32"/>
          <w:szCs w:val="32"/>
          <w:highlight w:val="none"/>
          <w:lang w:eastAsia="zh-CN"/>
        </w:rPr>
        <w:t>均为</w:t>
      </w:r>
      <w:r>
        <w:rPr>
          <w:rFonts w:hint="eastAsia" w:ascii="仿宋_GB2312" w:hAnsi="仿宋_GB2312" w:eastAsia="仿宋_GB2312" w:cs="仿宋_GB2312"/>
          <w:sz w:val="32"/>
          <w:szCs w:val="32"/>
        </w:rPr>
        <w:t>782.76</w:t>
      </w:r>
      <w:r>
        <w:rPr>
          <w:rFonts w:hint="eastAsia" w:ascii="Times New Roman" w:hAnsi="Times New Roman" w:eastAsia="仿宋_GB2312" w:cs="仿宋_GB2312"/>
          <w:color w:val="auto"/>
          <w:sz w:val="32"/>
          <w:szCs w:val="32"/>
          <w:highlight w:val="none"/>
        </w:rPr>
        <w:t>万元。与</w:t>
      </w:r>
      <w:r>
        <w:rPr>
          <w:rFonts w:hint="eastAsia" w:eastAsia="仿宋_GB2312" w:cs="仿宋_GB2312"/>
          <w:color w:val="auto"/>
          <w:sz w:val="32"/>
          <w:szCs w:val="32"/>
          <w:highlight w:val="none"/>
          <w:lang w:eastAsia="zh-CN"/>
        </w:rPr>
        <w:t>上</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eastAsia="zh-CN"/>
        </w:rPr>
        <w:t>度</w:t>
      </w:r>
      <w:r>
        <w:rPr>
          <w:rFonts w:hint="eastAsia" w:ascii="Times New Roman" w:hAnsi="Times New Roman" w:eastAsia="仿宋_GB2312" w:cs="仿宋_GB2312"/>
          <w:color w:val="auto"/>
          <w:sz w:val="32"/>
          <w:szCs w:val="32"/>
          <w:highlight w:val="none"/>
        </w:rPr>
        <w:t>相比，</w:t>
      </w:r>
      <w:r>
        <w:rPr>
          <w:rFonts w:hint="eastAsia" w:ascii="Times New Roman" w:hAnsi="Times New Roman" w:eastAsia="仿宋_GB2312" w:cs="仿宋_GB2312"/>
          <w:color w:val="auto"/>
          <w:sz w:val="32"/>
          <w:szCs w:val="32"/>
          <w:highlight w:val="none"/>
          <w:lang w:eastAsia="zh-CN"/>
        </w:rPr>
        <w:t>收入</w:t>
      </w:r>
      <w:r>
        <w:rPr>
          <w:rFonts w:hint="eastAsia" w:eastAsia="仿宋_GB2312" w:cs="仿宋_GB2312"/>
          <w:color w:val="auto"/>
          <w:sz w:val="32"/>
          <w:szCs w:val="32"/>
          <w:highlight w:val="none"/>
          <w:lang w:eastAsia="zh-CN"/>
        </w:rPr>
        <w:t>减少</w:t>
      </w:r>
      <w:r>
        <w:rPr>
          <w:rFonts w:hint="eastAsia" w:eastAsia="仿宋_GB2312" w:cs="仿宋_GB2312"/>
          <w:color w:val="auto"/>
          <w:sz w:val="32"/>
          <w:szCs w:val="32"/>
          <w:highlight w:val="none"/>
          <w:lang w:val="en-US" w:eastAsia="zh-CN"/>
        </w:rPr>
        <w:t>172.47万元，减少18.06%；</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减少</w:t>
      </w:r>
      <w:r>
        <w:rPr>
          <w:rFonts w:hint="eastAsia" w:eastAsia="仿宋_GB2312" w:cs="仿宋_GB2312"/>
          <w:color w:val="auto"/>
          <w:sz w:val="32"/>
          <w:szCs w:val="32"/>
          <w:highlight w:val="none"/>
          <w:lang w:val="en-US" w:eastAsia="zh-CN"/>
        </w:rPr>
        <w:t>199.4</w:t>
      </w:r>
      <w:r>
        <w:rPr>
          <w:rFonts w:hint="eastAsia" w:ascii="Times New Roman" w:hAnsi="Times New Roman" w:eastAsia="仿宋_GB2312" w:cs="仿宋_GB2312"/>
          <w:color w:val="auto"/>
          <w:sz w:val="32"/>
          <w:szCs w:val="32"/>
          <w:highlight w:val="none"/>
        </w:rPr>
        <w:t>万元，下降</w:t>
      </w:r>
      <w:r>
        <w:rPr>
          <w:rFonts w:hint="eastAsia" w:eastAsia="仿宋_GB2312" w:cs="仿宋_GB2312"/>
          <w:color w:val="auto"/>
          <w:sz w:val="32"/>
          <w:szCs w:val="32"/>
          <w:highlight w:val="none"/>
          <w:lang w:val="en-US" w:eastAsia="zh-CN"/>
        </w:rPr>
        <w:t>20.30</w:t>
      </w:r>
      <w:r>
        <w:rPr>
          <w:rFonts w:hint="eastAsia" w:ascii="Times New Roman" w:hAnsi="Times New Roman" w:eastAsia="仿宋_GB2312" w:cs="仿宋_GB2312"/>
          <w:color w:val="auto"/>
          <w:sz w:val="32"/>
          <w:szCs w:val="32"/>
          <w:highlight w:val="none"/>
        </w:rPr>
        <w:t>%。主要变动原因是</w:t>
      </w:r>
      <w:r>
        <w:rPr>
          <w:rFonts w:hint="eastAsia" w:eastAsia="仿宋_GB2312" w:cs="仿宋_GB2312"/>
          <w:color w:val="auto"/>
          <w:sz w:val="32"/>
          <w:szCs w:val="32"/>
          <w:highlight w:val="none"/>
          <w:lang w:eastAsia="zh-CN"/>
        </w:rPr>
        <w:t>较上年项目减少。</w:t>
      </w:r>
    </w:p>
    <w:p w14:paraId="6A7DF0AE">
      <w:pPr>
        <w:spacing w:line="600" w:lineRule="exact"/>
        <w:ind w:firstLine="640" w:firstLineChars="200"/>
        <w:outlineLvl w:val="1"/>
        <w:rPr>
          <w:rStyle w:val="30"/>
          <w:rFonts w:ascii="Times New Roman" w:hAnsi="Times New Roman" w:eastAsia="黑体"/>
          <w:b w:val="0"/>
          <w:color w:val="auto"/>
          <w:highlight w:val="none"/>
        </w:rPr>
      </w:pPr>
      <w:bookmarkStart w:id="20" w:name="_Toc15377209"/>
      <w:bookmarkStart w:id="21" w:name="_Toc15396607"/>
      <w:r>
        <w:rPr>
          <w:rFonts w:hint="eastAsia" w:ascii="Times New Roman" w:hAnsi="Times New Roman" w:eastAsia="黑体"/>
          <w:color w:val="auto"/>
          <w:sz w:val="32"/>
          <w:szCs w:val="32"/>
          <w:highlight w:val="none"/>
        </w:rPr>
        <w:t>五、</w:t>
      </w:r>
      <w:r>
        <w:rPr>
          <w:rFonts w:hint="eastAsia" w:ascii="Times New Roman" w:hAnsi="Times New Roman" w:eastAsia="黑体"/>
          <w:b/>
          <w:color w:val="auto"/>
          <w:sz w:val="32"/>
          <w:szCs w:val="32"/>
          <w:highlight w:val="none"/>
        </w:rPr>
        <w:t>一</w:t>
      </w:r>
      <w:r>
        <w:rPr>
          <w:rStyle w:val="30"/>
          <w:rFonts w:hint="eastAsia" w:ascii="Times New Roman" w:hAnsi="Times New Roman" w:eastAsia="黑体"/>
          <w:b w:val="0"/>
          <w:color w:val="auto"/>
          <w:highlight w:val="none"/>
        </w:rPr>
        <w:t>般公共预算财政拨款支出决算情况说明</w:t>
      </w:r>
      <w:bookmarkEnd w:id="20"/>
      <w:bookmarkEnd w:id="21"/>
    </w:p>
    <w:p w14:paraId="107F810B">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22" w:name="_Toc15377210"/>
      <w:r>
        <w:rPr>
          <w:rFonts w:hint="eastAsia" w:ascii="Times New Roman" w:hAnsi="Times New Roman" w:eastAsia="楷体_GB2312" w:cs="楷体_GB2312"/>
          <w:b/>
          <w:color w:val="auto"/>
          <w:sz w:val="32"/>
          <w:szCs w:val="32"/>
          <w:highlight w:val="none"/>
        </w:rPr>
        <w:t>（一）一般公共预算财政拨款支出决算总体情况</w:t>
      </w:r>
      <w:bookmarkEnd w:id="22"/>
    </w:p>
    <w:p w14:paraId="7A4839E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ascii="仿宋_GB2312" w:hAnsi="仿宋_GB2312" w:eastAsia="仿宋_GB2312" w:cs="仿宋_GB2312"/>
          <w:sz w:val="32"/>
          <w:szCs w:val="32"/>
          <w:lang w:val="en-US" w:eastAsia="zh-CN"/>
        </w:rPr>
        <w:t>749.85</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95.79</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年度相比，一般公共预算财政拨款支出减少</w:t>
      </w:r>
      <w:r>
        <w:rPr>
          <w:rFonts w:hint="eastAsia" w:eastAsia="仿宋_GB2312" w:cs="仿宋_GB2312"/>
          <w:color w:val="auto"/>
          <w:kern w:val="2"/>
          <w:sz w:val="32"/>
          <w:szCs w:val="32"/>
          <w:highlight w:val="none"/>
          <w:lang w:val="en-US" w:eastAsia="zh-CN" w:bidi="ar-SA"/>
        </w:rPr>
        <w:t>213.34</w:t>
      </w:r>
      <w:r>
        <w:rPr>
          <w:rFonts w:hint="eastAsia" w:ascii="Times New Roman" w:hAnsi="Times New Roman" w:eastAsia="仿宋_GB2312" w:cs="仿宋_GB2312"/>
          <w:color w:val="auto"/>
          <w:kern w:val="2"/>
          <w:sz w:val="32"/>
          <w:szCs w:val="32"/>
          <w:highlight w:val="none"/>
          <w:lang w:val="en-US" w:eastAsia="zh-CN" w:bidi="ar-SA"/>
        </w:rPr>
        <w:t>万元，下降</w:t>
      </w:r>
      <w:r>
        <w:rPr>
          <w:rFonts w:hint="eastAsia" w:eastAsia="仿宋_GB2312" w:cs="仿宋_GB2312"/>
          <w:color w:val="auto"/>
          <w:kern w:val="2"/>
          <w:sz w:val="32"/>
          <w:szCs w:val="32"/>
          <w:highlight w:val="none"/>
          <w:lang w:val="en-US" w:eastAsia="zh-CN" w:bidi="ar-SA"/>
        </w:rPr>
        <w:t>22.2</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eastAsia="仿宋_GB2312" w:cs="仿宋_GB2312"/>
          <w:color w:val="auto"/>
          <w:kern w:val="2"/>
          <w:sz w:val="32"/>
          <w:szCs w:val="32"/>
          <w:highlight w:val="none"/>
          <w:lang w:val="en-US" w:eastAsia="zh-CN" w:bidi="ar-SA"/>
        </w:rPr>
        <w:t>项目减少。</w:t>
      </w:r>
    </w:p>
    <w:p w14:paraId="7F54CF45">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23" w:name="_Toc15377211"/>
      <w:r>
        <w:rPr>
          <w:rFonts w:hint="eastAsia" w:ascii="Times New Roman" w:hAnsi="Times New Roman" w:eastAsia="楷体_GB2312" w:cs="楷体_GB2312"/>
          <w:b/>
          <w:color w:val="auto"/>
          <w:sz w:val="32"/>
          <w:szCs w:val="32"/>
          <w:highlight w:val="none"/>
        </w:rPr>
        <w:t>（二）一般公共预算财政拨款支出决算结构情况</w:t>
      </w:r>
      <w:bookmarkEnd w:id="23"/>
    </w:p>
    <w:p w14:paraId="58C2471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ascii="仿宋_GB2312" w:hAnsi="仿宋_GB2312" w:eastAsia="仿宋_GB2312" w:cs="仿宋_GB2312"/>
          <w:sz w:val="32"/>
          <w:szCs w:val="32"/>
          <w:lang w:val="en-US" w:eastAsia="zh-CN"/>
        </w:rPr>
        <w:t>749.85</w:t>
      </w:r>
      <w:r>
        <w:rPr>
          <w:rFonts w:hint="eastAsia" w:ascii="Times New Roman" w:hAnsi="Times New Roman" w:eastAsia="仿宋_GB2312" w:cs="仿宋_GB2312"/>
          <w:color w:val="auto"/>
          <w:kern w:val="2"/>
          <w:sz w:val="32"/>
          <w:szCs w:val="32"/>
          <w:highlight w:val="none"/>
          <w:lang w:val="en-US" w:eastAsia="zh-CN" w:bidi="ar-SA"/>
        </w:rPr>
        <w:t>万元，主要用于以下方面</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一般公共服务支出</w:t>
      </w:r>
      <w:r>
        <w:rPr>
          <w:rFonts w:hint="eastAsia" w:eastAsia="仿宋_GB2312" w:cs="仿宋_GB2312"/>
          <w:color w:val="auto"/>
          <w:kern w:val="2"/>
          <w:sz w:val="32"/>
          <w:szCs w:val="32"/>
          <w:highlight w:val="none"/>
          <w:lang w:val="en-US" w:eastAsia="zh-CN" w:bidi="ar-SA"/>
        </w:rPr>
        <w:t>368.65</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49.16</w:t>
      </w:r>
      <w:r>
        <w:rPr>
          <w:rFonts w:hint="eastAsia" w:ascii="Times New Roman" w:hAnsi="Times New Roman" w:eastAsia="仿宋_GB2312" w:cs="仿宋_GB2312"/>
          <w:color w:val="auto"/>
          <w:kern w:val="2"/>
          <w:sz w:val="32"/>
          <w:szCs w:val="32"/>
          <w:highlight w:val="none"/>
          <w:lang w:val="en-US" w:eastAsia="zh-CN" w:bidi="ar-SA"/>
        </w:rPr>
        <w:t>%；社会保障和就业支出</w:t>
      </w:r>
      <w:r>
        <w:rPr>
          <w:rFonts w:hint="eastAsia" w:eastAsia="仿宋_GB2312" w:cs="仿宋_GB2312"/>
          <w:color w:val="auto"/>
          <w:kern w:val="2"/>
          <w:sz w:val="32"/>
          <w:szCs w:val="32"/>
          <w:highlight w:val="none"/>
          <w:lang w:val="en-US" w:eastAsia="zh-CN" w:bidi="ar-SA"/>
        </w:rPr>
        <w:t>32.87</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4.38</w:t>
      </w:r>
      <w:r>
        <w:rPr>
          <w:rFonts w:hint="eastAsia" w:ascii="Times New Roman" w:hAnsi="Times New Roman" w:eastAsia="仿宋_GB2312" w:cs="仿宋_GB2312"/>
          <w:color w:val="auto"/>
          <w:kern w:val="2"/>
          <w:sz w:val="32"/>
          <w:szCs w:val="32"/>
          <w:highlight w:val="none"/>
          <w:lang w:val="en-US" w:eastAsia="zh-CN" w:bidi="ar-SA"/>
        </w:rPr>
        <w:t>%；卫生健康支出</w:t>
      </w:r>
      <w:r>
        <w:rPr>
          <w:rFonts w:hint="eastAsia" w:eastAsia="仿宋_GB2312" w:cs="仿宋_GB2312"/>
          <w:color w:val="auto"/>
          <w:kern w:val="2"/>
          <w:sz w:val="32"/>
          <w:szCs w:val="32"/>
          <w:highlight w:val="none"/>
          <w:lang w:val="en-US" w:eastAsia="zh-CN" w:bidi="ar-SA"/>
        </w:rPr>
        <w:t>9.20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1.23</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农林水支出106.93万元，占14.26%；资源勘探工业信息等支出22.48万元，占3.0%；商业服务业等支出195.77万元，占26.11%；</w:t>
      </w:r>
      <w:r>
        <w:rPr>
          <w:rFonts w:hint="eastAsia" w:ascii="Times New Roman" w:hAnsi="Times New Roman" w:eastAsia="仿宋_GB2312" w:cs="仿宋_GB2312"/>
          <w:color w:val="auto"/>
          <w:kern w:val="2"/>
          <w:sz w:val="32"/>
          <w:szCs w:val="32"/>
          <w:highlight w:val="none"/>
          <w:lang w:val="en-US" w:eastAsia="zh-CN" w:bidi="ar-SA"/>
        </w:rPr>
        <w:t>住房保障支出</w:t>
      </w:r>
      <w:r>
        <w:rPr>
          <w:rFonts w:hint="eastAsia" w:eastAsia="仿宋_GB2312" w:cs="仿宋_GB2312"/>
          <w:color w:val="auto"/>
          <w:kern w:val="2"/>
          <w:sz w:val="32"/>
          <w:szCs w:val="32"/>
          <w:highlight w:val="none"/>
          <w:lang w:val="en-US" w:eastAsia="zh-CN" w:bidi="ar-SA"/>
        </w:rPr>
        <w:t>13.96</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1.86</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（注：仅罗列本部门涉及的全部功能分类科目，至类级）</w:t>
      </w:r>
    </w:p>
    <w:p w14:paraId="65F39C76">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24" w:name="_Toc15377212"/>
      <w:r>
        <w:rPr>
          <w:rFonts w:hint="eastAsia" w:ascii="Times New Roman" w:hAnsi="Times New Roman" w:eastAsia="楷体_GB2312" w:cs="楷体_GB2312"/>
          <w:b/>
          <w:color w:val="auto"/>
          <w:sz w:val="32"/>
          <w:szCs w:val="32"/>
          <w:highlight w:val="none"/>
        </w:rPr>
        <w:t>（三）一般公共预算财政拨款支出决算具体情况</w:t>
      </w:r>
      <w:bookmarkEnd w:id="24"/>
    </w:p>
    <w:p w14:paraId="0181BD9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bookmarkStart w:id="25" w:name="_Toc15378460"/>
      <w:bookmarkStart w:id="26" w:name="_Toc15377444"/>
      <w:bookmarkStart w:id="27" w:name="_Toc15377213"/>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一般公共预算支出决算数为</w:t>
      </w:r>
      <w:r>
        <w:rPr>
          <w:rFonts w:hint="eastAsia" w:ascii="仿宋_GB2312" w:hAnsi="仿宋_GB2312" w:eastAsia="仿宋_GB2312" w:cs="仿宋_GB2312"/>
          <w:sz w:val="32"/>
          <w:szCs w:val="32"/>
        </w:rPr>
        <w:t>749.85</w:t>
      </w:r>
      <w:r>
        <w:rPr>
          <w:rFonts w:hint="eastAsia" w:ascii="Times New Roman" w:hAnsi="Times New Roman" w:eastAsia="仿宋_GB2312" w:cs="仿宋_GB2312"/>
          <w:color w:val="auto"/>
          <w:kern w:val="2"/>
          <w:sz w:val="32"/>
          <w:szCs w:val="32"/>
          <w:highlight w:val="none"/>
          <w:lang w:val="en-US" w:eastAsia="zh-CN" w:bidi="ar-SA"/>
        </w:rPr>
        <w:t>，完成预算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%。其中：</w:t>
      </w:r>
      <w:bookmarkEnd w:id="25"/>
      <w:bookmarkEnd w:id="26"/>
      <w:bookmarkEnd w:id="27"/>
    </w:p>
    <w:p w14:paraId="08C32F9D">
      <w:pPr>
        <w:spacing w:line="600" w:lineRule="exact"/>
        <w:ind w:firstLine="640" w:firstLineChars="200"/>
        <w:rPr>
          <w:rFonts w:hint="eastAsia" w:ascii="仿宋" w:hAnsi="仿宋" w:eastAsia="仿宋" w:cs="仿宋"/>
          <w:b w:val="0"/>
          <w:bCs w:val="0"/>
          <w:color w:val="auto"/>
          <w:sz w:val="32"/>
          <w:szCs w:val="32"/>
          <w:highlight w:val="none"/>
        </w:rPr>
      </w:pPr>
      <w:r>
        <w:rPr>
          <w:rStyle w:val="19"/>
          <w:rFonts w:hint="eastAsia" w:ascii="仿宋" w:hAnsi="仿宋" w:eastAsia="仿宋" w:cs="仿宋"/>
          <w:b w:val="0"/>
          <w:bCs w:val="0"/>
          <w:color w:val="auto"/>
          <w:sz w:val="32"/>
          <w:szCs w:val="32"/>
          <w:highlight w:val="none"/>
        </w:rPr>
        <w:t>1.一般公共服务（</w:t>
      </w:r>
      <w:r>
        <w:rPr>
          <w:rStyle w:val="19"/>
          <w:rFonts w:hint="eastAsia" w:ascii="仿宋" w:hAnsi="仿宋" w:eastAsia="仿宋" w:cs="仿宋"/>
          <w:b w:val="0"/>
          <w:bCs w:val="0"/>
          <w:color w:val="auto"/>
          <w:sz w:val="32"/>
          <w:szCs w:val="32"/>
          <w:highlight w:val="none"/>
          <w:lang w:val="en-US" w:eastAsia="zh-CN"/>
        </w:rPr>
        <w:t>201</w:t>
      </w:r>
      <w:r>
        <w:rPr>
          <w:rStyle w:val="19"/>
          <w:rFonts w:hint="eastAsia" w:ascii="仿宋" w:hAnsi="仿宋" w:eastAsia="仿宋" w:cs="仿宋"/>
          <w:b w:val="0"/>
          <w:bCs w:val="0"/>
          <w:color w:val="auto"/>
          <w:sz w:val="32"/>
          <w:szCs w:val="32"/>
          <w:highlight w:val="none"/>
        </w:rPr>
        <w:t>）</w:t>
      </w:r>
      <w:r>
        <w:rPr>
          <w:rStyle w:val="19"/>
          <w:rFonts w:hint="eastAsia" w:ascii="仿宋" w:hAnsi="仿宋" w:eastAsia="仿宋" w:cs="仿宋"/>
          <w:b w:val="0"/>
          <w:bCs w:val="0"/>
          <w:color w:val="auto"/>
          <w:sz w:val="32"/>
          <w:szCs w:val="32"/>
          <w:highlight w:val="none"/>
          <w:lang w:val="en-US" w:eastAsia="zh-CN"/>
        </w:rPr>
        <w:t>商贸事务</w:t>
      </w:r>
      <w:r>
        <w:rPr>
          <w:rStyle w:val="19"/>
          <w:rFonts w:hint="eastAsia" w:ascii="仿宋" w:hAnsi="仿宋" w:eastAsia="仿宋" w:cs="仿宋"/>
          <w:b w:val="0"/>
          <w:bCs w:val="0"/>
          <w:color w:val="auto"/>
          <w:sz w:val="32"/>
          <w:szCs w:val="32"/>
          <w:highlight w:val="none"/>
        </w:rPr>
        <w:t>（</w:t>
      </w:r>
      <w:r>
        <w:rPr>
          <w:rStyle w:val="19"/>
          <w:rFonts w:hint="eastAsia" w:ascii="仿宋" w:hAnsi="仿宋" w:eastAsia="仿宋" w:cs="仿宋"/>
          <w:b w:val="0"/>
          <w:bCs w:val="0"/>
          <w:color w:val="auto"/>
          <w:sz w:val="32"/>
          <w:szCs w:val="32"/>
          <w:highlight w:val="none"/>
          <w:lang w:val="en-US" w:eastAsia="zh-CN"/>
        </w:rPr>
        <w:t>20113</w:t>
      </w:r>
      <w:r>
        <w:rPr>
          <w:rStyle w:val="19"/>
          <w:rFonts w:hint="eastAsia" w:ascii="仿宋" w:hAnsi="仿宋" w:eastAsia="仿宋" w:cs="仿宋"/>
          <w:b w:val="0"/>
          <w:bCs w:val="0"/>
          <w:color w:val="auto"/>
          <w:sz w:val="32"/>
          <w:szCs w:val="32"/>
          <w:highlight w:val="none"/>
        </w:rPr>
        <w:t>）</w:t>
      </w:r>
      <w:r>
        <w:rPr>
          <w:rStyle w:val="19"/>
          <w:rFonts w:hint="eastAsia" w:ascii="仿宋" w:hAnsi="仿宋" w:eastAsia="仿宋" w:cs="仿宋"/>
          <w:b w:val="0"/>
          <w:bCs w:val="0"/>
          <w:color w:val="auto"/>
          <w:sz w:val="32"/>
          <w:szCs w:val="32"/>
          <w:highlight w:val="none"/>
          <w:lang w:val="en-US" w:eastAsia="zh-CN"/>
        </w:rPr>
        <w:t>行政运行</w:t>
      </w:r>
      <w:r>
        <w:rPr>
          <w:rStyle w:val="19"/>
          <w:rFonts w:hint="eastAsia" w:ascii="仿宋" w:hAnsi="仿宋" w:eastAsia="仿宋" w:cs="仿宋"/>
          <w:b w:val="0"/>
          <w:bCs w:val="0"/>
          <w:color w:val="auto"/>
          <w:sz w:val="32"/>
          <w:szCs w:val="32"/>
          <w:highlight w:val="none"/>
        </w:rPr>
        <w:t>（</w:t>
      </w:r>
      <w:r>
        <w:rPr>
          <w:rStyle w:val="19"/>
          <w:rFonts w:hint="eastAsia" w:ascii="仿宋" w:hAnsi="仿宋" w:eastAsia="仿宋" w:cs="仿宋"/>
          <w:b w:val="0"/>
          <w:bCs w:val="0"/>
          <w:color w:val="auto"/>
          <w:sz w:val="32"/>
          <w:szCs w:val="32"/>
          <w:highlight w:val="none"/>
          <w:lang w:val="en-US" w:eastAsia="zh-CN"/>
        </w:rPr>
        <w:t>2011301</w:t>
      </w:r>
      <w:r>
        <w:rPr>
          <w:rStyle w:val="19"/>
          <w:rFonts w:hint="eastAsia" w:ascii="仿宋" w:hAnsi="仿宋" w:eastAsia="仿宋" w:cs="仿宋"/>
          <w:b w:val="0"/>
          <w:bCs w:val="0"/>
          <w:color w:val="auto"/>
          <w:sz w:val="32"/>
          <w:szCs w:val="32"/>
          <w:highlight w:val="none"/>
        </w:rPr>
        <w:t>）</w:t>
      </w:r>
      <w:r>
        <w:rPr>
          <w:rStyle w:val="19"/>
          <w:rFonts w:hint="eastAsia" w:ascii="仿宋" w:hAnsi="仿宋" w:eastAsia="仿宋" w:cs="仿宋"/>
          <w:b w:val="0"/>
          <w:bCs w:val="0"/>
          <w:color w:val="auto"/>
          <w:sz w:val="32"/>
          <w:szCs w:val="32"/>
          <w:highlight w:val="none"/>
          <w:lang w:eastAsia="zh-CN"/>
        </w:rPr>
        <w:t>：</w:t>
      </w:r>
      <w:r>
        <w:rPr>
          <w:rStyle w:val="19"/>
          <w:rFonts w:hint="eastAsia" w:ascii="仿宋" w:hAnsi="仿宋" w:eastAsia="仿宋" w:cs="仿宋"/>
          <w:b w:val="0"/>
          <w:bCs w:val="0"/>
          <w:color w:val="auto"/>
          <w:sz w:val="32"/>
          <w:szCs w:val="32"/>
          <w:highlight w:val="none"/>
        </w:rPr>
        <w:t xml:space="preserve"> 支出决算为</w:t>
      </w:r>
      <w:r>
        <w:rPr>
          <w:rStyle w:val="19"/>
          <w:rFonts w:hint="eastAsia" w:ascii="仿宋" w:hAnsi="仿宋" w:eastAsia="仿宋" w:cs="仿宋"/>
          <w:b w:val="0"/>
          <w:bCs w:val="0"/>
          <w:color w:val="auto"/>
          <w:sz w:val="32"/>
          <w:szCs w:val="32"/>
          <w:highlight w:val="none"/>
          <w:lang w:val="en-US" w:eastAsia="zh-CN"/>
        </w:rPr>
        <w:t>154.45</w:t>
      </w:r>
      <w:r>
        <w:rPr>
          <w:rStyle w:val="19"/>
          <w:rFonts w:hint="eastAsia" w:ascii="仿宋" w:hAnsi="仿宋" w:eastAsia="仿宋" w:cs="仿宋"/>
          <w:b w:val="0"/>
          <w:bCs w:val="0"/>
          <w:color w:val="auto"/>
          <w:sz w:val="32"/>
          <w:szCs w:val="32"/>
          <w:highlight w:val="none"/>
        </w:rPr>
        <w:t>万元，完成预算</w:t>
      </w:r>
      <w:r>
        <w:rPr>
          <w:rStyle w:val="19"/>
          <w:rFonts w:hint="eastAsia" w:ascii="仿宋" w:hAnsi="仿宋" w:eastAsia="仿宋" w:cs="仿宋"/>
          <w:b w:val="0"/>
          <w:bCs w:val="0"/>
          <w:color w:val="auto"/>
          <w:sz w:val="32"/>
          <w:szCs w:val="32"/>
          <w:highlight w:val="none"/>
          <w:lang w:val="en-US" w:eastAsia="zh-CN"/>
        </w:rPr>
        <w:t>100</w:t>
      </w:r>
      <w:r>
        <w:rPr>
          <w:rStyle w:val="19"/>
          <w:rFonts w:hint="eastAsia" w:ascii="仿宋" w:hAnsi="仿宋" w:eastAsia="仿宋" w:cs="仿宋"/>
          <w:b w:val="0"/>
          <w:bCs w:val="0"/>
          <w:color w:val="auto"/>
          <w:sz w:val="32"/>
          <w:szCs w:val="32"/>
          <w:highlight w:val="none"/>
        </w:rPr>
        <w:t>%。</w:t>
      </w:r>
    </w:p>
    <w:p w14:paraId="6EEF4BEE">
      <w:pPr>
        <w:spacing w:line="600" w:lineRule="exact"/>
        <w:ind w:firstLine="640" w:firstLineChars="200"/>
        <w:rPr>
          <w:rStyle w:val="19"/>
          <w:rFonts w:hint="eastAsia" w:ascii="仿宋" w:hAnsi="仿宋" w:eastAsia="仿宋" w:cs="仿宋"/>
          <w:b w:val="0"/>
          <w:bCs w:val="0"/>
          <w:color w:val="auto"/>
          <w:sz w:val="32"/>
          <w:szCs w:val="32"/>
          <w:highlight w:val="none"/>
        </w:rPr>
      </w:pPr>
      <w:r>
        <w:rPr>
          <w:rStyle w:val="19"/>
          <w:rFonts w:hint="eastAsia" w:ascii="仿宋" w:hAnsi="仿宋" w:eastAsia="仿宋" w:cs="仿宋"/>
          <w:b w:val="0"/>
          <w:bCs w:val="0"/>
          <w:color w:val="auto"/>
          <w:sz w:val="32"/>
          <w:szCs w:val="32"/>
          <w:highlight w:val="none"/>
        </w:rPr>
        <w:t>2.一般公共服务（</w:t>
      </w:r>
      <w:r>
        <w:rPr>
          <w:rStyle w:val="19"/>
          <w:rFonts w:hint="eastAsia" w:ascii="仿宋" w:hAnsi="仿宋" w:eastAsia="仿宋" w:cs="仿宋"/>
          <w:b w:val="0"/>
          <w:bCs w:val="0"/>
          <w:color w:val="auto"/>
          <w:sz w:val="32"/>
          <w:szCs w:val="32"/>
          <w:highlight w:val="none"/>
          <w:lang w:val="en-US" w:eastAsia="zh-CN"/>
        </w:rPr>
        <w:t>201</w:t>
      </w:r>
      <w:r>
        <w:rPr>
          <w:rStyle w:val="19"/>
          <w:rFonts w:hint="eastAsia" w:ascii="仿宋" w:hAnsi="仿宋" w:eastAsia="仿宋" w:cs="仿宋"/>
          <w:b w:val="0"/>
          <w:bCs w:val="0"/>
          <w:color w:val="auto"/>
          <w:sz w:val="32"/>
          <w:szCs w:val="32"/>
          <w:highlight w:val="none"/>
        </w:rPr>
        <w:t>）</w:t>
      </w:r>
      <w:r>
        <w:rPr>
          <w:rStyle w:val="19"/>
          <w:rFonts w:hint="eastAsia" w:ascii="仿宋" w:hAnsi="仿宋" w:eastAsia="仿宋" w:cs="仿宋"/>
          <w:b w:val="0"/>
          <w:bCs w:val="0"/>
          <w:color w:val="auto"/>
          <w:sz w:val="32"/>
          <w:szCs w:val="32"/>
          <w:highlight w:val="none"/>
          <w:lang w:val="en-US" w:eastAsia="zh-CN"/>
        </w:rPr>
        <w:t>商贸事务</w:t>
      </w:r>
      <w:r>
        <w:rPr>
          <w:rStyle w:val="19"/>
          <w:rFonts w:hint="eastAsia" w:ascii="仿宋" w:hAnsi="仿宋" w:eastAsia="仿宋" w:cs="仿宋"/>
          <w:b w:val="0"/>
          <w:bCs w:val="0"/>
          <w:color w:val="auto"/>
          <w:sz w:val="32"/>
          <w:szCs w:val="32"/>
          <w:highlight w:val="none"/>
        </w:rPr>
        <w:t>（</w:t>
      </w:r>
      <w:r>
        <w:rPr>
          <w:rStyle w:val="19"/>
          <w:rFonts w:hint="eastAsia" w:ascii="仿宋" w:hAnsi="仿宋" w:eastAsia="仿宋" w:cs="仿宋"/>
          <w:b w:val="0"/>
          <w:bCs w:val="0"/>
          <w:color w:val="auto"/>
          <w:sz w:val="32"/>
          <w:szCs w:val="32"/>
          <w:highlight w:val="none"/>
          <w:lang w:val="en-US" w:eastAsia="zh-CN"/>
        </w:rPr>
        <w:t>20113</w:t>
      </w:r>
      <w:r>
        <w:rPr>
          <w:rStyle w:val="19"/>
          <w:rFonts w:hint="eastAsia" w:ascii="仿宋" w:hAnsi="仿宋" w:eastAsia="仿宋" w:cs="仿宋"/>
          <w:b w:val="0"/>
          <w:bCs w:val="0"/>
          <w:color w:val="auto"/>
          <w:sz w:val="32"/>
          <w:szCs w:val="32"/>
          <w:highlight w:val="none"/>
        </w:rPr>
        <w:t>）</w:t>
      </w:r>
      <w:r>
        <w:rPr>
          <w:rStyle w:val="19"/>
          <w:rFonts w:hint="eastAsia" w:ascii="仿宋" w:hAnsi="仿宋" w:eastAsia="仿宋" w:cs="仿宋"/>
          <w:b w:val="0"/>
          <w:bCs w:val="0"/>
          <w:color w:val="auto"/>
          <w:sz w:val="32"/>
          <w:szCs w:val="32"/>
          <w:highlight w:val="none"/>
          <w:lang w:val="en-US" w:eastAsia="zh-CN"/>
        </w:rPr>
        <w:t>招商引资</w:t>
      </w:r>
      <w:r>
        <w:rPr>
          <w:rStyle w:val="19"/>
          <w:rFonts w:hint="eastAsia" w:ascii="仿宋" w:hAnsi="仿宋" w:eastAsia="仿宋" w:cs="仿宋"/>
          <w:b w:val="0"/>
          <w:bCs w:val="0"/>
          <w:color w:val="auto"/>
          <w:sz w:val="32"/>
          <w:szCs w:val="32"/>
          <w:highlight w:val="none"/>
        </w:rPr>
        <w:t>（</w:t>
      </w:r>
      <w:r>
        <w:rPr>
          <w:rStyle w:val="19"/>
          <w:rFonts w:hint="eastAsia" w:ascii="仿宋" w:hAnsi="仿宋" w:eastAsia="仿宋" w:cs="仿宋"/>
          <w:b w:val="0"/>
          <w:bCs w:val="0"/>
          <w:color w:val="auto"/>
          <w:sz w:val="32"/>
          <w:szCs w:val="32"/>
          <w:highlight w:val="none"/>
          <w:lang w:val="en-US" w:eastAsia="zh-CN"/>
        </w:rPr>
        <w:t>2011308</w:t>
      </w:r>
      <w:r>
        <w:rPr>
          <w:rStyle w:val="19"/>
          <w:rFonts w:hint="eastAsia" w:ascii="仿宋" w:hAnsi="仿宋" w:eastAsia="仿宋" w:cs="仿宋"/>
          <w:b w:val="0"/>
          <w:bCs w:val="0"/>
          <w:color w:val="auto"/>
          <w:sz w:val="32"/>
          <w:szCs w:val="32"/>
          <w:highlight w:val="none"/>
        </w:rPr>
        <w:t>）</w:t>
      </w:r>
      <w:r>
        <w:rPr>
          <w:rStyle w:val="19"/>
          <w:rFonts w:hint="eastAsia" w:ascii="仿宋" w:hAnsi="仿宋" w:eastAsia="仿宋" w:cs="仿宋"/>
          <w:b w:val="0"/>
          <w:bCs w:val="0"/>
          <w:color w:val="auto"/>
          <w:sz w:val="32"/>
          <w:szCs w:val="32"/>
          <w:highlight w:val="none"/>
          <w:lang w:eastAsia="zh-CN"/>
        </w:rPr>
        <w:t>：</w:t>
      </w:r>
      <w:r>
        <w:rPr>
          <w:rStyle w:val="19"/>
          <w:rFonts w:hint="eastAsia" w:ascii="仿宋" w:hAnsi="仿宋" w:eastAsia="仿宋" w:cs="仿宋"/>
          <w:b w:val="0"/>
          <w:bCs w:val="0"/>
          <w:color w:val="auto"/>
          <w:sz w:val="32"/>
          <w:szCs w:val="32"/>
          <w:highlight w:val="none"/>
        </w:rPr>
        <w:t xml:space="preserve"> 支出决算为</w:t>
      </w:r>
      <w:r>
        <w:rPr>
          <w:rStyle w:val="19"/>
          <w:rFonts w:hint="eastAsia" w:ascii="仿宋" w:hAnsi="仿宋" w:eastAsia="仿宋" w:cs="仿宋"/>
          <w:b w:val="0"/>
          <w:bCs w:val="0"/>
          <w:color w:val="auto"/>
          <w:sz w:val="32"/>
          <w:szCs w:val="32"/>
          <w:highlight w:val="none"/>
          <w:lang w:val="en-US" w:eastAsia="zh-CN"/>
        </w:rPr>
        <w:t>29.2</w:t>
      </w:r>
      <w:r>
        <w:rPr>
          <w:rStyle w:val="19"/>
          <w:rFonts w:hint="eastAsia" w:ascii="仿宋" w:hAnsi="仿宋" w:eastAsia="仿宋" w:cs="仿宋"/>
          <w:b w:val="0"/>
          <w:bCs w:val="0"/>
          <w:color w:val="auto"/>
          <w:sz w:val="32"/>
          <w:szCs w:val="32"/>
          <w:highlight w:val="none"/>
        </w:rPr>
        <w:t>万元，完成预算</w:t>
      </w:r>
      <w:r>
        <w:rPr>
          <w:rStyle w:val="19"/>
          <w:rFonts w:hint="eastAsia" w:ascii="仿宋" w:hAnsi="仿宋" w:eastAsia="仿宋" w:cs="仿宋"/>
          <w:b w:val="0"/>
          <w:bCs w:val="0"/>
          <w:color w:val="auto"/>
          <w:sz w:val="32"/>
          <w:szCs w:val="32"/>
          <w:highlight w:val="none"/>
          <w:lang w:val="en-US" w:eastAsia="zh-CN"/>
        </w:rPr>
        <w:t>100</w:t>
      </w:r>
      <w:r>
        <w:rPr>
          <w:rStyle w:val="19"/>
          <w:rFonts w:hint="eastAsia" w:ascii="仿宋" w:hAnsi="仿宋" w:eastAsia="仿宋" w:cs="仿宋"/>
          <w:b w:val="0"/>
          <w:bCs w:val="0"/>
          <w:color w:val="auto"/>
          <w:sz w:val="32"/>
          <w:szCs w:val="32"/>
          <w:highlight w:val="none"/>
        </w:rPr>
        <w:t>%。</w:t>
      </w:r>
    </w:p>
    <w:p w14:paraId="321CB615">
      <w:pPr>
        <w:pStyle w:val="9"/>
        <w:keepNext w:val="0"/>
        <w:keepLines w:val="0"/>
        <w:widowControl/>
        <w:numPr>
          <w:ilvl w:val="0"/>
          <w:numId w:val="0"/>
        </w:numPr>
        <w:suppressLineNumbers w:val="0"/>
        <w:tabs>
          <w:tab w:val="left" w:pos="0"/>
        </w:tabs>
        <w:ind w:firstLine="640" w:firstLineChars="200"/>
        <w:rPr>
          <w:rStyle w:val="19"/>
          <w:rFonts w:hint="eastAsia" w:ascii="仿宋" w:hAnsi="仿宋" w:eastAsia="仿宋" w:cs="仿宋"/>
          <w:b w:val="0"/>
          <w:bCs w:val="0"/>
          <w:color w:val="auto"/>
          <w:sz w:val="32"/>
          <w:szCs w:val="32"/>
          <w:highlight w:val="none"/>
        </w:rPr>
      </w:pPr>
      <w:r>
        <w:rPr>
          <w:rStyle w:val="19"/>
          <w:rFonts w:hint="eastAsia" w:ascii="仿宋" w:hAnsi="仿宋" w:eastAsia="仿宋" w:cs="仿宋"/>
          <w:b w:val="0"/>
          <w:bCs w:val="0"/>
          <w:color w:val="auto"/>
          <w:sz w:val="32"/>
          <w:szCs w:val="32"/>
          <w:highlight w:val="none"/>
          <w:lang w:val="en-US" w:eastAsia="zh-CN"/>
        </w:rPr>
        <w:t>3.</w:t>
      </w:r>
      <w:r>
        <w:rPr>
          <w:rStyle w:val="19"/>
          <w:rFonts w:hint="eastAsia" w:ascii="仿宋" w:hAnsi="仿宋" w:eastAsia="仿宋" w:cs="仿宋"/>
          <w:b w:val="0"/>
          <w:bCs w:val="0"/>
          <w:color w:val="auto"/>
          <w:sz w:val="32"/>
          <w:szCs w:val="32"/>
          <w:highlight w:val="none"/>
        </w:rPr>
        <w:t>一般公共服务（</w:t>
      </w:r>
      <w:r>
        <w:rPr>
          <w:rStyle w:val="19"/>
          <w:rFonts w:hint="eastAsia" w:ascii="仿宋" w:hAnsi="仿宋" w:eastAsia="仿宋" w:cs="仿宋"/>
          <w:b w:val="0"/>
          <w:bCs w:val="0"/>
          <w:color w:val="auto"/>
          <w:sz w:val="32"/>
          <w:szCs w:val="32"/>
          <w:highlight w:val="none"/>
          <w:lang w:val="en-US" w:eastAsia="zh-CN"/>
        </w:rPr>
        <w:t>201</w:t>
      </w:r>
      <w:r>
        <w:rPr>
          <w:rStyle w:val="19"/>
          <w:rFonts w:hint="eastAsia" w:ascii="仿宋" w:hAnsi="仿宋" w:eastAsia="仿宋" w:cs="仿宋"/>
          <w:b w:val="0"/>
          <w:bCs w:val="0"/>
          <w:color w:val="auto"/>
          <w:sz w:val="32"/>
          <w:szCs w:val="32"/>
          <w:highlight w:val="none"/>
        </w:rPr>
        <w:t>）</w:t>
      </w:r>
      <w:r>
        <w:rPr>
          <w:rStyle w:val="19"/>
          <w:rFonts w:hint="eastAsia" w:ascii="仿宋" w:hAnsi="仿宋" w:eastAsia="仿宋" w:cs="仿宋"/>
          <w:b w:val="0"/>
          <w:bCs w:val="0"/>
          <w:color w:val="auto"/>
          <w:sz w:val="32"/>
          <w:szCs w:val="32"/>
          <w:highlight w:val="none"/>
          <w:lang w:val="en-US" w:eastAsia="zh-CN"/>
        </w:rPr>
        <w:t>商贸事务</w:t>
      </w:r>
      <w:r>
        <w:rPr>
          <w:rStyle w:val="19"/>
          <w:rFonts w:hint="eastAsia" w:ascii="仿宋" w:hAnsi="仿宋" w:eastAsia="仿宋" w:cs="仿宋"/>
          <w:b w:val="0"/>
          <w:bCs w:val="0"/>
          <w:color w:val="auto"/>
          <w:sz w:val="32"/>
          <w:szCs w:val="32"/>
          <w:highlight w:val="none"/>
        </w:rPr>
        <w:t>（</w:t>
      </w:r>
      <w:r>
        <w:rPr>
          <w:rStyle w:val="19"/>
          <w:rFonts w:hint="eastAsia" w:ascii="仿宋" w:hAnsi="仿宋" w:eastAsia="仿宋" w:cs="仿宋"/>
          <w:b w:val="0"/>
          <w:bCs w:val="0"/>
          <w:color w:val="auto"/>
          <w:sz w:val="32"/>
          <w:szCs w:val="32"/>
          <w:highlight w:val="none"/>
          <w:lang w:val="en-US" w:eastAsia="zh-CN"/>
        </w:rPr>
        <w:t>20113</w:t>
      </w:r>
      <w:r>
        <w:rPr>
          <w:rStyle w:val="19"/>
          <w:rFonts w:hint="eastAsia" w:ascii="仿宋" w:hAnsi="仿宋" w:eastAsia="仿宋" w:cs="仿宋"/>
          <w:b w:val="0"/>
          <w:bCs w:val="0"/>
          <w:color w:val="auto"/>
          <w:sz w:val="32"/>
          <w:szCs w:val="32"/>
          <w:highlight w:val="none"/>
        </w:rPr>
        <w:t>）</w:t>
      </w:r>
      <w:r>
        <w:rPr>
          <w:rStyle w:val="19"/>
          <w:rFonts w:hint="eastAsia" w:ascii="仿宋" w:hAnsi="仿宋" w:eastAsia="仿宋" w:cs="仿宋"/>
          <w:b w:val="0"/>
          <w:bCs w:val="0"/>
          <w:color w:val="auto"/>
          <w:sz w:val="32"/>
          <w:szCs w:val="32"/>
          <w:highlight w:val="none"/>
          <w:lang w:val="en-US" w:eastAsia="zh-CN"/>
        </w:rPr>
        <w:t>其他商贸事务支出</w:t>
      </w:r>
      <w:r>
        <w:rPr>
          <w:rStyle w:val="19"/>
          <w:rFonts w:hint="eastAsia" w:ascii="仿宋" w:hAnsi="仿宋" w:eastAsia="仿宋" w:cs="仿宋"/>
          <w:b w:val="0"/>
          <w:bCs w:val="0"/>
          <w:color w:val="auto"/>
          <w:sz w:val="32"/>
          <w:szCs w:val="32"/>
          <w:highlight w:val="none"/>
        </w:rPr>
        <w:t>（</w:t>
      </w:r>
      <w:r>
        <w:rPr>
          <w:rStyle w:val="19"/>
          <w:rFonts w:hint="eastAsia" w:ascii="仿宋" w:hAnsi="仿宋" w:eastAsia="仿宋" w:cs="仿宋"/>
          <w:b w:val="0"/>
          <w:bCs w:val="0"/>
          <w:color w:val="auto"/>
          <w:sz w:val="32"/>
          <w:szCs w:val="32"/>
          <w:highlight w:val="none"/>
          <w:lang w:val="en-US" w:eastAsia="zh-CN"/>
        </w:rPr>
        <w:t>2011399</w:t>
      </w:r>
      <w:r>
        <w:rPr>
          <w:rStyle w:val="19"/>
          <w:rFonts w:hint="eastAsia" w:ascii="仿宋" w:hAnsi="仿宋" w:eastAsia="仿宋" w:cs="仿宋"/>
          <w:b w:val="0"/>
          <w:bCs w:val="0"/>
          <w:color w:val="auto"/>
          <w:sz w:val="32"/>
          <w:szCs w:val="32"/>
          <w:highlight w:val="none"/>
        </w:rPr>
        <w:t>）</w:t>
      </w:r>
      <w:r>
        <w:rPr>
          <w:rStyle w:val="19"/>
          <w:rFonts w:hint="eastAsia" w:ascii="仿宋" w:hAnsi="仿宋" w:eastAsia="仿宋" w:cs="仿宋"/>
          <w:b w:val="0"/>
          <w:bCs w:val="0"/>
          <w:color w:val="auto"/>
          <w:sz w:val="32"/>
          <w:szCs w:val="32"/>
          <w:highlight w:val="none"/>
          <w:lang w:eastAsia="zh-CN"/>
        </w:rPr>
        <w:t>：</w:t>
      </w:r>
      <w:r>
        <w:rPr>
          <w:rStyle w:val="19"/>
          <w:rFonts w:hint="eastAsia" w:ascii="仿宋" w:hAnsi="仿宋" w:eastAsia="仿宋" w:cs="仿宋"/>
          <w:b w:val="0"/>
          <w:bCs w:val="0"/>
          <w:color w:val="auto"/>
          <w:sz w:val="32"/>
          <w:szCs w:val="32"/>
          <w:highlight w:val="none"/>
        </w:rPr>
        <w:t xml:space="preserve"> 支出决算为</w:t>
      </w:r>
      <w:r>
        <w:rPr>
          <w:rStyle w:val="19"/>
          <w:rFonts w:hint="eastAsia" w:ascii="仿宋" w:hAnsi="仿宋" w:eastAsia="仿宋" w:cs="仿宋"/>
          <w:b w:val="0"/>
          <w:bCs w:val="0"/>
          <w:color w:val="auto"/>
          <w:sz w:val="32"/>
          <w:szCs w:val="32"/>
          <w:highlight w:val="none"/>
          <w:lang w:val="en-US" w:eastAsia="zh-CN"/>
        </w:rPr>
        <w:t>185</w:t>
      </w:r>
      <w:r>
        <w:rPr>
          <w:rStyle w:val="19"/>
          <w:rFonts w:hint="eastAsia" w:ascii="仿宋" w:hAnsi="仿宋" w:eastAsia="仿宋" w:cs="仿宋"/>
          <w:b w:val="0"/>
          <w:bCs w:val="0"/>
          <w:color w:val="auto"/>
          <w:sz w:val="32"/>
          <w:szCs w:val="32"/>
          <w:highlight w:val="none"/>
        </w:rPr>
        <w:t>万元，完成预算</w:t>
      </w:r>
      <w:r>
        <w:rPr>
          <w:rStyle w:val="19"/>
          <w:rFonts w:hint="eastAsia" w:ascii="仿宋" w:hAnsi="仿宋" w:eastAsia="仿宋" w:cs="仿宋"/>
          <w:b w:val="0"/>
          <w:bCs w:val="0"/>
          <w:color w:val="auto"/>
          <w:sz w:val="32"/>
          <w:szCs w:val="32"/>
          <w:highlight w:val="none"/>
          <w:lang w:val="en-US" w:eastAsia="zh-CN"/>
        </w:rPr>
        <w:t>100</w:t>
      </w:r>
      <w:r>
        <w:rPr>
          <w:rStyle w:val="19"/>
          <w:rFonts w:hint="eastAsia" w:ascii="仿宋" w:hAnsi="仿宋" w:eastAsia="仿宋" w:cs="仿宋"/>
          <w:b w:val="0"/>
          <w:bCs w:val="0"/>
          <w:color w:val="auto"/>
          <w:sz w:val="32"/>
          <w:szCs w:val="32"/>
          <w:highlight w:val="none"/>
        </w:rPr>
        <w:t>%。</w:t>
      </w:r>
    </w:p>
    <w:p w14:paraId="25B66192">
      <w:pPr>
        <w:pStyle w:val="9"/>
        <w:keepNext w:val="0"/>
        <w:keepLines w:val="0"/>
        <w:widowControl/>
        <w:numPr>
          <w:ilvl w:val="0"/>
          <w:numId w:val="0"/>
        </w:numPr>
        <w:suppressLineNumbers w:val="0"/>
        <w:tabs>
          <w:tab w:val="left" w:pos="0"/>
        </w:tabs>
        <w:ind w:firstLine="640" w:firstLineChars="200"/>
        <w:rPr>
          <w:rFonts w:hint="eastAsia" w:ascii="仿宋" w:hAnsi="仿宋" w:eastAsia="仿宋" w:cs="仿宋"/>
          <w:b w:val="0"/>
          <w:bCs w:val="0"/>
          <w:kern w:val="0"/>
          <w:sz w:val="32"/>
          <w:szCs w:val="32"/>
        </w:rPr>
      </w:pPr>
      <w:r>
        <w:rPr>
          <w:rFonts w:hint="eastAsia" w:ascii="仿宋" w:hAnsi="仿宋" w:eastAsia="仿宋" w:cs="仿宋"/>
          <w:b w:val="0"/>
          <w:bCs w:val="0"/>
          <w:kern w:val="0"/>
          <w:sz w:val="32"/>
          <w:szCs w:val="32"/>
          <w:lang w:val="en-US" w:eastAsia="zh-CN"/>
        </w:rPr>
        <w:t>4.</w:t>
      </w:r>
      <w:r>
        <w:rPr>
          <w:rFonts w:hint="eastAsia" w:ascii="仿宋" w:hAnsi="仿宋" w:eastAsia="仿宋" w:cs="仿宋"/>
          <w:b w:val="0"/>
          <w:bCs w:val="0"/>
          <w:kern w:val="0"/>
          <w:sz w:val="32"/>
          <w:szCs w:val="32"/>
        </w:rPr>
        <w:t>社会保障和就业支出（208）行政事业单位养老支出（20805）机关事业单位基本养老保险缴费支出（2080505）</w:t>
      </w:r>
      <w:r>
        <w:rPr>
          <w:rFonts w:hint="eastAsia" w:ascii="仿宋" w:hAnsi="仿宋" w:eastAsia="仿宋" w:cs="仿宋"/>
          <w:b w:val="0"/>
          <w:bCs w:val="0"/>
          <w:kern w:val="0"/>
          <w:sz w:val="32"/>
          <w:szCs w:val="32"/>
          <w:lang w:eastAsia="zh-CN"/>
        </w:rPr>
        <w:t>：</w:t>
      </w:r>
      <w:r>
        <w:rPr>
          <w:rFonts w:hint="eastAsia" w:ascii="仿宋" w:hAnsi="仿宋" w:eastAsia="仿宋" w:cs="仿宋"/>
          <w:b w:val="0"/>
          <w:bCs w:val="0"/>
          <w:kern w:val="0"/>
          <w:sz w:val="32"/>
          <w:szCs w:val="32"/>
        </w:rPr>
        <w:t>支出决算</w:t>
      </w:r>
      <w:r>
        <w:rPr>
          <w:rFonts w:hint="eastAsia" w:ascii="仿宋" w:hAnsi="仿宋" w:eastAsia="仿宋" w:cs="仿宋"/>
          <w:b w:val="0"/>
          <w:bCs w:val="0"/>
          <w:kern w:val="0"/>
          <w:sz w:val="32"/>
          <w:szCs w:val="32"/>
          <w:lang w:val="en-US" w:eastAsia="zh-CN"/>
        </w:rPr>
        <w:t>17.81</w:t>
      </w:r>
      <w:r>
        <w:rPr>
          <w:rFonts w:hint="eastAsia" w:ascii="仿宋" w:hAnsi="仿宋" w:eastAsia="仿宋" w:cs="仿宋"/>
          <w:b w:val="0"/>
          <w:bCs w:val="0"/>
          <w:kern w:val="0"/>
          <w:sz w:val="32"/>
          <w:szCs w:val="32"/>
        </w:rPr>
        <w:t>万元，完成预算100%。</w:t>
      </w:r>
    </w:p>
    <w:p w14:paraId="048DFEBC">
      <w:pPr>
        <w:pStyle w:val="9"/>
        <w:keepNext w:val="0"/>
        <w:keepLines w:val="0"/>
        <w:widowControl/>
        <w:numPr>
          <w:ilvl w:val="0"/>
          <w:numId w:val="0"/>
        </w:numPr>
        <w:suppressLineNumbers w:val="0"/>
        <w:tabs>
          <w:tab w:val="left" w:pos="0"/>
        </w:tabs>
        <w:ind w:firstLine="640" w:firstLineChars="200"/>
        <w:rPr>
          <w:rFonts w:hint="eastAsia" w:ascii="仿宋" w:hAnsi="仿宋" w:eastAsia="仿宋" w:cs="仿宋"/>
          <w:b w:val="0"/>
          <w:bCs w:val="0"/>
          <w:kern w:val="0"/>
          <w:sz w:val="32"/>
          <w:szCs w:val="32"/>
        </w:rPr>
      </w:pPr>
      <w:r>
        <w:rPr>
          <w:rFonts w:hint="eastAsia" w:ascii="仿宋" w:hAnsi="仿宋" w:eastAsia="仿宋" w:cs="仿宋"/>
          <w:b w:val="0"/>
          <w:bCs w:val="0"/>
          <w:kern w:val="0"/>
          <w:sz w:val="32"/>
          <w:szCs w:val="32"/>
          <w:lang w:val="en-US" w:eastAsia="zh-CN"/>
        </w:rPr>
        <w:t>5.</w:t>
      </w:r>
      <w:r>
        <w:rPr>
          <w:rFonts w:hint="eastAsia" w:ascii="仿宋" w:hAnsi="仿宋" w:eastAsia="仿宋" w:cs="仿宋"/>
          <w:b w:val="0"/>
          <w:bCs w:val="0"/>
          <w:kern w:val="0"/>
          <w:sz w:val="32"/>
          <w:szCs w:val="32"/>
        </w:rPr>
        <w:t>社会保障和就业支出（208）行政事业单位养老支出（20806）机关事业单位职业年金缴费支出（2080506）</w:t>
      </w:r>
      <w:r>
        <w:rPr>
          <w:rFonts w:hint="eastAsia" w:ascii="仿宋" w:hAnsi="仿宋" w:eastAsia="仿宋" w:cs="仿宋"/>
          <w:b w:val="0"/>
          <w:bCs w:val="0"/>
          <w:kern w:val="0"/>
          <w:sz w:val="32"/>
          <w:szCs w:val="32"/>
          <w:lang w:eastAsia="zh-CN"/>
        </w:rPr>
        <w:t>：</w:t>
      </w:r>
      <w:r>
        <w:rPr>
          <w:rFonts w:hint="eastAsia" w:ascii="仿宋" w:hAnsi="仿宋" w:eastAsia="仿宋" w:cs="仿宋"/>
          <w:b w:val="0"/>
          <w:bCs w:val="0"/>
          <w:kern w:val="0"/>
          <w:sz w:val="32"/>
          <w:szCs w:val="32"/>
        </w:rPr>
        <w:t>支出决算</w:t>
      </w:r>
      <w:r>
        <w:rPr>
          <w:rFonts w:hint="eastAsia" w:ascii="仿宋" w:hAnsi="仿宋" w:eastAsia="仿宋" w:cs="仿宋"/>
          <w:b w:val="0"/>
          <w:bCs w:val="0"/>
          <w:kern w:val="0"/>
          <w:sz w:val="32"/>
          <w:szCs w:val="32"/>
          <w:lang w:val="en-US" w:eastAsia="zh-CN"/>
        </w:rPr>
        <w:t>15.05</w:t>
      </w:r>
      <w:r>
        <w:rPr>
          <w:rFonts w:hint="eastAsia" w:ascii="仿宋" w:hAnsi="仿宋" w:eastAsia="仿宋" w:cs="仿宋"/>
          <w:b w:val="0"/>
          <w:bCs w:val="0"/>
          <w:kern w:val="0"/>
          <w:sz w:val="32"/>
          <w:szCs w:val="32"/>
        </w:rPr>
        <w:t>万元，完成预算100%。</w:t>
      </w:r>
    </w:p>
    <w:p w14:paraId="0F0790AA">
      <w:pPr>
        <w:pStyle w:val="9"/>
        <w:keepNext w:val="0"/>
        <w:keepLines w:val="0"/>
        <w:widowControl/>
        <w:numPr>
          <w:ilvl w:val="0"/>
          <w:numId w:val="0"/>
        </w:numPr>
        <w:suppressLineNumbers w:val="0"/>
        <w:tabs>
          <w:tab w:val="left" w:pos="0"/>
        </w:tabs>
        <w:ind w:firstLine="640" w:firstLineChars="200"/>
        <w:rPr>
          <w:rFonts w:hint="eastAsia" w:ascii="仿宋" w:hAnsi="仿宋" w:eastAsia="仿宋" w:cs="仿宋"/>
          <w:b w:val="0"/>
          <w:bCs w:val="0"/>
          <w:kern w:val="0"/>
          <w:sz w:val="32"/>
          <w:szCs w:val="32"/>
        </w:rPr>
      </w:pPr>
      <w:r>
        <w:rPr>
          <w:rFonts w:hint="eastAsia" w:ascii="仿宋" w:hAnsi="仿宋" w:eastAsia="仿宋" w:cs="仿宋"/>
          <w:b w:val="0"/>
          <w:bCs w:val="0"/>
          <w:kern w:val="0"/>
          <w:sz w:val="32"/>
          <w:szCs w:val="32"/>
          <w:lang w:val="en-US" w:eastAsia="zh-CN"/>
        </w:rPr>
        <w:t>6.</w:t>
      </w:r>
      <w:r>
        <w:rPr>
          <w:rFonts w:hint="eastAsia" w:ascii="仿宋" w:hAnsi="仿宋" w:eastAsia="仿宋" w:cs="仿宋"/>
          <w:b w:val="0"/>
          <w:bCs w:val="0"/>
          <w:kern w:val="0"/>
          <w:sz w:val="32"/>
          <w:szCs w:val="32"/>
        </w:rPr>
        <w:t>卫生健康支出（210）行政事业单位医疗（21011）行政单位医疗（2101101）</w:t>
      </w:r>
      <w:r>
        <w:rPr>
          <w:rFonts w:hint="eastAsia" w:ascii="仿宋" w:hAnsi="仿宋" w:eastAsia="仿宋" w:cs="仿宋"/>
          <w:b w:val="0"/>
          <w:bCs w:val="0"/>
          <w:kern w:val="0"/>
          <w:sz w:val="32"/>
          <w:szCs w:val="32"/>
          <w:lang w:eastAsia="zh-CN"/>
        </w:rPr>
        <w:t>：</w:t>
      </w:r>
      <w:r>
        <w:rPr>
          <w:rFonts w:hint="eastAsia" w:ascii="仿宋" w:hAnsi="仿宋" w:eastAsia="仿宋" w:cs="仿宋"/>
          <w:b w:val="0"/>
          <w:bCs w:val="0"/>
          <w:kern w:val="0"/>
          <w:sz w:val="32"/>
          <w:szCs w:val="32"/>
        </w:rPr>
        <w:t>支出决算</w:t>
      </w:r>
      <w:r>
        <w:rPr>
          <w:rFonts w:hint="eastAsia" w:ascii="仿宋" w:hAnsi="仿宋" w:eastAsia="仿宋" w:cs="仿宋"/>
          <w:b w:val="0"/>
          <w:bCs w:val="0"/>
          <w:kern w:val="0"/>
          <w:sz w:val="32"/>
          <w:szCs w:val="32"/>
          <w:lang w:val="en-US" w:eastAsia="zh-CN"/>
        </w:rPr>
        <w:t>7.70</w:t>
      </w:r>
      <w:r>
        <w:rPr>
          <w:rFonts w:hint="eastAsia" w:ascii="仿宋" w:hAnsi="仿宋" w:eastAsia="仿宋" w:cs="仿宋"/>
          <w:b w:val="0"/>
          <w:bCs w:val="0"/>
          <w:kern w:val="0"/>
          <w:sz w:val="32"/>
          <w:szCs w:val="32"/>
        </w:rPr>
        <w:t>万元，完成预算100%。</w:t>
      </w:r>
    </w:p>
    <w:p w14:paraId="1EE225D2">
      <w:pPr>
        <w:pStyle w:val="9"/>
        <w:keepNext w:val="0"/>
        <w:keepLines w:val="0"/>
        <w:widowControl/>
        <w:numPr>
          <w:ilvl w:val="0"/>
          <w:numId w:val="0"/>
        </w:numPr>
        <w:suppressLineNumbers w:val="0"/>
        <w:tabs>
          <w:tab w:val="left" w:pos="0"/>
        </w:tabs>
        <w:ind w:firstLine="640" w:firstLineChars="200"/>
        <w:rPr>
          <w:rFonts w:hint="eastAsia" w:ascii="仿宋" w:hAnsi="仿宋" w:eastAsia="仿宋" w:cs="仿宋"/>
          <w:b w:val="0"/>
          <w:bCs w:val="0"/>
          <w:kern w:val="0"/>
          <w:sz w:val="32"/>
          <w:szCs w:val="32"/>
        </w:rPr>
      </w:pPr>
      <w:r>
        <w:rPr>
          <w:rFonts w:hint="eastAsia" w:ascii="仿宋" w:hAnsi="仿宋" w:eastAsia="仿宋" w:cs="仿宋"/>
          <w:b w:val="0"/>
          <w:bCs w:val="0"/>
          <w:kern w:val="0"/>
          <w:sz w:val="32"/>
          <w:szCs w:val="32"/>
          <w:lang w:val="en-US" w:eastAsia="zh-CN"/>
        </w:rPr>
        <w:t>7.</w:t>
      </w:r>
      <w:r>
        <w:rPr>
          <w:rFonts w:hint="eastAsia" w:ascii="仿宋" w:hAnsi="仿宋" w:eastAsia="仿宋" w:cs="仿宋"/>
          <w:b w:val="0"/>
          <w:bCs w:val="0"/>
          <w:kern w:val="0"/>
          <w:sz w:val="32"/>
          <w:szCs w:val="32"/>
        </w:rPr>
        <w:t>卫生健康支出（210）行政事业单位医疗（21011）公务员医疗补助（2101103）</w:t>
      </w:r>
      <w:r>
        <w:rPr>
          <w:rFonts w:hint="eastAsia" w:ascii="仿宋" w:hAnsi="仿宋" w:eastAsia="仿宋" w:cs="仿宋"/>
          <w:b w:val="0"/>
          <w:bCs w:val="0"/>
          <w:kern w:val="0"/>
          <w:sz w:val="32"/>
          <w:szCs w:val="32"/>
          <w:lang w:eastAsia="zh-CN"/>
        </w:rPr>
        <w:t>：</w:t>
      </w:r>
      <w:r>
        <w:rPr>
          <w:rFonts w:hint="eastAsia" w:ascii="仿宋" w:hAnsi="仿宋" w:eastAsia="仿宋" w:cs="仿宋"/>
          <w:b w:val="0"/>
          <w:bCs w:val="0"/>
          <w:kern w:val="0"/>
          <w:sz w:val="32"/>
          <w:szCs w:val="32"/>
        </w:rPr>
        <w:t>支出决算</w:t>
      </w:r>
      <w:r>
        <w:rPr>
          <w:rFonts w:hint="eastAsia" w:ascii="仿宋" w:hAnsi="仿宋" w:eastAsia="仿宋" w:cs="仿宋"/>
          <w:b w:val="0"/>
          <w:bCs w:val="0"/>
          <w:kern w:val="0"/>
          <w:sz w:val="32"/>
          <w:szCs w:val="32"/>
          <w:lang w:val="en-US" w:eastAsia="zh-CN"/>
        </w:rPr>
        <w:t>1.50</w:t>
      </w:r>
      <w:r>
        <w:rPr>
          <w:rFonts w:hint="eastAsia" w:ascii="仿宋" w:hAnsi="仿宋" w:eastAsia="仿宋" w:cs="仿宋"/>
          <w:b w:val="0"/>
          <w:bCs w:val="0"/>
          <w:kern w:val="0"/>
          <w:sz w:val="32"/>
          <w:szCs w:val="32"/>
        </w:rPr>
        <w:t>万元，完成预算100%。</w:t>
      </w:r>
    </w:p>
    <w:p w14:paraId="4461DEC0">
      <w:pPr>
        <w:pStyle w:val="9"/>
        <w:keepNext w:val="0"/>
        <w:keepLines w:val="0"/>
        <w:widowControl/>
        <w:numPr>
          <w:ilvl w:val="0"/>
          <w:numId w:val="0"/>
        </w:numPr>
        <w:suppressLineNumbers w:val="0"/>
        <w:tabs>
          <w:tab w:val="left" w:pos="0"/>
        </w:tabs>
        <w:ind w:firstLine="640" w:firstLineChars="200"/>
        <w:rPr>
          <w:rFonts w:hint="eastAsia" w:ascii="仿宋" w:hAnsi="仿宋" w:eastAsia="仿宋" w:cs="仿宋"/>
          <w:b w:val="0"/>
          <w:bCs w:val="0"/>
          <w:kern w:val="0"/>
          <w:sz w:val="32"/>
          <w:szCs w:val="32"/>
        </w:rPr>
      </w:pPr>
      <w:r>
        <w:rPr>
          <w:rFonts w:hint="eastAsia" w:ascii="仿宋" w:hAnsi="仿宋" w:eastAsia="仿宋" w:cs="仿宋"/>
          <w:b w:val="0"/>
          <w:bCs w:val="0"/>
          <w:kern w:val="0"/>
          <w:sz w:val="32"/>
          <w:szCs w:val="32"/>
          <w:lang w:val="en-US" w:eastAsia="zh-CN"/>
        </w:rPr>
        <w:t>8.</w:t>
      </w:r>
      <w:r>
        <w:rPr>
          <w:rFonts w:hint="eastAsia" w:ascii="仿宋" w:hAnsi="仿宋" w:eastAsia="仿宋" w:cs="仿宋"/>
          <w:b w:val="0"/>
          <w:bCs w:val="0"/>
          <w:kern w:val="0"/>
          <w:sz w:val="32"/>
          <w:szCs w:val="32"/>
        </w:rPr>
        <w:t>农林水支出（213）</w:t>
      </w:r>
      <w:r>
        <w:rPr>
          <w:rFonts w:hint="eastAsia" w:ascii="仿宋" w:hAnsi="仿宋" w:eastAsia="仿宋" w:cs="仿宋"/>
          <w:b w:val="0"/>
          <w:bCs w:val="0"/>
          <w:kern w:val="0"/>
          <w:sz w:val="32"/>
          <w:szCs w:val="32"/>
          <w:lang w:eastAsia="zh-CN"/>
        </w:rPr>
        <w:t>巩固拓展脱贫攻坚成果</w:t>
      </w:r>
      <w:r>
        <w:rPr>
          <w:rFonts w:hint="eastAsia" w:ascii="仿宋" w:hAnsi="仿宋" w:eastAsia="仿宋" w:cs="仿宋"/>
          <w:b w:val="0"/>
          <w:bCs w:val="0"/>
          <w:kern w:val="0"/>
          <w:sz w:val="32"/>
          <w:szCs w:val="32"/>
        </w:rPr>
        <w:t>衔接乡村振兴（21305）</w:t>
      </w:r>
      <w:r>
        <w:rPr>
          <w:rFonts w:hint="eastAsia" w:ascii="仿宋" w:hAnsi="仿宋" w:eastAsia="仿宋" w:cs="仿宋"/>
          <w:b w:val="0"/>
          <w:bCs w:val="0"/>
          <w:kern w:val="0"/>
          <w:sz w:val="32"/>
          <w:szCs w:val="32"/>
          <w:lang w:val="en-US" w:eastAsia="zh-CN"/>
        </w:rPr>
        <w:t>生产发展（2130505）</w:t>
      </w:r>
      <w:r>
        <w:rPr>
          <w:rFonts w:hint="eastAsia" w:ascii="仿宋" w:hAnsi="仿宋" w:eastAsia="仿宋" w:cs="仿宋"/>
          <w:b w:val="0"/>
          <w:bCs w:val="0"/>
          <w:kern w:val="0"/>
          <w:sz w:val="32"/>
          <w:szCs w:val="32"/>
          <w:lang w:eastAsia="zh-CN"/>
        </w:rPr>
        <w:t>：</w:t>
      </w:r>
      <w:r>
        <w:rPr>
          <w:rFonts w:hint="eastAsia" w:ascii="仿宋" w:hAnsi="仿宋" w:eastAsia="仿宋" w:cs="仿宋"/>
          <w:b w:val="0"/>
          <w:bCs w:val="0"/>
          <w:kern w:val="0"/>
          <w:sz w:val="32"/>
          <w:szCs w:val="32"/>
        </w:rPr>
        <w:t>支出决算</w:t>
      </w:r>
      <w:r>
        <w:rPr>
          <w:rFonts w:hint="eastAsia" w:ascii="仿宋" w:hAnsi="仿宋" w:eastAsia="仿宋" w:cs="仿宋"/>
          <w:b w:val="0"/>
          <w:bCs w:val="0"/>
          <w:kern w:val="0"/>
          <w:sz w:val="32"/>
          <w:szCs w:val="32"/>
          <w:lang w:val="en-US" w:eastAsia="zh-CN"/>
        </w:rPr>
        <w:t>106.93</w:t>
      </w:r>
      <w:r>
        <w:rPr>
          <w:rFonts w:hint="eastAsia" w:ascii="仿宋" w:hAnsi="仿宋" w:eastAsia="仿宋" w:cs="仿宋"/>
          <w:b w:val="0"/>
          <w:bCs w:val="0"/>
          <w:kern w:val="0"/>
          <w:sz w:val="32"/>
          <w:szCs w:val="32"/>
        </w:rPr>
        <w:t>万元，完成预算100%。</w:t>
      </w:r>
    </w:p>
    <w:p w14:paraId="79F28489">
      <w:pPr>
        <w:pStyle w:val="9"/>
        <w:keepNext w:val="0"/>
        <w:keepLines w:val="0"/>
        <w:widowControl/>
        <w:numPr>
          <w:ilvl w:val="0"/>
          <w:numId w:val="0"/>
        </w:numPr>
        <w:suppressLineNumbers w:val="0"/>
        <w:tabs>
          <w:tab w:val="left" w:pos="0"/>
        </w:tabs>
        <w:ind w:firstLine="640" w:firstLineChars="200"/>
        <w:rPr>
          <w:rFonts w:hint="eastAsia" w:ascii="仿宋" w:hAnsi="仿宋" w:eastAsia="仿宋" w:cs="仿宋"/>
          <w:b w:val="0"/>
          <w:bCs w:val="0"/>
          <w:kern w:val="0"/>
          <w:sz w:val="32"/>
          <w:szCs w:val="32"/>
        </w:rPr>
      </w:pPr>
      <w:r>
        <w:rPr>
          <w:rFonts w:hint="eastAsia" w:ascii="仿宋" w:hAnsi="仿宋" w:eastAsia="仿宋" w:cs="仿宋"/>
          <w:b w:val="0"/>
          <w:bCs w:val="0"/>
          <w:kern w:val="0"/>
          <w:sz w:val="32"/>
          <w:szCs w:val="32"/>
          <w:lang w:val="en-US" w:eastAsia="zh-CN"/>
        </w:rPr>
        <w:t>9.</w:t>
      </w:r>
      <w:r>
        <w:rPr>
          <w:rFonts w:hint="eastAsia" w:ascii="仿宋" w:hAnsi="仿宋" w:eastAsia="仿宋" w:cs="仿宋"/>
          <w:b w:val="0"/>
          <w:bCs w:val="0"/>
          <w:kern w:val="0"/>
          <w:sz w:val="32"/>
          <w:szCs w:val="32"/>
        </w:rPr>
        <w:t>资源勘探工业信息等支出（215）</w:t>
      </w:r>
      <w:r>
        <w:rPr>
          <w:rFonts w:hint="eastAsia" w:ascii="仿宋" w:hAnsi="仿宋" w:eastAsia="仿宋" w:cs="仿宋"/>
          <w:i w:val="0"/>
          <w:caps w:val="0"/>
          <w:color w:val="000000"/>
          <w:spacing w:val="0"/>
          <w:sz w:val="32"/>
          <w:szCs w:val="32"/>
          <w:shd w:val="clear" w:fill="FAFAFA"/>
        </w:rPr>
        <w:t>支持中小企业发展和管理支出</w:t>
      </w:r>
      <w:r>
        <w:rPr>
          <w:rFonts w:hint="eastAsia" w:ascii="仿宋" w:hAnsi="仿宋" w:eastAsia="仿宋" w:cs="仿宋"/>
          <w:i w:val="0"/>
          <w:caps w:val="0"/>
          <w:color w:val="000000"/>
          <w:spacing w:val="0"/>
          <w:sz w:val="32"/>
          <w:szCs w:val="32"/>
          <w:shd w:val="clear" w:fill="FAFAFA"/>
          <w:lang w:eastAsia="zh-CN"/>
        </w:rPr>
        <w:t>（</w:t>
      </w:r>
      <w:r>
        <w:rPr>
          <w:rFonts w:hint="eastAsia" w:ascii="仿宋" w:hAnsi="仿宋" w:eastAsia="仿宋" w:cs="仿宋"/>
          <w:b w:val="0"/>
          <w:bCs w:val="0"/>
          <w:kern w:val="0"/>
          <w:sz w:val="32"/>
          <w:szCs w:val="32"/>
          <w:lang w:val="en-US" w:eastAsia="zh-CN"/>
        </w:rPr>
        <w:t>21508）</w:t>
      </w:r>
      <w:r>
        <w:rPr>
          <w:rFonts w:hint="eastAsia" w:ascii="仿宋" w:hAnsi="仿宋" w:eastAsia="仿宋" w:cs="仿宋"/>
          <w:i w:val="0"/>
          <w:caps w:val="0"/>
          <w:color w:val="000000"/>
          <w:spacing w:val="0"/>
          <w:sz w:val="32"/>
          <w:szCs w:val="32"/>
          <w:shd w:val="clear" w:fill="FAFAFA"/>
        </w:rPr>
        <w:t>中小企业发展</w:t>
      </w:r>
      <w:r>
        <w:rPr>
          <w:rFonts w:hint="eastAsia" w:ascii="仿宋" w:hAnsi="仿宋" w:eastAsia="仿宋" w:cs="仿宋"/>
          <w:i w:val="0"/>
          <w:caps w:val="0"/>
          <w:color w:val="000000"/>
          <w:spacing w:val="0"/>
          <w:sz w:val="32"/>
          <w:szCs w:val="32"/>
          <w:shd w:val="clear" w:fill="FAFAFA"/>
          <w:lang w:eastAsia="zh-CN"/>
        </w:rPr>
        <w:t>专项</w:t>
      </w:r>
      <w:r>
        <w:rPr>
          <w:rFonts w:hint="eastAsia" w:ascii="仿宋" w:hAnsi="仿宋" w:eastAsia="仿宋" w:cs="仿宋"/>
          <w:b w:val="0"/>
          <w:bCs w:val="0"/>
          <w:kern w:val="0"/>
          <w:sz w:val="32"/>
          <w:szCs w:val="32"/>
          <w:lang w:val="en-US" w:eastAsia="zh-CN"/>
        </w:rPr>
        <w:t>（2150805）：</w:t>
      </w:r>
      <w:r>
        <w:rPr>
          <w:rFonts w:hint="eastAsia" w:ascii="仿宋" w:hAnsi="仿宋" w:eastAsia="仿宋" w:cs="仿宋"/>
          <w:b w:val="0"/>
          <w:bCs w:val="0"/>
          <w:kern w:val="0"/>
          <w:sz w:val="32"/>
          <w:szCs w:val="32"/>
        </w:rPr>
        <w:t>支出决算</w:t>
      </w:r>
      <w:r>
        <w:rPr>
          <w:rFonts w:hint="eastAsia" w:ascii="仿宋" w:hAnsi="仿宋" w:eastAsia="仿宋" w:cs="仿宋"/>
          <w:b w:val="0"/>
          <w:bCs w:val="0"/>
          <w:kern w:val="0"/>
          <w:sz w:val="32"/>
          <w:szCs w:val="32"/>
          <w:lang w:val="en-US" w:eastAsia="zh-CN"/>
        </w:rPr>
        <w:t>5万</w:t>
      </w:r>
      <w:r>
        <w:rPr>
          <w:rFonts w:hint="eastAsia" w:ascii="仿宋" w:hAnsi="仿宋" w:eastAsia="仿宋" w:cs="仿宋"/>
          <w:b w:val="0"/>
          <w:bCs w:val="0"/>
          <w:kern w:val="0"/>
          <w:sz w:val="32"/>
          <w:szCs w:val="32"/>
        </w:rPr>
        <w:t>元，完成预算100%。</w:t>
      </w:r>
    </w:p>
    <w:p w14:paraId="14E9326B">
      <w:pPr>
        <w:ind w:firstLine="640" w:firstLineChars="200"/>
        <w:rPr>
          <w:rFonts w:hint="default" w:eastAsia="仿宋"/>
          <w:b w:val="0"/>
          <w:bCs w:val="0"/>
          <w:lang w:val="en-US" w:eastAsia="zh-CN"/>
        </w:rPr>
      </w:pPr>
      <w:r>
        <w:rPr>
          <w:rFonts w:hint="eastAsia" w:ascii="仿宋" w:hAnsi="仿宋" w:eastAsia="仿宋" w:cs="仿宋"/>
          <w:b w:val="0"/>
          <w:bCs w:val="0"/>
          <w:kern w:val="0"/>
          <w:sz w:val="32"/>
          <w:szCs w:val="32"/>
          <w:lang w:val="en-US" w:eastAsia="zh-CN"/>
        </w:rPr>
        <w:t>10.</w:t>
      </w:r>
      <w:r>
        <w:rPr>
          <w:rFonts w:hint="eastAsia" w:ascii="仿宋" w:hAnsi="仿宋" w:eastAsia="仿宋" w:cs="仿宋"/>
          <w:b w:val="0"/>
          <w:bCs w:val="0"/>
          <w:kern w:val="0"/>
          <w:sz w:val="32"/>
          <w:szCs w:val="32"/>
        </w:rPr>
        <w:t>资源勘探工业信息等支出（215）其他资源勘探工业信息等支出</w:t>
      </w:r>
      <w:r>
        <w:rPr>
          <w:rFonts w:hint="eastAsia" w:ascii="仿宋" w:hAnsi="仿宋" w:eastAsia="仿宋" w:cs="仿宋"/>
          <w:b w:val="0"/>
          <w:bCs w:val="0"/>
          <w:kern w:val="0"/>
          <w:sz w:val="32"/>
          <w:szCs w:val="32"/>
          <w:lang w:eastAsia="zh-CN"/>
        </w:rPr>
        <w:t>（</w:t>
      </w:r>
      <w:r>
        <w:rPr>
          <w:rFonts w:hint="eastAsia" w:ascii="仿宋" w:hAnsi="仿宋" w:eastAsia="仿宋" w:cs="仿宋"/>
          <w:b w:val="0"/>
          <w:bCs w:val="0"/>
          <w:kern w:val="0"/>
          <w:sz w:val="32"/>
          <w:szCs w:val="32"/>
          <w:lang w:val="en-US" w:eastAsia="zh-CN"/>
        </w:rPr>
        <w:t>21599</w:t>
      </w:r>
      <w:r>
        <w:rPr>
          <w:rFonts w:hint="eastAsia" w:ascii="仿宋" w:hAnsi="仿宋" w:eastAsia="仿宋" w:cs="仿宋"/>
          <w:b w:val="0"/>
          <w:bCs w:val="0"/>
          <w:kern w:val="0"/>
          <w:sz w:val="32"/>
          <w:szCs w:val="32"/>
          <w:lang w:eastAsia="zh-CN"/>
        </w:rPr>
        <w:t>）</w:t>
      </w:r>
      <w:r>
        <w:rPr>
          <w:rFonts w:hint="eastAsia" w:ascii="仿宋" w:hAnsi="仿宋" w:eastAsia="仿宋" w:cs="仿宋"/>
          <w:b w:val="0"/>
          <w:bCs w:val="0"/>
          <w:kern w:val="0"/>
          <w:sz w:val="32"/>
          <w:szCs w:val="32"/>
        </w:rPr>
        <w:t>其他资源勘探工业信息等支出</w:t>
      </w:r>
      <w:r>
        <w:rPr>
          <w:rFonts w:hint="eastAsia" w:ascii="仿宋" w:hAnsi="仿宋" w:eastAsia="仿宋" w:cs="仿宋"/>
          <w:b w:val="0"/>
          <w:bCs w:val="0"/>
          <w:kern w:val="0"/>
          <w:sz w:val="32"/>
          <w:szCs w:val="32"/>
          <w:lang w:eastAsia="zh-CN"/>
        </w:rPr>
        <w:t>（</w:t>
      </w:r>
      <w:r>
        <w:rPr>
          <w:rFonts w:hint="eastAsia" w:ascii="仿宋" w:hAnsi="仿宋" w:eastAsia="仿宋" w:cs="仿宋"/>
          <w:b w:val="0"/>
          <w:bCs w:val="0"/>
          <w:kern w:val="0"/>
          <w:sz w:val="32"/>
          <w:szCs w:val="32"/>
          <w:lang w:val="en-US" w:eastAsia="zh-CN"/>
        </w:rPr>
        <w:t>2159999</w:t>
      </w:r>
      <w:r>
        <w:rPr>
          <w:rFonts w:hint="eastAsia" w:ascii="仿宋" w:hAnsi="仿宋" w:eastAsia="仿宋" w:cs="仿宋"/>
          <w:b w:val="0"/>
          <w:bCs w:val="0"/>
          <w:kern w:val="0"/>
          <w:sz w:val="32"/>
          <w:szCs w:val="32"/>
          <w:lang w:eastAsia="zh-CN"/>
        </w:rPr>
        <w:t>）：支出</w:t>
      </w:r>
      <w:r>
        <w:rPr>
          <w:rFonts w:hint="eastAsia" w:ascii="仿宋" w:hAnsi="仿宋" w:eastAsia="仿宋" w:cs="仿宋"/>
          <w:b w:val="0"/>
          <w:bCs w:val="0"/>
          <w:kern w:val="0"/>
          <w:sz w:val="32"/>
          <w:szCs w:val="32"/>
          <w:lang w:val="en-US" w:eastAsia="zh-CN"/>
        </w:rPr>
        <w:t>17.48万元，完成预算100%。</w:t>
      </w:r>
    </w:p>
    <w:p w14:paraId="1A4140DA">
      <w:pPr>
        <w:pStyle w:val="9"/>
        <w:keepNext w:val="0"/>
        <w:keepLines w:val="0"/>
        <w:widowControl/>
        <w:numPr>
          <w:ilvl w:val="0"/>
          <w:numId w:val="0"/>
        </w:numPr>
        <w:suppressLineNumbers w:val="0"/>
        <w:tabs>
          <w:tab w:val="left" w:pos="0"/>
        </w:tabs>
        <w:ind w:firstLine="640" w:firstLineChars="200"/>
        <w:rPr>
          <w:rFonts w:hint="eastAsia" w:ascii="仿宋" w:hAnsi="仿宋" w:eastAsia="仿宋" w:cs="仿宋"/>
          <w:b w:val="0"/>
          <w:bCs w:val="0"/>
          <w:kern w:val="0"/>
          <w:sz w:val="32"/>
          <w:szCs w:val="32"/>
          <w:lang w:eastAsia="zh-CN"/>
        </w:rPr>
      </w:pPr>
      <w:r>
        <w:rPr>
          <w:rFonts w:hint="eastAsia" w:ascii="仿宋" w:hAnsi="仿宋" w:eastAsia="仿宋" w:cs="仿宋"/>
          <w:b w:val="0"/>
          <w:bCs w:val="0"/>
          <w:kern w:val="0"/>
          <w:sz w:val="32"/>
          <w:szCs w:val="32"/>
          <w:lang w:val="en-US" w:eastAsia="zh-CN"/>
        </w:rPr>
        <w:t>11.商业服务业等支出（216）商业流通事务（21602）</w:t>
      </w:r>
      <w:r>
        <w:rPr>
          <w:rFonts w:hint="eastAsia" w:ascii="仿宋" w:hAnsi="仿宋" w:eastAsia="仿宋" w:cs="仿宋"/>
          <w:b w:val="0"/>
          <w:bCs w:val="0"/>
          <w:kern w:val="0"/>
          <w:sz w:val="32"/>
          <w:szCs w:val="32"/>
          <w:lang w:eastAsia="zh-CN"/>
        </w:rPr>
        <w:t>其他商业流通事务支出（</w:t>
      </w:r>
      <w:r>
        <w:rPr>
          <w:rFonts w:hint="eastAsia" w:ascii="仿宋" w:hAnsi="仿宋" w:eastAsia="仿宋" w:cs="仿宋"/>
          <w:b w:val="0"/>
          <w:bCs w:val="0"/>
          <w:kern w:val="0"/>
          <w:sz w:val="32"/>
          <w:szCs w:val="32"/>
          <w:lang w:val="en-US" w:eastAsia="zh-CN"/>
        </w:rPr>
        <w:t>2160299</w:t>
      </w:r>
      <w:r>
        <w:rPr>
          <w:rFonts w:hint="eastAsia" w:ascii="仿宋" w:hAnsi="仿宋" w:eastAsia="仿宋" w:cs="仿宋"/>
          <w:b w:val="0"/>
          <w:bCs w:val="0"/>
          <w:kern w:val="0"/>
          <w:sz w:val="32"/>
          <w:szCs w:val="32"/>
          <w:lang w:eastAsia="zh-CN"/>
        </w:rPr>
        <w:t>）：</w:t>
      </w:r>
      <w:r>
        <w:rPr>
          <w:rFonts w:hint="eastAsia" w:ascii="仿宋" w:hAnsi="仿宋" w:eastAsia="仿宋" w:cs="仿宋"/>
          <w:b w:val="0"/>
          <w:bCs w:val="0"/>
          <w:kern w:val="0"/>
          <w:sz w:val="32"/>
          <w:szCs w:val="32"/>
        </w:rPr>
        <w:t>支出决算</w:t>
      </w:r>
      <w:r>
        <w:rPr>
          <w:rFonts w:hint="eastAsia" w:ascii="仿宋" w:hAnsi="仿宋" w:eastAsia="仿宋" w:cs="仿宋"/>
          <w:b w:val="0"/>
          <w:bCs w:val="0"/>
          <w:kern w:val="0"/>
          <w:sz w:val="32"/>
          <w:szCs w:val="32"/>
          <w:lang w:val="en-US" w:eastAsia="zh-CN"/>
        </w:rPr>
        <w:t>13.08</w:t>
      </w:r>
      <w:r>
        <w:rPr>
          <w:rFonts w:hint="eastAsia" w:ascii="仿宋" w:hAnsi="仿宋" w:eastAsia="仿宋" w:cs="仿宋"/>
          <w:b w:val="0"/>
          <w:bCs w:val="0"/>
          <w:kern w:val="0"/>
          <w:sz w:val="32"/>
          <w:szCs w:val="32"/>
        </w:rPr>
        <w:t>万元，完成预算100%</w:t>
      </w:r>
      <w:r>
        <w:rPr>
          <w:rFonts w:hint="eastAsia" w:ascii="仿宋" w:hAnsi="仿宋" w:eastAsia="仿宋" w:cs="仿宋"/>
          <w:b w:val="0"/>
          <w:bCs w:val="0"/>
          <w:kern w:val="0"/>
          <w:sz w:val="32"/>
          <w:szCs w:val="32"/>
          <w:lang w:eastAsia="zh-CN"/>
        </w:rPr>
        <w:t>。</w:t>
      </w:r>
    </w:p>
    <w:p w14:paraId="21F96AA3">
      <w:pPr>
        <w:ind w:firstLine="640" w:firstLineChars="200"/>
        <w:rPr>
          <w:rFonts w:hint="default" w:eastAsia="仿宋"/>
          <w:b w:val="0"/>
          <w:bCs w:val="0"/>
          <w:lang w:val="en-US" w:eastAsia="zh-CN"/>
        </w:rPr>
      </w:pPr>
      <w:r>
        <w:rPr>
          <w:rFonts w:hint="eastAsia" w:ascii="仿宋" w:hAnsi="仿宋" w:eastAsia="仿宋" w:cs="仿宋"/>
          <w:b w:val="0"/>
          <w:bCs w:val="0"/>
          <w:kern w:val="0"/>
          <w:sz w:val="32"/>
          <w:szCs w:val="32"/>
          <w:lang w:val="en-US" w:eastAsia="zh-CN"/>
        </w:rPr>
        <w:t>12.商业服务业等支出（216）其他商业服务业等支出（21699）</w:t>
      </w:r>
      <w:r>
        <w:rPr>
          <w:rFonts w:hint="eastAsia" w:ascii="仿宋" w:hAnsi="仿宋" w:eastAsia="仿宋" w:cs="仿宋"/>
          <w:b w:val="0"/>
          <w:bCs w:val="0"/>
          <w:kern w:val="0"/>
          <w:sz w:val="32"/>
          <w:szCs w:val="32"/>
          <w:lang w:eastAsia="zh-CN"/>
        </w:rPr>
        <w:t>其他商业服务业等支出（</w:t>
      </w:r>
      <w:r>
        <w:rPr>
          <w:rFonts w:hint="eastAsia" w:ascii="仿宋" w:hAnsi="仿宋" w:eastAsia="仿宋" w:cs="仿宋"/>
          <w:b w:val="0"/>
          <w:bCs w:val="0"/>
          <w:kern w:val="0"/>
          <w:sz w:val="32"/>
          <w:szCs w:val="32"/>
          <w:lang w:val="en-US" w:eastAsia="zh-CN"/>
        </w:rPr>
        <w:t>2169999</w:t>
      </w:r>
      <w:r>
        <w:rPr>
          <w:rFonts w:hint="eastAsia" w:ascii="仿宋" w:hAnsi="仿宋" w:eastAsia="仿宋" w:cs="仿宋"/>
          <w:b w:val="0"/>
          <w:bCs w:val="0"/>
          <w:kern w:val="0"/>
          <w:sz w:val="32"/>
          <w:szCs w:val="32"/>
          <w:lang w:eastAsia="zh-CN"/>
        </w:rPr>
        <w:t>）：</w:t>
      </w:r>
      <w:r>
        <w:rPr>
          <w:rFonts w:hint="eastAsia" w:ascii="仿宋" w:hAnsi="仿宋" w:eastAsia="仿宋" w:cs="仿宋"/>
          <w:b w:val="0"/>
          <w:bCs w:val="0"/>
          <w:kern w:val="0"/>
          <w:sz w:val="32"/>
          <w:szCs w:val="32"/>
        </w:rPr>
        <w:t>支出决算</w:t>
      </w:r>
      <w:r>
        <w:rPr>
          <w:rFonts w:hint="eastAsia" w:ascii="仿宋" w:hAnsi="仿宋" w:eastAsia="仿宋" w:cs="仿宋"/>
          <w:b w:val="0"/>
          <w:bCs w:val="0"/>
          <w:kern w:val="0"/>
          <w:sz w:val="32"/>
          <w:szCs w:val="32"/>
          <w:lang w:val="en-US" w:eastAsia="zh-CN"/>
        </w:rPr>
        <w:t>182.68</w:t>
      </w:r>
      <w:r>
        <w:rPr>
          <w:rFonts w:hint="eastAsia" w:ascii="仿宋" w:hAnsi="仿宋" w:eastAsia="仿宋" w:cs="仿宋"/>
          <w:b w:val="0"/>
          <w:bCs w:val="0"/>
          <w:kern w:val="0"/>
          <w:sz w:val="32"/>
          <w:szCs w:val="32"/>
        </w:rPr>
        <w:t>万元，完成预算100%</w:t>
      </w:r>
      <w:r>
        <w:rPr>
          <w:rFonts w:hint="eastAsia" w:ascii="仿宋" w:hAnsi="仿宋" w:eastAsia="仿宋" w:cs="仿宋"/>
          <w:b w:val="0"/>
          <w:bCs w:val="0"/>
          <w:kern w:val="0"/>
          <w:sz w:val="32"/>
          <w:szCs w:val="32"/>
          <w:lang w:eastAsia="zh-CN"/>
        </w:rPr>
        <w:t>。</w:t>
      </w:r>
    </w:p>
    <w:p w14:paraId="502546E5">
      <w:pPr>
        <w:pStyle w:val="9"/>
        <w:keepNext w:val="0"/>
        <w:keepLines w:val="0"/>
        <w:widowControl/>
        <w:numPr>
          <w:ilvl w:val="0"/>
          <w:numId w:val="0"/>
        </w:numPr>
        <w:suppressLineNumbers w:val="0"/>
        <w:tabs>
          <w:tab w:val="left" w:pos="0"/>
        </w:tabs>
        <w:ind w:firstLine="640" w:firstLineChars="200"/>
        <w:rPr>
          <w:rFonts w:hint="eastAsia" w:ascii="仿宋" w:hAnsi="仿宋" w:eastAsia="仿宋" w:cs="仿宋"/>
          <w:b/>
          <w:bCs w:val="0"/>
          <w:kern w:val="0"/>
          <w:sz w:val="32"/>
          <w:szCs w:val="32"/>
        </w:rPr>
      </w:pPr>
      <w:r>
        <w:rPr>
          <w:rFonts w:hint="eastAsia" w:ascii="仿宋" w:hAnsi="仿宋" w:eastAsia="仿宋" w:cs="仿宋"/>
          <w:b w:val="0"/>
          <w:bCs w:val="0"/>
          <w:kern w:val="0"/>
          <w:sz w:val="32"/>
          <w:szCs w:val="32"/>
          <w:lang w:val="en-US" w:eastAsia="zh-CN"/>
        </w:rPr>
        <w:t>13.</w:t>
      </w:r>
      <w:r>
        <w:rPr>
          <w:rFonts w:hint="eastAsia" w:ascii="仿宋" w:hAnsi="仿宋" w:eastAsia="仿宋" w:cs="仿宋"/>
          <w:b w:val="0"/>
          <w:bCs w:val="0"/>
          <w:kern w:val="0"/>
          <w:sz w:val="32"/>
          <w:szCs w:val="32"/>
        </w:rPr>
        <w:t>住房保障支出（221）住房改革支出（22102）住房公积金（2210201）</w:t>
      </w:r>
      <w:r>
        <w:rPr>
          <w:rFonts w:hint="eastAsia" w:ascii="仿宋" w:hAnsi="仿宋" w:eastAsia="仿宋" w:cs="仿宋"/>
          <w:b w:val="0"/>
          <w:bCs w:val="0"/>
          <w:kern w:val="0"/>
          <w:sz w:val="32"/>
          <w:szCs w:val="32"/>
          <w:lang w:eastAsia="zh-CN"/>
        </w:rPr>
        <w:t>：</w:t>
      </w:r>
      <w:r>
        <w:rPr>
          <w:rFonts w:hint="eastAsia" w:ascii="仿宋" w:hAnsi="仿宋" w:eastAsia="仿宋" w:cs="仿宋"/>
          <w:b w:val="0"/>
          <w:bCs w:val="0"/>
          <w:kern w:val="0"/>
          <w:sz w:val="32"/>
          <w:szCs w:val="32"/>
        </w:rPr>
        <w:t>支出决算</w:t>
      </w:r>
      <w:r>
        <w:rPr>
          <w:rFonts w:hint="eastAsia" w:ascii="仿宋" w:hAnsi="仿宋" w:eastAsia="仿宋" w:cs="仿宋"/>
          <w:b w:val="0"/>
          <w:bCs w:val="0"/>
          <w:kern w:val="0"/>
          <w:sz w:val="32"/>
          <w:szCs w:val="32"/>
          <w:lang w:val="en-US" w:eastAsia="zh-CN"/>
        </w:rPr>
        <w:t>13.96</w:t>
      </w:r>
      <w:r>
        <w:rPr>
          <w:rFonts w:hint="eastAsia" w:ascii="仿宋" w:hAnsi="仿宋" w:eastAsia="仿宋" w:cs="仿宋"/>
          <w:b w:val="0"/>
          <w:bCs w:val="0"/>
          <w:kern w:val="0"/>
          <w:sz w:val="32"/>
          <w:szCs w:val="32"/>
        </w:rPr>
        <w:t>万元，完成预算100%。</w:t>
      </w:r>
      <w:r>
        <w:rPr>
          <w:rFonts w:hint="eastAsia" w:ascii="仿宋" w:hAnsi="仿宋" w:eastAsia="仿宋" w:cs="仿宋"/>
          <w:b/>
          <w:bCs w:val="0"/>
          <w:kern w:val="0"/>
          <w:sz w:val="32"/>
          <w:szCs w:val="32"/>
        </w:rPr>
        <w:t xml:space="preserve">  </w:t>
      </w:r>
    </w:p>
    <w:p w14:paraId="6A830807">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（注：仅罗列本部门涉及的全部功能分类科目，至项级。上述“预算”口径为全年预算数。增减变动原因为决算数</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项级</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和全年预算数</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项级</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比较，与预算数持平可以不写原因）</w:t>
      </w:r>
    </w:p>
    <w:p w14:paraId="7D5CC10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0518A3F1">
      <w:pPr>
        <w:tabs>
          <w:tab w:val="right" w:pos="8306"/>
        </w:tabs>
        <w:spacing w:line="600" w:lineRule="exact"/>
        <w:ind w:firstLine="640"/>
        <w:outlineLvl w:val="1"/>
        <w:rPr>
          <w:rStyle w:val="30"/>
          <w:rFonts w:ascii="Times New Roman" w:hAnsi="Times New Roman"/>
          <w:color w:val="auto"/>
          <w:highlight w:val="none"/>
        </w:rPr>
      </w:pPr>
      <w:bookmarkStart w:id="28" w:name="_Toc15396608"/>
      <w:bookmarkStart w:id="29" w:name="_Toc15377214"/>
      <w:r>
        <w:rPr>
          <w:rFonts w:hint="eastAsia" w:ascii="Times New Roman" w:hAnsi="Times New Roman" w:eastAsia="黑体"/>
          <w:color w:val="auto"/>
          <w:sz w:val="32"/>
          <w:szCs w:val="32"/>
          <w:highlight w:val="none"/>
        </w:rPr>
        <w:t>六</w:t>
      </w:r>
      <w:r>
        <w:rPr>
          <w:rFonts w:hint="eastAsia" w:ascii="Times New Roman" w:hAnsi="Times New Roman" w:eastAsia="黑体"/>
          <w:b/>
          <w:color w:val="auto"/>
          <w:sz w:val="32"/>
          <w:szCs w:val="32"/>
          <w:highlight w:val="none"/>
        </w:rPr>
        <w:t>、一</w:t>
      </w:r>
      <w:r>
        <w:rPr>
          <w:rStyle w:val="30"/>
          <w:rFonts w:hint="eastAsia" w:ascii="Times New Roman" w:hAnsi="Times New Roman" w:eastAsia="黑体"/>
          <w:b w:val="0"/>
          <w:color w:val="auto"/>
          <w:highlight w:val="none"/>
        </w:rPr>
        <w:t>般公共预算财政拨款基本支出决算情况说明</w:t>
      </w:r>
      <w:bookmarkEnd w:id="28"/>
      <w:bookmarkEnd w:id="29"/>
      <w:r>
        <w:rPr>
          <w:rStyle w:val="30"/>
          <w:rFonts w:ascii="Times New Roman" w:hAnsi="Times New Roman" w:eastAsia="黑体"/>
          <w:b w:val="0"/>
          <w:color w:val="auto"/>
          <w:highlight w:val="none"/>
        </w:rPr>
        <w:tab/>
      </w:r>
    </w:p>
    <w:p w14:paraId="11D2D4F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一般公共预算财政拨款基本支出</w:t>
      </w:r>
      <w:r>
        <w:rPr>
          <w:rFonts w:hint="eastAsia" w:ascii="仿宋_GB2312" w:hAnsi="仿宋_GB2312" w:eastAsia="仿宋_GB2312" w:cs="仿宋_GB2312"/>
          <w:sz w:val="32"/>
          <w:szCs w:val="32"/>
        </w:rPr>
        <w:t>210.48</w:t>
      </w:r>
      <w:r>
        <w:rPr>
          <w:rFonts w:hint="eastAsia" w:ascii="Times New Roman" w:hAnsi="Times New Roman" w:eastAsia="仿宋_GB2312" w:cs="仿宋_GB2312"/>
          <w:color w:val="auto"/>
          <w:kern w:val="2"/>
          <w:sz w:val="32"/>
          <w:szCs w:val="32"/>
          <w:highlight w:val="none"/>
          <w:lang w:val="en-US" w:eastAsia="zh-CN" w:bidi="ar-SA"/>
        </w:rPr>
        <w:t>万元，其中：</w:t>
      </w:r>
    </w:p>
    <w:p w14:paraId="368B9BA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人员经费</w:t>
      </w:r>
      <w:r>
        <w:rPr>
          <w:rFonts w:hint="eastAsia" w:ascii="仿宋_GB2312" w:hAnsi="仿宋_GB2312" w:eastAsia="仿宋_GB2312" w:cs="仿宋_GB2312"/>
          <w:sz w:val="32"/>
          <w:szCs w:val="32"/>
        </w:rPr>
        <w:t>191.08</w:t>
      </w:r>
      <w:r>
        <w:rPr>
          <w:rFonts w:hint="eastAsia" w:ascii="Times New Roman" w:hAnsi="Times New Roman" w:eastAsia="仿宋_GB2312" w:cs="仿宋_GB2312"/>
          <w:color w:val="auto"/>
          <w:kern w:val="2"/>
          <w:sz w:val="32"/>
          <w:szCs w:val="32"/>
          <w:highlight w:val="none"/>
          <w:lang w:val="en-US" w:eastAsia="zh-CN" w:bidi="ar-SA"/>
        </w:rPr>
        <w:t>万元，主要包括：基本工资、津贴补贴、奖金、伙食补助费、绩效工资、机关事业单位基本养老保险缴费、职业年金缴费、其他社会保障缴费、其他工资福利支出、离休费、退休费、抚恤金、生活补助、医疗费补助、奖励金、住房公积金、其他对个人和家庭的补助支出等。</w:t>
      </w:r>
      <w:r>
        <w:rPr>
          <w:rFonts w:hint="eastAsia" w:ascii="Times New Roman" w:hAnsi="Times New Roman" w:eastAsia="仿宋_GB2312" w:cs="仿宋_GB2312"/>
          <w:color w:val="auto"/>
          <w:kern w:val="2"/>
          <w:sz w:val="32"/>
          <w:szCs w:val="32"/>
          <w:highlight w:val="none"/>
          <w:lang w:val="en-US" w:eastAsia="zh-CN" w:bidi="ar-SA"/>
        </w:rPr>
        <w:br w:type="textWrapping"/>
      </w:r>
      <w:r>
        <w:rPr>
          <w:rFonts w:hint="eastAsia" w:ascii="Times New Roman" w:hAnsi="Times New Roman" w:eastAsia="仿宋_GB2312" w:cs="仿宋_GB2312"/>
          <w:color w:val="auto"/>
          <w:kern w:val="2"/>
          <w:sz w:val="32"/>
          <w:szCs w:val="32"/>
          <w:highlight w:val="none"/>
          <w:lang w:val="en-US" w:eastAsia="zh-CN" w:bidi="ar-SA"/>
        </w:rPr>
        <w:t>　　公用经费</w:t>
      </w:r>
      <w:r>
        <w:rPr>
          <w:rFonts w:hint="eastAsia" w:ascii="仿宋_GB2312" w:hAnsi="仿宋_GB2312" w:eastAsia="仿宋_GB2312" w:cs="仿宋_GB2312"/>
          <w:sz w:val="32"/>
          <w:szCs w:val="32"/>
        </w:rPr>
        <w:t>19.4</w:t>
      </w:r>
      <w:r>
        <w:rPr>
          <w:rFonts w:hint="eastAsia" w:ascii="Times New Roman" w:hAnsi="Times New Roman" w:eastAsia="仿宋_GB2312" w:cs="仿宋_GB2312"/>
          <w:color w:val="auto"/>
          <w:kern w:val="2"/>
          <w:sz w:val="32"/>
          <w:szCs w:val="32"/>
          <w:highlight w:val="none"/>
          <w:lang w:val="en-US" w:eastAsia="zh-CN" w:bidi="ar-SA"/>
        </w:rPr>
        <w:t>万元，主要包括：办公费、印刷费、咨询费、手续费、水费、电费、邮电费、取暖费、物业管理费、差旅费、因公出国（境）费用、维修（护）费、租赁费、会议费、培训费、公务接待费、劳务费、委托业务费、工会经费、福利费、公务用车运行维护费、其他交通费、税金及附加费用、其他商品和服务支出、办公设备购置、专用设备购置、信息网络及软件购置更新、其他资本性支出等。</w:t>
      </w:r>
    </w:p>
    <w:p w14:paraId="0680DF69">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（注：仅罗列本部门实际支出涉及的经济分类科目）</w:t>
      </w:r>
    </w:p>
    <w:p w14:paraId="18E9299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3F994EE4">
      <w:pPr>
        <w:spacing w:line="600" w:lineRule="exact"/>
        <w:ind w:firstLine="640"/>
        <w:outlineLvl w:val="1"/>
        <w:rPr>
          <w:rStyle w:val="30"/>
          <w:rFonts w:ascii="Times New Roman" w:hAnsi="Times New Roman" w:eastAsia="黑体"/>
          <w:b w:val="0"/>
          <w:color w:val="auto"/>
          <w:highlight w:val="none"/>
        </w:rPr>
      </w:pPr>
      <w:bookmarkStart w:id="30" w:name="_Toc15377215"/>
      <w:bookmarkStart w:id="31" w:name="_Toc15396609"/>
      <w:r>
        <w:rPr>
          <w:rFonts w:hint="eastAsia" w:ascii="Times New Roman" w:hAnsi="Times New Roman" w:eastAsia="黑体"/>
          <w:color w:val="auto"/>
          <w:sz w:val="32"/>
          <w:szCs w:val="32"/>
          <w:highlight w:val="none"/>
        </w:rPr>
        <w:t>七、</w:t>
      </w:r>
      <w:r>
        <w:rPr>
          <w:rStyle w:val="30"/>
          <w:rFonts w:hint="eastAsia" w:ascii="Times New Roman" w:hAnsi="Times New Roman" w:eastAsia="黑体"/>
          <w:b w:val="0"/>
          <w:color w:val="auto"/>
          <w:highlight w:val="none"/>
        </w:rPr>
        <w:t>财政拨款</w:t>
      </w:r>
      <w:r>
        <w:rPr>
          <w:rStyle w:val="30"/>
          <w:rFonts w:hint="eastAsia" w:ascii="Times New Roman" w:hAnsi="Times New Roman" w:eastAsia="黑体"/>
          <w:color w:val="auto"/>
          <w:highlight w:val="none"/>
        </w:rPr>
        <w:t>“</w:t>
      </w:r>
      <w:r>
        <w:rPr>
          <w:rStyle w:val="30"/>
          <w:rFonts w:hint="eastAsia" w:ascii="Times New Roman" w:hAnsi="Times New Roman" w:eastAsia="黑体"/>
          <w:b w:val="0"/>
          <w:color w:val="auto"/>
          <w:highlight w:val="none"/>
        </w:rPr>
        <w:t>三公”经费支出决算情况说明</w:t>
      </w:r>
      <w:bookmarkEnd w:id="30"/>
      <w:bookmarkEnd w:id="31"/>
    </w:p>
    <w:p w14:paraId="494455CE">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2" w:name="_Toc15377216"/>
      <w:r>
        <w:rPr>
          <w:rFonts w:hint="eastAsia" w:ascii="Times New Roman" w:hAnsi="Times New Roman" w:eastAsia="楷体_GB2312" w:cs="楷体_GB2312"/>
          <w:b/>
          <w:color w:val="auto"/>
          <w:sz w:val="32"/>
          <w:szCs w:val="32"/>
          <w:highlight w:val="none"/>
        </w:rPr>
        <w:t>（一）财政拨款“三公”经费支出决算总体情况说明</w:t>
      </w:r>
      <w:bookmarkEnd w:id="32"/>
    </w:p>
    <w:p w14:paraId="30D3BF8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财政拨款“三公”经费支出决算为</w:t>
      </w:r>
      <w:r>
        <w:rPr>
          <w:rFonts w:hint="eastAsia" w:ascii="仿宋_GB2312" w:hAnsi="仿宋_GB2312" w:eastAsia="仿宋_GB2312" w:cs="仿宋_GB2312"/>
          <w:sz w:val="32"/>
          <w:szCs w:val="32"/>
        </w:rPr>
        <w:t>4</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ascii="仿宋_GB2312" w:hAnsi="仿宋_GB2312" w:eastAsia="仿宋_GB2312" w:cs="仿宋_GB2312"/>
          <w:sz w:val="32"/>
          <w:szCs w:val="32"/>
        </w:rPr>
        <w:t>100</w:t>
      </w:r>
      <w:r>
        <w:rPr>
          <w:rFonts w:hint="eastAsia" w:ascii="Times New Roman" w:hAnsi="Times New Roman" w:eastAsia="仿宋_GB2312" w:cs="仿宋_GB2312"/>
          <w:color w:val="auto"/>
          <w:kern w:val="2"/>
          <w:sz w:val="32"/>
          <w:szCs w:val="32"/>
          <w:highlight w:val="none"/>
          <w:lang w:val="en-US" w:eastAsia="zh-CN" w:bidi="ar-SA"/>
        </w:rPr>
        <w:t>%，较上年度增加</w:t>
      </w:r>
      <w:r>
        <w:rPr>
          <w:rFonts w:hint="eastAsia" w:eastAsia="仿宋_GB2312" w:cs="仿宋_GB2312"/>
          <w:color w:val="auto"/>
          <w:kern w:val="2"/>
          <w:sz w:val="32"/>
          <w:szCs w:val="32"/>
          <w:highlight w:val="none"/>
          <w:lang w:val="en-US" w:eastAsia="zh-CN" w:bidi="ar-SA"/>
        </w:rPr>
        <w:t>1.5</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60</w:t>
      </w:r>
      <w:r>
        <w:rPr>
          <w:rFonts w:hint="eastAsia" w:ascii="Times New Roman" w:hAnsi="Times New Roman" w:eastAsia="仿宋_GB2312" w:cs="仿宋_GB2312"/>
          <w:color w:val="auto"/>
          <w:kern w:val="2"/>
          <w:sz w:val="32"/>
          <w:szCs w:val="32"/>
          <w:highlight w:val="none"/>
          <w:lang w:val="en-US" w:eastAsia="zh-CN" w:bidi="ar-SA"/>
        </w:rPr>
        <w:t>%。主要原因是</w:t>
      </w:r>
      <w:r>
        <w:rPr>
          <w:rFonts w:hint="eastAsia" w:ascii="仿宋" w:hAnsi="仿宋" w:eastAsia="仿宋"/>
          <w:color w:val="auto"/>
          <w:sz w:val="32"/>
          <w:szCs w:val="32"/>
          <w:highlight w:val="none"/>
          <w:lang w:val="en-US" w:eastAsia="zh-CN"/>
        </w:rPr>
        <w:t>贯彻落实中央八项规定、厉行节约、过紧日子等有关要求，加强公务用车管理，从严控制和压缩“三公”经费。虽然有微小增长，但整体遵循节约原则，通过加强管理控制经费支出。</w:t>
      </w:r>
    </w:p>
    <w:p w14:paraId="3DF8755F">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（注：上述“预算”口径为全年预算数，包括一般公共预算和政府性基金预算财政拨款支出决算情况，与预算数持平可以不写原因）</w:t>
      </w:r>
    </w:p>
    <w:p w14:paraId="32473D2F">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3" w:name="_Toc15377217"/>
      <w:r>
        <w:rPr>
          <w:rFonts w:hint="eastAsia" w:ascii="Times New Roman" w:hAnsi="Times New Roman" w:eastAsia="楷体_GB2312" w:cs="楷体_GB2312"/>
          <w:b/>
          <w:color w:val="auto"/>
          <w:sz w:val="32"/>
          <w:szCs w:val="32"/>
          <w:highlight w:val="none"/>
        </w:rPr>
        <w:t>（二）财政拨款“三公”经费支出决算具体情况说明</w:t>
      </w:r>
      <w:bookmarkEnd w:id="33"/>
    </w:p>
    <w:p w14:paraId="6386E23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财政拨款“三公”经费支出决算中，因公出国（境）费支出决算</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w:t>
      </w:r>
      <w:r>
        <w:rPr>
          <w:rFonts w:hint="eastAsia" w:ascii="仿宋_GB2312" w:hAnsi="仿宋_GB2312" w:eastAsia="仿宋_GB2312" w:cs="仿宋_GB2312"/>
          <w:sz w:val="32"/>
          <w:szCs w:val="32"/>
        </w:rPr>
        <w:t>4</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%；公务接待费支出决算</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%。具体情况如下：</w:t>
      </w:r>
    </w:p>
    <w:p w14:paraId="0FE30C2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1.因公出国（境）经费支出</w:t>
      </w:r>
      <w:r>
        <w:rPr>
          <w:rFonts w:hint="eastAsia" w:ascii="仿宋_GB2312" w:hAnsi="仿宋_GB2312" w:eastAsia="仿宋_GB2312" w:cs="仿宋_GB2312"/>
          <w:sz w:val="32"/>
          <w:szCs w:val="32"/>
        </w:rPr>
        <w:t>0</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100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全年安排因公出国（境）团组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次，出国（境）</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人。因公出国（境）支出决算比</w:t>
      </w:r>
      <w:r>
        <w:rPr>
          <w:rFonts w:hint="eastAsia" w:eastAsia="仿宋_GB2312" w:cs="仿宋_GB2312"/>
          <w:color w:val="auto"/>
          <w:kern w:val="2"/>
          <w:sz w:val="32"/>
          <w:szCs w:val="32"/>
          <w:highlight w:val="none"/>
          <w:lang w:val="en-US" w:eastAsia="zh-CN" w:bidi="ar-SA"/>
        </w:rPr>
        <w:t>上年度</w:t>
      </w:r>
      <w:r>
        <w:rPr>
          <w:rFonts w:hint="eastAsia" w:ascii="Times New Roman" w:hAnsi="Times New Roman" w:eastAsia="仿宋_GB2312" w:cs="仿宋_GB2312"/>
          <w:color w:val="auto"/>
          <w:kern w:val="2"/>
          <w:sz w:val="32"/>
          <w:szCs w:val="32"/>
          <w:highlight w:val="none"/>
          <w:lang w:val="en-US" w:eastAsia="zh-CN" w:bidi="ar-SA"/>
        </w:rPr>
        <w:t>增加/减少</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万元。主要原因是</w:t>
      </w:r>
      <w:r>
        <w:rPr>
          <w:rFonts w:hint="eastAsia" w:eastAsia="仿宋_GB2312" w:cs="仿宋_GB2312"/>
          <w:color w:val="auto"/>
          <w:kern w:val="2"/>
          <w:sz w:val="32"/>
          <w:szCs w:val="32"/>
          <w:highlight w:val="none"/>
          <w:lang w:val="en-US" w:eastAsia="zh-CN" w:bidi="ar-SA"/>
        </w:rPr>
        <w:t>本单位无因公出国（境）需求。</w:t>
      </w:r>
    </w:p>
    <w:p w14:paraId="694F71F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2.公务用车购置及运行维护费支出</w:t>
      </w:r>
      <w:r>
        <w:rPr>
          <w:rFonts w:hint="eastAsia" w:ascii="仿宋_GB2312" w:hAnsi="仿宋_GB2312" w:eastAsia="仿宋_GB2312" w:cs="仿宋_GB2312"/>
          <w:b/>
          <w:bCs/>
          <w:color w:val="auto"/>
          <w:kern w:val="2"/>
          <w:sz w:val="32"/>
          <w:szCs w:val="32"/>
          <w:highlight w:val="none"/>
          <w:lang w:val="en-US" w:eastAsia="zh-CN" w:bidi="ar-SA"/>
        </w:rPr>
        <w:t>4</w:t>
      </w:r>
      <w:r>
        <w:rPr>
          <w:rFonts w:hint="eastAsia" w:ascii="Times New Roman" w:hAnsi="Times New Roman" w:eastAsia="仿宋_GB2312" w:cs="仿宋_GB2312"/>
          <w:b/>
          <w:bCs/>
          <w:color w:val="auto"/>
          <w:kern w:val="2"/>
          <w:sz w:val="32"/>
          <w:szCs w:val="32"/>
          <w:highlight w:val="none"/>
          <w:lang w:val="en-US" w:eastAsia="zh-CN" w:bidi="ar-SA"/>
        </w:rPr>
        <w:t>万元</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完成预算</w:t>
      </w:r>
      <w:r>
        <w:rPr>
          <w:rFonts w:hint="eastAsia" w:eastAsia="仿宋_GB2312" w:cs="仿宋_GB2312"/>
          <w:b/>
          <w:bCs/>
          <w:color w:val="auto"/>
          <w:kern w:val="2"/>
          <w:sz w:val="32"/>
          <w:szCs w:val="32"/>
          <w:highlight w:val="none"/>
          <w:lang w:val="en-US" w:eastAsia="zh-CN" w:bidi="ar-SA"/>
        </w:rPr>
        <w:t>100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公务用车购置及运行维护费支出决算比</w:t>
      </w:r>
      <w:r>
        <w:rPr>
          <w:rFonts w:hint="eastAsia" w:eastAsia="仿宋_GB2312" w:cs="仿宋_GB2312"/>
          <w:color w:val="auto"/>
          <w:kern w:val="2"/>
          <w:sz w:val="32"/>
          <w:szCs w:val="32"/>
          <w:highlight w:val="none"/>
          <w:lang w:val="en-US" w:eastAsia="zh-CN" w:bidi="ar-SA"/>
        </w:rPr>
        <w:t>上年度</w:t>
      </w:r>
      <w:r>
        <w:rPr>
          <w:rFonts w:hint="eastAsia" w:ascii="Times New Roman" w:hAnsi="Times New Roman" w:eastAsia="仿宋_GB2312" w:cs="仿宋_GB2312"/>
          <w:color w:val="auto"/>
          <w:kern w:val="2"/>
          <w:sz w:val="32"/>
          <w:szCs w:val="32"/>
          <w:highlight w:val="none"/>
          <w:lang w:val="en-US" w:eastAsia="zh-CN" w:bidi="ar-SA"/>
        </w:rPr>
        <w:t>增加</w:t>
      </w:r>
      <w:r>
        <w:rPr>
          <w:rFonts w:hint="eastAsia" w:eastAsia="仿宋_GB2312" w:cs="仿宋_GB2312"/>
          <w:color w:val="auto"/>
          <w:kern w:val="2"/>
          <w:sz w:val="32"/>
          <w:szCs w:val="32"/>
          <w:highlight w:val="none"/>
          <w:lang w:val="en-US" w:eastAsia="zh-CN" w:bidi="ar-SA"/>
        </w:rPr>
        <w:t>1.5</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60</w:t>
      </w:r>
      <w:r>
        <w:rPr>
          <w:rFonts w:hint="eastAsia" w:ascii="Times New Roman" w:hAnsi="Times New Roman" w:eastAsia="仿宋_GB2312" w:cs="仿宋_GB2312"/>
          <w:color w:val="auto"/>
          <w:kern w:val="2"/>
          <w:sz w:val="32"/>
          <w:szCs w:val="32"/>
          <w:highlight w:val="none"/>
          <w:lang w:val="en-US" w:eastAsia="zh-CN" w:bidi="ar-SA"/>
        </w:rPr>
        <w:t>%。主要原因是</w:t>
      </w:r>
      <w:r>
        <w:rPr>
          <w:rFonts w:hint="eastAsia" w:ascii="仿宋" w:hAnsi="仿宋" w:eastAsia="仿宋"/>
          <w:color w:val="auto"/>
          <w:sz w:val="32"/>
          <w:szCs w:val="32"/>
          <w:highlight w:val="none"/>
          <w:lang w:val="en-US" w:eastAsia="zh-CN"/>
        </w:rPr>
        <w:t>贯彻落实中央八项规定、厉行节约、过紧日子等有关要求，加强公务用车管理，从严控制和压缩“三公”经费。虽然有微小增长，但整体遵循节约原则，通过加强管理控制经费支出。</w:t>
      </w:r>
    </w:p>
    <w:p w14:paraId="421FD23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其中：公务用车购置支出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万元。全年按规定更新购置公务用车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辆，其中：轿车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万元，越野车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万元，载客汽车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年12月31日，单位共有公务用车</w:t>
      </w: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辆，其中：轿车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辆、越野车</w:t>
      </w: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辆、载客汽车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w:t>
      </w:r>
    </w:p>
    <w:p w14:paraId="5DED461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公务用车运行维护费支出</w:t>
      </w:r>
      <w:r>
        <w:rPr>
          <w:rFonts w:hint="eastAsia" w:ascii="仿宋_GB2312" w:hAnsi="仿宋_GB2312" w:eastAsia="仿宋_GB2312" w:cs="仿宋_GB2312"/>
          <w:sz w:val="32"/>
          <w:szCs w:val="32"/>
        </w:rPr>
        <w:t>4</w:t>
      </w:r>
      <w:r>
        <w:rPr>
          <w:rFonts w:hint="eastAsia" w:ascii="Times New Roman" w:hAnsi="Times New Roman" w:eastAsia="仿宋_GB2312" w:cs="仿宋_GB2312"/>
          <w:color w:val="auto"/>
          <w:kern w:val="2"/>
          <w:sz w:val="32"/>
          <w:szCs w:val="32"/>
          <w:highlight w:val="none"/>
          <w:lang w:val="en-US" w:eastAsia="zh-CN" w:bidi="ar-SA"/>
        </w:rPr>
        <w:t>万元。主要用于</w:t>
      </w:r>
      <w:r>
        <w:rPr>
          <w:rFonts w:hint="eastAsia" w:eastAsia="仿宋_GB2312" w:cs="仿宋_GB2312"/>
          <w:color w:val="auto"/>
          <w:kern w:val="2"/>
          <w:sz w:val="32"/>
          <w:szCs w:val="32"/>
          <w:highlight w:val="none"/>
          <w:lang w:val="en-US" w:eastAsia="zh-CN" w:bidi="ar-SA"/>
        </w:rPr>
        <w:t>工作</w:t>
      </w:r>
      <w:r>
        <w:rPr>
          <w:rFonts w:hint="eastAsia" w:ascii="Times New Roman" w:hAnsi="Times New Roman" w:eastAsia="仿宋_GB2312" w:cs="仿宋_GB2312"/>
          <w:color w:val="auto"/>
          <w:kern w:val="2"/>
          <w:sz w:val="32"/>
          <w:szCs w:val="32"/>
          <w:highlight w:val="none"/>
          <w:lang w:val="en-US" w:eastAsia="zh-CN" w:bidi="ar-SA"/>
        </w:rPr>
        <w:t>所需的公务用车燃料费、维修费、过路过桥费、保险费等支出。</w:t>
      </w:r>
    </w:p>
    <w:p w14:paraId="32BAAFFA">
      <w:pPr>
        <w:numPr>
          <w:ilvl w:val="0"/>
          <w:numId w:val="2"/>
        </w:num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公务接待费支出</w:t>
      </w:r>
      <w:r>
        <w:rPr>
          <w:rFonts w:hint="eastAsia" w:ascii="仿宋_GB2312" w:hAnsi="仿宋_GB2312"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100</w:t>
      </w:r>
      <w:r>
        <w:rPr>
          <w:rFonts w:hint="eastAsia" w:ascii="Times New Roman" w:hAnsi="Times New Roman" w:eastAsia="仿宋_GB2312" w:cs="仿宋_GB2312"/>
          <w:b/>
          <w:bCs/>
          <w:color w:val="auto"/>
          <w:kern w:val="2"/>
          <w:sz w:val="32"/>
          <w:szCs w:val="32"/>
          <w:highlight w:val="none"/>
          <w:lang w:val="en-US" w:eastAsia="zh-CN" w:bidi="ar-SA"/>
        </w:rPr>
        <w:t>%。</w:t>
      </w:r>
    </w:p>
    <w:p w14:paraId="13052A0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国内公务接待支出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万元。国内公务接待</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批次，</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人次（不包括陪同人员），共计支出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w:t>
      </w:r>
    </w:p>
    <w:p w14:paraId="529BDDF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外事接待支出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万元。外事接待</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批次，</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人次（不包括陪同人员），共计支出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w:t>
      </w:r>
    </w:p>
    <w:p w14:paraId="4897EAD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bookmarkStart w:id="34" w:name="_Toc15377218"/>
      <w:bookmarkStart w:id="35" w:name="_Toc15396610"/>
    </w:p>
    <w:p w14:paraId="393718F5">
      <w:pPr>
        <w:spacing w:line="600" w:lineRule="exact"/>
        <w:ind w:firstLine="640"/>
        <w:outlineLvl w:val="1"/>
        <w:rPr>
          <w:rStyle w:val="30"/>
          <w:rFonts w:ascii="Times New Roman" w:hAnsi="Times New Roman" w:eastAsia="黑体"/>
          <w:color w:val="auto"/>
          <w:highlight w:val="none"/>
        </w:rPr>
      </w:pPr>
      <w:r>
        <w:rPr>
          <w:rFonts w:hint="eastAsia" w:ascii="Times New Roman" w:hAnsi="Times New Roman" w:eastAsia="黑体"/>
          <w:color w:val="auto"/>
          <w:sz w:val="32"/>
          <w:szCs w:val="32"/>
          <w:highlight w:val="none"/>
        </w:rPr>
        <w:t>八、</w:t>
      </w:r>
      <w:r>
        <w:rPr>
          <w:rStyle w:val="30"/>
          <w:rFonts w:hint="eastAsia" w:ascii="Times New Roman" w:hAnsi="Times New Roman" w:eastAsia="黑体"/>
          <w:b w:val="0"/>
          <w:color w:val="auto"/>
          <w:highlight w:val="none"/>
        </w:rPr>
        <w:t>政府性基金预算支出决算情况说明</w:t>
      </w:r>
      <w:bookmarkEnd w:id="34"/>
      <w:bookmarkEnd w:id="35"/>
    </w:p>
    <w:p w14:paraId="0E2CB649">
      <w:pPr>
        <w:numPr>
          <w:ilvl w:val="0"/>
          <w:numId w:val="0"/>
        </w:numPr>
        <w:spacing w:line="600" w:lineRule="exact"/>
        <w:ind w:firstLine="640" w:firstLineChars="200"/>
        <w:outlineLvl w:val="1"/>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政府性基金预算财政拨款支出</w:t>
      </w:r>
      <w:r>
        <w:rPr>
          <w:rFonts w:hint="eastAsia" w:ascii="仿宋_GB2312" w:hAnsi="仿宋_GB2312" w:eastAsia="仿宋_GB2312" w:cs="仿宋_GB2312"/>
          <w:sz w:val="32"/>
          <w:szCs w:val="32"/>
        </w:rPr>
        <w:t>32.91</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4.2</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年度相比，政府性基金预算财政拨款支出增加</w:t>
      </w:r>
      <w:r>
        <w:rPr>
          <w:rFonts w:hint="eastAsia" w:eastAsia="仿宋_GB2312" w:cs="仿宋_GB2312"/>
          <w:color w:val="auto"/>
          <w:kern w:val="2"/>
          <w:sz w:val="32"/>
          <w:szCs w:val="32"/>
          <w:highlight w:val="none"/>
          <w:lang w:val="en-US" w:eastAsia="zh-CN" w:bidi="ar-SA"/>
        </w:rPr>
        <w:t>13.94</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73.48</w:t>
      </w:r>
      <w:r>
        <w:rPr>
          <w:rFonts w:hint="eastAsia" w:ascii="Times New Roman" w:hAnsi="Times New Roman" w:eastAsia="仿宋_GB2312" w:cs="仿宋_GB2312"/>
          <w:color w:val="auto"/>
          <w:kern w:val="2"/>
          <w:sz w:val="32"/>
          <w:szCs w:val="32"/>
          <w:highlight w:val="none"/>
          <w:lang w:val="en-US" w:eastAsia="zh-CN" w:bidi="ar-SA"/>
        </w:rPr>
        <w:t>%。主要变动原因是</w:t>
      </w:r>
      <w:bookmarkStart w:id="36" w:name="_Toc15396611"/>
      <w:bookmarkStart w:id="37" w:name="_Toc15377219"/>
      <w:r>
        <w:rPr>
          <w:rFonts w:hint="eastAsia" w:eastAsia="仿宋_GB2312" w:cs="仿宋_GB2312"/>
          <w:color w:val="auto"/>
          <w:kern w:val="2"/>
          <w:sz w:val="32"/>
          <w:szCs w:val="32"/>
          <w:highlight w:val="none"/>
          <w:lang w:val="en-US" w:eastAsia="zh-CN" w:bidi="ar-SA"/>
        </w:rPr>
        <w:t>2025年以旧换新工作开展较好，相关经费增加。</w:t>
      </w:r>
    </w:p>
    <w:p w14:paraId="719BACA8">
      <w:pPr>
        <w:numPr>
          <w:ilvl w:val="0"/>
          <w:numId w:val="0"/>
        </w:numPr>
        <w:spacing w:line="600" w:lineRule="exact"/>
        <w:ind w:left="630" w:leftChars="0"/>
        <w:outlineLvl w:val="1"/>
        <w:rPr>
          <w:rStyle w:val="30"/>
          <w:rFonts w:ascii="Times New Roman" w:hAnsi="Times New Roman" w:eastAsia="黑体"/>
          <w:b w:val="0"/>
          <w:color w:val="auto"/>
          <w:highlight w:val="none"/>
        </w:rPr>
      </w:pPr>
      <w:r>
        <w:rPr>
          <w:rStyle w:val="30"/>
          <w:rFonts w:hint="eastAsia" w:ascii="Times New Roman" w:hAnsi="Times New Roman" w:eastAsia="黑体"/>
          <w:b w:val="0"/>
          <w:color w:val="auto"/>
          <w:highlight w:val="none"/>
          <w:lang w:eastAsia="zh-CN"/>
        </w:rPr>
        <w:t>九、</w:t>
      </w:r>
      <w:r>
        <w:rPr>
          <w:rStyle w:val="30"/>
          <w:rFonts w:hint="eastAsia" w:ascii="Times New Roman" w:hAnsi="Times New Roman" w:eastAsia="黑体"/>
          <w:b w:val="0"/>
          <w:color w:val="auto"/>
          <w:highlight w:val="none"/>
        </w:rPr>
        <w:t>国有资本经营预算支出决算情况说明</w:t>
      </w:r>
      <w:bookmarkEnd w:id="36"/>
      <w:bookmarkEnd w:id="37"/>
    </w:p>
    <w:p w14:paraId="59BF50D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国有资本经营预算财政拨款支出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w:t>
      </w:r>
    </w:p>
    <w:p w14:paraId="0D557E71">
      <w:pPr>
        <w:numPr>
          <w:ilvl w:val="0"/>
          <w:numId w:val="0"/>
        </w:numPr>
        <w:spacing w:line="600" w:lineRule="exact"/>
        <w:ind w:left="630" w:leftChars="0"/>
        <w:outlineLvl w:val="1"/>
        <w:rPr>
          <w:rStyle w:val="30"/>
          <w:rFonts w:hint="eastAsia" w:ascii="Times New Roman" w:hAnsi="Times New Roman" w:eastAsia="黑体"/>
          <w:b w:val="0"/>
          <w:color w:val="auto"/>
          <w:highlight w:val="none"/>
        </w:rPr>
      </w:pPr>
      <w:bookmarkStart w:id="38" w:name="_Toc15396612"/>
      <w:bookmarkStart w:id="39" w:name="_Toc15377221"/>
      <w:r>
        <w:rPr>
          <w:rStyle w:val="30"/>
          <w:rFonts w:hint="eastAsia" w:ascii="Times New Roman" w:hAnsi="Times New Roman" w:eastAsia="黑体"/>
          <w:b w:val="0"/>
          <w:color w:val="auto"/>
          <w:highlight w:val="none"/>
          <w:lang w:eastAsia="zh-CN"/>
        </w:rPr>
        <w:t>十、</w:t>
      </w:r>
      <w:r>
        <w:rPr>
          <w:rStyle w:val="30"/>
          <w:rFonts w:hint="eastAsia" w:ascii="Times New Roman" w:hAnsi="Times New Roman" w:eastAsia="黑体"/>
          <w:b w:val="0"/>
          <w:color w:val="auto"/>
          <w:highlight w:val="none"/>
        </w:rPr>
        <w:t>其他重要事项的情况说明</w:t>
      </w:r>
      <w:bookmarkEnd w:id="38"/>
      <w:bookmarkEnd w:id="39"/>
    </w:p>
    <w:p w14:paraId="6289A508">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0" w:name="_Toc15377222"/>
      <w:r>
        <w:rPr>
          <w:rFonts w:hint="eastAsia" w:ascii="Times New Roman" w:hAnsi="Times New Roman" w:eastAsia="楷体_GB2312" w:cs="楷体_GB2312"/>
          <w:b/>
          <w:color w:val="auto"/>
          <w:sz w:val="32"/>
          <w:szCs w:val="32"/>
          <w:highlight w:val="none"/>
        </w:rPr>
        <w:t>（一）机关运行经费支出情况</w:t>
      </w:r>
      <w:bookmarkEnd w:id="40"/>
    </w:p>
    <w:p w14:paraId="40C66AD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hAnsi="仿宋_GB2312" w:eastAsia="仿宋_GB2312" w:cs="仿宋_GB2312"/>
          <w:sz w:val="32"/>
          <w:szCs w:val="32"/>
        </w:rPr>
        <w:t>松潘县经济商务和信息化局</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本级</w:t>
      </w:r>
      <w:r>
        <w:rPr>
          <w:rFonts w:hint="eastAsia" w:ascii="仿宋_GB2312" w:hAnsi="仿宋_GB2312" w:eastAsia="仿宋_GB2312" w:cs="仿宋_GB2312"/>
          <w:sz w:val="32"/>
          <w:szCs w:val="32"/>
          <w:lang w:eastAsia="zh-CN"/>
        </w:rPr>
        <w:t>）</w:t>
      </w:r>
      <w:r>
        <w:rPr>
          <w:rFonts w:hint="eastAsia" w:ascii="Times New Roman" w:hAnsi="Times New Roman" w:eastAsia="仿宋_GB2312" w:cs="仿宋_GB2312"/>
          <w:color w:val="auto"/>
          <w:kern w:val="2"/>
          <w:sz w:val="32"/>
          <w:szCs w:val="32"/>
          <w:highlight w:val="none"/>
          <w:lang w:val="en-US" w:eastAsia="zh-CN" w:bidi="ar-SA"/>
        </w:rPr>
        <w:t>机关运行经费支出</w:t>
      </w:r>
      <w:r>
        <w:rPr>
          <w:rFonts w:hint="eastAsia" w:ascii="仿宋_GB2312" w:hAnsi="仿宋_GB2312" w:eastAsia="仿宋_GB2312" w:cs="仿宋_GB2312"/>
          <w:sz w:val="32"/>
          <w:szCs w:val="32"/>
        </w:rPr>
        <w:t>19.4</w:t>
      </w:r>
      <w:r>
        <w:rPr>
          <w:rFonts w:hint="eastAsia" w:ascii="Times New Roman" w:hAnsi="Times New Roman" w:eastAsia="仿宋_GB2312" w:cs="仿宋_GB2312"/>
          <w:color w:val="auto"/>
          <w:kern w:val="2"/>
          <w:sz w:val="32"/>
          <w:szCs w:val="32"/>
          <w:highlight w:val="none"/>
          <w:lang w:val="en-US" w:eastAsia="zh-CN" w:bidi="ar-SA"/>
        </w:rPr>
        <w:t>万元，比</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年度减少</w:t>
      </w:r>
      <w:r>
        <w:rPr>
          <w:rFonts w:hint="eastAsia" w:eastAsia="仿宋_GB2312" w:cs="仿宋_GB2312"/>
          <w:color w:val="auto"/>
          <w:kern w:val="2"/>
          <w:sz w:val="32"/>
          <w:szCs w:val="32"/>
          <w:highlight w:val="none"/>
          <w:lang w:val="en-US" w:eastAsia="zh-CN" w:bidi="ar-SA"/>
        </w:rPr>
        <w:t>9.39</w:t>
      </w:r>
      <w:r>
        <w:rPr>
          <w:rFonts w:hint="eastAsia" w:ascii="Times New Roman" w:hAnsi="Times New Roman" w:eastAsia="仿宋_GB2312" w:cs="仿宋_GB2312"/>
          <w:color w:val="auto"/>
          <w:kern w:val="2"/>
          <w:sz w:val="32"/>
          <w:szCs w:val="32"/>
          <w:highlight w:val="none"/>
          <w:lang w:val="en-US" w:eastAsia="zh-CN" w:bidi="ar-SA"/>
        </w:rPr>
        <w:t>万元，下降</w:t>
      </w:r>
      <w:r>
        <w:rPr>
          <w:rFonts w:hint="eastAsia" w:eastAsia="仿宋_GB2312" w:cs="仿宋_GB2312"/>
          <w:color w:val="auto"/>
          <w:kern w:val="2"/>
          <w:sz w:val="32"/>
          <w:szCs w:val="32"/>
          <w:highlight w:val="none"/>
          <w:lang w:val="en-US" w:eastAsia="zh-CN" w:bidi="ar-SA"/>
        </w:rPr>
        <w:t>32.62</w:t>
      </w:r>
      <w:r>
        <w:rPr>
          <w:rFonts w:hint="eastAsia" w:ascii="Times New Roman" w:hAnsi="Times New Roman" w:eastAsia="仿宋_GB2312" w:cs="仿宋_GB2312"/>
          <w:color w:val="auto"/>
          <w:kern w:val="2"/>
          <w:sz w:val="32"/>
          <w:szCs w:val="32"/>
          <w:highlight w:val="none"/>
          <w:lang w:val="en-US" w:eastAsia="zh-CN" w:bidi="ar-SA"/>
        </w:rPr>
        <w:t>%。主要原因是</w:t>
      </w:r>
      <w:r>
        <w:rPr>
          <w:rFonts w:hint="eastAsia" w:eastAsia="仿宋_GB2312" w:cs="仿宋_GB2312"/>
          <w:color w:val="auto"/>
          <w:kern w:val="2"/>
          <w:sz w:val="32"/>
          <w:szCs w:val="32"/>
          <w:highlight w:val="none"/>
          <w:lang w:val="en-US" w:eastAsia="zh-CN" w:bidi="ar-SA"/>
        </w:rPr>
        <w:t>2024年产生了办公室维修维护费用，本年度未产生，所以较上年减少。</w:t>
      </w:r>
    </w:p>
    <w:p w14:paraId="0ECC9DDF">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1" w:name="_Toc15377223"/>
      <w:r>
        <w:rPr>
          <w:rFonts w:hint="eastAsia" w:ascii="Times New Roman" w:hAnsi="Times New Roman" w:eastAsia="楷体_GB2312" w:cs="楷体_GB2312"/>
          <w:b/>
          <w:color w:val="auto"/>
          <w:sz w:val="32"/>
          <w:szCs w:val="32"/>
          <w:highlight w:val="none"/>
        </w:rPr>
        <w:t>（二）政府采购支出情况</w:t>
      </w:r>
      <w:bookmarkEnd w:id="41"/>
    </w:p>
    <w:p w14:paraId="1778E48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hAnsi="仿宋_GB2312" w:eastAsia="仿宋_GB2312" w:cs="仿宋_GB2312"/>
          <w:sz w:val="32"/>
          <w:szCs w:val="32"/>
        </w:rPr>
        <w:t>松潘县经济商务和信息化局</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本级</w:t>
      </w:r>
      <w:r>
        <w:rPr>
          <w:rFonts w:hint="eastAsia" w:ascii="仿宋_GB2312" w:hAnsi="仿宋_GB2312" w:eastAsia="仿宋_GB2312" w:cs="仿宋_GB2312"/>
          <w:sz w:val="32"/>
          <w:szCs w:val="32"/>
          <w:lang w:eastAsia="zh-CN"/>
        </w:rPr>
        <w:t>）</w:t>
      </w:r>
      <w:r>
        <w:rPr>
          <w:rFonts w:hint="eastAsia" w:ascii="Times New Roman" w:hAnsi="Times New Roman" w:eastAsia="仿宋_GB2312" w:cs="仿宋_GB2312"/>
          <w:color w:val="auto"/>
          <w:kern w:val="2"/>
          <w:sz w:val="32"/>
          <w:szCs w:val="32"/>
          <w:highlight w:val="none"/>
          <w:lang w:val="en-US" w:eastAsia="zh-CN" w:bidi="ar-SA"/>
        </w:rPr>
        <w:t>政府采购支出总额</w:t>
      </w:r>
      <w:r>
        <w:rPr>
          <w:rFonts w:hint="eastAsia" w:ascii="仿宋_GB2312" w:hAnsi="仿宋_GB2312" w:eastAsia="仿宋_GB2312" w:cs="仿宋_GB2312"/>
          <w:sz w:val="32"/>
          <w:szCs w:val="32"/>
          <w:lang w:val="en-US" w:eastAsia="zh-CN"/>
        </w:rPr>
        <w:t>246.89</w:t>
      </w:r>
      <w:r>
        <w:rPr>
          <w:rFonts w:hint="eastAsia" w:ascii="Times New Roman" w:hAnsi="Times New Roman" w:eastAsia="仿宋_GB2312" w:cs="仿宋_GB2312"/>
          <w:color w:val="auto"/>
          <w:kern w:val="2"/>
          <w:sz w:val="32"/>
          <w:szCs w:val="32"/>
          <w:highlight w:val="none"/>
          <w:lang w:val="en-US" w:eastAsia="zh-CN" w:bidi="ar-SA"/>
        </w:rPr>
        <w:t>万元，其中：政府采购货物支出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万元、政府采购工程支出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万元、政府采购服务支出</w:t>
      </w:r>
      <w:r>
        <w:rPr>
          <w:rFonts w:hint="eastAsia" w:ascii="仿宋_GB2312" w:hAnsi="仿宋_GB2312" w:eastAsia="仿宋_GB2312" w:cs="仿宋_GB2312"/>
          <w:sz w:val="32"/>
          <w:szCs w:val="32"/>
          <w:lang w:val="en-US" w:eastAsia="zh-CN"/>
        </w:rPr>
        <w:t>246.89</w:t>
      </w:r>
      <w:r>
        <w:rPr>
          <w:rFonts w:hint="eastAsia" w:ascii="Times New Roman" w:hAnsi="Times New Roman" w:eastAsia="仿宋_GB2312" w:cs="仿宋_GB2312"/>
          <w:color w:val="auto"/>
          <w:kern w:val="2"/>
          <w:sz w:val="32"/>
          <w:szCs w:val="32"/>
          <w:highlight w:val="none"/>
          <w:lang w:val="en-US" w:eastAsia="zh-CN" w:bidi="ar-SA"/>
        </w:rPr>
        <w:t>万元。主要用于共建电商产业园及县电子商务公共服务中心运营服务</w:t>
      </w:r>
      <w:r>
        <w:rPr>
          <w:rFonts w:hint="eastAsia" w:eastAsia="仿宋_GB2312" w:cs="仿宋_GB2312"/>
          <w:color w:val="auto"/>
          <w:kern w:val="2"/>
          <w:sz w:val="32"/>
          <w:szCs w:val="32"/>
          <w:highlight w:val="none"/>
          <w:lang w:val="en-US" w:eastAsia="zh-CN" w:bidi="ar-SA"/>
        </w:rPr>
        <w:t>；松潘县区域品牌打造项目（</w:t>
      </w:r>
      <w:bookmarkStart w:id="61" w:name="_GoBack"/>
      <w:bookmarkEnd w:id="61"/>
      <w:r>
        <w:rPr>
          <w:rFonts w:hint="eastAsia" w:eastAsia="仿宋_GB2312" w:cs="仿宋_GB2312"/>
          <w:color w:val="auto"/>
          <w:kern w:val="2"/>
          <w:sz w:val="32"/>
          <w:szCs w:val="32"/>
          <w:highlight w:val="none"/>
          <w:lang w:val="en-US" w:eastAsia="zh-CN" w:bidi="ar-SA"/>
        </w:rPr>
        <w:t>含区域品牌申报、区域品牌推广、区域品牌平台建设）；“桐松杯”我为家乡代言网络直播大赛</w:t>
      </w:r>
      <w:r>
        <w:rPr>
          <w:rFonts w:hint="eastAsia" w:ascii="Times New Roman" w:hAnsi="Times New Roman" w:eastAsia="仿宋_GB2312" w:cs="仿宋_GB2312"/>
          <w:color w:val="auto"/>
          <w:kern w:val="2"/>
          <w:sz w:val="32"/>
          <w:szCs w:val="32"/>
          <w:highlight w:val="none"/>
          <w:lang w:val="en-US" w:eastAsia="zh-CN" w:bidi="ar-SA"/>
        </w:rPr>
        <w:t>。授予中小企业合同金额</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万元，占政府采购支出总额的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%，其中：授予小微企业合同金额</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万元，占政府采购支出总额的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w:t>
      </w:r>
    </w:p>
    <w:p w14:paraId="486E4BA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2A306382">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2" w:name="_Toc15377224"/>
      <w:r>
        <w:rPr>
          <w:rFonts w:hint="eastAsia" w:ascii="Times New Roman" w:hAnsi="Times New Roman" w:eastAsia="楷体_GB2312" w:cs="楷体_GB2312"/>
          <w:b/>
          <w:color w:val="auto"/>
          <w:sz w:val="32"/>
          <w:szCs w:val="32"/>
          <w:highlight w:val="none"/>
        </w:rPr>
        <w:t>（三）国有资产占有使用情况</w:t>
      </w:r>
      <w:bookmarkEnd w:id="42"/>
    </w:p>
    <w:p w14:paraId="3E2DF0A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w:t>
      </w:r>
      <w:r>
        <w:rPr>
          <w:rFonts w:hint="eastAsia" w:ascii="仿宋_GB2312" w:hAnsi="仿宋_GB2312" w:eastAsia="仿宋_GB2312" w:cs="仿宋_GB2312"/>
          <w:sz w:val="32"/>
          <w:szCs w:val="32"/>
        </w:rPr>
        <w:t>松潘县经济商务和信息化局</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本级</w:t>
      </w:r>
      <w:r>
        <w:rPr>
          <w:rFonts w:hint="eastAsia" w:ascii="仿宋_GB2312" w:hAnsi="仿宋_GB2312" w:eastAsia="仿宋_GB2312" w:cs="仿宋_GB2312"/>
          <w:sz w:val="32"/>
          <w:szCs w:val="32"/>
          <w:lang w:eastAsia="zh-CN"/>
        </w:rPr>
        <w:t>）</w:t>
      </w:r>
      <w:r>
        <w:rPr>
          <w:rFonts w:hint="eastAsia" w:ascii="Times New Roman" w:hAnsi="Times New Roman" w:eastAsia="仿宋_GB2312" w:cs="仿宋_GB2312"/>
          <w:color w:val="auto"/>
          <w:kern w:val="2"/>
          <w:sz w:val="32"/>
          <w:szCs w:val="32"/>
          <w:highlight w:val="none"/>
          <w:lang w:val="en-US" w:eastAsia="zh-CN" w:bidi="ar-SA"/>
        </w:rPr>
        <w:t>共有车辆</w:t>
      </w:r>
      <w:r>
        <w:rPr>
          <w:rFonts w:hint="eastAsia" w:ascii="仿宋_GB2312" w:hAnsi="仿宋_GB2312" w:eastAsia="仿宋_GB2312" w:cs="仿宋_GB2312"/>
          <w:sz w:val="32"/>
          <w:szCs w:val="32"/>
        </w:rPr>
        <w:t>1</w:t>
      </w:r>
      <w:r>
        <w:rPr>
          <w:rFonts w:hint="eastAsia" w:ascii="Times New Roman" w:hAnsi="Times New Roman" w:eastAsia="仿宋_GB2312" w:cs="仿宋_GB2312"/>
          <w:color w:val="auto"/>
          <w:kern w:val="2"/>
          <w:sz w:val="32"/>
          <w:szCs w:val="32"/>
          <w:highlight w:val="none"/>
          <w:lang w:val="en-US" w:eastAsia="zh-CN" w:bidi="ar-SA"/>
        </w:rPr>
        <w:t>辆，其中：副部（省）级及以上领导用车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辆、主要</w:t>
      </w:r>
      <w:r>
        <w:rPr>
          <w:rFonts w:hint="eastAsia" w:eastAsia="仿宋_GB2312" w:cs="仿宋_GB2312"/>
          <w:color w:val="auto"/>
          <w:kern w:val="2"/>
          <w:sz w:val="32"/>
          <w:szCs w:val="32"/>
          <w:highlight w:val="none"/>
          <w:lang w:val="en-US" w:eastAsia="zh-CN" w:bidi="ar-SA"/>
        </w:rPr>
        <w:t>负责人</w:t>
      </w:r>
      <w:r>
        <w:rPr>
          <w:rFonts w:hint="eastAsia" w:ascii="Times New Roman" w:hAnsi="Times New Roman" w:eastAsia="仿宋_GB2312" w:cs="仿宋_GB2312"/>
          <w:color w:val="auto"/>
          <w:kern w:val="2"/>
          <w:sz w:val="32"/>
          <w:szCs w:val="32"/>
          <w:highlight w:val="none"/>
          <w:lang w:val="en-US" w:eastAsia="zh-CN" w:bidi="ar-SA"/>
        </w:rPr>
        <w:t>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辆、机要通信用车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辆、应急保障用车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辆、执法执勤用车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辆、特种专业技术用车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辆、离退休干部服务用车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辆、其他用车</w:t>
      </w:r>
      <w:r>
        <w:rPr>
          <w:rFonts w:hint="eastAsia" w:ascii="仿宋_GB2312" w:hAnsi="仿宋_GB2312" w:eastAsia="仿宋_GB2312" w:cs="仿宋_GB2312"/>
          <w:sz w:val="32"/>
          <w:szCs w:val="32"/>
        </w:rPr>
        <w:t>1</w:t>
      </w:r>
      <w:r>
        <w:rPr>
          <w:rFonts w:hint="eastAsia" w:ascii="Times New Roman" w:hAnsi="Times New Roman" w:eastAsia="仿宋_GB2312" w:cs="仿宋_GB2312"/>
          <w:color w:val="auto"/>
          <w:kern w:val="2"/>
          <w:sz w:val="32"/>
          <w:szCs w:val="32"/>
          <w:highlight w:val="none"/>
          <w:lang w:val="en-US" w:eastAsia="zh-CN" w:bidi="ar-SA"/>
        </w:rPr>
        <w:t>辆，其他用车主要是用于……</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单价100万元</w:t>
      </w:r>
      <w:r>
        <w:rPr>
          <w:rFonts w:hint="eastAsia" w:eastAsia="仿宋_GB2312" w:cs="仿宋_GB2312"/>
          <w:color w:val="auto"/>
          <w:kern w:val="2"/>
          <w:sz w:val="32"/>
          <w:szCs w:val="32"/>
          <w:highlight w:val="none"/>
          <w:lang w:val="en-US" w:eastAsia="zh-CN" w:bidi="ar-SA"/>
        </w:rPr>
        <w:t>（含）</w:t>
      </w:r>
      <w:r>
        <w:rPr>
          <w:rFonts w:hint="eastAsia" w:ascii="Times New Roman" w:hAnsi="Times New Roman" w:eastAsia="仿宋_GB2312" w:cs="仿宋_GB2312"/>
          <w:color w:val="auto"/>
          <w:kern w:val="2"/>
          <w:sz w:val="32"/>
          <w:szCs w:val="32"/>
          <w:highlight w:val="none"/>
          <w:lang w:val="en-US" w:eastAsia="zh-CN" w:bidi="ar-SA"/>
        </w:rPr>
        <w:t>以上设备（不含车辆）</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台（套）。</w:t>
      </w:r>
    </w:p>
    <w:p w14:paraId="4E48F13E">
      <w:pPr>
        <w:autoSpaceDE w:val="0"/>
        <w:autoSpaceDN w:val="0"/>
        <w:adjustRightInd w:val="0"/>
        <w:spacing w:line="600" w:lineRule="exact"/>
        <w:ind w:firstLine="643" w:firstLineChars="200"/>
        <w:jc w:val="left"/>
        <w:outlineLvl w:val="2"/>
        <w:rPr>
          <w:rFonts w:hint="eastAsia" w:ascii="仿宋" w:hAnsi="仿宋" w:eastAsia="仿宋"/>
          <w:b/>
          <w:color w:val="auto"/>
          <w:sz w:val="32"/>
          <w:szCs w:val="32"/>
          <w:highlight w:val="none"/>
          <w:lang w:eastAsia="zh-CN"/>
        </w:rPr>
      </w:pPr>
      <w:r>
        <w:rPr>
          <w:rFonts w:hint="eastAsia" w:ascii="仿宋" w:hAnsi="仿宋" w:eastAsia="仿宋"/>
          <w:b/>
          <w:color w:val="auto"/>
          <w:sz w:val="32"/>
          <w:szCs w:val="32"/>
          <w:highlight w:val="none"/>
        </w:rPr>
        <w:t>（四）预算绩效管理情况</w:t>
      </w:r>
    </w:p>
    <w:p w14:paraId="4A77E2F2">
      <w:pPr>
        <w:pStyle w:val="2"/>
        <w:rPr>
          <w:rFonts w:hint="eastAsia"/>
          <w:lang w:val="en-US" w:eastAsia="zh-CN"/>
        </w:rPr>
      </w:pPr>
    </w:p>
    <w:p w14:paraId="7451E6E2">
      <w:pPr>
        <w:pStyle w:val="3"/>
        <w:rPr>
          <w:rFonts w:hint="eastAsia"/>
          <w:lang w:val="en-US" w:eastAsia="zh-CN"/>
        </w:rPr>
      </w:pPr>
    </w:p>
    <w:p w14:paraId="5095E16D">
      <w:pPr>
        <w:pStyle w:val="3"/>
        <w:rPr>
          <w:rFonts w:hint="eastAsia"/>
          <w:lang w:val="en-US" w:eastAsia="zh-CN"/>
        </w:rPr>
      </w:pPr>
    </w:p>
    <w:p w14:paraId="4F8A27B7">
      <w:pPr>
        <w:pStyle w:val="3"/>
        <w:rPr>
          <w:rFonts w:hint="eastAsia"/>
          <w:lang w:val="en-US" w:eastAsia="zh-CN"/>
        </w:rPr>
      </w:pPr>
    </w:p>
    <w:p w14:paraId="4A137CAA">
      <w:pPr>
        <w:pStyle w:val="3"/>
        <w:rPr>
          <w:rFonts w:hint="eastAsia"/>
          <w:lang w:val="en-US" w:eastAsia="zh-CN"/>
        </w:rPr>
      </w:pPr>
    </w:p>
    <w:p w14:paraId="18B42F3A">
      <w:pPr>
        <w:pStyle w:val="3"/>
        <w:rPr>
          <w:rFonts w:hint="eastAsia"/>
          <w:lang w:val="en-US" w:eastAsia="zh-CN"/>
        </w:rPr>
      </w:pPr>
    </w:p>
    <w:p w14:paraId="6D0FE2B2">
      <w:pPr>
        <w:pStyle w:val="3"/>
        <w:rPr>
          <w:rFonts w:hint="eastAsia"/>
          <w:lang w:val="en-US" w:eastAsia="zh-CN"/>
        </w:rPr>
      </w:pPr>
    </w:p>
    <w:p w14:paraId="1B9C209C">
      <w:pPr>
        <w:pStyle w:val="3"/>
        <w:rPr>
          <w:rFonts w:hint="eastAsia"/>
          <w:lang w:val="en-US" w:eastAsia="zh-CN"/>
        </w:rPr>
      </w:pPr>
    </w:p>
    <w:p w14:paraId="2B6ED1B5">
      <w:pPr>
        <w:pStyle w:val="3"/>
        <w:rPr>
          <w:rFonts w:hint="eastAsia"/>
          <w:lang w:val="en-US" w:eastAsia="zh-CN"/>
        </w:rPr>
      </w:pPr>
    </w:p>
    <w:p w14:paraId="3B530E4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2E1579F7">
      <w:pPr>
        <w:numPr>
          <w:ilvl w:val="0"/>
          <w:numId w:val="0"/>
        </w:numPr>
        <w:spacing w:line="600" w:lineRule="exact"/>
        <w:jc w:val="center"/>
        <w:outlineLvl w:val="0"/>
        <w:rPr>
          <w:rFonts w:hint="eastAsia" w:ascii="Times New Roman" w:hAnsi="Times New Roman" w:eastAsia="黑体"/>
          <w:color w:val="auto"/>
          <w:sz w:val="44"/>
          <w:szCs w:val="44"/>
          <w:highlight w:val="none"/>
        </w:rPr>
      </w:pPr>
      <w:bookmarkStart w:id="43" w:name="_Toc15396613"/>
      <w:bookmarkStart w:id="44" w:name="_Toc15377225"/>
      <w:r>
        <w:rPr>
          <w:rFonts w:hint="eastAsia" w:ascii="Times New Roman" w:hAnsi="Times New Roman" w:eastAsia="黑体"/>
          <w:color w:val="auto"/>
          <w:sz w:val="44"/>
          <w:szCs w:val="44"/>
          <w:highlight w:val="none"/>
        </w:rPr>
        <w:t>第</w:t>
      </w:r>
      <w:r>
        <w:rPr>
          <w:rFonts w:hint="eastAsia" w:eastAsia="黑体"/>
          <w:color w:val="auto"/>
          <w:sz w:val="44"/>
          <w:szCs w:val="44"/>
          <w:highlight w:val="none"/>
          <w:lang w:eastAsia="zh-CN"/>
        </w:rPr>
        <w:t>三</w:t>
      </w:r>
      <w:r>
        <w:rPr>
          <w:rFonts w:hint="eastAsia" w:ascii="Times New Roman" w:hAnsi="Times New Roman" w:eastAsia="黑体"/>
          <w:color w:val="auto"/>
          <w:sz w:val="44"/>
          <w:szCs w:val="44"/>
          <w:highlight w:val="none"/>
        </w:rPr>
        <w:t>部分</w:t>
      </w:r>
      <w:r>
        <w:rPr>
          <w:rFonts w:hint="eastAsia" w:ascii="Times New Roman" w:hAnsi="Times New Roman" w:eastAsia="黑体"/>
          <w:color w:val="auto"/>
          <w:sz w:val="44"/>
          <w:szCs w:val="44"/>
          <w:highlight w:val="none"/>
          <w:lang w:val="en-US" w:eastAsia="zh-CN"/>
        </w:rPr>
        <w:t xml:space="preserve"> </w:t>
      </w:r>
      <w:r>
        <w:rPr>
          <w:rFonts w:hint="eastAsia"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名词解释</w:t>
      </w:r>
      <w:bookmarkEnd w:id="43"/>
      <w:bookmarkEnd w:id="44"/>
    </w:p>
    <w:p w14:paraId="0221C017">
      <w:pPr>
        <w:spacing w:line="600" w:lineRule="exact"/>
        <w:jc w:val="left"/>
        <w:rPr>
          <w:rFonts w:ascii="Times New Roman" w:hAnsi="Times New Roman"/>
          <w:b/>
          <w:color w:val="auto"/>
          <w:sz w:val="44"/>
          <w:szCs w:val="44"/>
          <w:highlight w:val="none"/>
        </w:rPr>
      </w:pPr>
    </w:p>
    <w:p w14:paraId="52EF5EF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1.财政拨款收入：指单位从同级财政部门取得的财政预算资金。</w:t>
      </w:r>
    </w:p>
    <w:p w14:paraId="68E2ACB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2.事业收入：指事业单位开展专业业务活动及辅助活动取得的收入。如……（二级预算单位事业收入情况）等。</w:t>
      </w:r>
    </w:p>
    <w:p w14:paraId="54349AC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3.经营收入：指事业单位在专业业务活动及其辅助活动之外开展非独立核算经营活动取得的收入。如……（二级预算单位经营收入情况）等。</w:t>
      </w:r>
    </w:p>
    <w:p w14:paraId="3576E32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4.其他收入：指单位取得的除上述收入以外的各项收入。主要是……（收入类型）等。 </w:t>
      </w:r>
    </w:p>
    <w:p w14:paraId="0503DF5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5.使用非财政拨款结余（含专用结余）：指事业单位使用以前年度积累的非财政拨款结余弥补当年收支差额的金额。 </w:t>
      </w:r>
    </w:p>
    <w:p w14:paraId="034727F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6.年初结转和结余：指以前年度尚未完成、结转到本年按有关规定继续使用的资金。 </w:t>
      </w:r>
    </w:p>
    <w:p w14:paraId="44AE299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7.结余分配：指事业单位按照会计制度规定缴纳的所得税、提取的专用结余以及转入非财政拨款结余的金额等。</w:t>
      </w:r>
    </w:p>
    <w:p w14:paraId="418237E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8.年末结转和结余：指单位按有关规定结转到下年或以后年度继续使用的资金。</w:t>
      </w:r>
    </w:p>
    <w:p w14:paraId="700976F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9.一般公共服务（类）……（款）……（项）：指……</w:t>
      </w:r>
    </w:p>
    <w:p w14:paraId="11FE82E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10.外交（类）……（款）……（项）：指……</w:t>
      </w:r>
    </w:p>
    <w:p w14:paraId="26A266C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11.公共安全（类）……（款）……（项）：指……</w:t>
      </w:r>
    </w:p>
    <w:p w14:paraId="3C75EF3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12.教育（类）……（款）……（项）：指……</w:t>
      </w:r>
    </w:p>
    <w:p w14:paraId="5F61616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13.科学技术（类）……（款）……（项）：指……</w:t>
      </w:r>
    </w:p>
    <w:p w14:paraId="65BF7CE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14.文化旅游体育与传媒（类）……（款）……（项）：指……</w:t>
      </w:r>
    </w:p>
    <w:p w14:paraId="26E0D04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15.社会保障和就业（类）……（款）……（项）：指……</w:t>
      </w:r>
    </w:p>
    <w:p w14:paraId="1C8B7D2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16.卫生健康（类）……（款）……（项）：指……</w:t>
      </w:r>
    </w:p>
    <w:p w14:paraId="6BA0356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17.节能环保（类）……（款）……（项）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指……</w:t>
      </w:r>
    </w:p>
    <w:p w14:paraId="0BB0BAA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18.城乡社区（类）……（款）……（项）：指……</w:t>
      </w:r>
    </w:p>
    <w:p w14:paraId="3389664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19.农林水（类）……（款）……（项）：指……</w:t>
      </w:r>
    </w:p>
    <w:p w14:paraId="7D63C5F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20.交通运输（类）……（款）……（项）：指……</w:t>
      </w:r>
    </w:p>
    <w:p w14:paraId="74CA577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21.资源勘探工业信息等（类）……（款）……（项）：指……</w:t>
      </w:r>
    </w:p>
    <w:p w14:paraId="7650D22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22.商业服务业（类）……（款）……（项）：指……</w:t>
      </w:r>
    </w:p>
    <w:p w14:paraId="702C8D8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23.金融（类）……（款）……（项）：指……</w:t>
      </w:r>
    </w:p>
    <w:p w14:paraId="373EE43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24.自然资源海洋气象等（类）……（款）……（项）：指……</w:t>
      </w:r>
    </w:p>
    <w:p w14:paraId="36F6D10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25.住房保障（类）……（款）……（项）：指……</w:t>
      </w:r>
    </w:p>
    <w:p w14:paraId="3FE9562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26.粮油物资储备（类）……（款）……（项）：指……</w:t>
      </w:r>
    </w:p>
    <w:p w14:paraId="20E9C6E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w:t>
      </w:r>
    </w:p>
    <w:p w14:paraId="425CD5E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w:t>
      </w:r>
      <w:r>
        <w:rPr>
          <w:rFonts w:hint="eastAsia" w:eastAsia="仿宋_GB2312" w:cs="仿宋_GB2312"/>
          <w:b/>
          <w:bCs/>
          <w:color w:val="auto"/>
          <w:kern w:val="2"/>
          <w:sz w:val="32"/>
          <w:szCs w:val="32"/>
          <w:highlight w:val="none"/>
          <w:lang w:val="en-US" w:eastAsia="zh-CN" w:bidi="ar-SA"/>
        </w:rPr>
        <w:t>注：</w:t>
      </w:r>
      <w:r>
        <w:rPr>
          <w:rFonts w:hint="eastAsia" w:ascii="Times New Roman" w:hAnsi="Times New Roman" w:eastAsia="仿宋_GB2312" w:cs="仿宋_GB2312"/>
          <w:b/>
          <w:bCs/>
          <w:color w:val="auto"/>
          <w:kern w:val="2"/>
          <w:sz w:val="32"/>
          <w:szCs w:val="32"/>
          <w:highlight w:val="none"/>
          <w:lang w:val="en-US" w:eastAsia="zh-CN" w:bidi="ar-SA"/>
        </w:rPr>
        <w:t>解释本部门决算报表中涉及的全部功能分类科目至项级，不涉及的科目请自行删除。请参照</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202</w:t>
      </w:r>
      <w:r>
        <w:rPr>
          <w:rFonts w:hint="eastAsia" w:eastAsia="仿宋_GB2312" w:cs="仿宋_GB2312"/>
          <w:b/>
          <w:bCs/>
          <w:color w:val="auto"/>
          <w:kern w:val="2"/>
          <w:sz w:val="32"/>
          <w:szCs w:val="32"/>
          <w:highlight w:val="none"/>
          <w:lang w:val="en-US" w:eastAsia="zh-CN" w:bidi="ar-SA"/>
        </w:rPr>
        <w:t>5</w:t>
      </w:r>
      <w:r>
        <w:rPr>
          <w:rFonts w:hint="eastAsia" w:ascii="Times New Roman" w:hAnsi="Times New Roman" w:eastAsia="仿宋_GB2312" w:cs="仿宋_GB2312"/>
          <w:b/>
          <w:bCs/>
          <w:color w:val="auto"/>
          <w:kern w:val="2"/>
          <w:sz w:val="32"/>
          <w:szCs w:val="32"/>
          <w:highlight w:val="none"/>
          <w:lang w:val="en-US" w:eastAsia="zh-CN" w:bidi="ar-SA"/>
        </w:rPr>
        <w:t>年政府收支分类科目</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增减内容）</w:t>
      </w:r>
    </w:p>
    <w:p w14:paraId="0B28987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27.基本支出：指为保障机构正常运转、完成日常工作任务而发生的人员支出和公用支出。</w:t>
      </w:r>
    </w:p>
    <w:p w14:paraId="47C7093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28.项目支出：指在基本支出之外为完成特定行政任务和事业发展目标所发生的支出。 </w:t>
      </w:r>
    </w:p>
    <w:p w14:paraId="77478A5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29.经营支出：指事业单位在专业业务活动及其辅助活动之外开展非独立核算经营活动发生的支出。</w:t>
      </w:r>
    </w:p>
    <w:p w14:paraId="34DA845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30.</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三公</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6A0D966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31.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48B2541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32.……</w:t>
      </w:r>
    </w:p>
    <w:p w14:paraId="0DDB4748">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（注：名词解释部分请根据各部门实际列支情况罗列，并根据本部门职责职能增减名词解释内容）</w:t>
      </w:r>
    </w:p>
    <w:p w14:paraId="2B1EA105">
      <w:pPr>
        <w:spacing w:line="600" w:lineRule="exact"/>
        <w:jc w:val="center"/>
        <w:rPr>
          <w:rStyle w:val="29"/>
          <w:rFonts w:hint="eastAsia" w:ascii="Times New Roman" w:hAnsi="Times New Roman" w:eastAsia="黑体"/>
          <w:b w:val="0"/>
          <w:color w:val="auto"/>
          <w:highlight w:val="none"/>
          <w:lang w:eastAsia="zh-CN"/>
        </w:rPr>
      </w:pPr>
      <w:bookmarkStart w:id="45" w:name="_Toc15377226"/>
      <w:r>
        <w:rPr>
          <w:rFonts w:hint="eastAsia" w:ascii="Times New Roman" w:hAnsi="Times New Roman" w:eastAsia="仿宋_GB2312" w:cs="仿宋_GB2312"/>
          <w:color w:val="auto"/>
          <w:kern w:val="2"/>
          <w:sz w:val="32"/>
          <w:szCs w:val="32"/>
          <w:highlight w:val="none"/>
          <w:lang w:val="en-US" w:eastAsia="zh-CN" w:bidi="ar-SA"/>
        </w:rPr>
        <w:br w:type="page"/>
      </w:r>
      <w:bookmarkStart w:id="46" w:name="_Toc15396614"/>
      <w:r>
        <w:rPr>
          <w:rFonts w:hint="eastAsia" w:ascii="Times New Roman" w:hAnsi="Times New Roman" w:eastAsia="黑体"/>
          <w:color w:val="auto"/>
          <w:sz w:val="44"/>
          <w:szCs w:val="44"/>
          <w:highlight w:val="none"/>
        </w:rPr>
        <w:t>第四部分</w:t>
      </w:r>
      <w:r>
        <w:rPr>
          <w:rFonts w:hint="eastAsia" w:ascii="Times New Roman" w:hAnsi="Times New Roman"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 xml:space="preserve"> 附件</w:t>
      </w:r>
      <w:bookmarkEnd w:id="46"/>
    </w:p>
    <w:p w14:paraId="628731EC">
      <w:pPr>
        <w:keepNext w:val="0"/>
        <w:keepLines w:val="0"/>
        <w:pageBreakBefore w:val="0"/>
        <w:kinsoku/>
        <w:wordWrap/>
        <w:overflowPunct/>
        <w:topLinePunct w:val="0"/>
        <w:autoSpaceDE/>
        <w:autoSpaceDN/>
        <w:bidi w:val="0"/>
        <w:spacing w:line="572" w:lineRule="exact"/>
        <w:jc w:val="left"/>
        <w:textAlignment w:val="auto"/>
        <w:outlineLvl w:val="0"/>
        <w:rPr>
          <w:rFonts w:hint="eastAsia" w:ascii="Times New Roman" w:hAnsi="Times New Roman" w:eastAsia="黑体" w:cs="黑体"/>
          <w:color w:val="FF0000"/>
          <w:sz w:val="32"/>
          <w:szCs w:val="32"/>
          <w:highlight w:val="none"/>
        </w:rPr>
      </w:pPr>
    </w:p>
    <w:p w14:paraId="17182C7B">
      <w:pPr>
        <w:widowControl/>
        <w:jc w:val="center"/>
        <w:rPr>
          <w:rFonts w:hint="eastAsia" w:ascii="Times New Roman" w:hAnsi="Times New Roman" w:eastAsia="仿宋"/>
          <w:b w:val="0"/>
          <w:color w:val="auto"/>
          <w:highlight w:val="none"/>
        </w:rPr>
      </w:pPr>
      <w:bookmarkStart w:id="47" w:name="_Toc15396618"/>
      <w:r>
        <w:rPr>
          <w:rFonts w:hint="eastAsia" w:ascii="Times New Roman" w:hAnsi="Times New Roman" w:eastAsia="黑体"/>
          <w:color w:val="auto"/>
          <w:sz w:val="44"/>
          <w:szCs w:val="44"/>
          <w:highlight w:val="none"/>
        </w:rPr>
        <w:t>第</w:t>
      </w:r>
      <w:r>
        <w:rPr>
          <w:rStyle w:val="29"/>
          <w:rFonts w:hint="eastAsia" w:ascii="Times New Roman" w:hAnsi="Times New Roman" w:eastAsia="黑体"/>
          <w:b w:val="0"/>
          <w:color w:val="auto"/>
          <w:highlight w:val="none"/>
        </w:rPr>
        <w:t>五部分 附表</w:t>
      </w:r>
      <w:bookmarkEnd w:id="45"/>
      <w:bookmarkEnd w:id="47"/>
      <w:bookmarkStart w:id="48" w:name="_Toc15396619"/>
    </w:p>
    <w:p w14:paraId="2C0D8946">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p>
    <w:p w14:paraId="5CB0F3BB">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bookmarkEnd w:id="48"/>
    </w:p>
    <w:p w14:paraId="0C46FD7B">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49" w:name="_Toc15396620"/>
      <w:r>
        <w:rPr>
          <w:rFonts w:hint="eastAsia" w:ascii="Times New Roman" w:hAnsi="Times New Roman" w:eastAsia="仿宋_GB2312" w:cs="仿宋_GB2312"/>
          <w:color w:val="auto"/>
          <w:sz w:val="32"/>
          <w:szCs w:val="32"/>
          <w:highlight w:val="none"/>
        </w:rPr>
        <w:t>二、收入决算表</w:t>
      </w:r>
      <w:bookmarkEnd w:id="49"/>
    </w:p>
    <w:p w14:paraId="0A3F943F">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0" w:name="_Toc15396621"/>
      <w:r>
        <w:rPr>
          <w:rFonts w:hint="eastAsia" w:ascii="Times New Roman" w:hAnsi="Times New Roman" w:eastAsia="仿宋_GB2312" w:cs="仿宋_GB2312"/>
          <w:color w:val="auto"/>
          <w:sz w:val="32"/>
          <w:szCs w:val="32"/>
          <w:highlight w:val="none"/>
        </w:rPr>
        <w:t>三、支出决算表</w:t>
      </w:r>
      <w:bookmarkEnd w:id="50"/>
    </w:p>
    <w:p w14:paraId="2F52C54D">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1" w:name="_Toc15396622"/>
      <w:r>
        <w:rPr>
          <w:rFonts w:hint="eastAsia" w:ascii="Times New Roman" w:hAnsi="Times New Roman" w:eastAsia="仿宋_GB2312" w:cs="仿宋_GB2312"/>
          <w:color w:val="auto"/>
          <w:sz w:val="32"/>
          <w:szCs w:val="32"/>
          <w:highlight w:val="none"/>
        </w:rPr>
        <w:t>四、财政拨款收入支出决算总表</w:t>
      </w:r>
      <w:bookmarkEnd w:id="51"/>
    </w:p>
    <w:p w14:paraId="341F9F31">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2" w:name="_Toc15396623"/>
      <w:r>
        <w:rPr>
          <w:rFonts w:hint="eastAsia" w:ascii="Times New Roman" w:hAnsi="Times New Roman" w:eastAsia="仿宋_GB2312" w:cs="仿宋_GB2312"/>
          <w:color w:val="auto"/>
          <w:sz w:val="32"/>
          <w:szCs w:val="32"/>
          <w:highlight w:val="none"/>
        </w:rPr>
        <w:t>五、财政拨款支出决算明细表</w:t>
      </w:r>
      <w:bookmarkEnd w:id="52"/>
      <w:bookmarkStart w:id="53" w:name="_Toc15396624"/>
    </w:p>
    <w:p w14:paraId="464C9D07">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bookmarkEnd w:id="53"/>
    </w:p>
    <w:p w14:paraId="3CB6E344">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4" w:name="_Toc15396625"/>
      <w:r>
        <w:rPr>
          <w:rFonts w:hint="eastAsia" w:ascii="Times New Roman" w:hAnsi="Times New Roman" w:eastAsia="仿宋_GB2312" w:cs="仿宋_GB2312"/>
          <w:color w:val="auto"/>
          <w:sz w:val="32"/>
          <w:szCs w:val="32"/>
          <w:highlight w:val="none"/>
        </w:rPr>
        <w:t>七、一般公共预算财政拨款支出决算明细表</w:t>
      </w:r>
      <w:bookmarkEnd w:id="54"/>
    </w:p>
    <w:p w14:paraId="096FE8D4">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5" w:name="_Toc15396626"/>
      <w:r>
        <w:rPr>
          <w:rFonts w:hint="eastAsia" w:ascii="Times New Roman" w:hAnsi="Times New Roman" w:eastAsia="仿宋_GB2312" w:cs="仿宋_GB2312"/>
          <w:color w:val="auto"/>
          <w:sz w:val="32"/>
          <w:szCs w:val="32"/>
          <w:highlight w:val="none"/>
        </w:rPr>
        <w:t>八、一般公共预算财政拨款基本支出决算表</w:t>
      </w:r>
      <w:bookmarkEnd w:id="55"/>
    </w:p>
    <w:p w14:paraId="1D6AEEF4">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6" w:name="_Toc15396627"/>
      <w:r>
        <w:rPr>
          <w:rFonts w:hint="eastAsia" w:ascii="Times New Roman" w:hAnsi="Times New Roman" w:eastAsia="仿宋_GB2312" w:cs="仿宋_GB2312"/>
          <w:color w:val="auto"/>
          <w:sz w:val="32"/>
          <w:szCs w:val="32"/>
          <w:highlight w:val="none"/>
        </w:rPr>
        <w:t>九、一般公共预算财政拨款项目支出决算表</w:t>
      </w:r>
      <w:bookmarkEnd w:id="56"/>
    </w:p>
    <w:p w14:paraId="158C9A2A">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7" w:name="_Toc15396628"/>
      <w:r>
        <w:rPr>
          <w:rFonts w:hint="eastAsia" w:ascii="Times New Roman" w:hAnsi="Times New Roman" w:eastAsia="仿宋_GB2312" w:cs="仿宋_GB2312"/>
          <w:color w:val="auto"/>
          <w:sz w:val="32"/>
          <w:szCs w:val="32"/>
          <w:highlight w:val="none"/>
        </w:rPr>
        <w:t>十、</w:t>
      </w:r>
      <w:bookmarkEnd w:id="57"/>
      <w:r>
        <w:rPr>
          <w:rFonts w:hint="eastAsia" w:ascii="Times New Roman" w:hAnsi="Times New Roman" w:eastAsia="仿宋_GB2312" w:cs="仿宋_GB2312"/>
          <w:color w:val="auto"/>
          <w:sz w:val="32"/>
          <w:szCs w:val="32"/>
          <w:highlight w:val="none"/>
        </w:rPr>
        <w:t>政府性基金预算财政拨款收入支出决算表</w:t>
      </w:r>
    </w:p>
    <w:p w14:paraId="6D3DAC32">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8" w:name="_Toc15396629"/>
      <w:r>
        <w:rPr>
          <w:rFonts w:hint="eastAsia" w:ascii="Times New Roman" w:hAnsi="Times New Roman" w:eastAsia="仿宋_GB2312" w:cs="仿宋_GB2312"/>
          <w:color w:val="auto"/>
          <w:sz w:val="32"/>
          <w:szCs w:val="32"/>
          <w:highlight w:val="none"/>
        </w:rPr>
        <w:t>十一、</w:t>
      </w:r>
      <w:bookmarkEnd w:id="58"/>
      <w:r>
        <w:rPr>
          <w:rFonts w:hint="eastAsia" w:ascii="Times New Roman" w:hAnsi="Times New Roman" w:eastAsia="仿宋_GB2312" w:cs="仿宋_GB2312"/>
          <w:color w:val="auto"/>
          <w:sz w:val="32"/>
          <w:szCs w:val="32"/>
          <w:highlight w:val="none"/>
        </w:rPr>
        <w:t>国有资本经营预算</w:t>
      </w:r>
      <w:r>
        <w:rPr>
          <w:rFonts w:hint="eastAsia" w:ascii="Times New Roman" w:hAnsi="Times New Roman" w:eastAsia="仿宋_GB2312" w:cs="仿宋_GB2312"/>
          <w:color w:val="auto"/>
          <w:sz w:val="32"/>
          <w:szCs w:val="32"/>
          <w:highlight w:val="none"/>
          <w:lang w:eastAsia="zh-CN"/>
        </w:rPr>
        <w:t>财政拨款收入</w:t>
      </w:r>
      <w:r>
        <w:rPr>
          <w:rFonts w:hint="eastAsia" w:ascii="Times New Roman" w:hAnsi="Times New Roman" w:eastAsia="仿宋_GB2312" w:cs="仿宋_GB2312"/>
          <w:color w:val="auto"/>
          <w:sz w:val="32"/>
          <w:szCs w:val="32"/>
          <w:highlight w:val="none"/>
        </w:rPr>
        <w:t>支出决算表</w:t>
      </w:r>
    </w:p>
    <w:p w14:paraId="106B6876">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9" w:name="_Toc15396630"/>
      <w:r>
        <w:rPr>
          <w:rFonts w:hint="eastAsia" w:ascii="Times New Roman" w:hAnsi="Times New Roman" w:eastAsia="仿宋_GB2312" w:cs="仿宋_GB2312"/>
          <w:color w:val="auto"/>
          <w:sz w:val="32"/>
          <w:szCs w:val="32"/>
          <w:highlight w:val="none"/>
        </w:rPr>
        <w:t>十二、</w:t>
      </w:r>
      <w:bookmarkEnd w:id="59"/>
      <w:r>
        <w:rPr>
          <w:rFonts w:hint="eastAsia" w:ascii="Times New Roman" w:hAnsi="Times New Roman" w:eastAsia="仿宋_GB2312" w:cs="仿宋_GB2312"/>
          <w:color w:val="auto"/>
          <w:sz w:val="32"/>
          <w:szCs w:val="32"/>
          <w:highlight w:val="none"/>
          <w:lang w:eastAsia="zh-CN"/>
        </w:rPr>
        <w:t>国有资本经营预算财政拨款支出决算表</w:t>
      </w:r>
    </w:p>
    <w:p w14:paraId="2BFFD4EF">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lang w:eastAsia="zh-CN"/>
        </w:rPr>
      </w:pPr>
      <w:bookmarkStart w:id="60" w:name="_Toc15396631"/>
      <w:r>
        <w:rPr>
          <w:rFonts w:hint="eastAsia" w:ascii="Times New Roman" w:hAnsi="Times New Roman" w:eastAsia="仿宋_GB2312" w:cs="仿宋_GB2312"/>
          <w:color w:val="auto"/>
          <w:sz w:val="32"/>
          <w:szCs w:val="32"/>
          <w:highlight w:val="none"/>
        </w:rPr>
        <w:t>十三、</w:t>
      </w:r>
      <w:bookmarkEnd w:id="60"/>
      <w:r>
        <w:rPr>
          <w:rFonts w:hint="eastAsia" w:ascii="Times New Roman" w:hAnsi="Times New Roman" w:eastAsia="仿宋_GB2312" w:cs="仿宋_GB2312"/>
          <w:color w:val="auto"/>
          <w:sz w:val="32"/>
          <w:szCs w:val="32"/>
          <w:highlight w:val="none"/>
          <w:lang w:eastAsia="zh-CN"/>
        </w:rPr>
        <w:t>财政拨款“三公”经费支出决算表</w:t>
      </w:r>
    </w:p>
    <w:p w14:paraId="7B80E0E3">
      <w:pPr>
        <w:rPr>
          <w:rFonts w:hint="eastAsia" w:ascii="Times New Roman" w:hAnsi="Times New Roman"/>
          <w:lang w:eastAsia="zh-CN"/>
        </w:rPr>
      </w:pPr>
    </w:p>
    <w:sectPr>
      <w:footerReference r:id="rId7" w:type="first"/>
      <w:footerReference r:id="rId6"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0E40C9BD-92B3-48EB-9517-5667135D2DA3}"/>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embedRegular r:id="rId2" w:fontKey="{96DE5F95-FF39-47B6-AB0B-25BDBCD75DFB}"/>
  </w:font>
  <w:font w:name="仿宋">
    <w:panose1 w:val="02010609060101010101"/>
    <w:charset w:val="86"/>
    <w:family w:val="modern"/>
    <w:pitch w:val="default"/>
    <w:sig w:usb0="800002BF" w:usb1="38CF7CFA" w:usb2="00000016" w:usb3="00000000" w:csb0="00040001" w:csb1="00000000"/>
    <w:embedRegular r:id="rId3" w:fontKey="{9CD1F301-2A54-4243-B55B-5F9AC5A4FA2D}"/>
  </w:font>
  <w:font w:name="??">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方正小标宋简体">
    <w:panose1 w:val="02010600010101010101"/>
    <w:charset w:val="86"/>
    <w:family w:val="script"/>
    <w:pitch w:val="default"/>
    <w:sig w:usb0="00000001" w:usb1="080E0000" w:usb2="00000000" w:usb3="00000000" w:csb0="00040000" w:csb1="00000000"/>
    <w:embedRegular r:id="rId4" w:fontKey="{B6B41C79-5A98-4D79-8DD4-A0FDEDD0CF9B}"/>
  </w:font>
  <w:font w:name="楷体_GB2312">
    <w:panose1 w:val="02010609030101010101"/>
    <w:charset w:val="86"/>
    <w:family w:val="auto"/>
    <w:pitch w:val="default"/>
    <w:sig w:usb0="00000001" w:usb1="080E0000" w:usb2="00000000" w:usb3="00000000" w:csb0="00040000" w:csb1="00000000"/>
    <w:embedRegular r:id="rId5" w:fontKey="{8556A6AF-B740-448F-A315-B252C19F9B2A}"/>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EC3E80">
    <w:pPr>
      <w:pStyle w:val="12"/>
      <w:jc w:val="center"/>
    </w:pPr>
  </w:p>
  <w:p w14:paraId="4ED4D858">
    <w:pPr>
      <w:pStyle w:val="1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67BE57">
    <w:pPr>
      <w:pStyle w:val="1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6090F3">
    <w:pPr>
      <w:pStyle w:val="12"/>
      <w:jc w:val="center"/>
    </w:pPr>
  </w:p>
  <w:p w14:paraId="6CC2FAE4">
    <w:pPr>
      <w:pStyle w:val="12"/>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5B3AA3">
    <w:pPr>
      <w:pStyle w:val="1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240F9D4">
                          <w:pPr>
                            <w:pStyle w:val="12"/>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7240F9D4">
                    <w:pPr>
                      <w:pStyle w:val="12"/>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49DF4F">
    <w:pPr>
      <w:pStyle w:val="13"/>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F4B1A29"/>
    <w:multiLevelType w:val="singleLevel"/>
    <w:tmpl w:val="1F4B1A29"/>
    <w:lvl w:ilvl="0" w:tentative="0">
      <w:start w:val="1"/>
      <w:numFmt w:val="chineseCounting"/>
      <w:suff w:val="nothing"/>
      <w:lvlText w:val="%1、"/>
      <w:lvlJc w:val="left"/>
      <w:rPr>
        <w:rFonts w:hint="eastAsia"/>
      </w:rPr>
    </w:lvl>
  </w:abstractNum>
  <w:abstractNum w:abstractNumId="1">
    <w:nsid w:val="3B32000E"/>
    <w:multiLevelType w:val="singleLevel"/>
    <w:tmpl w:val="3B32000E"/>
    <w:lvl w:ilvl="0" w:tentative="0">
      <w:start w:val="3"/>
      <w:numFmt w:val="decimal"/>
      <w:lvlText w:val="%1."/>
      <w:lvlJc w:val="left"/>
      <w:pPr>
        <w:tabs>
          <w:tab w:val="left" w:pos="312"/>
        </w:tabs>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TrueTypeFonts/>
  <w:saveSubset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5975B8"/>
    <w:rsid w:val="01A23516"/>
    <w:rsid w:val="02317B1B"/>
    <w:rsid w:val="02FEBE30"/>
    <w:rsid w:val="061E35DE"/>
    <w:rsid w:val="066E0107"/>
    <w:rsid w:val="07996F6E"/>
    <w:rsid w:val="07DFD8BA"/>
    <w:rsid w:val="08DB07E4"/>
    <w:rsid w:val="09867E8F"/>
    <w:rsid w:val="0A2032A3"/>
    <w:rsid w:val="0C6C4794"/>
    <w:rsid w:val="0CA8290A"/>
    <w:rsid w:val="0D35B1ED"/>
    <w:rsid w:val="0DE07E2B"/>
    <w:rsid w:val="0F98263C"/>
    <w:rsid w:val="101860EC"/>
    <w:rsid w:val="10C055FF"/>
    <w:rsid w:val="11772AA4"/>
    <w:rsid w:val="118107EC"/>
    <w:rsid w:val="13957196"/>
    <w:rsid w:val="13D50BC4"/>
    <w:rsid w:val="14022904"/>
    <w:rsid w:val="152F2A07"/>
    <w:rsid w:val="165E0673"/>
    <w:rsid w:val="16BB723D"/>
    <w:rsid w:val="16F13FCB"/>
    <w:rsid w:val="186504BB"/>
    <w:rsid w:val="1938089F"/>
    <w:rsid w:val="19A445FC"/>
    <w:rsid w:val="1B7D550C"/>
    <w:rsid w:val="1BE8440E"/>
    <w:rsid w:val="1D155CEE"/>
    <w:rsid w:val="1DE178F3"/>
    <w:rsid w:val="1E740ACF"/>
    <w:rsid w:val="1FF35744"/>
    <w:rsid w:val="1FF6BC77"/>
    <w:rsid w:val="21962A9E"/>
    <w:rsid w:val="21AE7C77"/>
    <w:rsid w:val="22BC3C41"/>
    <w:rsid w:val="23860B96"/>
    <w:rsid w:val="240371BF"/>
    <w:rsid w:val="260F557C"/>
    <w:rsid w:val="281408E2"/>
    <w:rsid w:val="29FD04D3"/>
    <w:rsid w:val="2BFF7BC6"/>
    <w:rsid w:val="2C8A61B5"/>
    <w:rsid w:val="2D2E01CF"/>
    <w:rsid w:val="2DF04E50"/>
    <w:rsid w:val="2E9545B0"/>
    <w:rsid w:val="2F040D46"/>
    <w:rsid w:val="2F4850FB"/>
    <w:rsid w:val="2FAE5751"/>
    <w:rsid w:val="2FB1A395"/>
    <w:rsid w:val="2FD9A7D8"/>
    <w:rsid w:val="30C164EA"/>
    <w:rsid w:val="319F7F4E"/>
    <w:rsid w:val="321B2544"/>
    <w:rsid w:val="3304709D"/>
    <w:rsid w:val="34281836"/>
    <w:rsid w:val="349D6851"/>
    <w:rsid w:val="35BA6CAF"/>
    <w:rsid w:val="35D37231"/>
    <w:rsid w:val="364D14C1"/>
    <w:rsid w:val="36AA5135"/>
    <w:rsid w:val="36BE0DA7"/>
    <w:rsid w:val="376B6AA6"/>
    <w:rsid w:val="376D39B2"/>
    <w:rsid w:val="37E16F03"/>
    <w:rsid w:val="37F53A3B"/>
    <w:rsid w:val="389B6C89"/>
    <w:rsid w:val="38D469F0"/>
    <w:rsid w:val="39627CCD"/>
    <w:rsid w:val="397BAF1F"/>
    <w:rsid w:val="3AB79AF3"/>
    <w:rsid w:val="3B7EF35A"/>
    <w:rsid w:val="3B9FDB6C"/>
    <w:rsid w:val="3BF5BC2F"/>
    <w:rsid w:val="3CEBA265"/>
    <w:rsid w:val="3D98207C"/>
    <w:rsid w:val="3D9B0D99"/>
    <w:rsid w:val="3DEE7CF3"/>
    <w:rsid w:val="3DF02244"/>
    <w:rsid w:val="3E78745D"/>
    <w:rsid w:val="3FF4CAE0"/>
    <w:rsid w:val="3FF7B227"/>
    <w:rsid w:val="40E54C45"/>
    <w:rsid w:val="41313393"/>
    <w:rsid w:val="41D94E43"/>
    <w:rsid w:val="4286740D"/>
    <w:rsid w:val="43A407DF"/>
    <w:rsid w:val="44515BEA"/>
    <w:rsid w:val="44E268DA"/>
    <w:rsid w:val="44F4745B"/>
    <w:rsid w:val="453F7E5B"/>
    <w:rsid w:val="45E60F95"/>
    <w:rsid w:val="486A6C7A"/>
    <w:rsid w:val="49176D9B"/>
    <w:rsid w:val="494006BD"/>
    <w:rsid w:val="4A627F82"/>
    <w:rsid w:val="4B0E749A"/>
    <w:rsid w:val="4B4F25DA"/>
    <w:rsid w:val="4BDA0CFB"/>
    <w:rsid w:val="4BE068DB"/>
    <w:rsid w:val="4D3C0CCC"/>
    <w:rsid w:val="4D577224"/>
    <w:rsid w:val="4DBF1CEB"/>
    <w:rsid w:val="4EAB630A"/>
    <w:rsid w:val="4ECE2238"/>
    <w:rsid w:val="4F833267"/>
    <w:rsid w:val="4FE9BD67"/>
    <w:rsid w:val="4FFB052F"/>
    <w:rsid w:val="53083A92"/>
    <w:rsid w:val="537E6D0A"/>
    <w:rsid w:val="53AF27A2"/>
    <w:rsid w:val="53F74C96"/>
    <w:rsid w:val="56E47B74"/>
    <w:rsid w:val="56F31E6B"/>
    <w:rsid w:val="57BD3DD4"/>
    <w:rsid w:val="5AF92295"/>
    <w:rsid w:val="5BDD79E6"/>
    <w:rsid w:val="5BF561CA"/>
    <w:rsid w:val="5BFF5DFC"/>
    <w:rsid w:val="5CD71FC4"/>
    <w:rsid w:val="5D1F11B5"/>
    <w:rsid w:val="5DAE1B18"/>
    <w:rsid w:val="5DE7D9E5"/>
    <w:rsid w:val="5ECEC941"/>
    <w:rsid w:val="5F493CB7"/>
    <w:rsid w:val="5FBF9FF3"/>
    <w:rsid w:val="5FCD4E2C"/>
    <w:rsid w:val="5FD15F49"/>
    <w:rsid w:val="5FEF394A"/>
    <w:rsid w:val="5FF67715"/>
    <w:rsid w:val="62BF3928"/>
    <w:rsid w:val="647F5392"/>
    <w:rsid w:val="664B1D71"/>
    <w:rsid w:val="67AA3209"/>
    <w:rsid w:val="681C4F0D"/>
    <w:rsid w:val="69046D0F"/>
    <w:rsid w:val="698D0931"/>
    <w:rsid w:val="6A993CED"/>
    <w:rsid w:val="6B053271"/>
    <w:rsid w:val="6BCE6674"/>
    <w:rsid w:val="6C4A05C8"/>
    <w:rsid w:val="6C8742B8"/>
    <w:rsid w:val="6C8A170F"/>
    <w:rsid w:val="6CB54609"/>
    <w:rsid w:val="6DBF5E93"/>
    <w:rsid w:val="6DFF077E"/>
    <w:rsid w:val="6E7E3605"/>
    <w:rsid w:val="6E7FDCC7"/>
    <w:rsid w:val="6ED6A62E"/>
    <w:rsid w:val="6EE00B15"/>
    <w:rsid w:val="6F544B20"/>
    <w:rsid w:val="6F6FB3EB"/>
    <w:rsid w:val="6F784160"/>
    <w:rsid w:val="6F8731EA"/>
    <w:rsid w:val="6FCE6052"/>
    <w:rsid w:val="6FD57C00"/>
    <w:rsid w:val="6FEFFFD8"/>
    <w:rsid w:val="6FF5CC65"/>
    <w:rsid w:val="6FFB47EC"/>
    <w:rsid w:val="6FFF034A"/>
    <w:rsid w:val="70496804"/>
    <w:rsid w:val="712A28F1"/>
    <w:rsid w:val="715C0E4B"/>
    <w:rsid w:val="72233669"/>
    <w:rsid w:val="72734D90"/>
    <w:rsid w:val="7332FE48"/>
    <w:rsid w:val="73AB61DA"/>
    <w:rsid w:val="73AD73D5"/>
    <w:rsid w:val="73B6EB34"/>
    <w:rsid w:val="73FA497D"/>
    <w:rsid w:val="744731E5"/>
    <w:rsid w:val="74527205"/>
    <w:rsid w:val="74BBD01D"/>
    <w:rsid w:val="74ED5379"/>
    <w:rsid w:val="74FC2395"/>
    <w:rsid w:val="75DEEEC2"/>
    <w:rsid w:val="76E3355F"/>
    <w:rsid w:val="76FF5125"/>
    <w:rsid w:val="776F6FFA"/>
    <w:rsid w:val="778769C8"/>
    <w:rsid w:val="77DC22F5"/>
    <w:rsid w:val="79086DAD"/>
    <w:rsid w:val="79974F09"/>
    <w:rsid w:val="79D7FD79"/>
    <w:rsid w:val="79EE5BA4"/>
    <w:rsid w:val="7A894339"/>
    <w:rsid w:val="7AFF7572"/>
    <w:rsid w:val="7B6C7DFB"/>
    <w:rsid w:val="7BBFBED0"/>
    <w:rsid w:val="7BC3E394"/>
    <w:rsid w:val="7C1F3737"/>
    <w:rsid w:val="7CBFC87B"/>
    <w:rsid w:val="7CFE0F48"/>
    <w:rsid w:val="7D7EC23E"/>
    <w:rsid w:val="7D916348"/>
    <w:rsid w:val="7E8ADEBF"/>
    <w:rsid w:val="7EEF11D3"/>
    <w:rsid w:val="7F0971A6"/>
    <w:rsid w:val="7F3F679B"/>
    <w:rsid w:val="7F4FC4EF"/>
    <w:rsid w:val="7F5E4D54"/>
    <w:rsid w:val="7F617D07"/>
    <w:rsid w:val="7F6E0135"/>
    <w:rsid w:val="7FA30C79"/>
    <w:rsid w:val="7FAF8ABF"/>
    <w:rsid w:val="7FB7269E"/>
    <w:rsid w:val="7FC96657"/>
    <w:rsid w:val="7FDA9588"/>
    <w:rsid w:val="7FDF220F"/>
    <w:rsid w:val="7FEDC5F7"/>
    <w:rsid w:val="7FEDD9DE"/>
    <w:rsid w:val="7FF5890D"/>
    <w:rsid w:val="7FF93490"/>
    <w:rsid w:val="99FF2014"/>
    <w:rsid w:val="A6DD0D7F"/>
    <w:rsid w:val="ADC6F725"/>
    <w:rsid w:val="B7CF06AB"/>
    <w:rsid w:val="B7CFA926"/>
    <w:rsid w:val="B7F8786B"/>
    <w:rsid w:val="BABB6AA1"/>
    <w:rsid w:val="BB2F4199"/>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FFA9E8"/>
    <w:rsid w:val="E5F4E9DC"/>
    <w:rsid w:val="E70FE695"/>
    <w:rsid w:val="ECFED1BC"/>
    <w:rsid w:val="ED1D69BB"/>
    <w:rsid w:val="ED7FD312"/>
    <w:rsid w:val="EF53993F"/>
    <w:rsid w:val="EF6FD633"/>
    <w:rsid w:val="EFBFB2F4"/>
    <w:rsid w:val="EFBFFA21"/>
    <w:rsid w:val="F2BEBCB8"/>
    <w:rsid w:val="F36FB518"/>
    <w:rsid w:val="F3DE1A04"/>
    <w:rsid w:val="F3F722E5"/>
    <w:rsid w:val="FA5F1E70"/>
    <w:rsid w:val="FA5FDB97"/>
    <w:rsid w:val="FB7F486A"/>
    <w:rsid w:val="FBFF5B2E"/>
    <w:rsid w:val="FD7FFE2B"/>
    <w:rsid w:val="FDEE196B"/>
    <w:rsid w:val="FDFE6575"/>
    <w:rsid w:val="FEDFDDC2"/>
    <w:rsid w:val="FEED32F6"/>
    <w:rsid w:val="FEF781DD"/>
    <w:rsid w:val="FF3F7E3F"/>
    <w:rsid w:val="FFBA12D7"/>
    <w:rsid w:val="FFDFFAEE"/>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1"/>
    <w:basedOn w:val="1"/>
    <w:next w:val="1"/>
    <w:link w:val="29"/>
    <w:qFormat/>
    <w:uiPriority w:val="9"/>
    <w:pPr>
      <w:keepNext/>
      <w:keepLines/>
      <w:spacing w:before="340" w:after="330" w:line="578" w:lineRule="auto"/>
      <w:outlineLvl w:val="0"/>
    </w:pPr>
    <w:rPr>
      <w:b/>
      <w:bCs/>
      <w:kern w:val="44"/>
      <w:sz w:val="44"/>
      <w:szCs w:val="44"/>
    </w:rPr>
  </w:style>
  <w:style w:type="paragraph" w:styleId="5">
    <w:name w:val="heading 2"/>
    <w:basedOn w:val="1"/>
    <w:next w:val="1"/>
    <w:link w:val="30"/>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6">
    <w:name w:val="heading 3"/>
    <w:basedOn w:val="1"/>
    <w:next w:val="1"/>
    <w:link w:val="33"/>
    <w:unhideWhenUsed/>
    <w:qFormat/>
    <w:uiPriority w:val="9"/>
    <w:pPr>
      <w:keepNext/>
      <w:keepLines/>
      <w:spacing w:before="260" w:after="260" w:line="416" w:lineRule="auto"/>
      <w:outlineLvl w:val="2"/>
    </w:pPr>
    <w:rPr>
      <w:b/>
      <w:bCs/>
      <w:sz w:val="32"/>
      <w:szCs w:val="32"/>
    </w:rPr>
  </w:style>
  <w:style w:type="character" w:default="1" w:styleId="18">
    <w:name w:val="Default Paragraph Font"/>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customStyle="1" w:styleId="2">
    <w:name w:val="标题 5（有编号）（绿盟科技）"/>
    <w:next w:val="3"/>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paragraph" w:customStyle="1" w:styleId="3">
    <w:name w:val="正文（绿盟科技）"/>
    <w:qFormat/>
    <w:uiPriority w:val="0"/>
    <w:pPr>
      <w:spacing w:line="300" w:lineRule="auto"/>
    </w:pPr>
    <w:rPr>
      <w:rFonts w:ascii="Arial" w:hAnsi="Arial" w:eastAsia="宋体" w:cs="黑体"/>
      <w:sz w:val="21"/>
      <w:szCs w:val="21"/>
      <w:lang w:val="en-US" w:eastAsia="zh-CN" w:bidi="ar-SA"/>
    </w:rPr>
  </w:style>
  <w:style w:type="paragraph" w:styleId="7">
    <w:name w:val="Body Text"/>
    <w:basedOn w:val="1"/>
    <w:link w:val="26"/>
    <w:qFormat/>
    <w:uiPriority w:val="99"/>
    <w:pPr>
      <w:spacing w:beforeLines="30"/>
    </w:pPr>
    <w:rPr>
      <w:rFonts w:ascii="仿宋_GB2312" w:eastAsia="仿宋_GB2312"/>
      <w:kern w:val="0"/>
      <w:sz w:val="30"/>
    </w:rPr>
  </w:style>
  <w:style w:type="paragraph" w:styleId="8">
    <w:name w:val="Body Text Indent"/>
    <w:basedOn w:val="1"/>
    <w:next w:val="9"/>
    <w:qFormat/>
    <w:uiPriority w:val="0"/>
    <w:pPr>
      <w:spacing w:after="120"/>
      <w:ind w:leftChars="200"/>
    </w:pPr>
    <w:rPr>
      <w:rFonts w:ascii="仿宋_GB2312"/>
      <w:szCs w:val="32"/>
    </w:rPr>
  </w:style>
  <w:style w:type="paragraph" w:styleId="9">
    <w:name w:val="Body Text First Indent 2"/>
    <w:basedOn w:val="8"/>
    <w:next w:val="1"/>
    <w:unhideWhenUsed/>
    <w:qFormat/>
    <w:uiPriority w:val="99"/>
    <w:pPr>
      <w:ind w:firstLine="420" w:firstLineChars="200"/>
    </w:pPr>
  </w:style>
  <w:style w:type="paragraph" w:styleId="10">
    <w:name w:val="toc 3"/>
    <w:basedOn w:val="1"/>
    <w:next w:val="1"/>
    <w:unhideWhenUsed/>
    <w:qFormat/>
    <w:uiPriority w:val="39"/>
    <w:pPr>
      <w:tabs>
        <w:tab w:val="right" w:leader="dot" w:pos="8296"/>
      </w:tabs>
      <w:ind w:left="840" w:leftChars="400"/>
    </w:pPr>
  </w:style>
  <w:style w:type="paragraph" w:styleId="11">
    <w:name w:val="Balloon Text"/>
    <w:basedOn w:val="1"/>
    <w:link w:val="32"/>
    <w:semiHidden/>
    <w:unhideWhenUsed/>
    <w:qFormat/>
    <w:uiPriority w:val="99"/>
    <w:rPr>
      <w:sz w:val="18"/>
      <w:szCs w:val="18"/>
    </w:rPr>
  </w:style>
  <w:style w:type="paragraph" w:styleId="12">
    <w:name w:val="footer"/>
    <w:basedOn w:val="1"/>
    <w:link w:val="24"/>
    <w:qFormat/>
    <w:uiPriority w:val="99"/>
    <w:pPr>
      <w:tabs>
        <w:tab w:val="center" w:pos="4153"/>
        <w:tab w:val="right" w:pos="8306"/>
      </w:tabs>
      <w:snapToGrid w:val="0"/>
      <w:jc w:val="left"/>
    </w:pPr>
    <w:rPr>
      <w:rFonts w:ascii="Calibri" w:hAnsi="Calibri"/>
      <w:kern w:val="0"/>
      <w:sz w:val="18"/>
      <w:szCs w:val="18"/>
    </w:rPr>
  </w:style>
  <w:style w:type="paragraph" w:styleId="13">
    <w:name w:val="header"/>
    <w:basedOn w:val="1"/>
    <w:link w:val="22"/>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4">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5">
    <w:name w:val="footnote text"/>
    <w:basedOn w:val="1"/>
    <w:next w:val="9"/>
    <w:semiHidden/>
    <w:qFormat/>
    <w:uiPriority w:val="0"/>
    <w:pPr>
      <w:snapToGrid w:val="0"/>
      <w:jc w:val="left"/>
    </w:pPr>
    <w:rPr>
      <w:sz w:val="18"/>
      <w:szCs w:val="18"/>
    </w:rPr>
  </w:style>
  <w:style w:type="paragraph" w:styleId="16">
    <w:name w:val="toc 2"/>
    <w:basedOn w:val="1"/>
    <w:next w:val="1"/>
    <w:unhideWhenUsed/>
    <w:qFormat/>
    <w:uiPriority w:val="39"/>
    <w:pPr>
      <w:tabs>
        <w:tab w:val="right" w:leader="dot" w:pos="8296"/>
      </w:tabs>
      <w:ind w:left="420" w:leftChars="200"/>
    </w:pPr>
  </w:style>
  <w:style w:type="character" w:styleId="19">
    <w:name w:val="Strong"/>
    <w:basedOn w:val="18"/>
    <w:qFormat/>
    <w:uiPriority w:val="99"/>
    <w:rPr>
      <w:b/>
    </w:rPr>
  </w:style>
  <w:style w:type="character" w:styleId="20">
    <w:name w:val="Hyperlink"/>
    <w:basedOn w:val="18"/>
    <w:unhideWhenUsed/>
    <w:qFormat/>
    <w:uiPriority w:val="99"/>
    <w:rPr>
      <w:color w:val="0000FF" w:themeColor="hyperlink"/>
      <w:u w:val="single"/>
      <w14:textFill>
        <w14:solidFill>
          <w14:schemeClr w14:val="hlink"/>
        </w14:solidFill>
      </w14:textFill>
    </w:rPr>
  </w:style>
  <w:style w:type="character" w:customStyle="1" w:styleId="21">
    <w:name w:val="Header Char"/>
    <w:basedOn w:val="18"/>
    <w:semiHidden/>
    <w:qFormat/>
    <w:uiPriority w:val="99"/>
    <w:rPr>
      <w:rFonts w:ascii="Times New Roman" w:hAnsi="Times New Roman"/>
      <w:sz w:val="18"/>
      <w:szCs w:val="18"/>
    </w:rPr>
  </w:style>
  <w:style w:type="character" w:customStyle="1" w:styleId="22">
    <w:name w:val="页眉 Char"/>
    <w:link w:val="13"/>
    <w:semiHidden/>
    <w:qFormat/>
    <w:locked/>
    <w:uiPriority w:val="99"/>
    <w:rPr>
      <w:sz w:val="18"/>
    </w:rPr>
  </w:style>
  <w:style w:type="character" w:customStyle="1" w:styleId="23">
    <w:name w:val="Footer Char"/>
    <w:basedOn w:val="18"/>
    <w:semiHidden/>
    <w:qFormat/>
    <w:uiPriority w:val="99"/>
    <w:rPr>
      <w:rFonts w:ascii="Times New Roman" w:hAnsi="Times New Roman"/>
      <w:sz w:val="18"/>
      <w:szCs w:val="18"/>
    </w:rPr>
  </w:style>
  <w:style w:type="character" w:customStyle="1" w:styleId="24">
    <w:name w:val="页脚 Char"/>
    <w:link w:val="12"/>
    <w:qFormat/>
    <w:locked/>
    <w:uiPriority w:val="99"/>
    <w:rPr>
      <w:sz w:val="18"/>
    </w:rPr>
  </w:style>
  <w:style w:type="character" w:customStyle="1" w:styleId="25">
    <w:name w:val="Body Text Char"/>
    <w:basedOn w:val="18"/>
    <w:semiHidden/>
    <w:qFormat/>
    <w:uiPriority w:val="99"/>
    <w:rPr>
      <w:rFonts w:ascii="Times New Roman" w:hAnsi="Times New Roman"/>
      <w:szCs w:val="24"/>
    </w:rPr>
  </w:style>
  <w:style w:type="character" w:customStyle="1" w:styleId="26">
    <w:name w:val="正文文本 Char"/>
    <w:link w:val="7"/>
    <w:qFormat/>
    <w:locked/>
    <w:uiPriority w:val="99"/>
    <w:rPr>
      <w:rFonts w:ascii="仿宋_GB2312" w:hAnsi="Times New Roman" w:eastAsia="仿宋_GB2312"/>
      <w:sz w:val="24"/>
    </w:rPr>
  </w:style>
  <w:style w:type="paragraph" w:customStyle="1" w:styleId="27">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8">
    <w:name w:val="List Paragraph"/>
    <w:basedOn w:val="1"/>
    <w:qFormat/>
    <w:uiPriority w:val="34"/>
    <w:pPr>
      <w:ind w:firstLine="420" w:firstLineChars="200"/>
    </w:pPr>
  </w:style>
  <w:style w:type="character" w:customStyle="1" w:styleId="29">
    <w:name w:val="标题 1 Char"/>
    <w:basedOn w:val="18"/>
    <w:link w:val="4"/>
    <w:qFormat/>
    <w:uiPriority w:val="9"/>
    <w:rPr>
      <w:rFonts w:ascii="Times New Roman" w:hAnsi="Times New Roman"/>
      <w:b/>
      <w:bCs/>
      <w:kern w:val="44"/>
      <w:sz w:val="44"/>
      <w:szCs w:val="44"/>
    </w:rPr>
  </w:style>
  <w:style w:type="character" w:customStyle="1" w:styleId="30">
    <w:name w:val="标题 2 Char"/>
    <w:basedOn w:val="18"/>
    <w:link w:val="5"/>
    <w:qFormat/>
    <w:uiPriority w:val="9"/>
    <w:rPr>
      <w:rFonts w:asciiTheme="majorHAnsi" w:hAnsiTheme="majorHAnsi" w:eastAsiaTheme="majorEastAsia" w:cstheme="majorBidi"/>
      <w:b/>
      <w:bCs/>
      <w:kern w:val="2"/>
      <w:sz w:val="32"/>
      <w:szCs w:val="32"/>
    </w:rPr>
  </w:style>
  <w:style w:type="paragraph" w:customStyle="1" w:styleId="31">
    <w:name w:val="TOC 标题1"/>
    <w:basedOn w:val="4"/>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2">
    <w:name w:val="批注框文本 Char"/>
    <w:basedOn w:val="18"/>
    <w:link w:val="11"/>
    <w:semiHidden/>
    <w:qFormat/>
    <w:uiPriority w:val="99"/>
    <w:rPr>
      <w:rFonts w:ascii="Times New Roman" w:hAnsi="Times New Roman"/>
      <w:kern w:val="2"/>
      <w:sz w:val="18"/>
      <w:szCs w:val="18"/>
    </w:rPr>
  </w:style>
  <w:style w:type="character" w:customStyle="1" w:styleId="33">
    <w:name w:val="标题 3 Char"/>
    <w:basedOn w:val="18"/>
    <w:link w:val="6"/>
    <w:qFormat/>
    <w:uiPriority w:val="9"/>
    <w:rPr>
      <w:rFonts w:ascii="Times New Roman" w:hAnsi="Times New Roman"/>
      <w:b/>
      <w:bCs/>
      <w:kern w:val="2"/>
      <w:sz w:val="32"/>
      <w:szCs w:val="32"/>
    </w:rPr>
  </w:style>
  <w:style w:type="paragraph" w:customStyle="1" w:styleId="34">
    <w:name w:val="TOC Heading"/>
    <w:basedOn w:val="4"/>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5">
    <w:name w:val="四号正文"/>
    <w:basedOn w:val="1"/>
    <w:qFormat/>
    <w:uiPriority w:val="0"/>
    <w:pPr>
      <w:spacing w:line="360" w:lineRule="auto"/>
    </w:pPr>
    <w:rPr>
      <w:rFonts w:ascii="??" w:hAnsi="??" w:eastAsia="宋体"/>
      <w:color w:val="000000"/>
      <w:kern w:val="0"/>
      <w:sz w:val="28"/>
      <w:szCs w:val="21"/>
      <w:lang w:val="zh-CN" w:eastAsia="zh-CN"/>
    </w:rPr>
  </w:style>
  <w:style w:type="paragraph" w:customStyle="1" w:styleId="36">
    <w:name w:val="普通(网站) Char"/>
    <w:basedOn w:val="1"/>
    <w:qFormat/>
    <w:uiPriority w:val="0"/>
    <w:pPr>
      <w:spacing w:before="100" w:beforeAutospacing="1" w:after="100" w:afterAutospacing="1"/>
      <w:ind w:left="0" w:right="0"/>
      <w:jc w:val="left"/>
    </w:pPr>
    <w:rPr>
      <w:rFonts w:hint="eastAsia" w:ascii="宋体" w:hAnsi="宋体" w:eastAsia="宋体" w:cs="宋体"/>
      <w:kern w:val="0"/>
      <w:sz w:val="24"/>
      <w:szCs w:val="24"/>
      <w:lang w:val="en-US" w:eastAsia="zh-CN" w:bidi="ar"/>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2.xml"/><Relationship Id="rId10" Type="http://schemas.openxmlformats.org/officeDocument/2006/relationships/numbering" Target="numbering.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contractReview xmlns="http://schemas.wps.cn/vas-ai-hub/contract-review">
  <reviewItems>
    <reviewItem>
      <errorID>9e2df054-011e-42ed-86e2-ec98cb62625c</errorID>
      <errorWord>事物</errorWord>
      <group>L1_Word</group>
      <groupName>字词问题</groupName>
      <ability>L2_Typo</ability>
      <abilityName>字词错误</abilityName>
      <candidateList>
        <item>事务</item>
      </candidateList>
      <explain/>
      <paraID>321CB615</paraID>
      <start>28</start>
      <end>30</end>
      <status>modified</status>
      <modifiedWord>事务</modifiedWord>
      <trackRevisions>false</trackRevisions>
    </reviewItem>
    <reviewItem>
      <errorID>a6826c02-d0e2-49df-881a-94a318762674</errorID>
      <errorWord>巩固脱贫攻坚成果</errorWord>
      <group>L1_Word</group>
      <groupName>字词问题</groupName>
      <ability>L2_Typo</ability>
      <abilityName>字词错误</abilityName>
      <candidateList>
        <item>巩固拓展脱贫攻坚成果</item>
      </candidateList>
      <explain/>
      <paraID>4461DEC0</paraID>
      <start>12</start>
      <end>22</end>
      <status>modified</status>
      <modifiedWord>巩固拓展脱贫攻坚成果</modifiedWord>
      <trackRevisions>false</trackRevisions>
    </reviewItem>
    <reviewItem>
      <errorID>b61f6c44-c33b-4ba3-808e-f0d6f2c43ef2</errorID>
      <errorWord>&lt;</errorWord>
      <group>L1_Format</group>
      <groupName>格式问题</groupName>
      <ability>L2_HalfPunc_CN</ability>
      <abilityName>全半角问题</abilityName>
      <candidateList>
        <item>〈</item>
      </candidateList>
      <explain>文本全半角错误。</explain>
      <paraID>6A830807</paraID>
      <start>50</start>
      <end>51</end>
      <status>modified</status>
      <modifiedWord>〈</modifiedWord>
      <trackRevisions>false</trackRevisions>
    </reviewItem>
    <reviewItem>
      <errorID>f033d5b6-2017-4d10-bb37-ace0e7263320</errorID>
      <errorWord>&gt;</errorWord>
      <group>L1_Format</group>
      <groupName>格式问题</groupName>
      <ability>L2_HalfPunc_CN</ability>
      <abilityName>全半角问题</abilityName>
      <candidateList>
        <item>〉</item>
      </candidateList>
      <explain>文本全半角错误。</explain>
      <paraID>6A830807</paraID>
      <start>53</start>
      <end>54</end>
      <status>modified</status>
      <modifiedWord>〉</modifiedWord>
      <trackRevisions>false</trackRevisions>
    </reviewItem>
    <reviewItem>
      <errorID>b61b1f54-a4e3-4691-ad10-c24b31f45805</errorID>
      <errorWord>&lt;</errorWord>
      <group>L1_Format</group>
      <groupName>格式问题</groupName>
      <ability>L2_HalfPunc_CN</ability>
      <abilityName>全半角问题</abilityName>
      <candidateList>
        <item>〈</item>
      </candidateList>
      <explain>文本全半角错误。</explain>
      <paraID>6A830807</paraID>
      <start>60</start>
      <end>61</end>
      <status>modified</status>
      <modifiedWord>〈</modifiedWord>
      <trackRevisions>false</trackRevisions>
    </reviewItem>
    <reviewItem>
      <errorID>999d2e7f-191e-465b-b45a-20313fac8069</errorID>
      <errorWord>&gt;</errorWord>
      <group>L1_Format</group>
      <groupName>格式问题</groupName>
      <ability>L2_HalfPunc_CN</ability>
      <abilityName>全半角问题</abilityName>
      <candidateList>
        <item>〉</item>
      </candidateList>
      <explain>文本全半角错误。</explain>
      <paraID>6A830807</paraID>
      <start>63</start>
      <end>64</end>
      <status>modified</status>
      <modifiedWord>〉</modifiedWord>
      <trackRevisions>false</trackRevisions>
    </reviewItem>
    <reviewItem>
      <errorID>0206aeef-a816-4501-b787-0e2180b32d56</errorID>
      <errorWord>三公经费</errorWord>
      <group>L1_Political</group>
      <groupName>政治性问题</groupName>
      <ability>L2_Keyword</ability>
      <abilityName>固定表述</abilityName>
      <candidateList>
        <item>“三公”经费</item>
      </candidateList>
      <explain>注意检查当前固定表述标点是否使用规范。</explain>
      <paraID>30D3BF82</paraID>
      <start>99</start>
      <end>105</end>
      <status>modified</status>
      <modifiedWord>“三公”经费</modifiedWord>
      <trackRevisions>false</trackRevisions>
    </reviewItem>
    <reviewItem>
      <errorID>e7df5688-2f93-41ff-93ae-11402d1cdcd7</errorID>
      <errorWord>整体是</errorWord>
      <group>L1_Word</group>
      <groupName>字词问题</groupName>
      <ability>L2_Typo</ability>
      <abilityName>字词错误</abilityName>
      <candidateList>
        <item>整体</item>
      </candidateList>
      <explain/>
      <paraID>30D3BF82</paraID>
      <start>115</start>
      <end>117</end>
      <status>modified</status>
      <modifiedWord>整体</modifiedWord>
      <trackRevisions>false</trackRevisions>
    </reviewItem>
    <reviewItem>
      <errorID>6ef9b87b-6373-442a-93bb-62d302300c36</errorID>
      <errorWord>三公经费</errorWord>
      <group>L1_Political</group>
      <groupName>政治性问题</groupName>
      <ability>L2_Keyword</ability>
      <abilityName>固定表述</abilityName>
      <candidateList>
        <item>“三公”经费</item>
      </candidateList>
      <explain>注意检查当前固定表述标点是否使用规范。</explain>
      <paraID>694F71FA</paraID>
      <start>110</start>
      <end>116</end>
      <status>modified</status>
      <modifiedWord>“三公”经费</modifiedWord>
      <trackRevisions>false</trackRevisions>
    </reviewItem>
    <reviewItem>
      <errorID>9cc0c973-8f04-4d21-b149-f930b9564ae9</errorID>
      <errorWord>整体是</errorWord>
      <group>L1_Word</group>
      <groupName>字词问题</groupName>
      <ability>L2_Typo</ability>
      <abilityName>字词错误</abilityName>
      <candidateList>
        <item>整体</item>
      </candidateList>
      <explain/>
      <paraID>694F71FA</paraID>
      <start>126</start>
      <end>128</end>
      <status>modified</status>
      <modifiedWord>整体</modifiedWord>
      <trackRevisions>false</trackRevisions>
    </reviewItem>
    <reviewItem>
      <errorID>618defa9-c3f7-4796-b602-89404ee80168</errorID>
      <errorWord>(</errorWord>
      <group>L1_Format</group>
      <groupName>格式问题</groupName>
      <ability>L2_HalfPunc_CN</ability>
      <abilityName>全半角问题</abilityName>
      <candidateList>
        <item>（</item>
      </candidateList>
      <explain>文本全半角错误。</explain>
      <paraID>40C66AD8</paraID>
      <start>19</start>
      <end>20</end>
      <status>modified</status>
      <modifiedWord>（</modifiedWord>
      <trackRevisions>false</trackRevisions>
    </reviewItem>
    <reviewItem>
      <errorID>21fdaf88-5b45-41fd-9cd5-0e5f5b90e730</errorID>
      <errorWord>)</errorWord>
      <group>L1_Format</group>
      <groupName>格式问题</groupName>
      <ability>L2_HalfPunc_CN</ability>
      <abilityName>全半角问题</abilityName>
      <candidateList>
        <item>）</item>
      </candidateList>
      <explain>文本全半角错误。</explain>
      <paraID>40C66AD8</paraID>
      <start>22</start>
      <end>23</end>
      <status>modified</status>
      <modifiedWord>）</modifiedWord>
      <trackRevisions>false</trackRevisions>
    </reviewItem>
    <reviewItem>
      <errorID>5db60c57-4a01-444d-868a-fa00c7a458c8</errorID>
      <errorWord>(</errorWord>
      <group>L1_Format</group>
      <groupName>格式问题</groupName>
      <ability>L2_HalfPunc_CN</ability>
      <abilityName>全半角问题</abilityName>
      <candidateList>
        <item>（</item>
      </candidateList>
      <explain>文本全半角错误。</explain>
      <paraID>1778E48D</paraID>
      <start>19</start>
      <end>20</end>
      <status>modified</status>
      <modifiedWord>（</modifiedWord>
      <trackRevisions>false</trackRevisions>
    </reviewItem>
    <reviewItem>
      <errorID>46ab55ab-baea-4b35-a47e-ff2387f87a28</errorID>
      <errorWord>)</errorWord>
      <group>L1_Format</group>
      <groupName>格式问题</groupName>
      <ability>L2_HalfPunc_CN</ability>
      <abilityName>全半角问题</abilityName>
      <candidateList>
        <item>）</item>
      </candidateList>
      <explain>文本全半角错误。</explain>
      <paraID>1778E48D</paraID>
      <start>22</start>
      <end>23</end>
      <status>modified</status>
      <modifiedWord>）</modifiedWord>
      <trackRevisions>false</trackRevisions>
    </reviewItem>
    <reviewItem>
      <errorID>438cc51b-97fc-4a3d-b5e0-5c2ee4146bba</errorID>
      <errorWord>(</errorWord>
      <group>L1_Format</group>
      <groupName>格式问题</groupName>
      <ability>L2_HalfPunc_CN</ability>
      <abilityName>全半角问题</abilityName>
      <candidateList>
        <item>（</item>
      </candidateList>
      <explain>文本全半角错误。</explain>
      <paraID>3E2DF0AF</paraID>
      <start>26</start>
      <end>27</end>
      <status>modified</status>
      <modifiedWord>（</modifiedWord>
      <trackRevisions>false</trackRevisions>
    </reviewItem>
    <reviewItem>
      <errorID>7a2b388f-b762-4839-8795-783970891b8f</errorID>
      <errorWord>)</errorWord>
      <group>L1_Format</group>
      <groupName>格式问题</groupName>
      <ability>L2_HalfPunc_CN</ability>
      <abilityName>全半角问题</abilityName>
      <candidateList>
        <item>）</item>
      </candidateList>
      <explain>文本全半角错误。</explain>
      <paraID>3E2DF0AF</paraID>
      <start>29</start>
      <end>30</end>
      <status>modified</status>
      <modifiedWord>）</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207ed7d-ad5d-479d-a5bd-6849e784adec}">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23</Pages>
  <Words>9824</Words>
  <Characters>10490</Characters>
  <Lines>61</Lines>
  <Paragraphs>17</Paragraphs>
  <TotalTime>0</TotalTime>
  <ScaleCrop>false</ScaleCrop>
  <LinksUpToDate>false</LinksUpToDate>
  <CharactersWithSpaces>10593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2020-08-08T17:49:00Z</dcterms:created>
  <dc:creator>曹颖</dc:creator>
  <cp:lastModifiedBy>奕夕^_^</cp:lastModifiedBy>
  <cp:lastPrinted>2026-08-03T09:27:00Z</cp:lastPrinted>
  <dcterms:modified xsi:type="dcterms:W3CDTF">2026-10-15T02:35:02Z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400D301575C74348A5277D00A7902E06</vt:lpwstr>
  </property>
  <property fmtid="{D5CDD505-2E9C-101B-9397-08002B2CF9AE}" pid="4" name="KSOTemplateDocerSaveRecord">
    <vt:lpwstr>eyJoZGlkIjoiNTU1MWNhN2ZmY2ZhZmY3ODhlYTg0MWU5OGMyY2QwZmUiLCJ1c2VySWQiOiI0MzQ2NTM0NzEifQ==</vt:lpwstr>
  </property>
</Properties>
</file>