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C334D">
      <w:pPr>
        <w:pStyle w:val="7"/>
        <w:rPr>
          <w:rFonts w:hint="eastAsia" w:ascii="黑体" w:hAnsi="黑体" w:eastAsia="黑体" w:cs="黑体"/>
          <w:color w:val="auto"/>
          <w:kern w:val="2"/>
          <w:sz w:val="32"/>
          <w:szCs w:val="32"/>
          <w:highlight w:val="none"/>
          <w:lang w:val="en-US" w:eastAsia="zh-CN" w:bidi="ar-SA"/>
        </w:rPr>
      </w:pPr>
      <w:bookmarkStart w:id="0" w:name="_Toc15377193"/>
      <w:bookmarkStart w:id="1" w:name="_Toc15378441"/>
      <w:bookmarkStart w:id="2" w:name="_Toc15396597"/>
      <w:bookmarkStart w:id="3" w:name="_Toc15396475"/>
      <w:bookmarkStart w:id="4" w:name="_Toc15377425"/>
      <w:bookmarkStart w:id="5" w:name="_Toc15306267"/>
      <w:r>
        <w:rPr>
          <w:rFonts w:hint="eastAsia" w:ascii="黑体" w:hAnsi="黑体" w:eastAsia="黑体" w:cs="黑体"/>
          <w:color w:val="auto"/>
          <w:kern w:val="2"/>
          <w:sz w:val="32"/>
          <w:szCs w:val="32"/>
          <w:highlight w:val="none"/>
          <w:lang w:val="en-US" w:eastAsia="zh-CN" w:bidi="ar-SA"/>
        </w:rPr>
        <w:t>附件4</w:t>
      </w:r>
    </w:p>
    <w:p w14:paraId="142F2092">
      <w:pPr>
        <w:pStyle w:val="7"/>
        <w:rPr>
          <w:rFonts w:hint="eastAsia" w:ascii="Times New Roman" w:hAnsi="Times New Roman" w:eastAsia="方正小标宋简体" w:cs="Times New Roman"/>
          <w:color w:val="auto"/>
          <w:kern w:val="2"/>
          <w:sz w:val="72"/>
          <w:szCs w:val="72"/>
          <w:highlight w:val="none"/>
          <w:lang w:val="en-US" w:eastAsia="zh-CN" w:bidi="ar-SA"/>
        </w:rPr>
      </w:pPr>
    </w:p>
    <w:p w14:paraId="0B64976E">
      <w:pPr>
        <w:pStyle w:val="7"/>
        <w:rPr>
          <w:rFonts w:hint="eastAsia" w:ascii="Times New Roman" w:hAnsi="Times New Roman" w:eastAsia="方正小标宋简体" w:cs="Times New Roman"/>
          <w:color w:val="auto"/>
          <w:kern w:val="2"/>
          <w:sz w:val="72"/>
          <w:szCs w:val="72"/>
          <w:highlight w:val="none"/>
          <w:lang w:val="en-US" w:eastAsia="zh-CN" w:bidi="ar-SA"/>
        </w:rPr>
      </w:pPr>
    </w:p>
    <w:p w14:paraId="3695E16B">
      <w:pPr>
        <w:pStyle w:val="7"/>
        <w:rPr>
          <w:rFonts w:hint="eastAsia" w:ascii="Times New Roman" w:hAnsi="Times New Roman" w:eastAsia="方正小标宋简体" w:cs="Times New Roman"/>
          <w:color w:val="auto"/>
          <w:kern w:val="2"/>
          <w:sz w:val="72"/>
          <w:szCs w:val="72"/>
          <w:highlight w:val="none"/>
          <w:lang w:val="en-US" w:eastAsia="zh-CN" w:bidi="ar-SA"/>
        </w:rPr>
      </w:pPr>
    </w:p>
    <w:p w14:paraId="0C773066">
      <w:pPr>
        <w:pStyle w:val="7"/>
        <w:rPr>
          <w:rFonts w:hint="eastAsia" w:ascii="Times New Roman" w:hAnsi="Times New Roman" w:eastAsia="方正小标宋简体" w:cs="Times New Roman"/>
          <w:color w:val="auto"/>
          <w:kern w:val="2"/>
          <w:sz w:val="72"/>
          <w:szCs w:val="72"/>
          <w:highlight w:val="none"/>
          <w:lang w:val="en-US" w:eastAsia="zh-CN" w:bidi="ar-SA"/>
        </w:rPr>
      </w:pPr>
    </w:p>
    <w:p w14:paraId="3485C25C">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49D67C68">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松潘县经济商务和信息化局部门决算</w:t>
      </w:r>
    </w:p>
    <w:bookmarkEnd w:id="0"/>
    <w:bookmarkEnd w:id="1"/>
    <w:bookmarkEnd w:id="2"/>
    <w:bookmarkEnd w:id="3"/>
    <w:bookmarkEnd w:id="4"/>
    <w:bookmarkEnd w:id="5"/>
    <w:p w14:paraId="7F216866">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292CDE9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27C4153">
      <w:pPr>
        <w:widowControl/>
        <w:jc w:val="center"/>
        <w:rPr>
          <w:rFonts w:ascii="Times New Roman" w:hAnsi="Times New Roman" w:eastAsia="黑体" w:cstheme="minorBidi"/>
          <w:color w:val="auto"/>
          <w:sz w:val="28"/>
          <w:szCs w:val="28"/>
          <w:highlight w:val="none"/>
        </w:rPr>
      </w:pPr>
    </w:p>
    <w:p w14:paraId="6C7F8B38">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1334D949">
      <w:pPr>
        <w:rPr>
          <w:rFonts w:ascii="Times New Roman" w:hAnsi="Times New Roman"/>
          <w:color w:val="auto"/>
          <w:highlight w:val="none"/>
        </w:rPr>
      </w:pPr>
    </w:p>
    <w:p w14:paraId="2E8F57B8">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080E2D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D812DA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3745E50F">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9E3B72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8685CF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74D7C8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E2B80C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2F9842B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5159F4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B7EB0F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95EF8B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7B88757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79F01B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665C2D9">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D291067">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D144F8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5C92FBC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B37D57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0FAD6B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FE641E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4E6C6B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94CD51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05099B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D10820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86868D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F9DF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95EC4E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5A03FAD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38810E0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4049E1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80CBC7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32E1723">
      <w:pPr>
        <w:pStyle w:val="4"/>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6DE8E7C1">
      <w:pPr>
        <w:widowControl/>
        <w:jc w:val="left"/>
        <w:rPr>
          <w:rFonts w:ascii="Times New Roman" w:hAnsi="Times New Roman" w:eastAsia="黑体"/>
          <w:color w:val="auto"/>
          <w:sz w:val="32"/>
          <w:szCs w:val="32"/>
          <w:highlight w:val="none"/>
        </w:rPr>
      </w:pPr>
    </w:p>
    <w:p w14:paraId="2C84D72B">
      <w:pPr>
        <w:pStyle w:val="5"/>
        <w:rPr>
          <w:rStyle w:val="30"/>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07ADB134">
      <w:pPr>
        <w:keepNext w:val="0"/>
        <w:keepLines w:val="0"/>
        <w:widowControl w:val="0"/>
        <w:suppressLineNumbers w:val="0"/>
        <w:autoSpaceDE w:val="0"/>
        <w:autoSpaceDN/>
        <w:spacing w:line="360" w:lineRule="auto"/>
        <w:ind w:right="0" w:rightChars="0" w:firstLine="320" w:firstLineChars="1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（一）贯彻实施国家有关工业经济、信息化和无线电管理的方针、政策和</w:t>
      </w:r>
      <w:r>
        <w:rPr>
          <w:rFonts w:hint="eastAsia" w:ascii="仿宋_GB2312" w:hAnsi="宋体" w:eastAsia="仿宋_GB2312" w:cs="仿宋_GB2312"/>
          <w:kern w:val="0"/>
          <w:sz w:val="32"/>
          <w:szCs w:val="32"/>
          <w:lang w:eastAsia="zh-CN"/>
        </w:rPr>
        <w:t>法律法规</w:t>
      </w:r>
      <w:r>
        <w:rPr>
          <w:rFonts w:hint="eastAsia" w:ascii="仿宋_GB2312" w:hAnsi="宋体" w:eastAsia="仿宋_GB2312" w:cs="仿宋_GB2312"/>
          <w:kern w:val="0"/>
          <w:sz w:val="32"/>
          <w:szCs w:val="32"/>
        </w:rPr>
        <w:t>。监测、分析经济运行态势和质量，建立全县工业经济运行预警机制，拟订中、近期经济运行目标、政策并组织实施，协调解决经济运行中的重大问题。</w:t>
      </w:r>
    </w:p>
    <w:p w14:paraId="75B3E417">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电力、成品油、天然气等重要物资综合调控、紧急调度工作和交通运输协同配合工作，负责协同民爆物品销售环节的安全监督管理。负责推进全县工业结构调整；负责制定并落实工业信息化行业的年度计划和产业政策。承办年度工业经济目标和责任考核。</w:t>
      </w:r>
    </w:p>
    <w:p w14:paraId="391D1484">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全县企业技术创新体系建设，制定鼓励企业技术创新的政策措施，指导企业技术创新、技术引进。负责全县企业技术改造推进工作，组织制定并实施全县企业技术改造投资规划和政策，提出工业和信息化固定资产投资规模的意见，按照规定权限审批，核准、备案规划内全县企业技术改造项目，组织企业技术改造项目申报国家、省、州有关专项计划并组织实施。</w:t>
      </w:r>
    </w:p>
    <w:p w14:paraId="3E9B0910">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全县工业和信息化领域的节能降耗、清洁生产和资源节约与综合利用工作，协调推进工业化与生态环境协调发展中的相关问题，组织实施相关示范项目和新产品、新技术、新工艺、新设备、新材料的推广应用。</w:t>
      </w:r>
    </w:p>
    <w:p w14:paraId="68A47DE7">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对工业经济政策实施情况进行督查，指导企业建立现代企业制度、改组改造、兼并重组，负责全县企业治乱减负工作，指导企业经营管理人员、专业技术人员培训，负责全县龙头骨干企业的培育工作，负责全县中小企业发展的指导推进工作，综合协调有关部门拟订促进中小企业发展的政策措施，负责推进中小企业服务体系建设。</w:t>
      </w:r>
    </w:p>
    <w:p w14:paraId="70E8EB43">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负责指导全县中小企业协调发展，综合协调有关部门研究拟订全县中小企业发展规划和促进中小企业发展的政策；推进企业信用制度建设，负责中小企业信用担保和融资体系建设并实施行业监管，负责制订工业发展资金等财政专项资金使用计划，负责企业技术改造、技术创新、生产运行等涉及财政、信贷、税收、保险等方面问题的协调，指导工业企业融资工作，推进产业园区发展，统筹大中小企业协调发展；参与对非公有制企业的指导、协调和服务工作。</w:t>
      </w:r>
    </w:p>
    <w:p w14:paraId="13EDBFB3">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贯彻国家内外贸易、利用外资和国际经济合作的发展战略、方针和政策，研究拟订我县内外贸易、利用外资和国际经济合作规范性文件，拟订全县商务发展规划、年度计划并组织实施。贯彻落实国家流通体制改革的方针政策，培育发展城乡市场，推进流通产业结构调整和连锁经营、物流配送、电子商务等现代流通方式。 </w:t>
      </w:r>
    </w:p>
    <w:p w14:paraId="280A2AE3">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贯彻落实国家规范市场运行、流通秩序和打破市场垄断、地区封锁的政策措施，建立健全统一、开放、竞争、有序、安全的现代市场体系；监测市场运行和商品供求状况，负责重要消费品市场的监控和重要生产资料的流通管理。研究起草全县商品流通和餐饮、美容美发等服务业的规范性文件，调查研究流通行业重大问题，提出政策建议；负责盐政稽查、拍卖、典当、民爆器材、再生资源、报废汽车、旧机动车交易等特种行业的监督管理的相关工作。 </w:t>
      </w:r>
    </w:p>
    <w:p w14:paraId="3FFE98FF">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指导和管理全县招商引资、投资促进工作，负责组织省、市、县政府和上级商务部门举办的内外贸促销活动和招商引资、对外经济合作活动；指导、协调以松潘县名义在境内外举办的各种内外贸交易会、展览会、展销会和招商引资等活动；建立县级招商项目库，统一对外发布招商项目；负责县级招商签约项目的跟踪服务和督促落实；负责县直单位招商引资目标责任制的拟定和检查考核；分析研究全县招商引资情况、拟订招商引资发展战略和规划；依法核准外商投资项目的合同、章程及法律特别规定的重大变更事项；督促检查外商投资企业执行有关法律法规和合同、章程的情况；参与协调、指导县级</w:t>
      </w:r>
      <w:r>
        <w:rPr>
          <w:rFonts w:hint="eastAsia" w:ascii="仿宋_GB2312" w:hAnsi="宋体" w:eastAsia="仿宋_GB2312" w:cs="仿宋_GB2312"/>
          <w:kern w:val="0"/>
          <w:sz w:val="32"/>
          <w:szCs w:val="32"/>
          <w:lang w:eastAsia="zh-CN"/>
        </w:rPr>
        <w:t>经济技术开发区</w:t>
      </w:r>
      <w:r>
        <w:rPr>
          <w:rFonts w:hint="eastAsia" w:ascii="仿宋_GB2312" w:hAnsi="宋体" w:eastAsia="仿宋_GB2312" w:cs="仿宋_GB2312"/>
          <w:kern w:val="0"/>
          <w:sz w:val="32"/>
          <w:szCs w:val="32"/>
        </w:rPr>
        <w:t xml:space="preserve">的有关具体工作。 </w:t>
      </w:r>
    </w:p>
    <w:p w14:paraId="060BB817">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贯彻执行国家对外技术贸易、进出口管制以及鼓励技术成套设备出口的政策；贯彻国家外商投资政策，指导全县外商投资工作；分析研究全县外商投资情况，定期向县政府和上级商务部门报告有关动态和建议，</w:t>
      </w:r>
      <w:r>
        <w:rPr>
          <w:rFonts w:hint="eastAsia" w:ascii="仿宋_GB2312" w:hAnsi="宋体" w:eastAsia="仿宋_GB2312" w:cs="仿宋_GB2312"/>
          <w:kern w:val="0"/>
          <w:sz w:val="32"/>
          <w:szCs w:val="32"/>
          <w:lang w:eastAsia="zh-CN"/>
        </w:rPr>
        <w:t>制定</w:t>
      </w:r>
      <w:r>
        <w:rPr>
          <w:rFonts w:hint="eastAsia" w:ascii="仿宋_GB2312" w:hAnsi="宋体" w:eastAsia="仿宋_GB2312" w:cs="仿宋_GB2312"/>
          <w:kern w:val="0"/>
          <w:sz w:val="32"/>
          <w:szCs w:val="32"/>
        </w:rPr>
        <w:t xml:space="preserve">和执行外商投资的管理办法，参与拟订利用外资的中长期发展规划；指导和管理全县投资促进及权限内外商投资企业的审批和进出口工作；负责全县外商投资和外商投资企业生产经营情况统计。 </w:t>
      </w:r>
    </w:p>
    <w:p w14:paraId="26A76146">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一）负责全县对外经济合作工作；贯彻执行对港、澳、台地区的经贸政策、贸易中长期规划及管理规章；负责全县内外贸易、利用外资和国际经济合作新闻发布、宣传工作并提供信息咨询服务；指导全县商务领域信息网络和电子商务建设；指导全县商务行业协会、学会等社团组织工作。</w:t>
      </w:r>
    </w:p>
    <w:p w14:paraId="5B8684CD">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（十二）贯彻执行国家、省、州有关信息化工作的</w:t>
      </w:r>
      <w:r>
        <w:rPr>
          <w:rFonts w:hint="eastAsia" w:ascii="仿宋_GB2312" w:hAnsi="宋体" w:eastAsia="仿宋_GB2312" w:cs="仿宋_GB2312"/>
          <w:kern w:val="0"/>
          <w:sz w:val="32"/>
          <w:szCs w:val="32"/>
          <w:lang w:eastAsia="zh-CN"/>
        </w:rPr>
        <w:t>法律法规</w:t>
      </w:r>
      <w:r>
        <w:rPr>
          <w:rFonts w:hint="eastAsia" w:ascii="仿宋_GB2312" w:hAnsi="宋体" w:eastAsia="仿宋_GB2312" w:cs="仿宋_GB2312"/>
          <w:kern w:val="0"/>
          <w:sz w:val="32"/>
          <w:szCs w:val="32"/>
        </w:rPr>
        <w:t>和各项方针、政策，制定实施办法并组织实施；负责信息产业的行政执法和执法监督；组织实施国家和省、县信息技术规范与技术标准；负责本县信息化技术标准的行政监督管理工作；协调信息化建设和发展资金并监督使用；组织协调全县信息安全保障体系建设，指导和监督政府部门、重点行业的重要信息系统与信息网络的安全保障工作，指导信息安全防范工作，参与处理网络与信息安全重大事件。</w:t>
      </w:r>
    </w:p>
    <w:p w14:paraId="0EC9BF13">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（十三）承担全县信息化应用推进工作；负责指导、建立全县信息化安全保障体系；组织、协调、指导开展信息化宣传普及教育；负责信息化工作的对外交流与合作。</w:t>
      </w:r>
    </w:p>
    <w:p w14:paraId="42BA1A12">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（十四）贯彻执行国家无线电管理的方针、政策、法规和规章，拟定地方无线电管理的具体规章；负责全县无线电管理工作，统一配置和管理全县无线电频谱资源，依法监督管理无线电台</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站</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，负责无线电电磁环境保护工作，负责无线电监测、检测和干扰查处，协调军地间和市际间无线电管理相关事宜，维护空中电波秩序，依法组织实施无线电管制；负责国家和地方无线电管理机构规定的其他职责。</w:t>
      </w:r>
    </w:p>
    <w:p w14:paraId="0053CD8F">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（十五）负责全县工程系列技术职称的审核上报工作</w:t>
      </w:r>
      <w:r>
        <w:rPr>
          <w:rFonts w:hint="eastAsia" w:ascii="仿宋_GB2312" w:hAnsi="宋体" w:eastAsia="仿宋_GB2312" w:cs="仿宋_GB2312"/>
          <w:kern w:val="0"/>
          <w:sz w:val="32"/>
          <w:szCs w:val="32"/>
          <w:lang w:eastAsia="zh-CN"/>
        </w:rPr>
        <w:t>。</w:t>
      </w:r>
    </w:p>
    <w:p w14:paraId="0BDF0DEF">
      <w:pPr>
        <w:keepNext w:val="0"/>
        <w:keepLines w:val="0"/>
        <w:widowControl w:val="0"/>
        <w:suppressLineNumbers w:val="0"/>
        <w:autoSpaceDE w:val="0"/>
        <w:autoSpaceDN/>
        <w:spacing w:line="360" w:lineRule="auto"/>
        <w:ind w:left="0" w:right="0" w:rightChars="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（十六）承担县政府批准保留的行政审批事项</w:t>
      </w:r>
    </w:p>
    <w:p w14:paraId="0E5479CB">
      <w:pPr>
        <w:keepNext w:val="0"/>
        <w:keepLines w:val="0"/>
        <w:widowControl w:val="0"/>
        <w:suppressLineNumbers w:val="0"/>
        <w:autoSpaceDE w:val="0"/>
        <w:autoSpaceDN/>
        <w:spacing w:line="360" w:lineRule="auto"/>
        <w:ind w:left="0" w:right="0" w:rightChars="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1.食用盐零售经营许可证核发。</w:t>
      </w:r>
    </w:p>
    <w:p w14:paraId="7C0936BC">
      <w:pPr>
        <w:keepNext w:val="0"/>
        <w:keepLines w:val="0"/>
        <w:widowControl w:val="0"/>
        <w:suppressLineNumbers w:val="0"/>
        <w:autoSpaceDE w:val="0"/>
        <w:autoSpaceDN/>
        <w:spacing w:line="360" w:lineRule="auto"/>
        <w:ind w:left="0" w:right="0" w:rightChars="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2.无线电管理行政审批事项。</w:t>
      </w:r>
    </w:p>
    <w:p w14:paraId="6C5374C1">
      <w:pPr>
        <w:pStyle w:val="36"/>
        <w:keepNext w:val="0"/>
        <w:keepLines w:val="0"/>
        <w:widowControl/>
        <w:suppressLineNumbers w:val="0"/>
        <w:spacing w:before="0" w:beforeAutospacing="0"/>
        <w:ind w:left="0"/>
        <w:jc w:val="left"/>
        <w:rPr>
          <w:rFonts w:hint="eastAsia" w:ascii="宋体" w:hAnsi="宋体" w:eastAsia="宋体" w:cs="宋体"/>
          <w:kern w:val="0"/>
          <w:sz w:val="32"/>
          <w:szCs w:val="32"/>
        </w:rPr>
      </w:pPr>
      <w:r>
        <w:rPr>
          <w:rFonts w:hint="eastAsia" w:ascii="仿宋_GB2312" w:hAnsi="宋体" w:eastAsia="仿宋_GB2312" w:cs="仿宋_GB2312"/>
          <w:kern w:val="0"/>
          <w:sz w:val="32"/>
          <w:szCs w:val="32"/>
        </w:rPr>
        <w:t xml:space="preserve">    （十七）承办县委、县政府交办</w:t>
      </w:r>
      <w:r>
        <w:rPr>
          <w:rFonts w:hint="eastAsia" w:ascii="仿宋_GB2312" w:eastAsia="仿宋_GB2312" w:cs="仿宋_GB2312"/>
          <w:kern w:val="0"/>
          <w:sz w:val="32"/>
          <w:szCs w:val="32"/>
          <w:lang w:eastAsia="zh-CN"/>
        </w:rPr>
        <w:t>的其他事项</w:t>
      </w:r>
      <w:r>
        <w:rPr>
          <w:rFonts w:hint="eastAsia" w:ascii="仿宋_GB2312" w:hAnsi="宋体" w:eastAsia="仿宋_GB2312" w:cs="仿宋_GB2312"/>
          <w:kern w:val="0"/>
          <w:sz w:val="32"/>
          <w:szCs w:val="32"/>
        </w:rPr>
        <w:t>。</w:t>
      </w:r>
    </w:p>
    <w:p w14:paraId="60DBF8B9">
      <w:pPr>
        <w:numPr>
          <w:ilvl w:val="0"/>
          <w:numId w:val="0"/>
        </w:numPr>
        <w:rPr>
          <w:rFonts w:hint="eastAsia"/>
          <w:lang w:eastAsia="zh-CN"/>
        </w:rPr>
      </w:pPr>
    </w:p>
    <w:p w14:paraId="55D96364">
      <w:pPr>
        <w:pStyle w:val="5"/>
        <w:rPr>
          <w:rStyle w:val="30"/>
          <w:b w:val="0"/>
          <w:bCs w:val="0"/>
          <w:color w:val="auto"/>
          <w:highlight w:val="none"/>
        </w:rPr>
      </w:pPr>
      <w:bookmarkStart w:id="10" w:name="_Toc15396601"/>
      <w:bookmarkStart w:id="11" w:name="_Toc15377200"/>
      <w:r>
        <w:rPr>
          <w:rFonts w:hint="eastAsia" w:ascii="黑体" w:eastAsia="黑体"/>
          <w:b w:val="0"/>
          <w:color w:val="auto"/>
          <w:highlight w:val="none"/>
        </w:rPr>
        <w:t>二、</w:t>
      </w:r>
      <w:r>
        <w:rPr>
          <w:rFonts w:hint="eastAsia" w:ascii="黑体" w:hAnsi="黑体" w:eastAsia="黑体"/>
          <w:b w:val="0"/>
          <w:color w:val="auto"/>
          <w:highlight w:val="none"/>
        </w:rPr>
        <w:t>机</w:t>
      </w:r>
      <w:r>
        <w:rPr>
          <w:rStyle w:val="30"/>
          <w:rFonts w:hint="eastAsia" w:ascii="黑体" w:hAnsi="黑体" w:eastAsia="黑体"/>
          <w:b w:val="0"/>
          <w:bCs w:val="0"/>
          <w:color w:val="auto"/>
          <w:highlight w:val="none"/>
        </w:rPr>
        <w:t>构设置</w:t>
      </w:r>
      <w:bookmarkEnd w:id="10"/>
      <w:bookmarkEnd w:id="11"/>
    </w:p>
    <w:p w14:paraId="68744368">
      <w:pPr>
        <w:ind w:firstLine="800" w:firstLineChars="2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松潘县经济商务和信息化局</w:t>
      </w:r>
      <w:r>
        <w:rPr>
          <w:rFonts w:hint="eastAsia" w:ascii="仿宋_GB2312" w:hAnsi="仿宋_GB2312" w:eastAsia="仿宋_GB2312" w:cs="仿宋_GB2312"/>
          <w:color w:val="auto"/>
          <w:sz w:val="32"/>
          <w:szCs w:val="32"/>
          <w:highlight w:val="none"/>
        </w:rPr>
        <w:t>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w:t>
      </w:r>
    </w:p>
    <w:p w14:paraId="31ACE001">
      <w:pPr>
        <w:pStyle w:val="7"/>
        <w:adjustRightInd w:val="0"/>
        <w:snapToGrid w:val="0"/>
        <w:spacing w:before="93" w:line="600" w:lineRule="exact"/>
        <w:ind w:firstLine="672" w:firstLineChars="2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lang w:val="en-US" w:eastAsia="zh-CN"/>
        </w:rPr>
        <w:t>松潘县经济商务和信息化局</w:t>
      </w:r>
      <w:r>
        <w:rPr>
          <w:rFonts w:hint="eastAsia" w:ascii="仿宋_GB2312" w:hAnsi="仿宋_GB2312" w:eastAsia="仿宋_GB2312" w:cs="仿宋_GB2312"/>
          <w:color w:val="auto"/>
          <w:sz w:val="32"/>
          <w:szCs w:val="32"/>
          <w:highlight w:val="none"/>
          <w:lang w:eastAsia="zh-CN"/>
        </w:rPr>
        <w:t>202</w:t>
      </w:r>
      <w:r>
        <w:rPr>
          <w:rFonts w:hint="eastAsia"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年度部门决算编制范围的二级预算单位包括：</w:t>
      </w:r>
    </w:p>
    <w:p w14:paraId="6C07C219">
      <w:pPr>
        <w:pStyle w:val="7"/>
        <w:numPr>
          <w:ilvl w:val="0"/>
          <w:numId w:val="1"/>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2" w:name="_Toc15378450"/>
      <w:bookmarkStart w:id="13" w:name="_Toc15377203"/>
      <w:bookmarkStart w:id="14" w:name="_Toc15306277"/>
      <w:bookmarkStart w:id="15" w:name="_Toc15377434"/>
      <w:r>
        <w:rPr>
          <w:rFonts w:hint="eastAsia" w:ascii="仿宋_GB2312" w:hAnsi="仿宋_GB2312" w:eastAsia="仿宋_GB2312" w:cs="仿宋_GB2312"/>
          <w:color w:val="auto"/>
          <w:sz w:val="32"/>
          <w:szCs w:val="32"/>
          <w:highlight w:val="none"/>
          <w:lang w:val="en-US" w:eastAsia="zh-CN"/>
        </w:rPr>
        <w:t>松潘县经济商务和信息化局</w:t>
      </w:r>
      <w:bookmarkEnd w:id="12"/>
      <w:bookmarkEnd w:id="13"/>
      <w:bookmarkEnd w:id="14"/>
      <w:bookmarkEnd w:id="15"/>
    </w:p>
    <w:p w14:paraId="50F20273">
      <w:pPr>
        <w:pStyle w:val="7"/>
        <w:numPr>
          <w:ilvl w:val="0"/>
          <w:numId w:val="1"/>
        </w:numPr>
        <w:adjustRightInd w:val="0"/>
        <w:snapToGrid w:val="0"/>
        <w:spacing w:before="93" w:line="600" w:lineRule="exact"/>
        <w:outlineLvl w:val="2"/>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highlight w:val="none"/>
          <w:lang w:val="en-US" w:eastAsia="zh-CN"/>
        </w:rPr>
        <w:t>松潘县节能监察中心</w:t>
      </w:r>
      <w:r>
        <w:rPr>
          <w:rFonts w:ascii="Times New Roman" w:hAnsi="Times New Roman" w:eastAsia="仿宋"/>
          <w:color w:val="auto"/>
          <w:sz w:val="32"/>
          <w:szCs w:val="32"/>
          <w:highlight w:val="none"/>
        </w:rPr>
        <w:br w:type="page"/>
      </w:r>
    </w:p>
    <w:p w14:paraId="2B324CB8">
      <w:pPr>
        <w:pStyle w:val="4"/>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F596240">
      <w:pPr>
        <w:rPr>
          <w:rFonts w:ascii="Times New Roman" w:hAnsi="Times New Roman"/>
          <w:color w:val="auto"/>
          <w:highlight w:val="none"/>
        </w:rPr>
      </w:pPr>
    </w:p>
    <w:p w14:paraId="2055A17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5125D8A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951.94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157.45万元，下降14.19%，</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184.38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16.23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相较于上年度项目减少。</w:t>
      </w:r>
    </w:p>
    <w:p w14:paraId="6424E53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304985A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951.94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919.03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96.54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32.91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3.45</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5EE896C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3F6AC4D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951.94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379.66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39.88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572.28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60.11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2FA8C3AF">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4EE5292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951.94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157.45万元，下降14.19%，</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184.38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16.23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相较于上年度项目减少。</w:t>
      </w:r>
    </w:p>
    <w:p w14:paraId="0C655AF0">
      <w:pPr>
        <w:spacing w:line="600" w:lineRule="exact"/>
        <w:ind w:firstLine="640" w:firstLineChars="200"/>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368010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76C80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919.03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96.54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198.32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17.75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003207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74C30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919.03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492.59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53.60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56.39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1.94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农林水支出106.93万元，占11.64%；资源勘探工业信息等支出22.48万元，占2.45%；商业服务业等支出195.77万元，占21.30%；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27.06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7D35DF7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C5DF3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919.03</w:t>
      </w:r>
      <w:r>
        <w:rPr>
          <w:rFonts w:hint="eastAsia" w:ascii="Times New Roman" w:hAnsi="Times New Roman" w:eastAsia="仿宋_GB2312" w:cs="仿宋_GB2312"/>
          <w:color w:val="auto"/>
          <w:kern w:val="2"/>
          <w:sz w:val="32"/>
          <w:szCs w:val="32"/>
          <w:highlight w:val="none"/>
          <w:lang w:val="en-US" w:eastAsia="zh-CN" w:bidi="ar-SA"/>
        </w:rPr>
        <w:t>，完成预算**%。其中：</w:t>
      </w:r>
      <w:bookmarkEnd w:id="31"/>
      <w:bookmarkEnd w:id="32"/>
      <w:bookmarkEnd w:id="33"/>
    </w:p>
    <w:p w14:paraId="3708ED0D">
      <w:pPr>
        <w:spacing w:line="600" w:lineRule="exact"/>
        <w:ind w:firstLine="640" w:firstLineChars="200"/>
        <w:rPr>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rPr>
        <w:t>1.一般公共服务（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行政运行</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154.45</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41FAA668">
      <w:pPr>
        <w:spacing w:line="600" w:lineRule="exact"/>
        <w:ind w:firstLine="640" w:firstLineChars="200"/>
        <w:rPr>
          <w:rStyle w:val="19"/>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rPr>
        <w:t>2.一般公共服务（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招商引资</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2011308</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29.2</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23F14371">
      <w:pPr>
        <w:spacing w:line="600" w:lineRule="exact"/>
        <w:ind w:firstLine="640" w:firstLineChars="200"/>
        <w:rPr>
          <w:rStyle w:val="19"/>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lang w:val="en-US" w:eastAsia="zh-CN"/>
        </w:rPr>
        <w:t>3.</w:t>
      </w:r>
      <w:r>
        <w:rPr>
          <w:rFonts w:hint="eastAsia" w:ascii="仿宋_GB2312" w:hAnsi="仿宋_GB2312" w:eastAsia="仿宋_GB2312" w:cs="仿宋_GB2312"/>
          <w:b w:val="0"/>
          <w:bCs/>
          <w:color w:val="000000"/>
          <w:kern w:val="0"/>
          <w:sz w:val="32"/>
          <w:szCs w:val="32"/>
        </w:rPr>
        <w:t>一般公共服务支出（2</w:t>
      </w:r>
      <w:r>
        <w:rPr>
          <w:rFonts w:hint="eastAsia" w:ascii="仿宋_GB2312" w:hAnsi="仿宋_GB2312" w:eastAsia="仿宋_GB2312" w:cs="仿宋_GB2312"/>
          <w:b w:val="0"/>
          <w:bCs/>
          <w:color w:val="000000"/>
          <w:kern w:val="0"/>
          <w:sz w:val="32"/>
          <w:szCs w:val="32"/>
          <w:lang w:val="en-US" w:eastAsia="zh-CN"/>
        </w:rPr>
        <w:t>01</w:t>
      </w:r>
      <w:r>
        <w:rPr>
          <w:rFonts w:hint="eastAsia" w:ascii="仿宋_GB2312" w:hAnsi="仿宋_GB2312" w:eastAsia="仿宋_GB2312" w:cs="仿宋_GB2312"/>
          <w:b w:val="0"/>
          <w:bCs/>
          <w:color w:val="000000"/>
          <w:kern w:val="0"/>
          <w:sz w:val="32"/>
          <w:szCs w:val="32"/>
        </w:rPr>
        <w:t>）商贸事务（20113）事业运行（20113</w:t>
      </w:r>
      <w:r>
        <w:rPr>
          <w:rFonts w:hint="eastAsia" w:ascii="仿宋_GB2312" w:hAnsi="仿宋_GB2312" w:eastAsia="仿宋_GB2312" w:cs="仿宋_GB2312"/>
          <w:b w:val="0"/>
          <w:bCs/>
          <w:color w:val="000000"/>
          <w:kern w:val="0"/>
          <w:sz w:val="32"/>
          <w:szCs w:val="32"/>
          <w:lang w:val="en-US" w:eastAsia="zh-CN"/>
        </w:rPr>
        <w:t>50</w:t>
      </w:r>
      <w:r>
        <w:rPr>
          <w:rFonts w:hint="eastAsia" w:ascii="仿宋_GB2312" w:hAnsi="仿宋_GB2312" w:eastAsia="仿宋_GB2312" w:cs="仿宋_GB2312"/>
          <w:b w:val="0"/>
          <w:bCs/>
          <w:color w:val="000000"/>
          <w:kern w:val="0"/>
          <w:sz w:val="32"/>
          <w:szCs w:val="32"/>
        </w:rPr>
        <w:t>）</w:t>
      </w:r>
      <w:r>
        <w:rPr>
          <w:rFonts w:hint="eastAsia" w:ascii="仿宋_GB2312" w:hAnsi="仿宋_GB2312" w:eastAsia="仿宋_GB2312" w:cs="仿宋_GB2312"/>
          <w:b w:val="0"/>
          <w:bCs/>
          <w:color w:val="000000"/>
          <w:kern w:val="0"/>
          <w:sz w:val="32"/>
          <w:szCs w:val="32"/>
          <w:lang w:eastAsia="zh-CN"/>
        </w:rPr>
        <w:t>：</w:t>
      </w:r>
      <w:r>
        <w:rPr>
          <w:rFonts w:hint="eastAsia" w:ascii="仿宋_GB2312" w:hAnsi="仿宋_GB2312" w:eastAsia="仿宋_GB2312" w:cs="仿宋_GB2312"/>
          <w:b w:val="0"/>
          <w:bCs/>
          <w:color w:val="000000"/>
          <w:kern w:val="0"/>
          <w:sz w:val="32"/>
          <w:szCs w:val="32"/>
        </w:rPr>
        <w:t>支出决算</w:t>
      </w:r>
      <w:r>
        <w:rPr>
          <w:rFonts w:hint="eastAsia" w:hAnsi="仿宋_GB2312" w:eastAsia="仿宋_GB2312" w:cs="仿宋_GB2312"/>
          <w:b w:val="0"/>
          <w:bCs/>
          <w:color w:val="000000"/>
          <w:kern w:val="0"/>
          <w:sz w:val="32"/>
          <w:szCs w:val="32"/>
          <w:lang w:val="en-US" w:eastAsia="zh-CN"/>
        </w:rPr>
        <w:t>123.93</w:t>
      </w:r>
      <w:r>
        <w:rPr>
          <w:rFonts w:hint="eastAsia" w:ascii="仿宋_GB2312" w:hAnsi="仿宋_GB2312" w:eastAsia="仿宋_GB2312" w:cs="仿宋_GB2312"/>
          <w:b w:val="0"/>
          <w:bCs/>
          <w:color w:val="000000"/>
          <w:kern w:val="0"/>
          <w:sz w:val="32"/>
          <w:szCs w:val="32"/>
        </w:rPr>
        <w:t>万元，完成预算100%。</w:t>
      </w:r>
    </w:p>
    <w:p w14:paraId="79F6EFF2">
      <w:pPr>
        <w:pStyle w:val="9"/>
        <w:keepNext w:val="0"/>
        <w:keepLines w:val="0"/>
        <w:widowControl/>
        <w:numPr>
          <w:ilvl w:val="0"/>
          <w:numId w:val="0"/>
        </w:numPr>
        <w:suppressLineNumbers w:val="0"/>
        <w:tabs>
          <w:tab w:val="left" w:pos="0"/>
        </w:tabs>
        <w:ind w:firstLine="640" w:firstLineChars="200"/>
        <w:rPr>
          <w:rStyle w:val="19"/>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lang w:val="en-US" w:eastAsia="zh-CN"/>
        </w:rPr>
        <w:t>4.</w:t>
      </w:r>
      <w:r>
        <w:rPr>
          <w:rStyle w:val="19"/>
          <w:rFonts w:hint="eastAsia" w:ascii="仿宋" w:hAnsi="仿宋" w:eastAsia="仿宋" w:cs="仿宋"/>
          <w:b w:val="0"/>
          <w:bCs w:val="0"/>
          <w:color w:val="auto"/>
          <w:sz w:val="32"/>
          <w:szCs w:val="32"/>
          <w:highlight w:val="none"/>
        </w:rPr>
        <w:t>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其他商贸事务支出</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2011399</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185</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37AB6348">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5.</w:t>
      </w:r>
      <w:r>
        <w:rPr>
          <w:rFonts w:hint="eastAsia" w:ascii="仿宋" w:hAnsi="仿宋" w:eastAsia="仿宋" w:cs="仿宋"/>
          <w:b w:val="0"/>
          <w:bCs w:val="0"/>
          <w:kern w:val="0"/>
          <w:sz w:val="32"/>
          <w:szCs w:val="32"/>
        </w:rPr>
        <w:t>社会保障和就业支出（208）行政事业单位养老支出（20805）机关事业单位基本养老保险缴费支出（2080505）</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33.50</w:t>
      </w:r>
      <w:r>
        <w:rPr>
          <w:rFonts w:hint="eastAsia" w:ascii="仿宋" w:hAnsi="仿宋" w:eastAsia="仿宋" w:cs="仿宋"/>
          <w:b w:val="0"/>
          <w:bCs w:val="0"/>
          <w:kern w:val="0"/>
          <w:sz w:val="32"/>
          <w:szCs w:val="32"/>
        </w:rPr>
        <w:t>万元，完成预算100%。</w:t>
      </w:r>
    </w:p>
    <w:p w14:paraId="65CF3287">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6.</w:t>
      </w:r>
      <w:r>
        <w:rPr>
          <w:rFonts w:hint="eastAsia" w:ascii="仿宋" w:hAnsi="仿宋" w:eastAsia="仿宋" w:cs="仿宋"/>
          <w:b w:val="0"/>
          <w:bCs w:val="0"/>
          <w:kern w:val="0"/>
          <w:sz w:val="32"/>
          <w:szCs w:val="32"/>
        </w:rPr>
        <w:t>社会保障和就业支出（208）行政事业单位养老支出（20806）机关事业单位职业年金缴费支出（2080506）</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22.90</w:t>
      </w:r>
      <w:r>
        <w:rPr>
          <w:rFonts w:hint="eastAsia" w:ascii="仿宋" w:hAnsi="仿宋" w:eastAsia="仿宋" w:cs="仿宋"/>
          <w:b w:val="0"/>
          <w:bCs w:val="0"/>
          <w:kern w:val="0"/>
          <w:sz w:val="32"/>
          <w:szCs w:val="32"/>
        </w:rPr>
        <w:t>万元，完成预算100%。</w:t>
      </w:r>
    </w:p>
    <w:p w14:paraId="6F98976F">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7.</w:t>
      </w:r>
      <w:r>
        <w:rPr>
          <w:rFonts w:hint="eastAsia" w:ascii="仿宋" w:hAnsi="仿宋" w:eastAsia="仿宋" w:cs="仿宋"/>
          <w:b w:val="0"/>
          <w:bCs w:val="0"/>
          <w:kern w:val="0"/>
          <w:sz w:val="32"/>
          <w:szCs w:val="32"/>
        </w:rPr>
        <w:t>卫生健康支出（210）行政事业单位医疗（21011）行政单位医疗（2101101）</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7.70</w:t>
      </w:r>
      <w:r>
        <w:rPr>
          <w:rFonts w:hint="eastAsia" w:ascii="仿宋" w:hAnsi="仿宋" w:eastAsia="仿宋" w:cs="仿宋"/>
          <w:b w:val="0"/>
          <w:bCs w:val="0"/>
          <w:kern w:val="0"/>
          <w:sz w:val="32"/>
          <w:szCs w:val="32"/>
        </w:rPr>
        <w:t>万元，完成预算100%。</w:t>
      </w:r>
    </w:p>
    <w:p w14:paraId="1ED143A3">
      <w:pPr>
        <w:pStyle w:val="9"/>
        <w:keepNext w:val="0"/>
        <w:keepLines w:val="0"/>
        <w:widowControl/>
        <w:numPr>
          <w:ilvl w:val="0"/>
          <w:numId w:val="0"/>
        </w:numPr>
        <w:suppressLineNumbers w:val="0"/>
        <w:tabs>
          <w:tab w:val="left" w:pos="0"/>
        </w:tabs>
        <w:ind w:firstLine="640" w:firstLineChars="200"/>
        <w:rPr>
          <w:rFonts w:hint="eastAsia" w:ascii="仿宋_GB2312" w:hAnsi="仿宋_GB2312" w:eastAsia="仿宋_GB2312" w:cs="仿宋_GB2312"/>
          <w:b w:val="0"/>
          <w:bCs w:val="0"/>
          <w:kern w:val="0"/>
          <w:sz w:val="32"/>
          <w:szCs w:val="32"/>
        </w:rPr>
      </w:pPr>
      <w:r>
        <w:rPr>
          <w:rFonts w:hint="eastAsia" w:ascii="仿宋" w:hAnsi="仿宋" w:eastAsia="仿宋" w:cs="仿宋"/>
          <w:b w:val="0"/>
          <w:bCs w:val="0"/>
          <w:kern w:val="0"/>
          <w:sz w:val="32"/>
          <w:szCs w:val="32"/>
          <w:lang w:val="en-US" w:eastAsia="zh-CN"/>
        </w:rPr>
        <w:t>8.</w:t>
      </w:r>
      <w:r>
        <w:rPr>
          <w:rFonts w:hint="eastAsia" w:ascii="仿宋_GB2312" w:hAnsi="仿宋_GB2312" w:eastAsia="仿宋_GB2312" w:cs="仿宋_GB2312"/>
          <w:b w:val="0"/>
          <w:bCs w:val="0"/>
          <w:kern w:val="0"/>
          <w:sz w:val="32"/>
          <w:szCs w:val="32"/>
        </w:rPr>
        <w:t>卫生健康支出（210）行政事业单位医疗（21011）</w:t>
      </w:r>
      <w:r>
        <w:rPr>
          <w:rFonts w:hint="eastAsia" w:ascii="仿宋_GB2312" w:hAnsi="仿宋_GB2312" w:eastAsia="仿宋_GB2312" w:cs="仿宋_GB2312"/>
          <w:b w:val="0"/>
          <w:bCs w:val="0"/>
          <w:kern w:val="0"/>
          <w:sz w:val="32"/>
          <w:szCs w:val="32"/>
          <w:lang w:val="en-US" w:eastAsia="zh-CN"/>
        </w:rPr>
        <w:t>事业</w:t>
      </w:r>
      <w:r>
        <w:rPr>
          <w:rFonts w:hint="eastAsia" w:ascii="仿宋_GB2312" w:hAnsi="仿宋_GB2312" w:eastAsia="仿宋_GB2312" w:cs="仿宋_GB2312"/>
          <w:b w:val="0"/>
          <w:bCs w:val="0"/>
          <w:kern w:val="0"/>
          <w:sz w:val="32"/>
          <w:szCs w:val="32"/>
        </w:rPr>
        <w:t>单位医疗（210110</w:t>
      </w:r>
      <w:r>
        <w:rPr>
          <w:rFonts w:hint="eastAsia" w:ascii="仿宋_GB2312" w:hAnsi="仿宋_GB2312" w:eastAsia="仿宋_GB2312" w:cs="仿宋_GB2312"/>
          <w:b w:val="0"/>
          <w:bCs w:val="0"/>
          <w:kern w:val="0"/>
          <w:sz w:val="32"/>
          <w:szCs w:val="32"/>
          <w:lang w:val="en-US" w:eastAsia="zh-CN"/>
        </w:rPr>
        <w:t>2</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hAnsi="仿宋_GB2312" w:eastAsia="仿宋_GB2312" w:cs="仿宋_GB2312"/>
          <w:b w:val="0"/>
          <w:bCs w:val="0"/>
          <w:kern w:val="0"/>
          <w:sz w:val="32"/>
          <w:szCs w:val="32"/>
          <w:lang w:val="en-US" w:eastAsia="zh-CN"/>
        </w:rPr>
        <w:t>7.17</w:t>
      </w:r>
      <w:r>
        <w:rPr>
          <w:rFonts w:hint="eastAsia" w:ascii="仿宋_GB2312" w:hAnsi="仿宋_GB2312" w:eastAsia="仿宋_GB2312" w:cs="仿宋_GB2312"/>
          <w:b w:val="0"/>
          <w:bCs w:val="0"/>
          <w:kern w:val="0"/>
          <w:sz w:val="32"/>
          <w:szCs w:val="32"/>
        </w:rPr>
        <w:t>万元，完成预算100%。</w:t>
      </w:r>
    </w:p>
    <w:p w14:paraId="0490F9AD">
      <w:pPr>
        <w:pStyle w:val="9"/>
        <w:keepNext w:val="0"/>
        <w:keepLines w:val="0"/>
        <w:widowControl/>
        <w:numPr>
          <w:ilvl w:val="0"/>
          <w:numId w:val="0"/>
        </w:numPr>
        <w:suppressLineNumbers w:val="0"/>
        <w:tabs>
          <w:tab w:val="left" w:pos="0"/>
        </w:tabs>
        <w:ind w:firstLine="640" w:firstLineChars="200"/>
        <w:rPr>
          <w:rFonts w:hint="eastAsia" w:ascii="仿宋_GB2312" w:hAnsi="仿宋_GB2312" w:eastAsia="仿宋_GB2312" w:cs="仿宋_GB2312"/>
          <w:b w:val="0"/>
          <w:bCs w:val="0"/>
          <w:kern w:val="0"/>
          <w:sz w:val="32"/>
          <w:szCs w:val="32"/>
        </w:rPr>
      </w:pPr>
      <w:r>
        <w:rPr>
          <w:rFonts w:hint="eastAsia" w:hAnsi="仿宋_GB2312" w:eastAsia="仿宋_GB2312" w:cs="仿宋_GB2312"/>
          <w:b w:val="0"/>
          <w:bCs w:val="0"/>
          <w:kern w:val="0"/>
          <w:sz w:val="32"/>
          <w:szCs w:val="32"/>
          <w:lang w:val="en-US" w:eastAsia="zh-CN"/>
        </w:rPr>
        <w:t>9</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rPr>
        <w:t>卫生健康支出（210）行政事业单位医疗（21011）公务员医疗补助（2101103）</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hAnsi="仿宋_GB2312" w:eastAsia="仿宋_GB2312" w:cs="仿宋_GB2312"/>
          <w:b w:val="0"/>
          <w:bCs w:val="0"/>
          <w:kern w:val="0"/>
          <w:sz w:val="32"/>
          <w:szCs w:val="32"/>
          <w:lang w:val="en-US" w:eastAsia="zh-CN"/>
        </w:rPr>
        <w:t>1.50</w:t>
      </w:r>
      <w:r>
        <w:rPr>
          <w:rFonts w:hint="eastAsia" w:ascii="仿宋_GB2312" w:hAnsi="仿宋_GB2312" w:eastAsia="仿宋_GB2312" w:cs="仿宋_GB2312"/>
          <w:b w:val="0"/>
          <w:bCs w:val="0"/>
          <w:kern w:val="0"/>
          <w:sz w:val="32"/>
          <w:szCs w:val="32"/>
        </w:rPr>
        <w:t>万元，完成预算100%。</w:t>
      </w:r>
    </w:p>
    <w:p w14:paraId="11144B77">
      <w:pPr>
        <w:keepNext w:val="0"/>
        <w:keepLines w:val="0"/>
        <w:widowControl/>
        <w:numPr>
          <w:ilvl w:val="0"/>
          <w:numId w:val="0"/>
        </w:numPr>
        <w:suppressLineNumbers w:val="0"/>
        <w:spacing w:line="600" w:lineRule="exact"/>
        <w:ind w:right="0" w:rightChars="0" w:firstLine="640" w:firstLineChars="200"/>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val="en-US" w:eastAsia="zh-CN"/>
        </w:rPr>
        <w:t>10.</w:t>
      </w:r>
      <w:r>
        <w:rPr>
          <w:rFonts w:hint="eastAsia" w:ascii="仿宋_GB2312" w:hAnsi="仿宋_GB2312" w:eastAsia="仿宋_GB2312" w:cs="仿宋_GB2312"/>
          <w:b w:val="0"/>
          <w:bCs w:val="0"/>
          <w:kern w:val="0"/>
          <w:sz w:val="32"/>
          <w:szCs w:val="32"/>
        </w:rPr>
        <w:t>卫生健康支出（210）行政事业单位医疗（21011）其他行政事业单位医疗支出（21011</w:t>
      </w:r>
      <w:r>
        <w:rPr>
          <w:rFonts w:hint="eastAsia" w:ascii="仿宋_GB2312" w:hAnsi="仿宋_GB2312" w:eastAsia="仿宋_GB2312" w:cs="仿宋_GB2312"/>
          <w:b w:val="0"/>
          <w:bCs w:val="0"/>
          <w:kern w:val="0"/>
          <w:sz w:val="32"/>
          <w:szCs w:val="32"/>
          <w:lang w:val="en-US" w:eastAsia="zh-CN"/>
        </w:rPr>
        <w:t>99</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支出决算</w:t>
      </w:r>
      <w:r>
        <w:rPr>
          <w:rFonts w:hint="eastAsia" w:ascii="仿宋_GB2312" w:hAnsi="仿宋_GB2312" w:eastAsia="仿宋_GB2312" w:cs="仿宋_GB2312"/>
          <w:b w:val="0"/>
          <w:bCs w:val="0"/>
          <w:kern w:val="0"/>
          <w:sz w:val="32"/>
          <w:szCs w:val="32"/>
          <w:lang w:val="en-US" w:eastAsia="zh-CN"/>
        </w:rPr>
        <w:t>1.44</w:t>
      </w:r>
      <w:r>
        <w:rPr>
          <w:rFonts w:hint="eastAsia" w:ascii="仿宋_GB2312" w:hAnsi="仿宋_GB2312" w:eastAsia="仿宋_GB2312" w:cs="仿宋_GB2312"/>
          <w:b w:val="0"/>
          <w:bCs w:val="0"/>
          <w:kern w:val="0"/>
          <w:sz w:val="32"/>
          <w:szCs w:val="32"/>
        </w:rPr>
        <w:t>万元，完成预算100%。</w:t>
      </w:r>
    </w:p>
    <w:p w14:paraId="6363B63A">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p>
    <w:p w14:paraId="7730918A">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11.</w:t>
      </w:r>
      <w:r>
        <w:rPr>
          <w:rFonts w:hint="eastAsia" w:ascii="仿宋" w:hAnsi="仿宋" w:eastAsia="仿宋" w:cs="仿宋"/>
          <w:b w:val="0"/>
          <w:bCs w:val="0"/>
          <w:kern w:val="0"/>
          <w:sz w:val="32"/>
          <w:szCs w:val="32"/>
        </w:rPr>
        <w:t>农林水支出（213）</w:t>
      </w:r>
      <w:r>
        <w:rPr>
          <w:rFonts w:hint="eastAsia" w:ascii="仿宋" w:hAnsi="仿宋" w:eastAsia="仿宋" w:cs="仿宋"/>
          <w:b w:val="0"/>
          <w:bCs w:val="0"/>
          <w:kern w:val="0"/>
          <w:sz w:val="32"/>
          <w:szCs w:val="32"/>
          <w:lang w:eastAsia="zh-CN"/>
        </w:rPr>
        <w:t>巩固拓展脱贫攻坚成果</w:t>
      </w:r>
      <w:r>
        <w:rPr>
          <w:rFonts w:hint="eastAsia" w:ascii="仿宋" w:hAnsi="仿宋" w:eastAsia="仿宋" w:cs="仿宋"/>
          <w:b w:val="0"/>
          <w:bCs w:val="0"/>
          <w:kern w:val="0"/>
          <w:sz w:val="32"/>
          <w:szCs w:val="32"/>
        </w:rPr>
        <w:t>衔接乡村振兴（21305）</w:t>
      </w:r>
      <w:r>
        <w:rPr>
          <w:rFonts w:hint="eastAsia" w:ascii="仿宋" w:hAnsi="仿宋" w:eastAsia="仿宋" w:cs="仿宋"/>
          <w:b w:val="0"/>
          <w:bCs w:val="0"/>
          <w:kern w:val="0"/>
          <w:sz w:val="32"/>
          <w:szCs w:val="32"/>
          <w:lang w:val="en-US" w:eastAsia="zh-CN"/>
        </w:rPr>
        <w:t>生产发展（2130505）</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106.93</w:t>
      </w:r>
      <w:r>
        <w:rPr>
          <w:rFonts w:hint="eastAsia" w:ascii="仿宋" w:hAnsi="仿宋" w:eastAsia="仿宋" w:cs="仿宋"/>
          <w:b w:val="0"/>
          <w:bCs w:val="0"/>
          <w:kern w:val="0"/>
          <w:sz w:val="32"/>
          <w:szCs w:val="32"/>
        </w:rPr>
        <w:t>万元，完成预算100%。</w:t>
      </w:r>
    </w:p>
    <w:p w14:paraId="2CC17560">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12.</w:t>
      </w:r>
      <w:r>
        <w:rPr>
          <w:rFonts w:hint="eastAsia" w:ascii="仿宋" w:hAnsi="仿宋" w:eastAsia="仿宋" w:cs="仿宋"/>
          <w:b w:val="0"/>
          <w:bCs w:val="0"/>
          <w:kern w:val="0"/>
          <w:sz w:val="32"/>
          <w:szCs w:val="32"/>
        </w:rPr>
        <w:t>资源勘探工业信息等支出（215）</w:t>
      </w:r>
      <w:r>
        <w:rPr>
          <w:rFonts w:hint="eastAsia" w:ascii="仿宋" w:hAnsi="仿宋" w:eastAsia="仿宋" w:cs="仿宋"/>
          <w:i w:val="0"/>
          <w:caps w:val="0"/>
          <w:color w:val="000000"/>
          <w:spacing w:val="0"/>
          <w:sz w:val="32"/>
          <w:szCs w:val="32"/>
          <w:shd w:val="clear" w:fill="FAFAFA"/>
        </w:rPr>
        <w:t>支持中小企业发展和管理支出</w:t>
      </w:r>
      <w:r>
        <w:rPr>
          <w:rFonts w:hint="eastAsia" w:ascii="仿宋" w:hAnsi="仿宋" w:eastAsia="仿宋" w:cs="仿宋"/>
          <w:i w:val="0"/>
          <w:caps w:val="0"/>
          <w:color w:val="000000"/>
          <w:spacing w:val="0"/>
          <w:sz w:val="32"/>
          <w:szCs w:val="32"/>
          <w:shd w:val="clear" w:fill="FAFAFA"/>
          <w:lang w:eastAsia="zh-CN"/>
        </w:rPr>
        <w:t>（</w:t>
      </w:r>
      <w:r>
        <w:rPr>
          <w:rFonts w:hint="eastAsia" w:ascii="仿宋" w:hAnsi="仿宋" w:eastAsia="仿宋" w:cs="仿宋"/>
          <w:b w:val="0"/>
          <w:bCs w:val="0"/>
          <w:kern w:val="0"/>
          <w:sz w:val="32"/>
          <w:szCs w:val="32"/>
          <w:lang w:val="en-US" w:eastAsia="zh-CN"/>
        </w:rPr>
        <w:t>21508）</w:t>
      </w:r>
      <w:r>
        <w:rPr>
          <w:rFonts w:hint="eastAsia" w:ascii="仿宋" w:hAnsi="仿宋" w:eastAsia="仿宋" w:cs="仿宋"/>
          <w:i w:val="0"/>
          <w:caps w:val="0"/>
          <w:color w:val="000000"/>
          <w:spacing w:val="0"/>
          <w:sz w:val="32"/>
          <w:szCs w:val="32"/>
          <w:shd w:val="clear" w:fill="FAFAFA"/>
        </w:rPr>
        <w:t>中小企业发展</w:t>
      </w:r>
      <w:r>
        <w:rPr>
          <w:rFonts w:hint="eastAsia" w:ascii="仿宋" w:hAnsi="仿宋" w:eastAsia="仿宋" w:cs="仿宋"/>
          <w:i w:val="0"/>
          <w:caps w:val="0"/>
          <w:color w:val="000000"/>
          <w:spacing w:val="0"/>
          <w:sz w:val="32"/>
          <w:szCs w:val="32"/>
          <w:shd w:val="clear" w:fill="FAFAFA"/>
          <w:lang w:eastAsia="zh-CN"/>
        </w:rPr>
        <w:t>专项</w:t>
      </w:r>
      <w:r>
        <w:rPr>
          <w:rFonts w:hint="eastAsia" w:ascii="仿宋" w:hAnsi="仿宋" w:eastAsia="仿宋" w:cs="仿宋"/>
          <w:b w:val="0"/>
          <w:bCs w:val="0"/>
          <w:kern w:val="0"/>
          <w:sz w:val="32"/>
          <w:szCs w:val="32"/>
          <w:lang w:val="en-US" w:eastAsia="zh-CN"/>
        </w:rPr>
        <w:t>（2150805）：</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5万</w:t>
      </w:r>
      <w:r>
        <w:rPr>
          <w:rFonts w:hint="eastAsia" w:ascii="仿宋" w:hAnsi="仿宋" w:eastAsia="仿宋" w:cs="仿宋"/>
          <w:b w:val="0"/>
          <w:bCs w:val="0"/>
          <w:kern w:val="0"/>
          <w:sz w:val="32"/>
          <w:szCs w:val="32"/>
        </w:rPr>
        <w:t>元，完成预算100%。</w:t>
      </w:r>
    </w:p>
    <w:p w14:paraId="0E0DC8F9">
      <w:pPr>
        <w:ind w:firstLine="640" w:firstLineChars="200"/>
        <w:rPr>
          <w:rFonts w:hint="default" w:eastAsia="仿宋"/>
          <w:b w:val="0"/>
          <w:bCs w:val="0"/>
          <w:lang w:val="en-US" w:eastAsia="zh-CN"/>
        </w:rPr>
      </w:pPr>
      <w:r>
        <w:rPr>
          <w:rFonts w:hint="eastAsia" w:ascii="仿宋" w:hAnsi="仿宋" w:eastAsia="仿宋" w:cs="仿宋"/>
          <w:b w:val="0"/>
          <w:bCs w:val="0"/>
          <w:kern w:val="0"/>
          <w:sz w:val="32"/>
          <w:szCs w:val="32"/>
          <w:lang w:val="en-US" w:eastAsia="zh-CN"/>
        </w:rPr>
        <w:t>13.</w:t>
      </w:r>
      <w:r>
        <w:rPr>
          <w:rFonts w:hint="eastAsia" w:ascii="仿宋" w:hAnsi="仿宋" w:eastAsia="仿宋" w:cs="仿宋"/>
          <w:b w:val="0"/>
          <w:bCs w:val="0"/>
          <w:kern w:val="0"/>
          <w:sz w:val="32"/>
          <w:szCs w:val="32"/>
        </w:rPr>
        <w:t>资源勘探工业信息等支出（215）其他资源勘探工业信息等支出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lang w:val="en-US" w:eastAsia="zh-CN"/>
        </w:rPr>
        <w:t>21599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其他资源勘探工业信息等支出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lang w:val="en-US" w:eastAsia="zh-CN"/>
        </w:rPr>
        <w:t>2159999</w:t>
      </w:r>
      <w:r>
        <w:rPr>
          <w:rFonts w:hint="eastAsia" w:ascii="仿宋" w:hAnsi="仿宋" w:eastAsia="仿宋" w:cs="仿宋"/>
          <w:b w:val="0"/>
          <w:bCs w:val="0"/>
          <w:kern w:val="0"/>
          <w:sz w:val="32"/>
          <w:szCs w:val="32"/>
          <w:lang w:eastAsia="zh-CN"/>
        </w:rPr>
        <w:t>）：支出</w:t>
      </w:r>
      <w:r>
        <w:rPr>
          <w:rFonts w:hint="eastAsia" w:ascii="仿宋" w:hAnsi="仿宋" w:eastAsia="仿宋" w:cs="仿宋"/>
          <w:b w:val="0"/>
          <w:bCs w:val="0"/>
          <w:kern w:val="0"/>
          <w:sz w:val="32"/>
          <w:szCs w:val="32"/>
          <w:lang w:val="en-US" w:eastAsia="zh-CN"/>
        </w:rPr>
        <w:t>17.48万元，完成预算100%。</w:t>
      </w:r>
    </w:p>
    <w:p w14:paraId="60C99EEA">
      <w:pPr>
        <w:ind w:firstLine="640"/>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14.商业服务业等支出（216）商业流通事务（21602）</w:t>
      </w:r>
      <w:r>
        <w:rPr>
          <w:rFonts w:hint="eastAsia" w:ascii="仿宋" w:hAnsi="仿宋" w:eastAsia="仿宋" w:cs="仿宋"/>
          <w:b w:val="0"/>
          <w:bCs w:val="0"/>
          <w:kern w:val="0"/>
          <w:sz w:val="32"/>
          <w:szCs w:val="32"/>
          <w:lang w:eastAsia="zh-CN"/>
        </w:rPr>
        <w:t>其他商业流通事务支出（</w:t>
      </w:r>
      <w:r>
        <w:rPr>
          <w:rFonts w:hint="eastAsia" w:ascii="仿宋" w:hAnsi="仿宋" w:eastAsia="仿宋" w:cs="仿宋"/>
          <w:b w:val="0"/>
          <w:bCs w:val="0"/>
          <w:kern w:val="0"/>
          <w:sz w:val="32"/>
          <w:szCs w:val="32"/>
          <w:lang w:val="en-US" w:eastAsia="zh-CN"/>
        </w:rPr>
        <w:t>2160299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13.08</w:t>
      </w:r>
      <w:r>
        <w:rPr>
          <w:rFonts w:hint="eastAsia" w:ascii="仿宋" w:hAnsi="仿宋" w:eastAsia="仿宋" w:cs="仿宋"/>
          <w:b w:val="0"/>
          <w:bCs w:val="0"/>
          <w:kern w:val="0"/>
          <w:sz w:val="32"/>
          <w:szCs w:val="32"/>
        </w:rPr>
        <w:t>万元，完成预算100%</w:t>
      </w:r>
      <w:r>
        <w:rPr>
          <w:rFonts w:hint="eastAsia" w:ascii="仿宋" w:hAnsi="仿宋" w:eastAsia="仿宋" w:cs="仿宋"/>
          <w:b w:val="0"/>
          <w:bCs w:val="0"/>
          <w:kern w:val="0"/>
          <w:sz w:val="32"/>
          <w:szCs w:val="32"/>
          <w:lang w:eastAsia="zh-CN"/>
        </w:rPr>
        <w:t>。</w:t>
      </w:r>
    </w:p>
    <w:p w14:paraId="5BB52A36">
      <w:pPr>
        <w:ind w:firstLine="640" w:firstLineChars="200"/>
        <w:rPr>
          <w:rFonts w:hint="default" w:eastAsia="仿宋"/>
          <w:b w:val="0"/>
          <w:bCs w:val="0"/>
          <w:lang w:val="en-US" w:eastAsia="zh-CN"/>
        </w:rPr>
      </w:pPr>
      <w:r>
        <w:rPr>
          <w:rFonts w:hint="eastAsia" w:ascii="仿宋" w:hAnsi="仿宋" w:eastAsia="仿宋" w:cs="仿宋"/>
          <w:b w:val="0"/>
          <w:bCs w:val="0"/>
          <w:kern w:val="0"/>
          <w:sz w:val="32"/>
          <w:szCs w:val="32"/>
          <w:lang w:val="en-US" w:eastAsia="zh-CN"/>
        </w:rPr>
        <w:t>15.商业服务业等支出（216）其他商业服务业等支出（21699）</w:t>
      </w:r>
      <w:r>
        <w:rPr>
          <w:rFonts w:hint="eastAsia" w:ascii="仿宋" w:hAnsi="仿宋" w:eastAsia="仿宋" w:cs="仿宋"/>
          <w:b w:val="0"/>
          <w:bCs w:val="0"/>
          <w:kern w:val="0"/>
          <w:sz w:val="32"/>
          <w:szCs w:val="32"/>
          <w:lang w:eastAsia="zh-CN"/>
        </w:rPr>
        <w:t>其他商业服务业等支出（</w:t>
      </w:r>
      <w:r>
        <w:rPr>
          <w:rFonts w:hint="eastAsia" w:ascii="仿宋" w:hAnsi="仿宋" w:eastAsia="仿宋" w:cs="仿宋"/>
          <w:b w:val="0"/>
          <w:bCs w:val="0"/>
          <w:kern w:val="0"/>
          <w:sz w:val="32"/>
          <w:szCs w:val="32"/>
          <w:lang w:val="en-US" w:eastAsia="zh-CN"/>
        </w:rPr>
        <w:t>2169999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182.68</w:t>
      </w:r>
      <w:r>
        <w:rPr>
          <w:rFonts w:hint="eastAsia" w:ascii="仿宋" w:hAnsi="仿宋" w:eastAsia="仿宋" w:cs="仿宋"/>
          <w:b w:val="0"/>
          <w:bCs w:val="0"/>
          <w:kern w:val="0"/>
          <w:sz w:val="32"/>
          <w:szCs w:val="32"/>
        </w:rPr>
        <w:t>万元，完成预算100%</w:t>
      </w:r>
      <w:r>
        <w:rPr>
          <w:rFonts w:hint="eastAsia" w:ascii="仿宋" w:hAnsi="仿宋" w:eastAsia="仿宋" w:cs="仿宋"/>
          <w:b w:val="0"/>
          <w:bCs w:val="0"/>
          <w:kern w:val="0"/>
          <w:sz w:val="32"/>
          <w:szCs w:val="32"/>
          <w:lang w:eastAsia="zh-CN"/>
        </w:rPr>
        <w:t>。</w:t>
      </w:r>
    </w:p>
    <w:p w14:paraId="43E6049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 w:hAnsi="仿宋" w:eastAsia="仿宋" w:cs="仿宋"/>
          <w:b w:val="0"/>
          <w:bCs w:val="0"/>
          <w:kern w:val="0"/>
          <w:sz w:val="32"/>
          <w:szCs w:val="32"/>
          <w:lang w:val="en-US" w:eastAsia="zh-CN"/>
        </w:rPr>
        <w:t>16.</w:t>
      </w:r>
      <w:r>
        <w:rPr>
          <w:rFonts w:hint="eastAsia" w:ascii="仿宋" w:hAnsi="仿宋" w:eastAsia="仿宋" w:cs="仿宋"/>
          <w:b w:val="0"/>
          <w:bCs w:val="0"/>
          <w:kern w:val="0"/>
          <w:sz w:val="32"/>
          <w:szCs w:val="32"/>
        </w:rPr>
        <w:t>住房保障支出（221）住房改革支出（22102）住房公积金（2210201）</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27.06</w:t>
      </w:r>
      <w:r>
        <w:rPr>
          <w:rFonts w:hint="eastAsia" w:ascii="仿宋" w:hAnsi="仿宋" w:eastAsia="仿宋" w:cs="仿宋"/>
          <w:b w:val="0"/>
          <w:bCs w:val="0"/>
          <w:kern w:val="0"/>
          <w:sz w:val="32"/>
          <w:szCs w:val="32"/>
        </w:rPr>
        <w:t>万元，完成预算100%。</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6FEFAA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1A6C55">
      <w:pPr>
        <w:tabs>
          <w:tab w:val="right" w:pos="8306"/>
        </w:tabs>
        <w:spacing w:line="600" w:lineRule="exact"/>
        <w:ind w:firstLine="640"/>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34C87D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379.66</w:t>
      </w:r>
      <w:r>
        <w:rPr>
          <w:rFonts w:hint="eastAsia" w:ascii="Times New Roman" w:hAnsi="Times New Roman" w:eastAsia="仿宋_GB2312" w:cs="仿宋_GB2312"/>
          <w:color w:val="auto"/>
          <w:kern w:val="2"/>
          <w:sz w:val="32"/>
          <w:szCs w:val="32"/>
          <w:highlight w:val="none"/>
          <w:lang w:val="en-US" w:eastAsia="zh-CN" w:bidi="ar-SA"/>
        </w:rPr>
        <w:t>万元，其中：</w:t>
      </w:r>
    </w:p>
    <w:p w14:paraId="3E15F5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353.15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26.51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556FD3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78BCB9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26DCEA">
      <w:pPr>
        <w:spacing w:line="600" w:lineRule="exact"/>
        <w:ind w:firstLine="640"/>
        <w:outlineLvl w:val="1"/>
        <w:rPr>
          <w:rStyle w:val="30"/>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12AC7B5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73465B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val="en-US" w:eastAsia="zh-CN"/>
        </w:rPr>
        <w:t>贯彻落实中央八项规定、厉行节约、过紧日子等有关要求，加强公务用车管理，从严控制和压缩“三公”经费。虽然有微小增长，但整体遵循节约原则，通过加强管理控制经费支出。</w:t>
      </w:r>
    </w:p>
    <w:p w14:paraId="354D514D">
      <w:pPr>
        <w:spacing w:line="600" w:lineRule="exact"/>
        <w:ind w:firstLine="321" w:firstLineChars="1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0105319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21AFEC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218"/>
      <w:bookmarkStart w:id="41" w:name="_Toc1539661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C419A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本单位无因公出国（境）需求。</w:t>
      </w:r>
    </w:p>
    <w:p w14:paraId="240FB3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val="en-US" w:eastAsia="zh-CN"/>
        </w:rPr>
        <w:t>贯彻落实中央八项规定、厉行节约、过紧日子等有关要求，加强公务用车管理，从严控制和压缩“三公”经费。虽然有微小增长，但整体遵循节约原则，通过加强管理控制经费支出。</w:t>
      </w:r>
    </w:p>
    <w:p w14:paraId="2BC458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C3C83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EC0287E">
      <w:pPr>
        <w:numPr>
          <w:ilvl w:val="0"/>
          <w:numId w:val="2"/>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5769EE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27395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6B240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18658F8">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66FB5686">
      <w:pPr>
        <w:numPr>
          <w:ilvl w:val="0"/>
          <w:numId w:val="0"/>
        </w:num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32.91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4.2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13.94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73.48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2025年以旧换新工作开展较好，相关经费增加。</w:t>
      </w:r>
    </w:p>
    <w:p w14:paraId="62F2DA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05F79D">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96611"/>
      <w:bookmarkStart w:id="4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6E54F3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B082799">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622CC9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21D769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松潘县经济商务和信息化局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19.4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9.39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32.62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2024年产生了办公室维修维护费用，本年度未产生，所以较上年减少。</w:t>
      </w:r>
    </w:p>
    <w:p w14:paraId="66D5E0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5802B4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松潘县经济商务和信息化局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246.89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246.89</w:t>
      </w:r>
      <w:r>
        <w:rPr>
          <w:rFonts w:hint="eastAsia" w:ascii="Times New Roman" w:hAnsi="Times New Roman" w:eastAsia="仿宋_GB2312" w:cs="仿宋_GB2312"/>
          <w:color w:val="auto"/>
          <w:kern w:val="2"/>
          <w:sz w:val="32"/>
          <w:szCs w:val="32"/>
          <w:highlight w:val="none"/>
          <w:lang w:val="en-US" w:eastAsia="zh-CN" w:bidi="ar-SA"/>
        </w:rPr>
        <w:t>万元。主要用于共建电商产业园及县电子商务公共服务中心运营服务</w:t>
      </w:r>
      <w:r>
        <w:rPr>
          <w:rFonts w:hint="eastAsia" w:eastAsia="仿宋_GB2312" w:cs="仿宋_GB2312"/>
          <w:color w:val="auto"/>
          <w:kern w:val="2"/>
          <w:sz w:val="32"/>
          <w:szCs w:val="32"/>
          <w:highlight w:val="none"/>
          <w:lang w:val="en-US" w:eastAsia="zh-CN" w:bidi="ar-SA"/>
        </w:rPr>
        <w:t>；松潘县区域品牌打造项目（</w:t>
      </w:r>
      <w:bookmarkStart w:id="67" w:name="_GoBack"/>
      <w:bookmarkEnd w:id="67"/>
      <w:r>
        <w:rPr>
          <w:rFonts w:hint="eastAsia" w:eastAsia="仿宋_GB2312" w:cs="仿宋_GB2312"/>
          <w:color w:val="auto"/>
          <w:kern w:val="2"/>
          <w:sz w:val="32"/>
          <w:szCs w:val="32"/>
          <w:highlight w:val="none"/>
          <w:lang w:val="en-US" w:eastAsia="zh-CN" w:bidi="ar-SA"/>
        </w:rPr>
        <w:t>含区域品牌申报、区域品牌推广、区域品牌平台建设）；“桐松杯”我为家乡代言网络直播大赛</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C7EDE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41D7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27A910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松潘县经济商务和信息化局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EC5BA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5C0B7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3E529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1AABB15">
      <w:pPr>
        <w:pStyle w:val="2"/>
        <w:rPr>
          <w:rFonts w:hint="eastAsia"/>
          <w:lang w:val="en-US" w:eastAsia="zh-CN"/>
        </w:rPr>
      </w:pPr>
    </w:p>
    <w:p w14:paraId="6856037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5B8A3A2">
      <w:pPr>
        <w:spacing w:line="600" w:lineRule="exact"/>
        <w:jc w:val="left"/>
        <w:rPr>
          <w:rFonts w:ascii="Times New Roman" w:hAnsi="Times New Roman"/>
          <w:b/>
          <w:color w:val="auto"/>
          <w:sz w:val="44"/>
          <w:szCs w:val="44"/>
          <w:highlight w:val="none"/>
        </w:rPr>
      </w:pPr>
    </w:p>
    <w:p w14:paraId="2ED960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6B3D1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3A2D7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7DB55B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39FCE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59756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CE63F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89301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0DF5D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2FA922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5AD1A9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242144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4E0F8C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479628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03868E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5EB849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3F62D0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36FDD7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05B178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5B5CA4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727A83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7ED04F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4D6E04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6F927B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61117E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7D8958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2EF5E5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031441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36C1C4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104644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570C0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7C3B84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9882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6D1B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C30BC8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EBBE95C">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7625C9B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6B0A9CF">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3"/>
      <w:bookmarkStart w:id="54" w:name="_Toc15396619"/>
    </w:p>
    <w:p w14:paraId="40067B6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502B54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23E78DB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51F1C05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5116D45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75D353F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34230AA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67D2BE4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00DE13A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22D1FA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5ADD80A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3375269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327933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7066632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512486C8">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9048B5-191A-4EF6-8A0F-B7D16E5822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A8802C16-5B9C-4E06-A783-E0986158393D}"/>
  </w:font>
  <w:font w:name="仿宋_GB2312">
    <w:panose1 w:val="02010609030101010101"/>
    <w:charset w:val="86"/>
    <w:family w:val="modern"/>
    <w:pitch w:val="default"/>
    <w:sig w:usb0="00000001" w:usb1="080E0000" w:usb2="00000000" w:usb3="00000000" w:csb0="00040000" w:csb1="00000000"/>
    <w:embedRegular r:id="rId3" w:fontKey="{77758779-ACB5-4948-AA0A-371D084A2554}"/>
  </w:font>
  <w:font w:name="仿宋">
    <w:panose1 w:val="02010609060101010101"/>
    <w:charset w:val="86"/>
    <w:family w:val="modern"/>
    <w:pitch w:val="default"/>
    <w:sig w:usb0="800002BF" w:usb1="38CF7CFA" w:usb2="00000016" w:usb3="00000000" w:csb0="00040001" w:csb1="00000000"/>
    <w:embedRegular r:id="rId4" w:fontKey="{8C24A9FD-5ABA-4FEC-A4D6-EC8A24EC0524}"/>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63868900-0EA2-4B95-85CD-89D73920DDE6}"/>
  </w:font>
  <w:font w:name="楷体_GB2312">
    <w:panose1 w:val="02010609030101010101"/>
    <w:charset w:val="86"/>
    <w:family w:val="auto"/>
    <w:pitch w:val="default"/>
    <w:sig w:usb0="00000001" w:usb1="080E0000" w:usb2="00000000" w:usb3="00000000" w:csb0="00040000" w:csb1="00000000"/>
    <w:embedRegular r:id="rId6" w:fontKey="{9249768D-5DFC-4C88-BF70-5D2FEE2E86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FD6CD">
    <w:pPr>
      <w:pStyle w:val="12"/>
      <w:jc w:val="center"/>
    </w:pPr>
  </w:p>
  <w:p w14:paraId="00B983E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330B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B8BF5">
    <w:pPr>
      <w:pStyle w:val="12"/>
      <w:jc w:val="center"/>
    </w:pPr>
  </w:p>
  <w:p w14:paraId="45755426">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0495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B43CB">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CB43CB">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9D3D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32000E"/>
    <w:multiLevelType w:val="singleLevel"/>
    <w:tmpl w:val="3B32000E"/>
    <w:lvl w:ilvl="0" w:tentative="0">
      <w:start w:val="3"/>
      <w:numFmt w:val="decimal"/>
      <w:lvlText w:val="%1."/>
      <w:lvlJc w:val="left"/>
      <w:pPr>
        <w:tabs>
          <w:tab w:val="left" w:pos="312"/>
        </w:tabs>
      </w:p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03520"/>
    <w:rsid w:val="281408E2"/>
    <w:rsid w:val="29FD04D3"/>
    <w:rsid w:val="2BFF7BC6"/>
    <w:rsid w:val="2C8A61B5"/>
    <w:rsid w:val="2D2E01CF"/>
    <w:rsid w:val="2DD0734B"/>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58614D2"/>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CA3C15"/>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3"/>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4"/>
    <w:qFormat/>
    <w:uiPriority w:val="9"/>
    <w:rPr>
      <w:rFonts w:ascii="Times New Roman" w:hAnsi="Times New Roman"/>
      <w:b/>
      <w:bCs/>
      <w:kern w:val="44"/>
      <w:sz w:val="44"/>
      <w:szCs w:val="44"/>
    </w:rPr>
  </w:style>
  <w:style w:type="character" w:customStyle="1" w:styleId="30">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3425b05f-372d-449d-8c0e-0ff4a2473aa4</errorID>
      <errorWord>事物</errorWord>
      <group>L1_Word</group>
      <groupName>字词问题</groupName>
      <ability>L2_Typo</ability>
      <abilityName>字词错误</abilityName>
      <candidateList>
        <item>事务</item>
      </candidateList>
      <explain/>
      <paraID>79F6EFF2</paraID>
      <start>28</start>
      <end>30</end>
      <status>modified</status>
      <modifiedWord>事务</modifiedWord>
      <trackRevisions>false</trackRevisions>
    </reviewItem>
    <reviewItem>
      <errorID>ffd1824e-96d5-4435-89a2-106f2731dfea</errorID>
      <errorWord>巩固脱贫攻坚成果</errorWord>
      <group>L1_Word</group>
      <groupName>字词问题</groupName>
      <ability>L2_Typo</ability>
      <abilityName>字词错误</abilityName>
      <candidateList>
        <item>巩固拓展脱贫攻坚成果</item>
      </candidateList>
      <explain/>
      <paraID>7730918A</paraID>
      <start>13</start>
      <end>23</end>
      <status>modified</status>
      <modifiedWord>巩固拓展脱贫攻坚成果</modifiedWord>
      <trackRevisions>false</trackRevisions>
    </reviewItem>
    <reviewItem>
      <errorID>b3377b8b-e8ba-4710-9b46-1542a5d3b114</errorID>
      <errorWord>&lt;</errorWord>
      <group>L1_Format</group>
      <groupName>格式问题</groupName>
      <ability>L2_HalfPunc_CN</ability>
      <abilityName>全半角问题</abilityName>
      <candidateList>
        <item>〈</item>
      </candidateList>
      <explain>文本全半角错误。</explain>
      <paraID>43E60496</paraID>
      <start>113</start>
      <end>114</end>
      <status>modified</status>
      <modifiedWord>〈</modifiedWord>
      <trackRevisions>false</trackRevisions>
    </reviewItem>
    <reviewItem>
      <errorID>97d8b861-71f9-44cd-9eee-8940f1390543</errorID>
      <errorWord>&gt;</errorWord>
      <group>L1_Format</group>
      <groupName>格式问题</groupName>
      <ability>L2_HalfPunc_CN</ability>
      <abilityName>全半角问题</abilityName>
      <candidateList>
        <item>〉</item>
      </candidateList>
      <explain>文本全半角错误。</explain>
      <paraID>43E60496</paraID>
      <start>116</start>
      <end>117</end>
      <status>modified</status>
      <modifiedWord>〉</modifiedWord>
      <trackRevisions>false</trackRevisions>
    </reviewItem>
    <reviewItem>
      <errorID>a4af3a03-5663-420f-842e-a6ba34b857c6</errorID>
      <errorWord>&lt;</errorWord>
      <group>L1_Format</group>
      <groupName>格式问题</groupName>
      <ability>L2_HalfPunc_CN</ability>
      <abilityName>全半角问题</abilityName>
      <candidateList>
        <item>〈</item>
      </candidateList>
      <explain>文本全半角错误。</explain>
      <paraID>43E60496</paraID>
      <start>123</start>
      <end>124</end>
      <status>modified</status>
      <modifiedWord>〈</modifiedWord>
      <trackRevisions>false</trackRevisions>
    </reviewItem>
    <reviewItem>
      <errorID>0ef6ad50-bfe2-494f-b9f2-1f3bb73950fb</errorID>
      <errorWord>&gt;</errorWord>
      <group>L1_Format</group>
      <groupName>格式问题</groupName>
      <ability>L2_HalfPunc_CN</ability>
      <abilityName>全半角问题</abilityName>
      <candidateList>
        <item>〉</item>
      </candidateList>
      <explain>文本全半角错误。</explain>
      <paraID>43E60496</paraID>
      <start>126</start>
      <end>127</end>
      <status>modified</status>
      <modifiedWord>〉</modifiedWord>
      <trackRevisions>false</trackRevisions>
    </reviewItem>
    <reviewItem>
      <errorID>83a521d2-14c4-4de4-afce-f78f9fec8371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73465B4F</paraID>
      <start>99</start>
      <end>105</end>
      <status>modified</status>
      <modifiedWord>“三公”经费</modifiedWord>
      <trackRevisions>false</trackRevisions>
    </reviewItem>
    <reviewItem>
      <errorID>7c84be93-3e5b-48ed-93b3-388e5ef7e2bd</errorID>
      <errorWord>整体是</errorWord>
      <group>L1_Word</group>
      <groupName>字词问题</groupName>
      <ability>L2_Typo</ability>
      <abilityName>字词错误</abilityName>
      <candidateList>
        <item>整体</item>
      </candidateList>
      <explain/>
      <paraID>73465B4F</paraID>
      <start>115</start>
      <end>117</end>
      <status>modified</status>
      <modifiedWord>整体</modifiedWord>
      <trackRevisions>false</trackRevisions>
    </reviewItem>
    <reviewItem>
      <errorID>92531515-01c2-43c5-8ac4-c8084721e37b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240FB335</paraID>
      <start>110</start>
      <end>116</end>
      <status>modified</status>
      <modifiedWord>“三公”经费</modifiedWord>
      <trackRevisions>false</trackRevisions>
    </reviewItem>
    <reviewItem>
      <errorID>a8676281-7dc5-44cb-a470-52f3cbf96ce2</errorID>
      <errorWord>整体是</errorWord>
      <group>L1_Word</group>
      <groupName>字词问题</groupName>
      <ability>L2_Typo</ability>
      <abilityName>字词错误</abilityName>
      <candidateList>
        <item>整体</item>
      </candidateList>
      <explain/>
      <paraID>240FB335</paraID>
      <start>126</start>
      <end>128</end>
      <status>modified</status>
      <modifiedWord>整体</modifiedWord>
      <trackRevisions>false</trackRevisions>
    </reviewItem>
    <reviewItem>
      <errorID>408d2053-1537-44e2-9c1c-7206104eb98a</errorID>
      <errorWord>(</errorWord>
      <group>L1_Format</group>
      <groupName>格式问题</groupName>
      <ability>L2_HalfPunc_CN</ability>
      <abilityName>全半角问题</abilityName>
      <candidateList>
        <item>（</item>
      </candidateList>
      <explain>文本全半角错误。</explain>
      <paraID>5802B4EB</paraID>
      <start>19</start>
      <end>20</end>
      <status>modified</status>
      <modifiedWord>（</modifiedWord>
      <trackRevisions>false</trackRevisions>
    </reviewItem>
    <reviewItem>
      <errorID>50739b9f-7f18-4403-8590-c303ae25e68c</errorID>
      <errorWord>)</errorWord>
      <group>L1_Format</group>
      <groupName>格式问题</groupName>
      <ability>L2_HalfPunc_CN</ability>
      <abilityName>全半角问题</abilityName>
      <candidateList>
        <item>）</item>
      </candidateList>
      <explain>文本全半角错误。</explain>
      <paraID>5802B4EB</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c86541-414f-40ee-bc1d-40c0bcaae8e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7925</Words>
  <Characters>8662</Characters>
  <Lines>61</Lines>
  <Paragraphs>17</Paragraphs>
  <TotalTime>1</TotalTime>
  <ScaleCrop>false</ScaleCrop>
  <LinksUpToDate>false</LinksUpToDate>
  <CharactersWithSpaces>8743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2026-10-15T02:34:33Z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