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AD989">
      <w:pPr>
        <w:pStyle w:val="7"/>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77425"/>
      <w:bookmarkStart w:id="2" w:name="_Toc15396475"/>
      <w:bookmarkStart w:id="3" w:name="_Toc15396597"/>
      <w:bookmarkStart w:id="4" w:name="_Toc15306267"/>
      <w:bookmarkStart w:id="5" w:name="_Toc15377193"/>
      <w:bookmarkStart w:id="66" w:name="_GoBack"/>
      <w:bookmarkEnd w:id="66"/>
    </w:p>
    <w:p w14:paraId="7BCF27FA">
      <w:pPr>
        <w:pStyle w:val="7"/>
        <w:rPr>
          <w:rFonts w:hint="eastAsia" w:ascii="Times New Roman" w:hAnsi="Times New Roman" w:eastAsia="方正小标宋简体" w:cs="Times New Roman"/>
          <w:color w:val="auto"/>
          <w:kern w:val="2"/>
          <w:sz w:val="72"/>
          <w:szCs w:val="72"/>
          <w:highlight w:val="none"/>
          <w:lang w:val="en-US" w:eastAsia="zh-CN" w:bidi="ar-SA"/>
        </w:rPr>
      </w:pPr>
    </w:p>
    <w:p w14:paraId="52E82A2C">
      <w:pPr>
        <w:pStyle w:val="7"/>
        <w:rPr>
          <w:rFonts w:hint="eastAsia" w:ascii="Times New Roman" w:hAnsi="Times New Roman" w:eastAsia="方正小标宋简体" w:cs="Times New Roman"/>
          <w:color w:val="auto"/>
          <w:kern w:val="2"/>
          <w:sz w:val="72"/>
          <w:szCs w:val="72"/>
          <w:highlight w:val="none"/>
          <w:lang w:val="en-US" w:eastAsia="zh-CN" w:bidi="ar-SA"/>
        </w:rPr>
      </w:pPr>
    </w:p>
    <w:p w14:paraId="6CEFBDA2">
      <w:pPr>
        <w:pStyle w:val="7"/>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方正小标宋简体" w:hAnsi="宋体" w:eastAsia="方正小标宋简体" w:cs="Times New Roman"/>
          <w:color w:val="auto"/>
          <w:kern w:val="2"/>
          <w:sz w:val="44"/>
          <w:szCs w:val="44"/>
          <w:highlight w:val="none"/>
          <w:lang w:val="en-US" w:eastAsia="zh-CN" w:bidi="ar-SA"/>
        </w:rPr>
        <w:t>年度四川省阿坝州松潘县发展和改革局部门决算</w:t>
      </w:r>
    </w:p>
    <w:p w14:paraId="5AEA725B">
      <w:pPr>
        <w:pStyle w:val="7"/>
        <w:jc w:val="center"/>
        <w:rPr>
          <w:rFonts w:hint="default" w:ascii="Times New Roman" w:hAnsi="Times New Roman" w:eastAsia="方正小标宋简体" w:cs="Times New Roman"/>
          <w:color w:val="auto"/>
          <w:kern w:val="2"/>
          <w:sz w:val="44"/>
          <w:szCs w:val="44"/>
          <w:highlight w:val="none"/>
          <w:lang w:val="en-US" w:eastAsia="zh-CN" w:bidi="ar-SA"/>
        </w:rPr>
      </w:pPr>
    </w:p>
    <w:p w14:paraId="5F996DBA">
      <w:pPr>
        <w:pStyle w:val="21"/>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bookmarkEnd w:id="0"/>
    <w:bookmarkEnd w:id="1"/>
    <w:bookmarkEnd w:id="2"/>
    <w:bookmarkEnd w:id="3"/>
    <w:bookmarkEnd w:id="4"/>
    <w:bookmarkEnd w:id="5"/>
    <w:p w14:paraId="05B4B17E">
      <w:pPr>
        <w:widowControl/>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C8A44B1">
      <w:pPr>
        <w:widowControl/>
        <w:jc w:val="center"/>
        <w:rPr>
          <w:rFonts w:ascii="Times New Roman" w:hAnsi="Times New Roman" w:eastAsia="黑体" w:cstheme="minorBidi"/>
          <w:color w:val="auto"/>
          <w:sz w:val="28"/>
          <w:szCs w:val="28"/>
          <w:highlight w:val="none"/>
        </w:rPr>
      </w:pPr>
    </w:p>
    <w:p w14:paraId="759C692D">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14 </w:t>
      </w:r>
      <w:r>
        <w:rPr>
          <w:rFonts w:hint="eastAsia" w:ascii="Times New Roman" w:hAnsi="Times New Roman" w:eastAsia="仿宋_GB2312" w:cs="仿宋_GB2312"/>
          <w:color w:val="auto"/>
          <w:sz w:val="32"/>
          <w:szCs w:val="32"/>
          <w:highlight w:val="none"/>
        </w:rPr>
        <w:t>日</w:t>
      </w:r>
    </w:p>
    <w:p w14:paraId="68AE2EE3">
      <w:pPr>
        <w:rPr>
          <w:rFonts w:ascii="Times New Roman" w:hAnsi="Times New Roman"/>
          <w:color w:val="auto"/>
          <w:highlight w:val="none"/>
        </w:rPr>
      </w:pPr>
    </w:p>
    <w:p w14:paraId="31D602D4">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444C43F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246FE93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3DE2FC9E">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15237EC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7F5EAA9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04E26A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1F0A464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3AA5FD3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0ED257C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3F86881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390409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0E7DBF9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2F8F08B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504182A2">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48F919E9">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0FE9F06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00AD3C2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1423DD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0412354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5F1F51F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7B7AEF5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1E3917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70258D7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62D05B1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4932C25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08157DF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146290C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3992F5C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543432D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725DA51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27921603">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54FF52FF">
      <w:pPr>
        <w:pStyle w:val="4"/>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p>
    <w:p w14:paraId="4A86E8A1">
      <w:pPr>
        <w:widowControl/>
        <w:jc w:val="left"/>
        <w:rPr>
          <w:rFonts w:ascii="Times New Roman" w:hAnsi="Times New Roman" w:eastAsia="黑体"/>
          <w:color w:val="auto"/>
          <w:sz w:val="32"/>
          <w:szCs w:val="32"/>
          <w:highlight w:val="none"/>
        </w:rPr>
      </w:pPr>
    </w:p>
    <w:p w14:paraId="6A918DB7">
      <w:pPr>
        <w:pStyle w:val="5"/>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0B917E9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（一）履行政治领导责任，做好理论武装和思想政治工作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负责学习、宣传、贯彻执行党的理论和路线方针政策，贯彻落实党中央、省委、州委、县委的决策部署，发挥好把方向、管大局、保落实的重要作用。</w:t>
      </w:r>
    </w:p>
    <w:p w14:paraId="1EBBCC7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（二）讨论和决定本单位下列重大问题。党的路线方针政策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国家法律法规和上级党组织重要会议、重要文件、重大决策部署的贯彻落实事项。需要向上级党组织请示报告的重要事项。内部机构设置、职责等事项。重大决策、重要人事任免、重大项目安排、大额资金使用等事项。基层党组织和党员队伍建设方面的重要事项。意识形态工作、思想政治工作和精神文明建设方面的重要事项。党风廉政建设和反腐败工作方面的重要事项。其他应当由党组讨论和决定的重大问题。 </w:t>
      </w:r>
    </w:p>
    <w:p w14:paraId="1645805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（三）贯彻党管干部原则，加强干部队伍建设，完善干部培养选拔机制，加强干部教育管理监督。贯彻党管人才原则，加强人才队伍建设。加强对本单位工会、共青团、妇联等群团工作的领导。 </w:t>
      </w:r>
    </w:p>
    <w:p w14:paraId="75E5AE8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（四）履行</w:t>
      </w:r>
      <w:r>
        <w:rPr>
          <w:rFonts w:hint="eastAsia" w:ascii="仿宋_GB2312" w:hAnsi="仿宋_GB2312" w:eastAsia="仿宋_GB2312" w:cs="仿宋_GB2312"/>
          <w:sz w:val="32"/>
          <w:szCs w:val="32"/>
          <w:lang w:eastAsia="zh-CN"/>
        </w:rPr>
        <w:t>党要管党、全面从严治党主体责任</w:t>
      </w:r>
      <w:r>
        <w:rPr>
          <w:rFonts w:hint="eastAsia" w:ascii="仿宋_GB2312" w:hAnsi="仿宋_GB2312" w:eastAsia="仿宋_GB2312" w:cs="仿宋_GB2312"/>
          <w:sz w:val="32"/>
          <w:szCs w:val="32"/>
        </w:rPr>
        <w:t>，加强对本单位党的建设的领导，落实党建工作责任制。认真履行党风廉政建设</w:t>
      </w:r>
      <w:r>
        <w:rPr>
          <w:rFonts w:hint="eastAsia" w:ascii="仿宋_GB2312" w:hAnsi="仿宋_GB2312" w:eastAsia="仿宋_GB2312" w:cs="仿宋_GB2312"/>
          <w:sz w:val="32"/>
          <w:szCs w:val="32"/>
          <w:lang w:eastAsia="zh-CN"/>
        </w:rPr>
        <w:t>主体责任</w:t>
      </w:r>
      <w:r>
        <w:rPr>
          <w:rFonts w:hint="eastAsia" w:ascii="仿宋_GB2312" w:hAnsi="仿宋_GB2312" w:eastAsia="仿宋_GB2312" w:cs="仿宋_GB2312"/>
          <w:sz w:val="32"/>
          <w:szCs w:val="32"/>
        </w:rPr>
        <w:t>，支持纪检监察机构履行监督责任。第五条 县发改局贯彻落实党中央关于发展和改革工作的</w:t>
      </w:r>
      <w:r>
        <w:rPr>
          <w:rFonts w:hint="eastAsia" w:ascii="仿宋_GB2312" w:hAnsi="仿宋_GB2312" w:eastAsia="仿宋_GB2312" w:cs="仿宋_GB2312"/>
          <w:sz w:val="32"/>
          <w:szCs w:val="32"/>
          <w:lang w:eastAsia="zh-CN"/>
        </w:rPr>
        <w:t>方针政策</w:t>
      </w:r>
      <w:r>
        <w:rPr>
          <w:rFonts w:hint="eastAsia" w:ascii="仿宋_GB2312" w:hAnsi="仿宋_GB2312" w:eastAsia="仿宋_GB2312" w:cs="仿宋_GB2312"/>
          <w:sz w:val="32"/>
          <w:szCs w:val="32"/>
        </w:rPr>
        <w:t>和省委、州委、县委的决策部署，在履行职责过程中坚持和加强党对发展和改革工作的集中统一领导。主要职责是： （一）贯彻实施国家有关国民经济和社会发展、</w:t>
      </w:r>
      <w:r>
        <w:rPr>
          <w:rFonts w:hint="eastAsia" w:ascii="仿宋_GB2312" w:hAnsi="仿宋_GB2312" w:eastAsia="仿宋_GB2312" w:cs="仿宋_GB2312"/>
          <w:sz w:val="32"/>
          <w:szCs w:val="32"/>
          <w:lang w:eastAsia="zh-CN"/>
        </w:rPr>
        <w:t>经济体制改</w:t>
      </w:r>
      <w:r>
        <w:rPr>
          <w:rFonts w:hint="eastAsia" w:ascii="仿宋_GB2312" w:hAnsi="仿宋_GB2312" w:eastAsia="仿宋_GB2312" w:cs="仿宋_GB2312"/>
          <w:sz w:val="32"/>
          <w:szCs w:val="32"/>
        </w:rPr>
        <w:t>革的方针、政策和</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。拟订全县有关国民经济</w:t>
      </w:r>
      <w:r>
        <w:rPr>
          <w:rFonts w:hint="eastAsia" w:ascii="仿宋_GB2312" w:hAnsi="仿宋_GB2312" w:eastAsia="仿宋_GB2312" w:cs="仿宋_GB2312"/>
          <w:sz w:val="32"/>
          <w:szCs w:val="32"/>
          <w:lang w:eastAsia="zh-CN"/>
        </w:rPr>
        <w:t>和社会发展</w:t>
      </w:r>
      <w:r>
        <w:rPr>
          <w:rFonts w:hint="eastAsia" w:ascii="仿宋_GB2312" w:hAnsi="仿宋_GB2312" w:eastAsia="仿宋_GB2312" w:cs="仿宋_GB2312"/>
          <w:sz w:val="32"/>
          <w:szCs w:val="32"/>
        </w:rPr>
        <w:t xml:space="preserve">、经济体制改革的地方性规章草案，负责本系统、本部门依法行政工作，落实行政执法责任制。 </w:t>
      </w:r>
    </w:p>
    <w:p w14:paraId="5942D0C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负责拟订并组织实施全县国民经济和社会发展战略、中长期规划和年度计划，统筹协调全县经济社会发展，研究分析宏观经济形势，提出全县经济社会发展、经济结构优化、价格总水平调控目标和政策建议。受县政府委托向县人大提交国民经济和社会发展计划报告。 </w:t>
      </w:r>
    </w:p>
    <w:p w14:paraId="2DAE5BE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负责监测宏观经济和社会发展态势，承担预测预警和信息引导的责任，研究宏观调控重大问题并提出政策建议，搞好总量平衡，综合协调经济社会发展中的重大问题。负责县级开发区的指导、协调和宏观管理。 </w:t>
      </w:r>
    </w:p>
    <w:p w14:paraId="553221C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（四）负责汇总分析全县财政、金融等方面情况；提出多渠道融资的政策建议；综合协调财政、金融、价格和产业政策等经济杠杆以及县上直接掌握的经济手段的使用并</w:t>
      </w:r>
      <w:r>
        <w:rPr>
          <w:rFonts w:hint="eastAsia" w:ascii="仿宋_GB2312" w:hAnsi="仿宋_GB2312" w:eastAsia="仿宋_GB2312" w:cs="仿宋_GB2312"/>
          <w:sz w:val="32"/>
          <w:szCs w:val="32"/>
          <w:lang w:val="en-US" w:eastAsia="zh-CN"/>
        </w:rPr>
        <w:t>通</w:t>
      </w:r>
      <w:r>
        <w:rPr>
          <w:rFonts w:hint="eastAsia" w:ascii="仿宋_GB2312" w:hAnsi="仿宋_GB2312" w:eastAsia="仿宋_GB2312" w:cs="仿宋_GB2312"/>
          <w:sz w:val="32"/>
          <w:szCs w:val="32"/>
        </w:rPr>
        <w:t>过法规和政策协调、信息指导，保证全县国民经济计划和发展规划的实施。（五）承担指导推进和综合协调全县经济体制改革的责任，研究经济体制改革和对外开放的重大问题，组织拟订综合性经济体制改革方案，协调有关专项经济体制改革方案，指导和推进总体经济体制改革以及综合配套改革与体制创新，组织、指导和协调综合配套改革试点和重大专项经济体制改革试点。</w:t>
      </w:r>
    </w:p>
    <w:p w14:paraId="23402C3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（六）贯彻执行国家价格</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规章和政策规定，草拟相关的地方性规章、政策并组织实施；负责全县价格总水平的宏观调控和综合平衡；研究提出控制物价总水平的相关措施；参与制定调控价格总水平相关的决策方案，为县委和县政府决策服务；负责监测、分析、预报全县市场价格动态和变化趋势，并提出政策建议；按照价格管理权限，研究制定县管价格、收费目录和管理办</w:t>
      </w:r>
      <w:r>
        <w:rPr>
          <w:rFonts w:hint="eastAsia" w:ascii="仿宋_GB2312" w:hAnsi="仿宋_GB2312" w:eastAsia="仿宋_GB2312" w:cs="仿宋_GB2312"/>
          <w:sz w:val="32"/>
          <w:szCs w:val="32"/>
          <w:lang w:eastAsia="zh-CN"/>
        </w:rPr>
        <w:t>法</w:t>
      </w:r>
      <w:r>
        <w:rPr>
          <w:rFonts w:hint="eastAsia" w:ascii="仿宋_GB2312" w:hAnsi="仿宋_GB2312" w:eastAsia="仿宋_GB2312" w:cs="仿宋_GB2312"/>
          <w:sz w:val="32"/>
          <w:szCs w:val="32"/>
        </w:rPr>
        <w:t>，制定并公布政府定价和政府指导价；审定、调整列入管理的商品价格和服务价格；贯彻执行国家行政事业性收费项目和标准，会同财政部门审定、调整列管的收费项目和收费标准；组织实施行政事业性收费、经营性收费年度审验工作；对放开的商品价格和服务价格实施指导，合理安排各种差价和比价关系。引导和规范经营者自主定价行为，指导行业价格自律，当市场商品价格和服务价格出现异常波动时提出干预措施，待批准后组</w:t>
      </w:r>
      <w:r>
        <w:rPr>
          <w:rFonts w:hint="eastAsia" w:ascii="仿宋_GB2312" w:hAnsi="仿宋_GB2312" w:eastAsia="仿宋_GB2312" w:cs="仿宋_GB2312"/>
          <w:sz w:val="32"/>
          <w:szCs w:val="32"/>
          <w:lang w:eastAsia="zh-CN"/>
        </w:rPr>
        <w:t>织实</w:t>
      </w:r>
      <w:r>
        <w:rPr>
          <w:rFonts w:hint="eastAsia" w:ascii="仿宋_GB2312" w:hAnsi="仿宋_GB2312" w:eastAsia="仿宋_GB2312" w:cs="仿宋_GB2312"/>
          <w:sz w:val="32"/>
          <w:szCs w:val="32"/>
        </w:rPr>
        <w:t xml:space="preserve"> 施；负责全县境内的景区门票价格调整方案；指导涉旅购物市场价格行为；指导宾馆（酒店）以及各类娱乐场所的价格行为；负责价格</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和价格（收费）标准的公示；负责价格</w:t>
      </w:r>
      <w:r>
        <w:rPr>
          <w:rFonts w:hint="eastAsia" w:ascii="仿宋_GB2312" w:hAnsi="仿宋_GB2312" w:eastAsia="仿宋_GB2312" w:cs="仿宋_GB2312"/>
          <w:sz w:val="32"/>
          <w:szCs w:val="32"/>
          <w:lang w:eastAsia="zh-CN"/>
        </w:rPr>
        <w:t>法治宣传教育</w:t>
      </w:r>
      <w:r>
        <w:rPr>
          <w:rFonts w:hint="eastAsia" w:ascii="仿宋_GB2312" w:hAnsi="仿宋_GB2312" w:eastAsia="仿宋_GB2312" w:cs="仿宋_GB2312"/>
          <w:sz w:val="32"/>
          <w:szCs w:val="32"/>
        </w:rPr>
        <w:t>工作；承办或实施列入听证目</w:t>
      </w:r>
      <w:r>
        <w:rPr>
          <w:rFonts w:hint="eastAsia" w:ascii="仿宋_GB2312" w:hAnsi="仿宋_GB2312" w:eastAsia="仿宋_GB2312" w:cs="仿宋_GB2312"/>
          <w:sz w:val="32"/>
          <w:szCs w:val="32"/>
          <w:lang w:eastAsia="zh-CN"/>
        </w:rPr>
        <w:t>录的</w:t>
      </w:r>
      <w:r>
        <w:rPr>
          <w:rFonts w:hint="eastAsia" w:ascii="仿宋_GB2312" w:hAnsi="仿宋_GB2312" w:eastAsia="仿宋_GB2312" w:cs="仿宋_GB2312"/>
          <w:sz w:val="32"/>
          <w:szCs w:val="32"/>
        </w:rPr>
        <w:t>商品价格和服务价格的听证工作；负责仲裁相关价格和收费的纠纷或争议；负责全县工业品、农副产品、公用事业成本监审和流通费用的调查分析。</w:t>
      </w:r>
    </w:p>
    <w:p w14:paraId="2F5AD09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（七）负责重要商品总量平衡和宏观调控。研究分析县内外市场和对外贸易运行情况，编制重要农产品、工业品和原材料进出口总量计划并监督执行。贯彻执行国家粮食流通和储备粮管理的方针、政策和</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，拟定全县粮食流通和县级储备粮管理的有关法规草案、规章制度和有关政策，并组织执行；承担</w:t>
      </w:r>
      <w:r>
        <w:rPr>
          <w:rFonts w:hint="eastAsia" w:ascii="仿宋_GB2312" w:hAnsi="仿宋_GB2312" w:eastAsia="仿宋_GB2312" w:cs="仿宋_GB2312"/>
          <w:sz w:val="32"/>
          <w:szCs w:val="32"/>
          <w:lang w:eastAsia="zh-CN"/>
        </w:rPr>
        <w:t>组织实施</w:t>
      </w:r>
      <w:r>
        <w:rPr>
          <w:rFonts w:hint="eastAsia" w:ascii="仿宋_GB2312" w:hAnsi="仿宋_GB2312" w:eastAsia="仿宋_GB2312" w:cs="仿宋_GB2312"/>
          <w:sz w:val="32"/>
          <w:szCs w:val="32"/>
        </w:rPr>
        <w:t xml:space="preserve">重要物资和应急储备物资收储、轮换和日常管理等职责，负责粮食行政管理和粮食执法工作。承担粮食预警监测和应急责任，负责全县粮食宏观调控具体工作，组织指导全县粮食系统统计工作；负责州、县级储备粮管理，指导全县粮食储备体系建设。监督检查县级储备粮库存数量、质量和安全，研究提出县级储备粮的收购、轮换、抛售计划，并组织实施。负责全县粮食收购、储存环节和政策性用粮质量安全，负责库存原粮卫生监督管理，指导粮食行业安全生产和抢险救灾，指导全县农村科学储粮工作；制定粮食流通产业发展规划，提出促进粮食流通产业发展的 政策性建议并督促落实。指导全县粮食流通市场的行业管理、会同有关部门搞好县级粮食批发市场体系建设，加强粮油市场的监管；指导并推动行业的技术改造、新技术推广运用、安全生产工作；承担行业统计工作。 </w:t>
      </w:r>
    </w:p>
    <w:p w14:paraId="422228E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负责全县投资宏观管理和协调推进重大项目建设。拟订全社会固定资产投资总规模和投资结构，编制年度投资计划；研究提出有关重大投资政策，规划重大项目和生产力布局；安排财政性建设资金，指导和监督政策性贷款的使用方向；申报限额以上和审批权限以内的基本建设项目；按照基本建设程序，负责全县基本建设项目立项、可行性研究报告和国家出资的工业（含内贸）、农业、水利、交通、信息产业等行业和产业项目的初步设计审查、开工报告审批工作；引导民间资金用于固定资产投资的方向；研究提出全县利用外资的发展战略、总量平衡和结构优化的目标和政策措施；提出拟订全县工商领域外的外商投资产业指导目录的意见；审批权限以内国外贷款、</w:t>
      </w:r>
      <w:r>
        <w:rPr>
          <w:rFonts w:hint="eastAsia" w:ascii="仿宋_GB2312" w:hAnsi="仿宋_GB2312" w:eastAsia="仿宋_GB2312" w:cs="仿宋_GB2312"/>
          <w:sz w:val="32"/>
          <w:szCs w:val="32"/>
          <w:lang w:eastAsia="zh-CN"/>
        </w:rPr>
        <w:t>外商投资</w:t>
      </w:r>
      <w:r>
        <w:rPr>
          <w:rFonts w:hint="eastAsia" w:ascii="仿宋_GB2312" w:hAnsi="仿宋_GB2312" w:eastAsia="仿宋_GB2312" w:cs="仿宋_GB2312"/>
          <w:sz w:val="32"/>
          <w:szCs w:val="32"/>
        </w:rPr>
        <w:t xml:space="preserve">和境外投资项目；申报和审核利用外资、境外投资的重大项目；负责编制全县重点建设项目和年度投资计划。 </w:t>
      </w:r>
    </w:p>
    <w:p w14:paraId="1F22452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（九）推进经济结构战略性调整。组织拟订全县综合性产业政策，负责协调</w:t>
      </w:r>
      <w:r>
        <w:rPr>
          <w:rFonts w:hint="eastAsia" w:ascii="仿宋_GB2312" w:hAnsi="仿宋_GB2312" w:eastAsia="仿宋_GB2312" w:cs="仿宋_GB2312"/>
          <w:sz w:val="32"/>
          <w:szCs w:val="32"/>
          <w:lang w:eastAsia="zh-CN"/>
        </w:rPr>
        <w:t>第一，</w:t>
      </w:r>
      <w:r>
        <w:rPr>
          <w:rFonts w:hint="eastAsia" w:ascii="仿宋_GB2312" w:hAnsi="仿宋_GB2312" w:eastAsia="仿宋_GB2312" w:cs="仿宋_GB2312"/>
          <w:sz w:val="32"/>
          <w:szCs w:val="32"/>
        </w:rPr>
        <w:t xml:space="preserve">二、三产业发展的重大问题，衔接平衡相关发展规划和重大政策，协调农业和农村经济社会发展的重大问题，衔接农村专项规划和政策。拟订重大产业发展规划，引导全县重大生产力合理布局，协调推进全县重大技术装备推广应用和重大产业基地建设，会同有关部门拟订服务业、现代物流业发展战略、规划和重大政策。组织拟订高技术产业发展、产业技术进步的战略、规划和重大政策，指导全县自主创新体系建设发展。 </w:t>
      </w:r>
    </w:p>
    <w:p w14:paraId="0BD27D6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促进城乡区域协调发展。组织编制全县主体功能区规划并协调规划实施和进行监测评估，组织拟订区域协调发展战略、规划和重大政策，研究提出城镇化发展战略和统筹城乡发展的重大政策，负责地区经济协作的统筹协调。 </w:t>
      </w:r>
    </w:p>
    <w:p w14:paraId="7987A9E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（十一）负责全县社会发展与国民经济发展的政策衔接，组织拟订社会发展战略、总体规划和年度计划，参与拟订</w:t>
      </w:r>
      <w:r>
        <w:rPr>
          <w:rFonts w:hint="eastAsia" w:ascii="仿宋_GB2312" w:hAnsi="仿宋_GB2312" w:eastAsia="仿宋_GB2312" w:cs="仿宋_GB2312"/>
          <w:sz w:val="32"/>
          <w:szCs w:val="32"/>
          <w:lang w:eastAsia="zh-CN"/>
        </w:rPr>
        <w:t>人口和计划生育</w:t>
      </w:r>
      <w:r>
        <w:rPr>
          <w:rFonts w:hint="eastAsia" w:ascii="仿宋_GB2312" w:hAnsi="仿宋_GB2312" w:eastAsia="仿宋_GB2312" w:cs="仿宋_GB2312"/>
          <w:sz w:val="32"/>
          <w:szCs w:val="32"/>
        </w:rPr>
        <w:t xml:space="preserve">、科学技术、教育、文化、卫生、民政等发展政策，推进 社会事业建设。研究提出促进就业、调整收入分配、完善社会保障与经济协调发展的政策建议，协调社会事业发展和政策中的重大问题及政策。 </w:t>
      </w:r>
    </w:p>
    <w:p w14:paraId="49B9E3E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二）推进可持续发展，负责全县节能减排的综合协调工作，组织拟订并协调实施全州发展循环经济、能源资源节约和综合利用规划及政策措施，参与编制生态建设、环境保护规划，协调生态建设、能源资源节约和综合利用的重大问题。 </w:t>
      </w:r>
    </w:p>
    <w:p w14:paraId="0F4D5AB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（十三）指导、协调并综合管理全县招标投标工作，对国家和县重大建设项目建设过程中的工程招标投标活动</w:t>
      </w:r>
      <w:r>
        <w:rPr>
          <w:rFonts w:hint="eastAsia" w:ascii="仿宋_GB2312" w:hAnsi="仿宋_GB2312" w:eastAsia="仿宋_GB2312" w:cs="仿宋_GB2312"/>
          <w:sz w:val="32"/>
          <w:szCs w:val="32"/>
          <w:lang w:val="en-US" w:eastAsia="zh-CN"/>
        </w:rPr>
        <w:t>实</w:t>
      </w:r>
      <w:r>
        <w:rPr>
          <w:rFonts w:hint="eastAsia" w:ascii="仿宋_GB2312" w:hAnsi="仿宋_GB2312" w:eastAsia="仿宋_GB2312" w:cs="仿宋_GB2312"/>
          <w:sz w:val="32"/>
          <w:szCs w:val="32"/>
        </w:rPr>
        <w:t>施监督检查。</w:t>
      </w:r>
    </w:p>
    <w:p w14:paraId="15ECB2F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十四）负责铁路、机场等综合交通的规划和发展协调；参与协调高速公路项目建设中涉及的重大问题，组织协调和处理全县铁路建设项目前期工作、征地拆迁、建设过程中涉及的重大问题，协同做好全县铁路建设规划及年度计划编制的相关工作。 </w:t>
      </w:r>
    </w:p>
    <w:p w14:paraId="35DD775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（十五）负责组织编制全县国民经济动员与装备动员规划、计划，研究国民经济动员与装备动员和国民经济、国防建设的关系，协调相关重大问题，组织实施国民经济动员与装备动员有关工作。</w:t>
      </w:r>
    </w:p>
    <w:p w14:paraId="0750DF4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（十六）承担县实施西部大开发领导小组、县重点项目领导小组的具体工作。 </w:t>
      </w:r>
    </w:p>
    <w:p w14:paraId="28FA596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（十七）承担县政府公布的有关行政审批事项。 </w:t>
      </w:r>
    </w:p>
    <w:p w14:paraId="1B60F21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（十八）完成县委、县政府交办的其他任务。 </w:t>
      </w:r>
    </w:p>
    <w:p w14:paraId="3F60877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（十九）有关职责分工。1.与县住房和城乡建设局在基本建设项目调概、初步设计审查和开工审批方面的职责分工。根据《中华人民共和国建筑法》等</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及有关规定，由国家出资的工业（含内贸）、水利、交通、铁道、民航、信息产业等行业和产业项目的初步设计、开工报告分别由经信、水务、交通运输等相关部门初审后报发改局审查、审批。各类房屋建筑及其附属设施的建造，与各类房屋建筑及其附属设施的建造配套的线路、管道、设备的安装项目，以及市政工程项目的初步设计审查、项目开工及开工后的质量监督、进度，项目建设施工中的有关组织协调工作由县住建局负责。其中，政府性投资项目的</w:t>
      </w:r>
      <w:r>
        <w:rPr>
          <w:rFonts w:hint="eastAsia" w:ascii="仿宋_GB2312" w:hAnsi="仿宋_GB2312" w:eastAsia="仿宋_GB2312" w:cs="仿宋_GB2312"/>
          <w:sz w:val="32"/>
          <w:szCs w:val="32"/>
          <w:lang w:eastAsia="zh-CN"/>
        </w:rPr>
        <w:t>调研</w:t>
      </w:r>
      <w:r>
        <w:rPr>
          <w:rFonts w:hint="eastAsia" w:ascii="仿宋_GB2312" w:hAnsi="仿宋_GB2312" w:eastAsia="仿宋_GB2312" w:cs="仿宋_GB2312"/>
          <w:sz w:val="32"/>
          <w:szCs w:val="32"/>
        </w:rPr>
        <w:t xml:space="preserve">以县发改局为主，县住建局参加。2.与县经济商务和信息化局（简称县经信局）有关职责分工。重要商品进出口管理：县发改局负责编制重要工业品、原材料和重要农产品的进出口总量计划；县经信局负责在县发改局确定的总量计划内组织实施。粮食、棉花、煤炭由县发改局会同县经信局在进出口总量计划内进行分配并协调相关政策。外商投资管理：县发改局按规定权限负责对外商投资项目进行核准，县经信局按规定权限负责对外商投资企业设立及合同、章程等进行核准。境外投资管理：县发改局按照规定权限负责对境外投资项目进行核准，县经信局按照规定权限负责对国内企业在境外设立非金融企业进行核准。并购安全审查：县发改局和县经信局按照各自职责，分别配合上级职能部门做好外国投资者并购县内企业安全审查的相关工作。 </w:t>
      </w:r>
    </w:p>
    <w:p w14:paraId="6CD2E18E">
      <w:pPr>
        <w:numPr>
          <w:ilvl w:val="0"/>
          <w:numId w:val="0"/>
        </w:numPr>
        <w:rPr>
          <w:rFonts w:hint="eastAsia"/>
          <w:lang w:eastAsia="zh-CN"/>
        </w:rPr>
      </w:pPr>
      <w:r>
        <w:rPr>
          <w:rFonts w:hint="eastAsia" w:ascii="仿宋_GB2312" w:hAnsi="仿宋_GB2312" w:eastAsia="仿宋_GB2312" w:cs="仿宋_GB2312"/>
          <w:sz w:val="32"/>
          <w:szCs w:val="32"/>
        </w:rPr>
        <w:t>第六条 县发改局设下列内设机构：（一）办公室。组织协调机关日常政务，负责机关目标管理、电子政务、公文运转、会议组织、政务信息、财务、资产管理、后勤服务、机要、保密、信访、安全保卫、社会治安综合治理、精神文明建设等工作；负责机关规章制度的制订和组织实施；组织办理议案、提案和建议；负责会议组织及会议决定事项的督办。负责本局机关的机构编制和干部、劳动、人事管理；负责本局档 案管理和离退休人员的管理、服务工作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政策法规股（挂稽察办公室、行政审批股牌子）。起草有关国民经济和社会发展、经济体制改革的重大政策和规章草案；组织研究经济社会发展、改革开放的重大问题；承担本系统、本部门推进依法行政工作的组织协调和督促指导；承担行政执法 监督、行政复议、行政应诉、行政调解和规范性文件审核和备案工作；负责本部门普法工作的宣传、指导和监督。负责指导和协调招标投标工作，组织拟订招标投标配套规定和实施意见；按规定核准项目招标事项；协助省、州发展改革委负责中央投资项目招标代理机构的转报及管理；负责省、州发改委审批项目招标投标核准意见的转报工作。综合管理招标投标活动。负责重大建设项目招标文件的审查和备案，监督招标投标活动，受理相关投诉，调查违规行为；统筹监督国家投资建设项目招标投标合同的执行情况并组织后评估工作；负责协调招标投标平台的建设和管理，管理综合性评标专家库；组织协调招标投标信用体系建设，建立公共资源交易中心招标投标活动和其他招标投标领域相关中介咨询机构的协调管理机制。负责对国家、省、州安排资金项目的审批程序、建设资金使用、工程招标投标、开工建设条件、建设进度、工程质量、投资概算控制以及工程竣工验收等建设活动进行全过程</w:t>
      </w:r>
      <w:r>
        <w:rPr>
          <w:rFonts w:hint="eastAsia" w:ascii="仿宋_GB2312" w:hAnsi="仿宋_GB2312" w:eastAsia="仿宋_GB2312" w:cs="仿宋_GB2312"/>
          <w:sz w:val="32"/>
          <w:szCs w:val="32"/>
          <w:lang w:eastAsia="zh-CN"/>
        </w:rPr>
        <w:t>的稽查</w:t>
      </w:r>
      <w:r>
        <w:rPr>
          <w:rFonts w:hint="eastAsia" w:ascii="仿宋_GB2312" w:hAnsi="仿宋_GB2312" w:eastAsia="仿宋_GB2312" w:cs="仿宋_GB2312"/>
          <w:sz w:val="32"/>
          <w:szCs w:val="32"/>
        </w:rPr>
        <w:t xml:space="preserve">和监 </w:t>
      </w:r>
      <w:r>
        <w:rPr>
          <w:rFonts w:hint="eastAsia" w:ascii="仿宋_GB2312" w:hAnsi="仿宋_GB2312" w:eastAsia="仿宋_GB2312" w:cs="仿宋_GB2312"/>
          <w:sz w:val="32"/>
          <w:szCs w:val="32"/>
          <w:lang w:eastAsia="zh-CN"/>
        </w:rPr>
        <w:t>监督检查</w:t>
      </w:r>
      <w:r>
        <w:rPr>
          <w:rFonts w:hint="eastAsia" w:ascii="仿宋_GB2312" w:hAnsi="仿宋_GB2312" w:eastAsia="仿宋_GB2312" w:cs="仿宋_GB2312"/>
          <w:sz w:val="32"/>
          <w:szCs w:val="32"/>
        </w:rPr>
        <w:t>，及时提出</w:t>
      </w:r>
      <w:r>
        <w:rPr>
          <w:rFonts w:hint="eastAsia" w:ascii="仿宋_GB2312" w:hAnsi="仿宋_GB2312" w:eastAsia="仿宋_GB2312" w:cs="仿宋_GB2312"/>
          <w:sz w:val="32"/>
          <w:szCs w:val="32"/>
          <w:lang w:eastAsia="zh-CN"/>
        </w:rPr>
        <w:t>稽查报告</w:t>
      </w:r>
      <w:r>
        <w:rPr>
          <w:rFonts w:hint="eastAsia" w:ascii="仿宋_GB2312" w:hAnsi="仿宋_GB2312" w:eastAsia="仿宋_GB2312" w:cs="仿宋_GB2312"/>
          <w:sz w:val="32"/>
          <w:szCs w:val="32"/>
        </w:rPr>
        <w:t>；协调、督促有关项目建设单位进行整改。监督检查以工代赈项目的实施情况；承担全县所有固定</w:t>
      </w:r>
      <w:r>
        <w:rPr>
          <w:rFonts w:hint="eastAsia" w:ascii="仿宋_GB2312" w:hAnsi="仿宋_GB2312" w:eastAsia="仿宋_GB2312" w:cs="仿宋_GB2312"/>
          <w:sz w:val="32"/>
          <w:szCs w:val="32"/>
          <w:lang w:eastAsia="zh-CN"/>
        </w:rPr>
        <w:t>资产投资项目进行稽查</w:t>
      </w:r>
      <w:r>
        <w:rPr>
          <w:rFonts w:hint="eastAsia" w:ascii="仿宋_GB2312" w:hAnsi="仿宋_GB2312" w:eastAsia="仿宋_GB2312" w:cs="仿宋_GB2312"/>
          <w:sz w:val="32"/>
          <w:szCs w:val="32"/>
        </w:rPr>
        <w:t>，纠正建设项目中存在的问题，确保建设工程顺利实施。贯彻和组织实施上级有关纪检监察工作方面的决议、决定和指示；负责处理纪检监察工作的日常事务；负责处理控告和举报；处理与部门工作相关的重大疑难问题及突发性事件；负责处理系统内的违法违纪案件。负责拟订行政许可事项审查（审核）的政策、规定、标准、规程细则；负责县发展和改革局（县粮食和物资储备中心、县价格认证和监测中心）机关行政许可职责，依法审批保留权限以内的行政许可事项；负责审批权限以内的非国家投资项目立项（核准、备案）。负责全县社会信用体系建设指导、协调和综合管理；负责信用信息平台的业务管理。（三）国民经济综合协调股（挂经济动员办公室牌子）。起草有关国民经济和社会发展、经济体制改革的重大政策和地方性法规、规章草案；组织研究经济社会发展、改革开放的重大问题；研究提出全县经济和社会发展战略、规划及生产力布局的建议；提出全县经济和社会中长期发展、总量平衡和结构调整的目标和政策；提出推进新型城镇化的发展战略和重大政策，提出城乡融合发展政策建议；编制经济和社会发展中长期规划；组织编制和协调经济社会发展专项规划、区域经济发展规划，提出区域经济 发展政策。综合分析研究经济形势，做好对全县宏观经济的预测、预警；组织研究并提出全县经济和社会发展年度计划以及年度总量平衡、结构调整的目标和政策；提出促进经济增长、增加就业、稳定物价等宏观调控目标以及运用各种经济手段和政策的建议；对县级开发区（含保税区）进行指导、协调和宏观管理。负责半年和年度国民经济和社会发展计划执行情况报告的起草工作；参与有关股室研究制定发展计划和规划。研究提出经济体制改革重大问题，指导推进和综合协调经济</w:t>
      </w:r>
      <w:r>
        <w:rPr>
          <w:rFonts w:hint="eastAsia" w:ascii="仿宋_GB2312" w:hAnsi="仿宋_GB2312" w:eastAsia="仿宋_GB2312" w:cs="仿宋_GB2312"/>
          <w:sz w:val="32"/>
          <w:szCs w:val="32"/>
          <w:lang w:val="en-US" w:eastAsia="zh-CN"/>
        </w:rPr>
        <w:t>体</w:t>
      </w:r>
      <w:r>
        <w:rPr>
          <w:rFonts w:hint="eastAsia" w:ascii="仿宋_GB2312" w:hAnsi="仿宋_GB2312" w:eastAsia="仿宋_GB2312" w:cs="仿宋_GB2312"/>
          <w:sz w:val="32"/>
          <w:szCs w:val="32"/>
        </w:rPr>
        <w:t>制改革；组织拟订综合性经济体制改革方案，参与研究和衔接有关方面拟订的专项经济体制改革方案，协调推进专项经济体制改革；指导经济体制改革试点和改革试验区工作；协调解决经济体制改革进程中的重大问题。研究提出全县国民经济动员工作方针、政策，编制全县国民经济动员方案、总体规划和年度计划；</w:t>
      </w:r>
      <w:r>
        <w:rPr>
          <w:rFonts w:hint="eastAsia" w:ascii="仿宋_GB2312" w:hAnsi="仿宋_GB2312" w:eastAsia="仿宋_GB2312" w:cs="仿宋_GB2312"/>
          <w:sz w:val="32"/>
          <w:szCs w:val="32"/>
          <w:lang w:eastAsia="zh-CN"/>
        </w:rPr>
        <w:t>编报</w:t>
      </w:r>
      <w:r>
        <w:rPr>
          <w:rFonts w:hint="eastAsia" w:ascii="仿宋_GB2312" w:hAnsi="仿宋_GB2312" w:eastAsia="仿宋_GB2312" w:cs="仿宋_GB2312"/>
          <w:sz w:val="32"/>
          <w:szCs w:val="32"/>
        </w:rPr>
        <w:t>、安排全县国民经济动员重大项目；协调国民经济动员工作中的重大问题。（四）固定资产投资和项目管理股（挂援藏办公室、西部大 开发办公室牌子）。负责编制重大项目规划、年度计划，管理项目储备；提出加强重大项目全过程管理的政策措施；监督检查重大项目计划执行情况，会同有关部门督促重大项目实施工作，协调重大项目建设、管理、要素支持和资源配置中的相关事宜；参与重大项目的立项、可行性研究、初步设计的审批、核准、备案、审查等工作；汇总并发布县重大项目进展情况；指导重大项目储备、建设、管理工作；承办县重大建设项目推进领导小组的具体工作。研究提出全县实施西部大开发战略、发展规划和有关政策建议；编制我县实施西部大开发战略的规划，组织协调全县实施西部大开发战略的有关重大问题；承办县实施西部大开发领导小组及其办公室的日常工作。协助做好对国家、省、州安排资金项目以及固定资产投资项目的审批程序、建设资金使用、工程招标投标、开工建设条件、建设进度、工程质量、投资概算控制以及工程竣工验收等建设活动进行全过程的监督检查，协调、督促有关项目建设单位进行整改，纠正建设项目中存在的问题，确保工程建设顺利实施。监测分析全社会固定资产投资状况，研究提出固定资产投资的总规模、结构和资金来源，提出全社会固定资产投资调控政策、中长期规划和年度计划；研究制定加强政府投资项目管理的政策措施；提出投融资体制改革的建议；审核、转报和安排国家和县财政性资金的建设项目。研究提出全县民族地区（涉藏地区）经济社会发展战略和政策，协调发展中的重大问题；汇总编制涉藏地区经济和社会发展中长期规划和年度规划；汇总申报涉藏地区国家政策性投资项目。协助参与对全县所有固定资产投资</w:t>
      </w:r>
      <w:r>
        <w:rPr>
          <w:rFonts w:hint="eastAsia" w:ascii="仿宋_GB2312" w:hAnsi="仿宋_GB2312" w:eastAsia="仿宋_GB2312" w:cs="仿宋_GB2312"/>
          <w:sz w:val="32"/>
          <w:szCs w:val="32"/>
          <w:lang w:eastAsia="zh-CN"/>
        </w:rPr>
        <w:t>项目进行稽查</w:t>
      </w:r>
      <w:r>
        <w:rPr>
          <w:rFonts w:hint="eastAsia" w:ascii="仿宋_GB2312" w:hAnsi="仿宋_GB2312" w:eastAsia="仿宋_GB2312" w:cs="仿宋_GB2312"/>
          <w:sz w:val="32"/>
          <w:szCs w:val="32"/>
        </w:rPr>
        <w:t>，纠正建设项目中存在的问题，确保建设工程顺利实施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五）农村经济发展和社会事业股。会同相关部门研究提出全县农业和农村经济发展战略、体制改革及有关政策建议，协调农业和农村经济社会发展的重大问题；组织编制农村经济中长期规划和年度计划，衔接平衡农业、林业、水利、畜牧、农机和气象等行业发展规划和年度计划；组织编制农业、林业、水利、畜牧、农机和气象及有关农村基础设施投资计划并审核、转报使用财政性资金重大项目，监督检查投资计划执行和项目实施情况；组织编制全县生态建设中长期规划和年度计划，协调组织相关部门实施生态建设重大项目；协助做好涉藏地区政策研究及项目的申报。研究提出全县社会发展战略，拟订和协调全县社会发展中长期规划和年度计划；协调社会事业发展和改革的重大问题；转报、安排国家和县财政性资金的社会事业项目；协调人口、文化、教育、卫生、体育、广播电视、旅游、民政、文物、新闻出版、民族等发展政策。研究提出全县社会事业投资的发展战略、总规模和中长期规划、年度计划；提出和申报涉及社会事业的国外贷款备选项目，负责权限以内投资项目的审核工作，审核和转报利用外资和境外 投资项目。研究全县就业与人力资源、居民收入分配和社会保障情况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出就业规划和促进就业、调整收入分配、完善社会保障体系的相关政策；组织拟订和论证相关体制改革方案，协调解决相关的重大问题。（六）产业发展和能源股（挂以工代赈综合办公室）。统筹工业、服务业、交通运输业发展规划、计划与国民经济</w:t>
      </w:r>
      <w:r>
        <w:rPr>
          <w:rFonts w:hint="eastAsia" w:ascii="仿宋_GB2312" w:hAnsi="仿宋_GB2312" w:eastAsia="仿宋_GB2312" w:cs="仿宋_GB2312"/>
          <w:sz w:val="32"/>
          <w:szCs w:val="32"/>
          <w:lang w:eastAsia="zh-CN"/>
        </w:rPr>
        <w:t>和社会发</w:t>
      </w:r>
      <w:r>
        <w:rPr>
          <w:rFonts w:hint="eastAsia" w:ascii="仿宋_GB2312" w:hAnsi="仿宋_GB2312" w:eastAsia="仿宋_GB2312" w:cs="仿宋_GB2312"/>
          <w:sz w:val="32"/>
          <w:szCs w:val="32"/>
        </w:rPr>
        <w:t>展规划、计划的衔接平衡；研究分析全县产业发展的情况，组织拟订综合性产业政策，组织协调专项产业政策的制定，监督产业政策的落实；研究提出全县服务业发展战略和重大政策，协调服</w:t>
      </w:r>
      <w:r>
        <w:rPr>
          <w:rFonts w:hint="eastAsia" w:ascii="仿宋_GB2312" w:hAnsi="仿宋_GB2312" w:eastAsia="仿宋_GB2312" w:cs="仿宋_GB2312"/>
          <w:sz w:val="32"/>
          <w:szCs w:val="32"/>
          <w:lang w:eastAsia="zh-CN"/>
        </w:rPr>
        <w:t>物业</w:t>
      </w:r>
      <w:r>
        <w:rPr>
          <w:rFonts w:hint="eastAsia" w:ascii="仿宋_GB2312" w:hAnsi="仿宋_GB2312" w:eastAsia="仿宋_GB2312" w:cs="仿宋_GB2312"/>
          <w:sz w:val="32"/>
          <w:szCs w:val="32"/>
        </w:rPr>
        <w:t>发展。协调重大技术装备推广应用和重大产业基地建设；统筹协调重要矿产资源的开发利用；按规定权限审批、备案、核准和转报工业、交通。承办食盐、烟草等国家指令性管理的特种行业和清洁汽车产业发展工作；研究提出高技术产业及产业技术的发展方向，拟订高技术产业发展和产业技术进步的战略、规划、政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相关高新技术产业化工作，组织高技术产业化示范工程；申报、安排工业、交通、邮政和高技术产业财政性资金建设项目。转报、安排国家、省、州的高技术产业化财政性资金建设项目；指导协调自主创新体系发展，组织推动技术创新和产学研联合；推动国民经济和社会发展信息化进程，培育壮大战略性新兴产业；协调做好涉藏地区政策研究及项目的申报。研究提出全县交通运输发展战略、政策措施和体制改革建议；协调相关部门编制全县交通运输发展中长期规划和年度计划；审核转报交通重点建设项目（含利用外资项目）；协调全县公路、航空、铁路、水运建设的综合平衡以及发展中的重大问题。分析工业发展情况，研究新型工业化发展战略；拟订工业及相关产业发展规划及配套政策，提出相关体制改革建议，对工业现代化实施宏观指导；组织拟订与全县工业发展配套的优化</w:t>
      </w:r>
      <w:r>
        <w:rPr>
          <w:rFonts w:hint="eastAsia" w:ascii="仿宋_GB2312" w:hAnsi="仿宋_GB2312" w:eastAsia="仿宋_GB2312" w:cs="仿宋_GB2312"/>
          <w:sz w:val="32"/>
          <w:szCs w:val="32"/>
          <w:lang w:eastAsia="zh-CN"/>
        </w:rPr>
        <w:t>资源配置</w:t>
      </w:r>
      <w:r>
        <w:rPr>
          <w:rFonts w:hint="eastAsia" w:ascii="仿宋_GB2312" w:hAnsi="仿宋_GB2312" w:eastAsia="仿宋_GB2312" w:cs="仿宋_GB2312"/>
          <w:sz w:val="32"/>
          <w:szCs w:val="32"/>
        </w:rPr>
        <w:t>的政策、措施；审核转报工业建设项目；协调相关产业发展和生产力布局。负责组织协调推进长江经济带生态环境保护专项行动，生态 环境问题整改；负责协调推动长江综合立体交通走廊、岸线整治修复等重大项目实施。统筹国民经济和社会发展对能源的需求，拟订全县能源发展战略和政策措施；协调有关部门拟订全县能源发展规划，提出相关体制改革的建议；监测能源发展情况；统筹规划、综合平衡能源建设和重大项目布局，协调能源发展和项目建设中的重大问题，审核和转报能源建设项目。研究提出优化能源结构、能源节约综合利用和发展循环经济（开发新能源）的政策措施；组织对煤、电、油、气资源勘探调查和合理、有序开发利用；实施能源可持续发展战略的，推进可再生能源和新能源的开发利用；参与编制环境保护规划，协调环保产业发展有关工作；组织实施固定资产投资项目（企业技术改造项目除外）节能评估和审查工作；审核、转报和安排资源节约、综合利用、循环经济和污染治</w:t>
      </w:r>
      <w:r>
        <w:rPr>
          <w:rFonts w:hint="eastAsia" w:ascii="仿宋_GB2312" w:hAnsi="仿宋_GB2312" w:eastAsia="仿宋_GB2312" w:cs="仿宋_GB2312"/>
          <w:sz w:val="32"/>
          <w:szCs w:val="32"/>
          <w:lang w:eastAsia="zh-CN"/>
        </w:rPr>
        <w:t>理等</w:t>
      </w:r>
      <w:r>
        <w:rPr>
          <w:rFonts w:hint="eastAsia" w:ascii="仿宋_GB2312" w:hAnsi="仿宋_GB2312" w:eastAsia="仿宋_GB2312" w:cs="仿宋_GB2312"/>
          <w:sz w:val="32"/>
          <w:szCs w:val="32"/>
        </w:rPr>
        <w:t>国家财政性资金建设项目；组织协调重大节能减排示范工程和新产品、新技术、新设备的推广应用；组织拟订应对气候变化重大战略、规划和重大政策；承办县节能减排工作领导小组的具体工作。提出全县以工代赈工作的具体政策措施并组织实施；负责管 理以工代赈资金；编制全县以工代赈项目规划；建立和完善以工代赈项目库；会同有关部门筛选、审查以工代赈项目；编制和</w:t>
      </w:r>
      <w:r>
        <w:rPr>
          <w:rFonts w:hint="eastAsia" w:ascii="仿宋_GB2312" w:hAnsi="仿宋_GB2312" w:eastAsia="仿宋_GB2312" w:cs="仿宋_GB2312"/>
          <w:sz w:val="32"/>
          <w:szCs w:val="32"/>
          <w:lang w:eastAsia="zh-CN"/>
        </w:rPr>
        <w:t>申</w:t>
      </w:r>
      <w:r>
        <w:rPr>
          <w:rFonts w:hint="eastAsia" w:ascii="仿宋_GB2312" w:hAnsi="仿宋_GB2312" w:eastAsia="仿宋_GB2312" w:cs="仿宋_GB2312"/>
          <w:sz w:val="32"/>
          <w:szCs w:val="32"/>
        </w:rPr>
        <w:t xml:space="preserve"> 报以工代赈项目的年度计划；监督检查以工代赈项目的实施情况，协助做好以工代赈项目的监督检查；协助有关部门做好以工代赈资金的及时到位；负责以工代赈工作文件的起草和统计工作；提出以工代赈资金使用管理的措施、意见；负责以工代赈培训工作；负责搜集、整理、报送以工代赈工作信息；负责人民代表、政协委员有关以工代赈工作的建议、提案的办理。</w:t>
      </w:r>
    </w:p>
    <w:p w14:paraId="777BD33C">
      <w:pPr>
        <w:pStyle w:val="5"/>
        <w:rPr>
          <w:rStyle w:val="31"/>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8"/>
      <w:bookmarkEnd w:id="9"/>
    </w:p>
    <w:p w14:paraId="31275411">
      <w:pPr>
        <w:ind w:firstLine="800" w:firstLineChars="250"/>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松潘县发展和改革局</w:t>
      </w:r>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个，参照公务员法管理的事业单位</w:t>
      </w:r>
      <w:r>
        <w:rPr>
          <w:rFonts w:hint="eastAsia" w:ascii="仿宋" w:hAnsi="仿宋" w:eastAsia="仿宋"/>
          <w:bCs/>
          <w:color w:val="auto"/>
          <w:sz w:val="32"/>
          <w:szCs w:val="32"/>
          <w:highlight w:val="none"/>
          <w:lang w:val="en-US" w:eastAsia="zh-CN"/>
        </w:rPr>
        <w:t>1</w:t>
      </w:r>
      <w:r>
        <w:rPr>
          <w:rFonts w:hint="eastAsia" w:ascii="仿宋" w:hAnsi="仿宋" w:eastAsia="仿宋"/>
          <w:color w:val="auto"/>
          <w:sz w:val="32"/>
          <w:szCs w:val="32"/>
          <w:highlight w:val="none"/>
        </w:rPr>
        <w:t>个。</w:t>
      </w:r>
    </w:p>
    <w:p w14:paraId="60755532">
      <w:pPr>
        <w:pStyle w:val="7"/>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松潘县发展和改革局</w:t>
      </w:r>
      <w:r>
        <w:rPr>
          <w:rFonts w:hint="eastAsia" w:ascii="Times New Roman" w:hAnsi="Times New Roman" w:eastAsia="仿宋_GB2312" w:cs="仿宋_GB2312"/>
          <w:color w:val="auto"/>
          <w:sz w:val="32"/>
          <w:szCs w:val="32"/>
          <w:highlight w:val="none"/>
          <w:lang w:eastAsia="zh-CN"/>
        </w:rPr>
        <w:t>202</w:t>
      </w:r>
      <w:r>
        <w:rPr>
          <w:rFonts w:hint="eastAsia" w:ascii="Times New Roman"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14:paraId="3C4B89DF">
      <w:pPr>
        <w:pStyle w:val="7"/>
        <w:adjustRightInd w:val="0"/>
        <w:snapToGrid w:val="0"/>
        <w:spacing w:before="93" w:line="600" w:lineRule="exact"/>
        <w:ind w:firstLine="1120" w:firstLineChars="350"/>
        <w:rPr>
          <w:rFonts w:ascii="仿宋" w:hAnsi="仿宋" w:eastAsia="仿宋"/>
          <w:color w:val="auto"/>
          <w:sz w:val="32"/>
          <w:szCs w:val="32"/>
          <w:highlight w:val="none"/>
        </w:rPr>
      </w:pPr>
      <w:bookmarkStart w:id="10" w:name="_Toc15377202"/>
      <w:bookmarkStart w:id="11" w:name="_Toc15306276"/>
      <w:bookmarkStart w:id="12" w:name="_Toc15377433"/>
      <w:bookmarkStart w:id="13" w:name="_Toc15378449"/>
      <w:r>
        <w:rPr>
          <w:rFonts w:hint="eastAsia" w:ascii="仿宋" w:hAnsi="仿宋" w:eastAsia="仿宋"/>
          <w:color w:val="auto"/>
          <w:sz w:val="32"/>
          <w:szCs w:val="32"/>
          <w:highlight w:val="none"/>
          <w:lang w:val="en-US" w:eastAsia="zh-CN"/>
        </w:rPr>
        <w:t>1、松潘县人民政府项目管理中心</w:t>
      </w:r>
    </w:p>
    <w:bookmarkEnd w:id="10"/>
    <w:bookmarkEnd w:id="11"/>
    <w:bookmarkEnd w:id="12"/>
    <w:bookmarkEnd w:id="13"/>
    <w:p w14:paraId="4580877A">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A96AEAE">
      <w:pPr>
        <w:pStyle w:val="4"/>
        <w:jc w:val="center"/>
        <w:rPr>
          <w:rFonts w:hint="eastAsia" w:ascii="Times New Roman" w:hAnsi="Times New Roman" w:eastAsia="方正小标宋简体" w:cs="方正小标宋简体"/>
          <w:b w:val="0"/>
          <w:color w:val="auto"/>
          <w:highlight w:val="none"/>
        </w:rPr>
      </w:pPr>
      <w:bookmarkStart w:id="14" w:name="_Toc15396602"/>
      <w:bookmarkStart w:id="15"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4"/>
      <w:bookmarkEnd w:id="15"/>
    </w:p>
    <w:p w14:paraId="5B7437AC">
      <w:pPr>
        <w:rPr>
          <w:rFonts w:ascii="Times New Roman" w:hAnsi="Times New Roman"/>
          <w:color w:val="auto"/>
          <w:highlight w:val="none"/>
        </w:rPr>
      </w:pPr>
    </w:p>
    <w:p w14:paraId="0B71E4E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6" w:name="_Toc15396603"/>
      <w:bookmarkStart w:id="17"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6"/>
      <w:bookmarkEnd w:id="17"/>
    </w:p>
    <w:p w14:paraId="006D94E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1866.02</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val="en-US" w:eastAsia="zh-CN"/>
        </w:rPr>
        <w:t>减少4934.3</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val="en-US" w:eastAsia="zh-CN"/>
        </w:rPr>
        <w:t>减少72.55</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项目减少。</w:t>
      </w:r>
    </w:p>
    <w:p w14:paraId="7B5C006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8" w:name="_Toc15377206"/>
      <w:bookmarkStart w:id="19" w:name="_Toc15396604"/>
      <w:r>
        <w:rPr>
          <w:rFonts w:hint="eastAsia" w:ascii="Times New Roman" w:hAnsi="Times New Roman" w:eastAsia="黑体"/>
          <w:color w:val="auto"/>
          <w:sz w:val="32"/>
          <w:szCs w:val="32"/>
          <w:highlight w:val="none"/>
          <w:lang w:eastAsia="zh-CN"/>
        </w:rPr>
        <w:t>二、收入决算情况说明</w:t>
      </w:r>
      <w:bookmarkEnd w:id="18"/>
      <w:bookmarkEnd w:id="19"/>
    </w:p>
    <w:p w14:paraId="1FBEF3C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color w:val="auto"/>
          <w:sz w:val="32"/>
          <w:szCs w:val="32"/>
          <w:highlight w:val="none"/>
          <w:lang w:val="en-US" w:eastAsia="zh-CN"/>
        </w:rPr>
        <w:t>1866.02</w:t>
      </w:r>
      <w:r>
        <w:rPr>
          <w:rFonts w:hint="eastAsia" w:ascii="仿宋_GB2312" w:hAnsi="仿宋_GB2312" w:eastAsia="仿宋_GB2312" w:cs="仿宋_GB2312"/>
          <w:sz w:val="32"/>
          <w:szCs w:val="32"/>
        </w:rPr>
        <w:t>万元，其中：一般公共预算财政拨款收入1856.02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99.46</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0.54</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r>
        <w:rPr>
          <w:rFonts w:hint="eastAsia" w:eastAsia="仿宋_GB2312" w:cs="仿宋_GB2312"/>
          <w:b/>
          <w:bCs/>
          <w:color w:val="auto"/>
          <w:sz w:val="32"/>
          <w:szCs w:val="32"/>
          <w:highlight w:val="none"/>
          <w:lang w:eastAsia="zh-CN"/>
        </w:rPr>
        <w:t>）</w:t>
      </w:r>
    </w:p>
    <w:p w14:paraId="045E4BD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0" w:name="_Toc15377207"/>
      <w:bookmarkStart w:id="21"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0"/>
      <w:bookmarkEnd w:id="21"/>
    </w:p>
    <w:p w14:paraId="127D0E5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1866.02</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625.49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33.51</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1240.53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66.48</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649D101D">
      <w:pPr>
        <w:spacing w:line="600" w:lineRule="exact"/>
        <w:ind w:firstLine="640" w:firstLineChars="200"/>
        <w:outlineLvl w:val="1"/>
        <w:rPr>
          <w:rStyle w:val="31"/>
          <w:rFonts w:ascii="Times New Roman" w:hAnsi="Times New Roman" w:eastAsia="黑体"/>
          <w:b w:val="0"/>
          <w:color w:val="auto"/>
          <w:highlight w:val="none"/>
        </w:rPr>
      </w:pPr>
      <w:bookmarkStart w:id="22" w:name="_Toc15396606"/>
      <w:bookmarkStart w:id="23"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2"/>
      <w:bookmarkEnd w:id="23"/>
    </w:p>
    <w:p w14:paraId="5FF4000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1856.02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2024年度</w:t>
      </w:r>
      <w:r>
        <w:rPr>
          <w:rFonts w:hint="eastAsia" w:ascii="Times New Roman" w:hAnsi="Times New Roman" w:eastAsia="仿宋_GB2312" w:cs="仿宋_GB2312"/>
          <w:color w:val="auto"/>
          <w:kern w:val="2"/>
          <w:sz w:val="32"/>
          <w:szCs w:val="32"/>
          <w:highlight w:val="none"/>
          <w:lang w:val="en-US" w:eastAsia="zh-CN" w:bidi="ar-SA"/>
        </w:rPr>
        <w:t>相比，财政拨款收入、支出总计各减少</w:t>
      </w:r>
      <w:r>
        <w:rPr>
          <w:rFonts w:hint="eastAsia" w:eastAsia="仿宋_GB2312" w:cs="仿宋_GB2312"/>
          <w:color w:val="auto"/>
          <w:kern w:val="2"/>
          <w:sz w:val="32"/>
          <w:szCs w:val="32"/>
          <w:highlight w:val="none"/>
          <w:lang w:val="en-US" w:eastAsia="zh-CN" w:bidi="ar-SA"/>
        </w:rPr>
        <w:t>4924.3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72.62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项目减少。</w:t>
      </w:r>
    </w:p>
    <w:p w14:paraId="18F10940">
      <w:pPr>
        <w:spacing w:line="600" w:lineRule="exact"/>
        <w:ind w:firstLine="640" w:firstLineChars="200"/>
        <w:outlineLvl w:val="1"/>
        <w:rPr>
          <w:rStyle w:val="31"/>
          <w:rFonts w:ascii="Times New Roman" w:hAnsi="Times New Roman" w:eastAsia="黑体"/>
          <w:b w:val="0"/>
          <w:color w:val="auto"/>
          <w:highlight w:val="none"/>
        </w:rPr>
      </w:pPr>
      <w:bookmarkStart w:id="24" w:name="_Toc15396607"/>
      <w:bookmarkStart w:id="25"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4"/>
      <w:bookmarkEnd w:id="25"/>
    </w:p>
    <w:p w14:paraId="5E20EFA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6"/>
    </w:p>
    <w:p w14:paraId="6E8806D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1856.02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99.46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与2024年度</w:t>
      </w:r>
      <w:r>
        <w:rPr>
          <w:rFonts w:hint="eastAsia" w:ascii="Times New Roman" w:hAnsi="Times New Roman" w:eastAsia="仿宋_GB2312" w:cs="仿宋_GB2312"/>
          <w:color w:val="auto"/>
          <w:kern w:val="2"/>
          <w:sz w:val="32"/>
          <w:szCs w:val="32"/>
          <w:highlight w:val="none"/>
          <w:lang w:val="en-US" w:eastAsia="zh-CN" w:bidi="ar-SA"/>
        </w:rPr>
        <w:t>相比，一般公共预算财政拨款支出减少</w:t>
      </w:r>
      <w:r>
        <w:rPr>
          <w:rFonts w:hint="eastAsia" w:eastAsia="仿宋_GB2312" w:cs="仿宋_GB2312"/>
          <w:color w:val="auto"/>
          <w:kern w:val="2"/>
          <w:sz w:val="32"/>
          <w:szCs w:val="32"/>
          <w:highlight w:val="none"/>
          <w:lang w:val="en-US" w:eastAsia="zh-CN" w:bidi="ar-SA"/>
        </w:rPr>
        <w:t>4924.3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72.62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项目减少。</w:t>
      </w:r>
    </w:p>
    <w:p w14:paraId="34A006E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7"/>
    </w:p>
    <w:p w14:paraId="2BE5ECB9">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highlight w:val="none"/>
        </w:rPr>
        <w:t>18</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6.02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686.84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36.81</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万元；社会保障和就业支出</w:t>
      </w:r>
      <w:r>
        <w:rPr>
          <w:rFonts w:hint="eastAsia" w:eastAsia="仿宋_GB2312" w:cs="仿宋_GB2312"/>
          <w:color w:val="auto"/>
          <w:kern w:val="2"/>
          <w:sz w:val="32"/>
          <w:szCs w:val="32"/>
          <w:highlight w:val="none"/>
          <w:lang w:val="en-US" w:eastAsia="zh-CN" w:bidi="ar-SA"/>
        </w:rPr>
        <w:t>87.37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4.68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26.8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40.57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2.17</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olor w:val="auto"/>
          <w:sz w:val="32"/>
          <w:szCs w:val="32"/>
          <w:highlight w:val="none"/>
          <w:lang w:val="en-US" w:eastAsia="zh-CN"/>
        </w:rPr>
        <w:t>农林水支出827.99万元，占44.37%；交通运输支出95万元，占5.09%；节能环保</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101.44万元，占5.44%。</w:t>
      </w:r>
    </w:p>
    <w:p w14:paraId="118495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3439FB5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8"/>
    </w:p>
    <w:p w14:paraId="1A3668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9" w:name="_Toc15378460"/>
      <w:bookmarkStart w:id="30" w:name="_Toc15377213"/>
      <w:bookmarkStart w:id="31"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18</w:t>
      </w:r>
      <w:r>
        <w:rPr>
          <w:rFonts w:hint="eastAsia" w:ascii="仿宋_GB2312" w:hAnsi="仿宋_GB2312" w:eastAsia="仿宋_GB2312" w:cs="仿宋_GB2312"/>
          <w:sz w:val="32"/>
          <w:szCs w:val="32"/>
          <w:lang w:val="en-US" w:eastAsia="zh-CN"/>
        </w:rPr>
        <w:t>66</w:t>
      </w:r>
      <w:r>
        <w:rPr>
          <w:rFonts w:hint="eastAsia" w:ascii="仿宋_GB2312" w:hAnsi="仿宋_GB2312" w:eastAsia="仿宋_GB2312" w:cs="仿宋_GB2312"/>
          <w:sz w:val="32"/>
          <w:szCs w:val="32"/>
        </w:rPr>
        <w:t>.02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p>
    <w:bookmarkEnd w:id="29"/>
    <w:bookmarkEnd w:id="30"/>
    <w:bookmarkEnd w:id="31"/>
    <w:p w14:paraId="75D97474">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686.84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040695EB">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自然生态保护</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（项）: 支出决算为</w:t>
      </w:r>
      <w:r>
        <w:rPr>
          <w:rFonts w:hint="eastAsia" w:eastAsia="仿宋_GB2312" w:cs="仿宋_GB2312"/>
          <w:color w:val="auto"/>
          <w:kern w:val="2"/>
          <w:sz w:val="32"/>
          <w:szCs w:val="32"/>
          <w:highlight w:val="none"/>
          <w:lang w:val="en-US" w:eastAsia="zh-CN" w:bidi="ar-SA"/>
        </w:rPr>
        <w:t>101.44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1CAB9D39">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87.37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6CF5F696">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26.8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10A91F0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5.巩固脱贫攻坚成果衔接乡村振兴</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213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827.99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4C482771">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6.铁路运输</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214</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151B0041">
      <w:pPr>
        <w:pStyle w:val="2"/>
        <w:ind w:left="0" w:leftChars="0"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highlight w:val="none"/>
          <w:lang w:val="en-US" w:eastAsia="zh-CN"/>
        </w:rPr>
        <w:t xml:space="preserve"> </w:t>
      </w:r>
      <w:r>
        <w:rPr>
          <w:rFonts w:hint="eastAsia" w:hAnsi="仿宋_GB2312" w:eastAsia="仿宋_GB2312" w:cs="仿宋_GB2312"/>
          <w:sz w:val="32"/>
          <w:szCs w:val="32"/>
          <w:highlight w:val="none"/>
          <w:lang w:val="en-US" w:eastAsia="zh-CN"/>
        </w:rPr>
        <w:t>7.住房保障</w:t>
      </w:r>
      <w:r>
        <w:rPr>
          <w:rFonts w:hint="eastAsia" w:ascii="仿宋_GB2312" w:hAnsi="仿宋_GB2312" w:eastAsia="仿宋_GB2312" w:cs="仿宋_GB2312"/>
          <w:color w:val="auto"/>
          <w:kern w:val="2"/>
          <w:sz w:val="32"/>
          <w:szCs w:val="32"/>
          <w:highlight w:val="none"/>
          <w:lang w:val="en-US" w:eastAsia="zh-CN" w:bidi="ar-SA"/>
        </w:rPr>
        <w:t>（类）22</w:t>
      </w:r>
      <w:r>
        <w:rPr>
          <w:rFonts w:hint="eastAsia" w:hAnsi="仿宋_GB2312" w:eastAsia="仿宋_GB2312" w:cs="仿宋_GB2312"/>
          <w:color w:val="auto"/>
          <w:kern w:val="2"/>
          <w:sz w:val="32"/>
          <w:szCs w:val="32"/>
          <w:highlight w:val="none"/>
          <w:lang w:val="en-US" w:eastAsia="zh-CN" w:bidi="ar-SA"/>
        </w:rPr>
        <w:t>1</w:t>
      </w:r>
      <w:r>
        <w:rPr>
          <w:rFonts w:hint="eastAsia" w:ascii="仿宋_GB2312" w:hAnsi="仿宋_GB2312" w:eastAsia="仿宋_GB2312" w:cs="仿宋_GB2312"/>
          <w:color w:val="auto"/>
          <w:kern w:val="2"/>
          <w:sz w:val="32"/>
          <w:szCs w:val="32"/>
          <w:highlight w:val="none"/>
          <w:lang w:val="en-US" w:eastAsia="zh-CN" w:bidi="ar-SA"/>
        </w:rPr>
        <w:t>（款）0</w:t>
      </w:r>
      <w:r>
        <w:rPr>
          <w:rFonts w:hint="eastAsia" w:hAnsi="仿宋_GB2312" w:eastAsia="仿宋_GB2312" w:cs="仿宋_GB2312"/>
          <w:color w:val="auto"/>
          <w:kern w:val="2"/>
          <w:sz w:val="32"/>
          <w:szCs w:val="32"/>
          <w:highlight w:val="none"/>
          <w:lang w:val="en-US" w:eastAsia="zh-CN" w:bidi="ar-SA"/>
        </w:rPr>
        <w:t>2</w:t>
      </w:r>
      <w:r>
        <w:rPr>
          <w:rFonts w:hint="eastAsia" w:ascii="仿宋_GB2312" w:hAnsi="仿宋_GB2312" w:eastAsia="仿宋_GB2312" w:cs="仿宋_GB2312"/>
          <w:color w:val="auto"/>
          <w:kern w:val="2"/>
          <w:sz w:val="32"/>
          <w:szCs w:val="32"/>
          <w:highlight w:val="none"/>
          <w:lang w:val="en-US" w:eastAsia="zh-CN" w:bidi="ar-SA"/>
        </w:rPr>
        <w:t>（项）：支出决算为</w:t>
      </w:r>
      <w:r>
        <w:rPr>
          <w:rFonts w:hint="eastAsia" w:hAnsi="仿宋_GB2312" w:eastAsia="仿宋_GB2312" w:cs="仿宋_GB2312"/>
          <w:color w:val="auto"/>
          <w:kern w:val="2"/>
          <w:sz w:val="32"/>
          <w:szCs w:val="32"/>
          <w:highlight w:val="none"/>
          <w:lang w:val="en-US" w:eastAsia="zh-CN" w:bidi="ar-SA"/>
        </w:rPr>
        <w:t>40.57</w:t>
      </w:r>
      <w:r>
        <w:rPr>
          <w:rFonts w:hint="eastAsia" w:ascii="仿宋_GB2312" w:hAnsi="仿宋_GB2312" w:eastAsia="仿宋_GB2312" w:cs="仿宋_GB2312"/>
          <w:color w:val="auto"/>
          <w:kern w:val="2"/>
          <w:sz w:val="32"/>
          <w:szCs w:val="32"/>
          <w:highlight w:val="none"/>
          <w:lang w:val="en-US" w:eastAsia="zh-CN" w:bidi="ar-SA"/>
        </w:rPr>
        <w:t>万元，完成预算100%，决算数等于预算数。</w:t>
      </w:r>
    </w:p>
    <w:p w14:paraId="103D12CB">
      <w:pPr>
        <w:pStyle w:val="2"/>
        <w:ind w:left="0" w:leftChars="0"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01FA80BE">
      <w:pPr>
        <w:tabs>
          <w:tab w:val="right" w:pos="8306"/>
        </w:tabs>
        <w:spacing w:line="600" w:lineRule="exact"/>
        <w:ind w:firstLine="640"/>
        <w:outlineLvl w:val="1"/>
        <w:rPr>
          <w:rStyle w:val="31"/>
          <w:rFonts w:ascii="Times New Roman" w:hAnsi="Times New Roman"/>
          <w:color w:val="auto"/>
          <w:highlight w:val="none"/>
        </w:rPr>
      </w:pPr>
      <w:bookmarkStart w:id="32" w:name="_Toc15396608"/>
      <w:bookmarkStart w:id="33"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2"/>
      <w:bookmarkEnd w:id="33"/>
      <w:r>
        <w:rPr>
          <w:rStyle w:val="31"/>
          <w:rFonts w:ascii="Times New Roman" w:hAnsi="Times New Roman" w:eastAsia="黑体"/>
          <w:b w:val="0"/>
          <w:color w:val="auto"/>
          <w:highlight w:val="none"/>
        </w:rPr>
        <w:tab/>
      </w:r>
    </w:p>
    <w:p w14:paraId="0E7D9E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615.49</w:t>
      </w:r>
      <w:r>
        <w:rPr>
          <w:rFonts w:hint="eastAsia" w:ascii="Times New Roman" w:hAnsi="Times New Roman" w:eastAsia="仿宋_GB2312" w:cs="仿宋_GB2312"/>
          <w:color w:val="auto"/>
          <w:kern w:val="2"/>
          <w:sz w:val="32"/>
          <w:szCs w:val="32"/>
          <w:highlight w:val="none"/>
          <w:lang w:val="en-US" w:eastAsia="zh-CN" w:bidi="ar-SA"/>
        </w:rPr>
        <w:t>万元，其中：</w:t>
      </w:r>
    </w:p>
    <w:p w14:paraId="560150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559.72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55.77</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D5A13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53B7B4DD">
      <w:pPr>
        <w:spacing w:line="600" w:lineRule="exact"/>
        <w:ind w:firstLine="640"/>
        <w:outlineLvl w:val="1"/>
        <w:rPr>
          <w:rStyle w:val="31"/>
          <w:rFonts w:ascii="Times New Roman" w:hAnsi="Times New Roman" w:eastAsia="黑体"/>
          <w:b w:val="0"/>
          <w:color w:val="auto"/>
          <w:highlight w:val="none"/>
        </w:rPr>
      </w:pPr>
      <w:bookmarkStart w:id="34" w:name="_Toc15396609"/>
      <w:bookmarkStart w:id="35"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4"/>
      <w:bookmarkEnd w:id="35"/>
    </w:p>
    <w:p w14:paraId="5680D6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6"/>
    </w:p>
    <w:p w14:paraId="747117EA">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4.3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color w:val="auto"/>
          <w:kern w:val="2"/>
          <w:sz w:val="32"/>
          <w:szCs w:val="32"/>
          <w:highlight w:val="none"/>
          <w:lang w:val="en-US" w:eastAsia="zh-CN" w:bidi="ar-SA"/>
        </w:rPr>
        <w:t>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与上年度持平,</w:t>
      </w:r>
      <w:r>
        <w:rPr>
          <w:rFonts w:hint="eastAsia" w:ascii="仿宋" w:hAnsi="仿宋" w:eastAsia="仿宋"/>
          <w:color w:val="auto"/>
          <w:sz w:val="32"/>
          <w:szCs w:val="32"/>
          <w:highlight w:val="none"/>
        </w:rPr>
        <w:t>决算数与预算数持平。</w:t>
      </w:r>
    </w:p>
    <w:p w14:paraId="4DE5FD1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w:t>
      </w:r>
    </w:p>
    <w:p w14:paraId="6130FD4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7"/>
    </w:p>
    <w:p w14:paraId="56A110B3">
      <w:pPr>
        <w:spacing w:line="600" w:lineRule="exact"/>
        <w:ind w:firstLine="640"/>
        <w:rPr>
          <w:rFonts w:hint="eastAsia" w:ascii="仿宋" w:hAnsi="仿宋" w:eastAsia="仿宋"/>
          <w:color w:val="auto"/>
          <w:sz w:val="32"/>
          <w:szCs w:val="32"/>
          <w:highlight w:val="none"/>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0.00万</w:t>
      </w:r>
      <w:r>
        <w:rPr>
          <w:rFonts w:hint="eastAsia" w:ascii="仿宋" w:hAnsi="仿宋" w:eastAsia="仿宋"/>
          <w:color w:val="auto"/>
          <w:sz w:val="32"/>
          <w:szCs w:val="32"/>
          <w:highlight w:val="none"/>
        </w:rPr>
        <w:t>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_GB2312" w:hAnsi="仿宋_GB2312" w:eastAsia="仿宋_GB2312" w:cs="仿宋_GB2312"/>
          <w:sz w:val="32"/>
          <w:szCs w:val="32"/>
          <w:shd w:val="clear" w:color="auto" w:fill="FFFFFF"/>
          <w:lang w:val="en-US" w:eastAsia="zh-CN"/>
        </w:rPr>
        <w:t>4.3万</w:t>
      </w:r>
      <w:r>
        <w:rPr>
          <w:rFonts w:hint="eastAsia" w:ascii="仿宋" w:hAnsi="仿宋" w:eastAsia="仿宋"/>
          <w:color w:val="auto"/>
          <w:sz w:val="32"/>
          <w:szCs w:val="32"/>
          <w:highlight w:val="none"/>
        </w:rPr>
        <w:t>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0.00万</w:t>
      </w:r>
      <w:r>
        <w:rPr>
          <w:rFonts w:hint="eastAsia" w:ascii="仿宋" w:hAnsi="仿宋" w:eastAsia="仿宋"/>
          <w:color w:val="auto"/>
          <w:sz w:val="32"/>
          <w:szCs w:val="32"/>
          <w:highlight w:val="none"/>
        </w:rPr>
        <w:t>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23136C71">
      <w:pPr>
        <w:numPr>
          <w:ilvl w:val="0"/>
          <w:numId w:val="2"/>
        </w:numPr>
        <w:spacing w:line="600" w:lineRule="exact"/>
        <w:ind w:firstLine="640"/>
        <w:rPr>
          <w:rFonts w:hint="eastAsia"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p>
    <w:p w14:paraId="5BE9D8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4.3万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p>
    <w:p w14:paraId="15B6F9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3F198F0C">
      <w:pPr>
        <w:spacing w:line="600" w:lineRule="exact"/>
        <w:ind w:firstLine="640"/>
        <w:rPr>
          <w:rFonts w:ascii="仿宋_GB2312" w:eastAsia="仿宋_GB2312"/>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4.3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color w:val="auto"/>
          <w:sz w:val="32"/>
          <w:szCs w:val="32"/>
          <w:highlight w:val="none"/>
        </w:rPr>
        <w:t>主要用于</w:t>
      </w:r>
      <w:r>
        <w:rPr>
          <w:rFonts w:hint="eastAsia" w:ascii="仿宋_GB2312" w:eastAsia="仿宋_GB2312"/>
          <w:color w:val="auto"/>
          <w:sz w:val="32"/>
          <w:szCs w:val="32"/>
          <w:highlight w:val="none"/>
          <w:lang w:val="en-US" w:eastAsia="zh-CN"/>
        </w:rPr>
        <w:t>全县</w:t>
      </w:r>
      <w:r>
        <w:rPr>
          <w:rFonts w:hint="eastAsia" w:ascii="仿宋_GB2312" w:hAnsi="仿宋_GB2312" w:eastAsia="仿宋_GB2312" w:cs="仿宋_GB2312"/>
          <w:sz w:val="32"/>
          <w:szCs w:val="32"/>
        </w:rPr>
        <w:t>项目的初步设计审查、项目开工及开工后的质量监督、进度</w:t>
      </w:r>
      <w:r>
        <w:rPr>
          <w:rFonts w:hint="eastAsia" w:ascii="仿宋_GB2312" w:eastAsia="仿宋_GB2312"/>
          <w:color w:val="auto"/>
          <w:sz w:val="32"/>
          <w:szCs w:val="32"/>
          <w:highlight w:val="none"/>
          <w:lang w:val="en-US" w:eastAsia="zh-CN"/>
        </w:rPr>
        <w:t>，项目对接</w:t>
      </w:r>
      <w:r>
        <w:rPr>
          <w:rFonts w:hint="eastAsia" w:ascii="仿宋_GB2312" w:eastAsia="仿宋_GB2312"/>
          <w:color w:val="auto"/>
          <w:sz w:val="32"/>
          <w:szCs w:val="32"/>
          <w:highlight w:val="none"/>
        </w:rPr>
        <w:t>等所需的公务用车燃料费、维修费、过路过桥费、保险费等支出。</w:t>
      </w:r>
    </w:p>
    <w:p w14:paraId="655B03B6">
      <w:pPr>
        <w:spacing w:line="600" w:lineRule="exact"/>
        <w:ind w:firstLine="640"/>
        <w:rPr>
          <w:rFonts w:ascii="仿宋_GB2312" w:eastAsia="仿宋_GB2312"/>
          <w:color w:val="auto"/>
          <w:sz w:val="32"/>
          <w:szCs w:val="32"/>
          <w:highlight w:val="none"/>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eastAsia="仿宋_GB2312"/>
          <w:color w:val="auto"/>
          <w:sz w:val="32"/>
          <w:szCs w:val="32"/>
          <w:highlight w:val="none"/>
        </w:rPr>
        <w:t>公务接待费支出决算</w:t>
      </w:r>
      <w:r>
        <w:rPr>
          <w:rFonts w:hint="eastAsia" w:ascii="仿宋_GB2312" w:eastAsia="仿宋_GB2312"/>
          <w:color w:val="auto"/>
          <w:sz w:val="32"/>
          <w:szCs w:val="32"/>
          <w:highlight w:val="none"/>
          <w:lang w:val="en-US" w:eastAsia="zh-CN"/>
        </w:rPr>
        <w:t>与2024年持平</w:t>
      </w:r>
      <w:r>
        <w:rPr>
          <w:rFonts w:hint="eastAsia" w:ascii="仿宋_GB2312" w:eastAsia="仿宋_GB2312"/>
          <w:color w:val="auto"/>
          <w:sz w:val="32"/>
          <w:szCs w:val="32"/>
          <w:highlight w:val="none"/>
        </w:rPr>
        <w:t>。其中：</w:t>
      </w:r>
    </w:p>
    <w:p w14:paraId="601721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p>
    <w:p w14:paraId="576D96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Times New Roman" w:hAnsi="Times New Roman" w:eastAsia="仿宋_GB2312" w:cs="仿宋_GB2312"/>
          <w:color w:val="auto"/>
          <w:kern w:val="2"/>
          <w:sz w:val="32"/>
          <w:szCs w:val="32"/>
          <w:highlight w:val="none"/>
          <w:lang w:val="en-US" w:eastAsia="zh-CN" w:bidi="ar-SA"/>
        </w:rPr>
        <w:t>。</w:t>
      </w:r>
      <w:bookmarkStart w:id="38" w:name="_Toc15396610"/>
      <w:bookmarkStart w:id="39" w:name="_Toc15377218"/>
    </w:p>
    <w:p w14:paraId="4C34376B">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8"/>
      <w:bookmarkEnd w:id="39"/>
    </w:p>
    <w:p w14:paraId="67292E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65E67C80">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40" w:name="_Toc15396611"/>
      <w:bookmarkStart w:id="41"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40"/>
      <w:bookmarkEnd w:id="41"/>
    </w:p>
    <w:p w14:paraId="52FC35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C1B2E1F">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42" w:name="_Toc15396612"/>
      <w:bookmarkStart w:id="43" w:name="_Toc1537722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42"/>
      <w:bookmarkEnd w:id="43"/>
    </w:p>
    <w:p w14:paraId="21AE1E8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22"/>
      <w:r>
        <w:rPr>
          <w:rFonts w:hint="eastAsia" w:ascii="Times New Roman" w:hAnsi="Times New Roman" w:eastAsia="楷体_GB2312" w:cs="楷体_GB2312"/>
          <w:b/>
          <w:color w:val="auto"/>
          <w:sz w:val="32"/>
          <w:szCs w:val="32"/>
          <w:highlight w:val="none"/>
        </w:rPr>
        <w:t>（一）机关运行经费支出情况</w:t>
      </w:r>
      <w:bookmarkEnd w:id="44"/>
    </w:p>
    <w:p w14:paraId="6FC41C8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松潘县发展和改革局</w:t>
      </w:r>
      <w:r>
        <w:rPr>
          <w:rFonts w:hint="eastAsia" w:ascii="仿宋_GB2312" w:hAnsi="仿宋_GB2312" w:eastAsia="仿宋_GB2312" w:cs="仿宋_GB2312"/>
          <w:color w:val="auto"/>
          <w:kern w:val="2"/>
          <w:sz w:val="32"/>
          <w:szCs w:val="32"/>
          <w:highlight w:val="none"/>
          <w:lang w:val="en-US" w:eastAsia="zh-CN" w:bidi="ar-SA"/>
        </w:rPr>
        <w:t>机关运行经费支出50.99万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减少480.52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减少90.4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项目减少</w:t>
      </w:r>
      <w:r>
        <w:rPr>
          <w:rFonts w:hint="eastAsia" w:ascii="仿宋_GB2312" w:eastAsia="仿宋_GB2312"/>
          <w:color w:val="auto"/>
          <w:sz w:val="32"/>
          <w:szCs w:val="32"/>
          <w:highlight w:val="none"/>
          <w:lang w:eastAsia="zh-CN"/>
        </w:rPr>
        <w:t>。</w:t>
      </w:r>
    </w:p>
    <w:p w14:paraId="57C30B8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23"/>
      <w:r>
        <w:rPr>
          <w:rFonts w:hint="eastAsia" w:ascii="Times New Roman" w:hAnsi="Times New Roman" w:eastAsia="楷体_GB2312" w:cs="楷体_GB2312"/>
          <w:b/>
          <w:color w:val="auto"/>
          <w:sz w:val="32"/>
          <w:szCs w:val="32"/>
          <w:highlight w:val="none"/>
        </w:rPr>
        <w:t>（二）政府采购支出情况</w:t>
      </w:r>
      <w:bookmarkEnd w:id="45"/>
    </w:p>
    <w:p w14:paraId="060BDA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6" w:name="_Toc1537722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松潘县发展和改革局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79.7</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79.7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“十五五”规划编制服务</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79.7</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79.7</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w:t>
      </w:r>
    </w:p>
    <w:p w14:paraId="468C1BB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46"/>
    </w:p>
    <w:p w14:paraId="67E2F5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松潘县发展和改革局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785C3AB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9297F6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松潘县发展和改革局</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w:t>
      </w:r>
      <w:r>
        <w:rPr>
          <w:rFonts w:hint="eastAsia" w:eastAsia="仿宋_GB2312" w:cs="仿宋_GB2312"/>
          <w:color w:val="auto"/>
          <w:kern w:val="2"/>
          <w:sz w:val="32"/>
          <w:szCs w:val="32"/>
          <w:highlight w:val="none"/>
          <w:lang w:val="en-US" w:eastAsia="zh-CN" w:bidi="ar-SA"/>
        </w:rPr>
        <w:t>对青云镇雄山村改建公共停车场</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个项目开展绩效监控。组织对202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松潘县发展和改革局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w:t>
      </w:r>
      <w:r>
        <w:rPr>
          <w:rFonts w:hint="eastAsia" w:eastAsia="仿宋_GB2312" w:cs="仿宋_GB2312"/>
          <w:color w:val="auto"/>
          <w:kern w:val="2"/>
          <w:sz w:val="32"/>
          <w:szCs w:val="32"/>
          <w:highlight w:val="none"/>
          <w:lang w:val="en-US" w:eastAsia="zh-CN" w:bidi="ar-SA"/>
        </w:rPr>
        <w:t>青云镇雄山村改建公共停车场</w:t>
      </w:r>
      <w:r>
        <w:rPr>
          <w:rFonts w:hint="eastAsia" w:ascii="Times New Roman" w:hAnsi="Times New Roman" w:eastAsia="仿宋_GB2312" w:cs="仿宋_GB2312"/>
          <w:color w:val="auto"/>
          <w:kern w:val="2"/>
          <w:sz w:val="32"/>
          <w:szCs w:val="32"/>
          <w:highlight w:val="none"/>
          <w:lang w:val="en-US" w:eastAsia="zh-CN" w:bidi="ar-SA"/>
        </w:rPr>
        <w:t>等专项预算项目绩效自评报告，其中，</w:t>
      </w:r>
      <w:r>
        <w:rPr>
          <w:rFonts w:hint="eastAsia" w:eastAsia="仿宋_GB2312" w:cs="仿宋_GB2312"/>
          <w:color w:val="auto"/>
          <w:kern w:val="2"/>
          <w:sz w:val="32"/>
          <w:szCs w:val="32"/>
          <w:highlight w:val="none"/>
          <w:lang w:val="en-US" w:eastAsia="zh-CN" w:bidi="ar-SA"/>
        </w:rPr>
        <w:t>松潘县发展和改革局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部门整体（含部门预算项目）绩效自评得分为</w:t>
      </w:r>
      <w:r>
        <w:rPr>
          <w:rFonts w:hint="eastAsia" w:eastAsia="仿宋_GB2312" w:cs="仿宋_GB2312"/>
          <w:color w:val="auto"/>
          <w:kern w:val="2"/>
          <w:sz w:val="32"/>
          <w:szCs w:val="32"/>
          <w:highlight w:val="none"/>
          <w:lang w:val="en-US" w:eastAsia="zh-CN" w:bidi="ar-SA"/>
        </w:rPr>
        <w:t>89</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:2025</w:t>
      </w:r>
      <w:r>
        <w:rPr>
          <w:rFonts w:hint="eastAsia" w:ascii="仿宋" w:hAnsi="仿宋" w:eastAsia="仿宋" w:cs="仿宋"/>
          <w:color w:val="000000"/>
          <w:sz w:val="32"/>
          <w:szCs w:val="32"/>
          <w:highlight w:val="none"/>
        </w:rPr>
        <w:t>年我部门预算执行整体情况正常，按照各项工作有序开展的进度，财政资金收支情况同时也按进度执行</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青云镇雄山村改建公共停车场</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89</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ascii="仿宋_GB2312" w:hAnsi="仿宋_GB2312" w:eastAsia="仿宋_GB2312" w:cs="仿宋_GB2312"/>
          <w:b w:val="0"/>
          <w:bCs w:val="0"/>
          <w:kern w:val="0"/>
          <w:position w:val="0"/>
          <w:sz w:val="32"/>
          <w:szCs w:val="32"/>
          <w:highlight w:val="none"/>
          <w:lang w:val="zh-CN" w:eastAsia="zh-CN" w:bidi="ar-SA"/>
        </w:rPr>
        <w:t>项目工程与计划申报和实际施工工程情况相符，切实有效</w:t>
      </w:r>
      <w:r>
        <w:rPr>
          <w:rFonts w:hint="eastAsia" w:ascii="Times New Roman" w:hAnsi="Times New Roman" w:eastAsia="仿宋_GB2312" w:cs="仿宋_GB2312"/>
          <w:color w:val="auto"/>
          <w:kern w:val="2"/>
          <w:sz w:val="32"/>
          <w:szCs w:val="32"/>
          <w:highlight w:val="none"/>
          <w:lang w:val="en-US" w:eastAsia="zh-CN" w:bidi="ar-SA"/>
        </w:rPr>
        <w:t>。绩效自评报告详见附件。</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如不涉及，可根据实际修改表述。）</w:t>
      </w:r>
    </w:p>
    <w:p w14:paraId="5E8BF329">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169549F8">
      <w:pPr>
        <w:pStyle w:val="2"/>
        <w:rPr>
          <w:rFonts w:hint="eastAsia" w:ascii="Times New Roman" w:hAnsi="Times New Roman" w:eastAsia="仿宋_GB2312" w:cs="仿宋_GB2312"/>
          <w:color w:val="auto"/>
          <w:kern w:val="2"/>
          <w:sz w:val="32"/>
          <w:szCs w:val="32"/>
          <w:highlight w:val="none"/>
          <w:lang w:val="en-US" w:eastAsia="zh-CN" w:bidi="ar-SA"/>
        </w:rPr>
      </w:pPr>
    </w:p>
    <w:p w14:paraId="144EEE2F">
      <w:pPr>
        <w:rPr>
          <w:rFonts w:hint="eastAsia" w:ascii="Times New Roman" w:hAnsi="Times New Roman" w:eastAsia="仿宋_GB2312" w:cs="仿宋_GB2312"/>
          <w:color w:val="auto"/>
          <w:kern w:val="2"/>
          <w:sz w:val="32"/>
          <w:szCs w:val="32"/>
          <w:highlight w:val="none"/>
          <w:lang w:val="en-US" w:eastAsia="zh-CN" w:bidi="ar-SA"/>
        </w:rPr>
      </w:pPr>
    </w:p>
    <w:p w14:paraId="6EC80D93">
      <w:pPr>
        <w:pStyle w:val="2"/>
        <w:rPr>
          <w:rFonts w:hint="eastAsia" w:ascii="Times New Roman" w:hAnsi="Times New Roman" w:eastAsia="仿宋_GB2312" w:cs="仿宋_GB2312"/>
          <w:color w:val="auto"/>
          <w:kern w:val="2"/>
          <w:sz w:val="32"/>
          <w:szCs w:val="32"/>
          <w:highlight w:val="none"/>
          <w:lang w:val="en-US" w:eastAsia="zh-CN" w:bidi="ar-SA"/>
        </w:rPr>
      </w:pPr>
    </w:p>
    <w:p w14:paraId="73F2A910">
      <w:pPr>
        <w:rPr>
          <w:rFonts w:hint="eastAsia" w:ascii="Times New Roman" w:hAnsi="Times New Roman" w:eastAsia="仿宋_GB2312" w:cs="仿宋_GB2312"/>
          <w:color w:val="auto"/>
          <w:kern w:val="2"/>
          <w:sz w:val="32"/>
          <w:szCs w:val="32"/>
          <w:highlight w:val="none"/>
          <w:lang w:val="en-US" w:eastAsia="zh-CN" w:bidi="ar-SA"/>
        </w:rPr>
      </w:pPr>
    </w:p>
    <w:p w14:paraId="232B87A1">
      <w:pPr>
        <w:pStyle w:val="2"/>
        <w:rPr>
          <w:rFonts w:hint="eastAsia" w:ascii="Times New Roman" w:hAnsi="Times New Roman" w:eastAsia="仿宋_GB2312" w:cs="仿宋_GB2312"/>
          <w:color w:val="auto"/>
          <w:kern w:val="2"/>
          <w:sz w:val="32"/>
          <w:szCs w:val="32"/>
          <w:highlight w:val="none"/>
          <w:lang w:val="en-US" w:eastAsia="zh-CN" w:bidi="ar-SA"/>
        </w:rPr>
      </w:pPr>
    </w:p>
    <w:p w14:paraId="576EAB2D">
      <w:pPr>
        <w:rPr>
          <w:rFonts w:hint="eastAsia" w:ascii="Times New Roman" w:hAnsi="Times New Roman" w:eastAsia="仿宋_GB2312" w:cs="仿宋_GB2312"/>
          <w:color w:val="auto"/>
          <w:kern w:val="2"/>
          <w:sz w:val="32"/>
          <w:szCs w:val="32"/>
          <w:highlight w:val="none"/>
          <w:lang w:val="en-US" w:eastAsia="zh-CN" w:bidi="ar-SA"/>
        </w:rPr>
      </w:pPr>
    </w:p>
    <w:p w14:paraId="3C3F4F73">
      <w:pPr>
        <w:pStyle w:val="2"/>
        <w:rPr>
          <w:rFonts w:hint="eastAsia" w:ascii="Times New Roman" w:hAnsi="Times New Roman" w:eastAsia="仿宋_GB2312" w:cs="仿宋_GB2312"/>
          <w:color w:val="auto"/>
          <w:kern w:val="2"/>
          <w:sz w:val="32"/>
          <w:szCs w:val="32"/>
          <w:highlight w:val="none"/>
          <w:lang w:val="en-US" w:eastAsia="zh-CN" w:bidi="ar-SA"/>
        </w:rPr>
      </w:pPr>
    </w:p>
    <w:p w14:paraId="3EFB98D9">
      <w:pPr>
        <w:rPr>
          <w:rFonts w:hint="eastAsia" w:ascii="Times New Roman" w:hAnsi="Times New Roman" w:eastAsia="仿宋_GB2312" w:cs="仿宋_GB2312"/>
          <w:color w:val="auto"/>
          <w:kern w:val="2"/>
          <w:sz w:val="32"/>
          <w:szCs w:val="32"/>
          <w:highlight w:val="none"/>
          <w:lang w:val="en-US" w:eastAsia="zh-CN" w:bidi="ar-SA"/>
        </w:rPr>
      </w:pPr>
    </w:p>
    <w:p w14:paraId="641DE720">
      <w:pPr>
        <w:pStyle w:val="2"/>
        <w:rPr>
          <w:rFonts w:hint="eastAsia" w:ascii="Times New Roman" w:hAnsi="Times New Roman" w:eastAsia="仿宋_GB2312" w:cs="仿宋_GB2312"/>
          <w:color w:val="auto"/>
          <w:kern w:val="2"/>
          <w:sz w:val="32"/>
          <w:szCs w:val="32"/>
          <w:highlight w:val="none"/>
          <w:lang w:val="en-US" w:eastAsia="zh-CN" w:bidi="ar-SA"/>
        </w:rPr>
      </w:pPr>
    </w:p>
    <w:p w14:paraId="43C7D2A9">
      <w:pPr>
        <w:rPr>
          <w:rFonts w:hint="eastAsia" w:ascii="Times New Roman" w:hAnsi="Times New Roman" w:eastAsia="仿宋_GB2312" w:cs="仿宋_GB2312"/>
          <w:color w:val="auto"/>
          <w:kern w:val="2"/>
          <w:sz w:val="32"/>
          <w:szCs w:val="32"/>
          <w:highlight w:val="none"/>
          <w:lang w:val="en-US" w:eastAsia="zh-CN" w:bidi="ar-SA"/>
        </w:rPr>
      </w:pPr>
    </w:p>
    <w:p w14:paraId="3A0C284D">
      <w:pPr>
        <w:pStyle w:val="2"/>
        <w:rPr>
          <w:rFonts w:hint="eastAsia" w:ascii="Times New Roman" w:hAnsi="Times New Roman" w:eastAsia="仿宋_GB2312" w:cs="仿宋_GB2312"/>
          <w:color w:val="auto"/>
          <w:kern w:val="2"/>
          <w:sz w:val="32"/>
          <w:szCs w:val="32"/>
          <w:highlight w:val="none"/>
          <w:lang w:val="en-US" w:eastAsia="zh-CN" w:bidi="ar-SA"/>
        </w:rPr>
      </w:pPr>
    </w:p>
    <w:p w14:paraId="4D7DF87C">
      <w:pPr>
        <w:rPr>
          <w:rFonts w:hint="eastAsia" w:ascii="Times New Roman" w:hAnsi="Times New Roman" w:eastAsia="仿宋_GB2312" w:cs="仿宋_GB2312"/>
          <w:color w:val="auto"/>
          <w:kern w:val="2"/>
          <w:sz w:val="32"/>
          <w:szCs w:val="32"/>
          <w:highlight w:val="none"/>
          <w:lang w:val="en-US" w:eastAsia="zh-CN" w:bidi="ar-SA"/>
        </w:rPr>
      </w:pPr>
    </w:p>
    <w:p w14:paraId="253DAF7C">
      <w:pPr>
        <w:pStyle w:val="2"/>
        <w:rPr>
          <w:rFonts w:hint="eastAsia" w:ascii="Times New Roman" w:hAnsi="Times New Roman" w:eastAsia="仿宋_GB2312" w:cs="仿宋_GB2312"/>
          <w:color w:val="auto"/>
          <w:kern w:val="2"/>
          <w:sz w:val="32"/>
          <w:szCs w:val="32"/>
          <w:highlight w:val="none"/>
          <w:lang w:val="en-US" w:eastAsia="zh-CN" w:bidi="ar-SA"/>
        </w:rPr>
      </w:pPr>
    </w:p>
    <w:p w14:paraId="47248A35">
      <w:pPr>
        <w:rPr>
          <w:rFonts w:hint="eastAsia" w:ascii="Times New Roman" w:hAnsi="Times New Roman" w:eastAsia="仿宋_GB2312" w:cs="仿宋_GB2312"/>
          <w:color w:val="auto"/>
          <w:kern w:val="2"/>
          <w:sz w:val="32"/>
          <w:szCs w:val="32"/>
          <w:highlight w:val="none"/>
          <w:lang w:val="en-US" w:eastAsia="zh-CN" w:bidi="ar-SA"/>
        </w:rPr>
      </w:pPr>
    </w:p>
    <w:p w14:paraId="7602829F">
      <w:pPr>
        <w:rPr>
          <w:rFonts w:hint="eastAsia"/>
          <w:lang w:val="en-US" w:eastAsia="zh-CN"/>
        </w:rPr>
      </w:pPr>
    </w:p>
    <w:p w14:paraId="7C828A72">
      <w:pPr>
        <w:rPr>
          <w:rFonts w:hint="eastAsia" w:ascii="Times New Roman" w:hAnsi="Times New Roman" w:eastAsia="仿宋_GB2312" w:cs="仿宋_GB2312"/>
          <w:color w:val="auto"/>
          <w:kern w:val="2"/>
          <w:sz w:val="32"/>
          <w:szCs w:val="32"/>
          <w:highlight w:val="none"/>
          <w:lang w:val="en-US" w:eastAsia="zh-CN" w:bidi="ar-SA"/>
        </w:rPr>
      </w:pPr>
    </w:p>
    <w:p w14:paraId="7909841E">
      <w:pPr>
        <w:pStyle w:val="2"/>
        <w:rPr>
          <w:rFonts w:hint="eastAsia"/>
          <w:lang w:val="en-US" w:eastAsia="zh-CN"/>
        </w:rPr>
      </w:pPr>
    </w:p>
    <w:p w14:paraId="39DF5F97">
      <w:pPr>
        <w:rPr>
          <w:rFonts w:hint="eastAsia"/>
          <w:lang w:val="en-US" w:eastAsia="zh-CN"/>
        </w:rPr>
      </w:pPr>
    </w:p>
    <w:p w14:paraId="05E7B598">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7" w:name="_Toc15377225"/>
      <w:bookmarkStart w:id="48"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7"/>
      <w:bookmarkEnd w:id="48"/>
    </w:p>
    <w:p w14:paraId="09D67FAD">
      <w:pPr>
        <w:spacing w:line="600" w:lineRule="exact"/>
        <w:jc w:val="left"/>
        <w:rPr>
          <w:rFonts w:ascii="Times New Roman" w:hAnsi="Times New Roman"/>
          <w:b/>
          <w:color w:val="auto"/>
          <w:sz w:val="44"/>
          <w:szCs w:val="44"/>
          <w:highlight w:val="none"/>
        </w:rPr>
      </w:pPr>
    </w:p>
    <w:p w14:paraId="74879A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65A04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489A53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5C4652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3618EA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4CBBF4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325F88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4501B0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95838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54D3EB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6F368E9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574862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761D98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759062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3512AE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5A411F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7C51C9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24F24E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3131E7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3CEB0D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0F0360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2AACB3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3232BC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05F5F3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2313AF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5E63FD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372268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707E23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2B7054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40093A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0F2C0E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7882B5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CB299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8EB0C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4F100AD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00695FB9">
      <w:pPr>
        <w:spacing w:line="600" w:lineRule="exact"/>
        <w:jc w:val="center"/>
        <w:rPr>
          <w:rStyle w:val="30"/>
          <w:rFonts w:hint="eastAsia" w:ascii="Times New Roman" w:hAnsi="Times New Roman" w:eastAsia="黑体"/>
          <w:b w:val="0"/>
          <w:color w:val="auto"/>
          <w:highlight w:val="none"/>
          <w:lang w:eastAsia="zh-CN"/>
        </w:rPr>
      </w:pPr>
      <w:bookmarkStart w:id="49"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0"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0"/>
    </w:p>
    <w:p w14:paraId="3A154600">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00FB24B">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3507172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67E4F88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lang w:eastAsia="zh-CN"/>
        </w:rPr>
      </w:pPr>
      <w:r>
        <w:rPr>
          <w:rFonts w:hint="eastAsia" w:eastAsia="方正小标宋简体" w:cs="Times New Roman"/>
          <w:b w:val="0"/>
          <w:bCs/>
          <w:sz w:val="44"/>
          <w:szCs w:val="44"/>
          <w:highlight w:val="none"/>
          <w:shd w:val="clear" w:color="auto" w:fill="FFFFFF"/>
          <w:lang w:val="en-US" w:eastAsia="zh-CN"/>
        </w:rPr>
        <w:t>松潘县发展和改革局</w:t>
      </w: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p>
    <w:p w14:paraId="2C57E909">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02959ED9">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583FFE0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6A4F57C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623D9F8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办公室。组织协调机关日常政务，负责机关目标管理、电子政务、公文运转、会议组织、政务信息、财务、资产管理、后勤服务、机要、保密、信访、安全保卫、社会治安综合治理、精神文明建设等工作；负责机关规章制度的制订和组织实施；组织办理议案、提案和建议；负责会议组织及会议决定事项的督办。负责本局机关的机构编制和干部、劳动、人事管理；负责本局档案管理和离退休人员的管理、服务工作。</w:t>
      </w:r>
    </w:p>
    <w:p w14:paraId="6CC3C76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政策法规股（挂稽察办公室、行政审批股牌子）。起草有关国民经济和社会发展、经济体制改革的重大政策和规章草案；组织研究经济社会发展、改革开放的重大问题；承担本系统、本部门推进依法行政工作的组织协调和督促指导；承担行政执法监督、行政复议、行政应诉、行政调解和规范性文件审核和备案工作；负责本部门普法工作的宣传、指导和监督。负责指导和协调招标投标工作，组织拟订招标投标配套规定和实施意见；按规定核准项目招标事项；协助省、州发展改革委负责中央投资项目招标代理机构的转报及管理；负责省、州发改委审批项目招标投标核准意见的转报工作。综合管理招标投标活动。负责重大建设项目招标文件的审查和备案，监督招标投标活动，受理相关投诉，调查违规行为；统筹监督国家投资建设项目招标投标合同的执行情况并组织后评估工作；负责协调招标投标平台的建设和管理，管理综合性评标专家库；组织协调招标投标信用体系建设，建立公共资源交易中心招标投标活动和其他招标投标领域相关中介咨询机构的协调管理机制。负责对国家、省、州安排资金项目的审批程序、建设资金使用、工程招标投标、开工建设条件、建设进度、工程质量、投资概算控制以及工程竣工验收等建设活动进行全过程</w:t>
      </w:r>
      <w:r>
        <w:rPr>
          <w:rFonts w:hint="eastAsia" w:ascii="仿宋_GB2312" w:hAnsi="仿宋_GB2312" w:eastAsia="仿宋_GB2312" w:cs="仿宋_GB2312"/>
          <w:sz w:val="32"/>
          <w:szCs w:val="32"/>
          <w:lang w:eastAsia="zh-CN"/>
        </w:rPr>
        <w:t>的稽查</w:t>
      </w:r>
      <w:r>
        <w:rPr>
          <w:rFonts w:hint="eastAsia" w:ascii="仿宋_GB2312" w:hAnsi="仿宋_GB2312" w:eastAsia="仿宋_GB2312" w:cs="仿宋_GB2312"/>
          <w:sz w:val="32"/>
          <w:szCs w:val="32"/>
        </w:rPr>
        <w:t>和监督检查，及时提出</w:t>
      </w:r>
      <w:r>
        <w:rPr>
          <w:rFonts w:hint="eastAsia" w:ascii="仿宋_GB2312" w:hAnsi="仿宋_GB2312" w:eastAsia="仿宋_GB2312" w:cs="仿宋_GB2312"/>
          <w:sz w:val="32"/>
          <w:szCs w:val="32"/>
          <w:lang w:eastAsia="zh-CN"/>
        </w:rPr>
        <w:t>稽查报告</w:t>
      </w:r>
      <w:r>
        <w:rPr>
          <w:rFonts w:hint="eastAsia" w:ascii="仿宋_GB2312" w:hAnsi="仿宋_GB2312" w:eastAsia="仿宋_GB2312" w:cs="仿宋_GB2312"/>
          <w:sz w:val="32"/>
          <w:szCs w:val="32"/>
        </w:rPr>
        <w:t>；协调、督促有关项目建设单位进行 整改。监督检查以工代赈项目的实施情况；承担全县所有固定</w:t>
      </w:r>
      <w:r>
        <w:rPr>
          <w:rFonts w:hint="eastAsia" w:ascii="仿宋_GB2312" w:hAnsi="仿宋_GB2312" w:eastAsia="仿宋_GB2312" w:cs="仿宋_GB2312"/>
          <w:sz w:val="32"/>
          <w:szCs w:val="32"/>
          <w:lang w:eastAsia="zh-CN"/>
        </w:rPr>
        <w:t>资产投资项目进行稽查</w:t>
      </w:r>
      <w:r>
        <w:rPr>
          <w:rFonts w:hint="eastAsia" w:ascii="仿宋_GB2312" w:hAnsi="仿宋_GB2312" w:eastAsia="仿宋_GB2312" w:cs="仿宋_GB2312"/>
          <w:sz w:val="32"/>
          <w:szCs w:val="32"/>
        </w:rPr>
        <w:t>，纠正建设项目中存在的问题，确保建设工程顺利实施。贯彻和组织实施上级有关纪检监察工作方面的决议、决定和指示；负责处理纪检监察工作的日常事务；负责处理控告和举报；处理与部门工作相关的重大疑难问题及突发性事件；负责处理系统内的违法违纪案件。负责拟订行政许可事项审查（审核）的政策、规定、标准、规程细则；负责县发展和改革局（县粮食和物资储备中心、县价格认证和监测中心）机关行政许可职责，依法审批保留权限以内的行政许可事项；负责审批权限以内的非国家投资项目立项（核准、备案）。负责全县社会信用体系建设指导、协调和综合管理；负责信用信息平台的业务管理。</w:t>
      </w:r>
    </w:p>
    <w:p w14:paraId="79D7894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（三）国民经济综合协调股（挂经济动员办公室牌子）。起草有关国民经济和社会发展、经济体制改革的重大政策和地方性法规、规章草案；组织研究经济社会发展、改革开放的重大问题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研究提出全县经济和社会发展战略、规划及生产力布局的建议；提出全县经济和社会中长期发展、总量平衡和结构调整的目标和政策；提出推进新型城镇化的发展战略和重大政策，提出城乡融 合发展政策建议；编制经济和社会发展中长期规划；组织编制和协调经济社会发展专项规划、区域经济发展规划，提出区域经济 发展政策。综合分析研究经济形势，做好对全县宏观经济的预测、预警；组织研究并提出全县经济和社会发展年度计划以及年度总量平衡、结构调整的目标和政策；提出促进经济增长、增加就业、稳定物价等宏观调控目标以及运用各种经济手段和政策的建议；对县级开发区（含保税区）进行指导、协调和宏观管理。负责半年和年度国民经济和社会发展计划执行情况报告的起草工作；参与有关股室研究制定发展计划和规划。研究提出经济体制改革重大问题，指导推进和综合协调经济体制改革；组织拟订综合性经济体制改革方案，参与研究和衔接有关方面拟订的专项经济体制改革方案，协调推进专项经济体制改革；指导经济体制改革试点和改革试验区工作；协调解决经济体制改革进程中的重大问题。研究提出全县国民经济动员工作方针、政策，编制全县国民经济动员方案、总体规划和年度计划；</w:t>
      </w:r>
      <w:r>
        <w:rPr>
          <w:rFonts w:hint="eastAsia" w:ascii="仿宋_GB2312" w:hAnsi="仿宋_GB2312" w:eastAsia="仿宋_GB2312" w:cs="仿宋_GB2312"/>
          <w:sz w:val="32"/>
          <w:szCs w:val="32"/>
          <w:lang w:eastAsia="zh-CN"/>
        </w:rPr>
        <w:t>编报</w:t>
      </w:r>
      <w:r>
        <w:rPr>
          <w:rFonts w:hint="eastAsia" w:ascii="仿宋_GB2312" w:hAnsi="仿宋_GB2312" w:eastAsia="仿宋_GB2312" w:cs="仿宋_GB2312"/>
          <w:sz w:val="32"/>
          <w:szCs w:val="32"/>
        </w:rPr>
        <w:t>、安排全县国民经济动员重大项目；协调国民经济动员工作中的重大问题。</w:t>
      </w:r>
    </w:p>
    <w:p w14:paraId="78E02CE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（四）固定资产投资和项目管理股（挂援藏办公室、西部大 开发办公室牌子）。负责编制重大项目规划、年度计划，管理项目储备；提出加强重大项目全过程管理的政策措施；监督检查重大项目计划执行情况，会同有关部门督促重大项目实施工作，协调重大项目建设、管理、要素支持和资源配置中的相关事宜；参与重大项目的立项、可行性研究、初步设计的审批、核准、备案、 审查等工作；汇总并发布县重大项目进展情况；指导重大项目储 备、建设、管理工作；承办县重大建设项目推进领导小组的具体 工作。研究提出全县实施西部大开发战略、发展规划和有关政策建议；编制我县实施西部大开发战略的规划，组织协调全县实施西部大开发战略的有关重大问题；承办县实施西部大开发领导小组及其办公室的日常工作。协助做好对国家、省、州安排资金项目以及固定资产投资项目的审批程序、建设资金使用、工程招标投标、开工建设条件、建设进度、工程质量、投资概算控制以及工程竣工验收等建设活动进行全过程的监督检查，协调、督促有关项目建设单位进行整改，纠正建设项目中存在的问题，确保工程建设顺利实施。监测分析全社会固定资产投资状况，研究提出固定资产投资的总规模、结构和资金来源，提出全社会固定资产投资调控政策、中长期规划和年度计划；研究制定加强政府投资项目管理的政策措施；提出投融资体制改革的建议；审核、转报和安排国家和县 财政性资金的建设项目。研究提出全县民族地区（涉藏地区）经济社会发展战略和政策，协调发展中的重大问题；汇总编制涉藏地区经济和社会发展 中长期规划和年度规划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汇总申报涉藏地区国家政策性投资项目。协助参与对全县所有固定资产投资</w:t>
      </w:r>
      <w:r>
        <w:rPr>
          <w:rFonts w:hint="eastAsia" w:ascii="仿宋_GB2312" w:hAnsi="仿宋_GB2312" w:eastAsia="仿宋_GB2312" w:cs="仿宋_GB2312"/>
          <w:sz w:val="32"/>
          <w:szCs w:val="32"/>
          <w:lang w:eastAsia="zh-CN"/>
        </w:rPr>
        <w:t>项目进行稽查</w:t>
      </w:r>
      <w:r>
        <w:rPr>
          <w:rFonts w:hint="eastAsia" w:ascii="仿宋_GB2312" w:hAnsi="仿宋_GB2312" w:eastAsia="仿宋_GB2312" w:cs="仿宋_GB2312"/>
          <w:sz w:val="32"/>
          <w:szCs w:val="32"/>
        </w:rPr>
        <w:t>，纠正建设项目中存在的问题，确保建设工程顺利实施。</w:t>
      </w:r>
    </w:p>
    <w:p w14:paraId="2683F1C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农村经济发展和社会事业股。会同相关部门研究提出全县农业和农村经济发展战略、体制改革及有关政策建议，协调农业和农村经济社会发展的重大问题；组织编制农村经济中长期规划和年度计划，衔接平衡农业、林业、水利、畜牧、农机和气象等行业发展规划和年度计划；组织编制农业、林业、水利、畜牧、农机和气象及有关农村基础设施投资计划并审核、转报使用财政性资金重大项目，监督检查投资计划执行和项目实施情况；组织编制全县生态建设中长期规划和年度计划，协调组织相关部门实施生态建设重大项目；协助做好涉藏地区政策研究及项目的申报。研究提出全县社会发展战略，拟订和协调全县社会发展中长期规划和年度计划；协调社会事业发展和改革的重大问题；转报、安排国家和县财政性资金的社会事业项目；协调人口、文化、教育、卫生、体育、广播电视、旅游、民政、文物、新闻出版、民族等发展政策。研究提出全县社会事业投资的发展战略、总规模和中长期规划、年度计划；提出和申报涉及社会事业的国外贷款备选项目，负责权限以内投资项目的审核工作，审核和转报利用外资和境外投资项目。研究全县就业与人力资源、居民收入分配和社会保障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出就业规划和促进就业、调整收入分配、完善社会保障体系的相关政策；组织拟订和论证相关体制改革方案，协调解决相关的重大问题。（六）产业发展和能源股（挂以工代赈综合办公室）。统筹工业、服务业、交通运输业发展规划、计划与国民经济</w:t>
      </w:r>
      <w:r>
        <w:rPr>
          <w:rFonts w:hint="eastAsia" w:ascii="仿宋_GB2312" w:hAnsi="仿宋_GB2312" w:eastAsia="仿宋_GB2312" w:cs="仿宋_GB2312"/>
          <w:sz w:val="32"/>
          <w:szCs w:val="32"/>
          <w:lang w:eastAsia="zh-CN"/>
        </w:rPr>
        <w:t>和社会发展</w:t>
      </w:r>
      <w:r>
        <w:rPr>
          <w:rFonts w:hint="eastAsia" w:ascii="仿宋_GB2312" w:hAnsi="仿宋_GB2312" w:eastAsia="仿宋_GB2312" w:cs="仿宋_GB2312"/>
          <w:sz w:val="32"/>
          <w:szCs w:val="32"/>
        </w:rPr>
        <w:t xml:space="preserve"> 展规划、计划的衔接平衡；研究分析全县产业发展的情况，组织拟订综合性产业政策，组织协调专项产业政策的制定，监督产业政策的落实；研究提出全县服务业发展战略和重大政策，协调服</w:t>
      </w:r>
      <w:r>
        <w:rPr>
          <w:rFonts w:hint="eastAsia" w:ascii="仿宋_GB2312" w:hAnsi="仿宋_GB2312" w:eastAsia="仿宋_GB2312" w:cs="仿宋_GB2312"/>
          <w:sz w:val="32"/>
          <w:szCs w:val="32"/>
          <w:lang w:eastAsia="zh-CN"/>
        </w:rPr>
        <w:t>物业</w:t>
      </w:r>
      <w:r>
        <w:rPr>
          <w:rFonts w:hint="eastAsia" w:ascii="仿宋_GB2312" w:hAnsi="仿宋_GB2312" w:eastAsia="仿宋_GB2312" w:cs="仿宋_GB2312"/>
          <w:sz w:val="32"/>
          <w:szCs w:val="32"/>
        </w:rPr>
        <w:t>发展。协调重大技术装备推广应用和重大产业基地建设；统筹协调重要矿产资源的开发利用；按规定权限审批、备案、核准和转报工业、交通。承办食盐、烟草等国家指令性管理的特种行业和清洁汽车产业发展工作；研究提出高技术产业及产业技术的发展方向，拟订高技术产业发展和产业技术进步的战略、规划、政策；做好相关高新技术产业化工作，组织高技术产业化示范工程；申报、安排工业、交通、邮政和高技术产业财政性资金建设项目。转报、安排国家、省、州的高技术产业化财政性资金建设项目；指导协调自主创新体系发展，组织推动技术创新和产学研联 合；推动国民经济和社会发展信息化进程，培育壮大战略性新兴产业；协调做好涉藏地区政策研究及项目的申报。研究提出全县交通运输发展战略、政策措施和体制改革建议；协调相关部门编制全县交通运输发展中长期规划和年度计划；审核转报交通重点建设项目（含利用外资项目）；协调全县 公路、航空、铁路、水运建设的综合平衡以及发展中的重大问题。分析工业发展情况，研究新型工业化发展战略；拟订工业及相关产业发展规划及配套政策，提出相关体制改革建议，对工业现代化实施宏观指导；组织拟订与全县工业发展配套的优化</w:t>
      </w:r>
      <w:r>
        <w:rPr>
          <w:rFonts w:hint="eastAsia" w:ascii="仿宋_GB2312" w:hAnsi="仿宋_GB2312" w:eastAsia="仿宋_GB2312" w:cs="仿宋_GB2312"/>
          <w:sz w:val="32"/>
          <w:szCs w:val="32"/>
          <w:lang w:eastAsia="zh-CN"/>
        </w:rPr>
        <w:t>资源配置</w:t>
      </w:r>
      <w:r>
        <w:rPr>
          <w:rFonts w:hint="eastAsia" w:ascii="仿宋_GB2312" w:hAnsi="仿宋_GB2312" w:eastAsia="仿宋_GB2312" w:cs="仿宋_GB2312"/>
          <w:sz w:val="32"/>
          <w:szCs w:val="32"/>
        </w:rPr>
        <w:t>的政策、措施；审核转报工业建设项目；协调相关产业发展 和生产力布局。负责组织协调推进长江经济带生态环境保护专项行动，生态环境问题整改；负责协调推动长江综合立体交通走廊、岸线整治修复等重大项目实施。统筹国民经济和社会发展对能源的需求，拟订全县能源发展战略和政策措施；协调有关部门拟订全县能源发展规划，提出相关体制改革的建议；监测能源发展情况；统筹规划、综合平衡能源建设和重大项目布局，协调能源发展和项目建设中的重大问题，审核和转报能源建设项目。研究提出优化能源结构、能源节约综合利用和发展循环经济（开发新能源）的政策措施；组织对煤、电、油、气资源勘探调查和合理、有序开发利用；实施能源可持续发展战略的，推进可 再生能源和新能源的开发利用；参与编制环境保护规划，协调环保产业发展有关工作；组织实施固定资产投资项目（企业技术改 造项目除外）节能评估和审查工作；审核、转报和安排资源节约、综合利用、循环经济和污染治</w:t>
      </w:r>
      <w:r>
        <w:rPr>
          <w:rFonts w:hint="eastAsia" w:ascii="仿宋_GB2312" w:hAnsi="仿宋_GB2312" w:eastAsia="仿宋_GB2312" w:cs="仿宋_GB2312"/>
          <w:sz w:val="32"/>
          <w:szCs w:val="32"/>
          <w:lang w:eastAsia="zh-CN"/>
        </w:rPr>
        <w:t>理等</w:t>
      </w:r>
      <w:r>
        <w:rPr>
          <w:rFonts w:hint="eastAsia" w:ascii="仿宋_GB2312" w:hAnsi="仿宋_GB2312" w:eastAsia="仿宋_GB2312" w:cs="仿宋_GB2312"/>
          <w:sz w:val="32"/>
          <w:szCs w:val="32"/>
        </w:rPr>
        <w:t>国家财政性资金建设项目；组织协调重大节能减排示范工程和新产品、新技术、新设备的推广应用；组织拟订应对气候变化重大战略、规划和重大政策；承办县节能减排工作领导小组的具体工作。提出全县以工代赈工作的具体政策措施并组织实施；负责管理以工代赈资金；编制全县以工代赈项目规划；建立和完善以工代赈项目库；会同有关部门筛选、审查以工代赈项目；编制和</w:t>
      </w:r>
      <w:r>
        <w:rPr>
          <w:rFonts w:hint="eastAsia" w:ascii="仿宋_GB2312" w:hAnsi="仿宋_GB2312" w:eastAsia="仿宋_GB2312" w:cs="仿宋_GB2312"/>
          <w:sz w:val="32"/>
          <w:szCs w:val="32"/>
          <w:lang w:eastAsia="zh-CN"/>
        </w:rPr>
        <w:t>申</w:t>
      </w:r>
      <w:r>
        <w:rPr>
          <w:rFonts w:hint="eastAsia" w:ascii="仿宋_GB2312" w:hAnsi="仿宋_GB2312" w:eastAsia="仿宋_GB2312" w:cs="仿宋_GB2312"/>
          <w:sz w:val="32"/>
          <w:szCs w:val="32"/>
        </w:rPr>
        <w:t>报以工代赈项目的年度计划；监督检查以工代赈项目的实施情况，协助做好以工代赈项目的监督检查；协助有关部门做好以工代赈资金的及时到位；负责以工代赈工作文件的起草和统计工作；提出以工代赈资金使用管理的措施、意见；负责以工代赈培训工作；负责搜集、整理、报送以工代赈工作信息；负责人民代表、政协委员有关以工代赈工作的建议、提案的办理。</w:t>
      </w:r>
    </w:p>
    <w:p w14:paraId="17DE4B7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（二）机构职能</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1EC75FB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（一）履行政治领导责任，做好理论武装和思想政治工作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负责学习、宣传、贯彻执行党的理论和路线方针政策，贯彻落实党中央、省委、州委、县委的决策部署，发挥好把方向、管大局、保落实的重要作用。</w:t>
      </w:r>
    </w:p>
    <w:p w14:paraId="659E252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（二）讨论和决定本单位下列重大问题。党的路线方针政策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国家法律法规和上级党组织重要会议、重要文件、重大决策部署的贯彻落实事项。需要向上级党组织请示报告的重要事项。内部机构设置、职责等事项。重大决策、重要人事任免、重大项目安排、大额资金使用等事项。基层党组织和党员队伍建设方面的重要事项。意识形态工作、思想政治工作和精神文明建设方面的重要事项。党风廉政建设和反腐败工作方面的重要事项。其他应当由党组讨论和决定的重大问题。 </w:t>
      </w:r>
    </w:p>
    <w:p w14:paraId="7925BC9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（三）贯彻党管干部原则，加强干部队伍建设，完善干部培养选拔机制，加强干部教育管理监督。贯彻党管人才原则，加强人才队伍建设。加强对本单位工会、共青团、妇联等群团工作的领导。 </w:t>
      </w:r>
    </w:p>
    <w:p w14:paraId="2C26406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（四）履行党要管党、</w:t>
      </w:r>
      <w:r>
        <w:rPr>
          <w:rFonts w:hint="eastAsia" w:ascii="仿宋_GB2312" w:hAnsi="仿宋_GB2312" w:eastAsia="仿宋_GB2312" w:cs="仿宋_GB2312"/>
          <w:sz w:val="32"/>
          <w:szCs w:val="32"/>
          <w:lang w:eastAsia="zh-CN"/>
        </w:rPr>
        <w:t>从严治党主体责任</w:t>
      </w:r>
      <w:r>
        <w:rPr>
          <w:rFonts w:hint="eastAsia" w:ascii="仿宋_GB2312" w:hAnsi="仿宋_GB2312" w:eastAsia="仿宋_GB2312" w:cs="仿宋_GB2312"/>
          <w:sz w:val="32"/>
          <w:szCs w:val="32"/>
        </w:rPr>
        <w:t>，加强对本单位党的建设的领导，落实党建工作责任制。认真履行党风廉政建设</w:t>
      </w:r>
      <w:r>
        <w:rPr>
          <w:rFonts w:hint="eastAsia" w:ascii="仿宋_GB2312" w:hAnsi="仿宋_GB2312" w:eastAsia="仿宋_GB2312" w:cs="仿宋_GB2312"/>
          <w:sz w:val="32"/>
          <w:szCs w:val="32"/>
          <w:lang w:eastAsia="zh-CN"/>
        </w:rPr>
        <w:t>主体责任</w:t>
      </w:r>
      <w:r>
        <w:rPr>
          <w:rFonts w:hint="eastAsia" w:ascii="仿宋_GB2312" w:hAnsi="仿宋_GB2312" w:eastAsia="仿宋_GB2312" w:cs="仿宋_GB2312"/>
          <w:sz w:val="32"/>
          <w:szCs w:val="32"/>
        </w:rPr>
        <w:t>，支持纪检监察机构履行监督责任。第五条 县发改局贯彻落实党中央关于发展和改革工作的</w:t>
      </w:r>
      <w:r>
        <w:rPr>
          <w:rFonts w:hint="eastAsia" w:ascii="仿宋_GB2312" w:hAnsi="仿宋_GB2312" w:eastAsia="仿宋_GB2312" w:cs="仿宋_GB2312"/>
          <w:sz w:val="32"/>
          <w:szCs w:val="32"/>
          <w:lang w:eastAsia="zh-CN"/>
        </w:rPr>
        <w:t>方针政策</w:t>
      </w:r>
      <w:r>
        <w:rPr>
          <w:rFonts w:hint="eastAsia" w:ascii="仿宋_GB2312" w:hAnsi="仿宋_GB2312" w:eastAsia="仿宋_GB2312" w:cs="仿宋_GB2312"/>
          <w:sz w:val="32"/>
          <w:szCs w:val="32"/>
        </w:rPr>
        <w:t xml:space="preserve">和省委、州委、县委的决策部署，在履行职责过程中坚持和加强党对发展和改革工作的集中统一领导。主要职责是：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（一）贯彻实施国家有关国民经济和社会发展、</w:t>
      </w:r>
      <w:r>
        <w:rPr>
          <w:rFonts w:hint="eastAsia" w:ascii="仿宋_GB2312" w:hAnsi="仿宋_GB2312" w:eastAsia="仿宋_GB2312" w:cs="仿宋_GB2312"/>
          <w:sz w:val="32"/>
          <w:szCs w:val="32"/>
          <w:lang w:eastAsia="zh-CN"/>
        </w:rPr>
        <w:t>经济体制改</w:t>
      </w:r>
      <w:r>
        <w:rPr>
          <w:rFonts w:hint="eastAsia" w:ascii="仿宋_GB2312" w:hAnsi="仿宋_GB2312" w:eastAsia="仿宋_GB2312" w:cs="仿宋_GB2312"/>
          <w:sz w:val="32"/>
          <w:szCs w:val="32"/>
        </w:rPr>
        <w:t>革的方针、政策和</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。拟订全县有关国民经济</w:t>
      </w:r>
      <w:r>
        <w:rPr>
          <w:rFonts w:hint="eastAsia" w:ascii="仿宋_GB2312" w:hAnsi="仿宋_GB2312" w:eastAsia="仿宋_GB2312" w:cs="仿宋_GB2312"/>
          <w:sz w:val="32"/>
          <w:szCs w:val="32"/>
          <w:lang w:eastAsia="zh-CN"/>
        </w:rPr>
        <w:t>和社会发展</w:t>
      </w:r>
      <w:r>
        <w:rPr>
          <w:rFonts w:hint="eastAsia" w:ascii="仿宋_GB2312" w:hAnsi="仿宋_GB2312" w:eastAsia="仿宋_GB2312" w:cs="仿宋_GB2312"/>
          <w:sz w:val="32"/>
          <w:szCs w:val="32"/>
        </w:rPr>
        <w:t xml:space="preserve">、经济体制改革的地方性规章草案，负责本系统、本部门依法行政工作，落实行政执法责任制。 </w:t>
      </w:r>
    </w:p>
    <w:p w14:paraId="23C9757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负责拟订并组织实施全县国民经济和社会发展战略、中长期规划和年度计划，统筹协调全县经济社会发展，研究分析宏观经济形势，提出全县经济社会发展、经济结构优化、价格总水平调控目标和政策建议。受县政府委托向县人大提交国民经济和社会发展计划报告。 </w:t>
      </w:r>
    </w:p>
    <w:p w14:paraId="56529D7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负责监测宏观经济和社会发展态势，承担预测预警和信息引导的责任，研究宏观调控重大问题并提出政策建议，搞好总量平衡，综合协调经济社会发展中的重大问题。负责县级开发区的指导、协调和宏观管理。 </w:t>
      </w:r>
    </w:p>
    <w:p w14:paraId="45E671D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（四）负责汇总分析全县财政、金融等方面情况；提出多渠道融资的政策建议；综合协调财政、金融、价格和产业政策等经济杠杆以及县上直接掌握的经济手段的使用并</w:t>
      </w:r>
      <w:r>
        <w:rPr>
          <w:rFonts w:hint="eastAsia" w:ascii="仿宋_GB2312" w:hAnsi="仿宋_GB2312" w:eastAsia="仿宋_GB2312" w:cs="仿宋_GB2312"/>
          <w:sz w:val="32"/>
          <w:szCs w:val="32"/>
          <w:lang w:val="en-US" w:eastAsia="zh-CN"/>
        </w:rPr>
        <w:t>通</w:t>
      </w:r>
      <w:r>
        <w:rPr>
          <w:rFonts w:hint="eastAsia" w:ascii="仿宋_GB2312" w:hAnsi="仿宋_GB2312" w:eastAsia="仿宋_GB2312" w:cs="仿宋_GB2312"/>
          <w:sz w:val="32"/>
          <w:szCs w:val="32"/>
        </w:rPr>
        <w:t>过法规和政策协调、信息指导，保证全县国民经济计划和发展规划的实施。</w:t>
      </w:r>
    </w:p>
    <w:p w14:paraId="0F0BC04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承担指导推进和综合协调全县经济体制改革的责任，研究经济体制改革和对外开放的重大问题，组织拟订综合性经济体制改革方案，协调有关专项经济体制改革方案，指导和推进总体经济体制改革以及综合配套改革与体制创新，组织、指导和协调综合配套改革试点和重大专项经济体制改革试点。</w:t>
      </w:r>
    </w:p>
    <w:p w14:paraId="5C10FB7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（六）贯彻执行国家价格</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规章和政策规定，草拟相关的地方性规章、政策并组织实施；负责全县价格总水平的宏观调控和综合平衡；研究提出控制物价总水平的相关措施；参与制定调控价格总水平相关的决策方案，为县委和县政府决策服务；负责监测、分析、预报全县市场价格动态和变化趋势，并提出政策建议；按照价格管理权限，研究制定县管价格、收费目录和管理办</w:t>
      </w:r>
      <w:r>
        <w:rPr>
          <w:rFonts w:hint="eastAsia" w:ascii="仿宋_GB2312" w:hAnsi="仿宋_GB2312" w:eastAsia="仿宋_GB2312" w:cs="仿宋_GB2312"/>
          <w:sz w:val="32"/>
          <w:szCs w:val="32"/>
          <w:lang w:eastAsia="zh-CN"/>
        </w:rPr>
        <w:t>法</w:t>
      </w:r>
      <w:r>
        <w:rPr>
          <w:rFonts w:hint="eastAsia" w:ascii="仿宋_GB2312" w:hAnsi="仿宋_GB2312" w:eastAsia="仿宋_GB2312" w:cs="仿宋_GB2312"/>
          <w:sz w:val="32"/>
          <w:szCs w:val="32"/>
        </w:rPr>
        <w:t>，制定并公布政府定价和政府指导价；审定、调整列入管理的商品价格和服务价格；贯彻执行国家行政事业性收费项目和标准，会同财政部门审定、调整列管的收费项目和收费标准；组织实施行政事业性收费、经营性收费年度审验工作；对放开的商品价格和服务价格实施指导，合理安排各种差价和比价关系。引导和规范经营者自主定价行为，指导行业价格自律，当市场商品价格和服务价格出现异常波动时提出干预措施，待批准后组</w:t>
      </w:r>
      <w:r>
        <w:rPr>
          <w:rFonts w:hint="eastAsia" w:ascii="仿宋_GB2312" w:hAnsi="仿宋_GB2312" w:eastAsia="仿宋_GB2312" w:cs="仿宋_GB2312"/>
          <w:sz w:val="32"/>
          <w:szCs w:val="32"/>
          <w:lang w:eastAsia="zh-CN"/>
        </w:rPr>
        <w:t>织实</w:t>
      </w:r>
      <w:r>
        <w:rPr>
          <w:rFonts w:hint="eastAsia" w:ascii="仿宋_GB2312" w:hAnsi="仿宋_GB2312" w:eastAsia="仿宋_GB2312" w:cs="仿宋_GB2312"/>
          <w:sz w:val="32"/>
          <w:szCs w:val="32"/>
        </w:rPr>
        <w:t xml:space="preserve"> 施；负责全县境内的景区门票价格调整方案；指导涉旅购物市场价格行为；指导宾馆（酒店）以及各类娱乐场所的价格行为；负责价格</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和价格（收费）标准的公示；负责价格法制的宣传教育工作；承办或实施列入听证目</w:t>
      </w:r>
      <w:r>
        <w:rPr>
          <w:rFonts w:hint="eastAsia" w:ascii="仿宋_GB2312" w:hAnsi="仿宋_GB2312" w:eastAsia="仿宋_GB2312" w:cs="仿宋_GB2312"/>
          <w:sz w:val="32"/>
          <w:szCs w:val="32"/>
          <w:lang w:eastAsia="zh-CN"/>
        </w:rPr>
        <w:t>录的</w:t>
      </w:r>
      <w:r>
        <w:rPr>
          <w:rFonts w:hint="eastAsia" w:ascii="仿宋_GB2312" w:hAnsi="仿宋_GB2312" w:eastAsia="仿宋_GB2312" w:cs="仿宋_GB2312"/>
          <w:sz w:val="32"/>
          <w:szCs w:val="32"/>
        </w:rPr>
        <w:t>商品价格和服务价格的听证工作；负责仲裁相关价格和收费的纠纷或争议；负责全县工业品、农副产品、公用事业成本监审和流通费用的调查分析。</w:t>
      </w:r>
    </w:p>
    <w:p w14:paraId="20E98A0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（七）负责重要商品总量平衡和宏观调控。研究分析县内外市场和对外贸易运行情况，编制重要农产品、工业品和原材料进出口总量计划并监督执行。贯彻执行国家粮食流通和储备粮管理的方针、政策和</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，拟定全县粮食流通和县级储备粮管理的有关法规草案、规章制度和有关政策，并组织执行；承担组</w:t>
      </w:r>
      <w:r>
        <w:rPr>
          <w:rFonts w:hint="eastAsia" w:ascii="仿宋_GB2312" w:hAnsi="仿宋_GB2312" w:eastAsia="仿宋_GB2312" w:cs="仿宋_GB2312"/>
          <w:sz w:val="32"/>
          <w:szCs w:val="32"/>
          <w:lang w:eastAsia="zh-CN"/>
        </w:rPr>
        <w:t>组织实施</w:t>
      </w:r>
      <w:r>
        <w:rPr>
          <w:rFonts w:hint="eastAsia" w:ascii="仿宋_GB2312" w:hAnsi="仿宋_GB2312" w:eastAsia="仿宋_GB2312" w:cs="仿宋_GB2312"/>
          <w:sz w:val="32"/>
          <w:szCs w:val="32"/>
        </w:rPr>
        <w:t xml:space="preserve">重要物资和应急储备物资收储、轮换和日常管理等职责，负责粮食行政管理和粮食执法工作。承担粮食预警监测和应急责任，负责全县粮食宏观调控具体工作，组织指导全县粮食系统统计工作；负责州、县级储备粮管理，指导全县粮食储备体系建设。监督检查县级储备粮库存数量、质量和安全，研究提出县级储备粮的收购、轮换、抛售计划，并组织实施。负责全县粮食收购、储存环节和政策性用粮质量安全，负责库存原粮卫生监督管理，指导粮食行业安全生产和抢险救灾，指导全县农村科学储粮工作；制定粮食流通产业发展规划，提出促进粮食流通产业发展的政策性建议并督促落实。指导全县粮食流通市场的行业管理、会同有关部门搞好县级粮食批发市场体系建设，加强粮油市场的监管；指导并推动行业的技术改造、新技术推广运用、安全生产工作；承担行业统计工作。 </w:t>
      </w:r>
    </w:p>
    <w:p w14:paraId="12DBCBE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八）负责全县投资宏观管理和协调推进重大项目建设。拟订全社会固定资产投资总规模和投资结构，编制年度投资计划；研究提出有关重大投资政策，规划重大项目和生产力布局；安排财政性建设资金，指导和监督政策性贷款的使用方向；申报限额以上和审批权限以内的基本建设项目；按照基本建设程序，负责全县基本建设项目立项、可行性研究报告和国家出资的工业（含 内贸）、农业、水利、交通、信息产业等行业和产业项目的初步设计审查、开工报告审批工作；引导民间资金用于固定资产投资的方向；研究提出全县利用外资的发展战略、总量平衡和结构优化的目标和政策措施；提出拟订全县工商领域外的外商投资产业指导目录的意见；审批权限以内国外贷款、外商提资和境外投资项目；申报和审核利用外资、境外投资的重大项目；负责编制全县重点建设项目和年度投资计划。 </w:t>
      </w:r>
    </w:p>
    <w:p w14:paraId="05DF521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（九）推进经济结构战略性调整。组织拟订全县综合性产业政策，负责协调</w:t>
      </w:r>
      <w:r>
        <w:rPr>
          <w:rFonts w:hint="eastAsia" w:ascii="仿宋_GB2312" w:hAnsi="仿宋_GB2312" w:eastAsia="仿宋_GB2312" w:cs="仿宋_GB2312"/>
          <w:sz w:val="32"/>
          <w:szCs w:val="32"/>
          <w:lang w:eastAsia="zh-CN"/>
        </w:rPr>
        <w:t>第一，</w:t>
      </w:r>
      <w:r>
        <w:rPr>
          <w:rFonts w:hint="eastAsia" w:ascii="仿宋_GB2312" w:hAnsi="仿宋_GB2312" w:eastAsia="仿宋_GB2312" w:cs="仿宋_GB2312"/>
          <w:sz w:val="32"/>
          <w:szCs w:val="32"/>
        </w:rPr>
        <w:t xml:space="preserve">二、三产业发展的重大问题，衔接平衡相关发展规划和重大政策，协调农业和农村经济社会发展的重大问题，衔接农村专项规划和政策。拟订重大产业发展规划，引导全县重大生产力合理布局，协调推进全县重大技术装备推广应用和重大产业基地建设，会同有关部门拟订服务业、现代物流业发展战略、规划和重大政策。组织拟订高技术产业发展、产业技术进步的战略、规划和重大政策，指导全县自主创新体系建设发展。 </w:t>
      </w:r>
    </w:p>
    <w:p w14:paraId="773826C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促进城乡区域协调发展。组织编制全县主体功能区规划并协调规划实施和进行监测评估，组织拟订区域协调发展战略、规划和重大政策，研究提出城镇化发展战略和统筹城乡发展的重大政策，负责地区经济协作的统筹协调。 </w:t>
      </w:r>
    </w:p>
    <w:p w14:paraId="6B4D1FD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（十一）负责全县社会发展与国民经济发展的政策衔接，组织拟订社会发展战略、总体规划和年度计划，参与拟订</w:t>
      </w:r>
      <w:r>
        <w:rPr>
          <w:rFonts w:hint="eastAsia" w:ascii="仿宋_GB2312" w:hAnsi="仿宋_GB2312" w:eastAsia="仿宋_GB2312" w:cs="仿宋_GB2312"/>
          <w:sz w:val="32"/>
          <w:szCs w:val="32"/>
          <w:lang w:eastAsia="zh-CN"/>
        </w:rPr>
        <w:t>人口和计划计划生育</w:t>
      </w:r>
      <w:r>
        <w:rPr>
          <w:rFonts w:hint="eastAsia" w:ascii="仿宋_GB2312" w:hAnsi="仿宋_GB2312" w:eastAsia="仿宋_GB2312" w:cs="仿宋_GB2312"/>
          <w:sz w:val="32"/>
          <w:szCs w:val="32"/>
        </w:rPr>
        <w:t xml:space="preserve">、科学技术、教育、文化、卫生、民政等发展政策，推进社会事业建设。研究提出促进就业、调整收入分配、完善社会保障与经济协调发展的政策建议，协调社会事业发展和政策中的重大问题及政策。 </w:t>
      </w:r>
    </w:p>
    <w:p w14:paraId="4FDC392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二）推进可持续发展，负责全县节能减排的综合协调工作，组织拟订并协调实施全州发展循环经济、能源资源节约和综合利用规划及政策措施，参与编制生态建设、环境保护规划，协调生态建设、能源资源节约和综合利用的重大问题。 </w:t>
      </w:r>
    </w:p>
    <w:p w14:paraId="2784F82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（十三）指导、协调并综合管理全县招标投标工作，对国家和县重大建设项目建设过程中的工程招标投标活动</w:t>
      </w:r>
      <w:r>
        <w:rPr>
          <w:rFonts w:hint="eastAsia" w:ascii="仿宋_GB2312" w:hAnsi="仿宋_GB2312" w:eastAsia="仿宋_GB2312" w:cs="仿宋_GB2312"/>
          <w:sz w:val="32"/>
          <w:szCs w:val="32"/>
          <w:lang w:val="en-US" w:eastAsia="zh-CN"/>
        </w:rPr>
        <w:t>实</w:t>
      </w:r>
      <w:r>
        <w:rPr>
          <w:rFonts w:hint="eastAsia" w:ascii="仿宋_GB2312" w:hAnsi="仿宋_GB2312" w:eastAsia="仿宋_GB2312" w:cs="仿宋_GB2312"/>
          <w:sz w:val="32"/>
          <w:szCs w:val="32"/>
        </w:rPr>
        <w:t>施监督检查。</w:t>
      </w:r>
    </w:p>
    <w:p w14:paraId="22C9356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十四）负责铁路、机场等综合交通的规划和发展协调；参与协调高速公路项目建设中涉及的重大问题，组织协调和处理全县铁路建设项目前期工作、征地拆迁、建设过程中涉及的重大问题，协同做好全县铁路建设规划及年度计划编制的相关工作。 </w:t>
      </w:r>
    </w:p>
    <w:p w14:paraId="6FC61F5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（十五）负责组织编制全县国民经济动员与装备动员规划、计划，研究国民经济动员与装备动员和国民经济、国防建设的关系，协调相关重大问题，组织实施国民经济动员与装备动员有关工作。</w:t>
      </w:r>
    </w:p>
    <w:p w14:paraId="7B60FB5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（十六）承担县实施西部大开发领导小组、县重点项目领导小组的具体工作。 </w:t>
      </w:r>
    </w:p>
    <w:p w14:paraId="2EE698A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（十七）承担县政府公布的有关行政审批事项。 </w:t>
      </w:r>
    </w:p>
    <w:p w14:paraId="3717D66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（十八）完成县委、县政府交办的其他任务。 </w:t>
      </w:r>
    </w:p>
    <w:p w14:paraId="24045CF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（十九）有关职责分工。1.与县住房和城乡建设局在基本建设项目调概、初步设计审查和开工审批方面的职责分工。根据《中华人民共和国建筑法》等</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及有关规定，由国家出资的工业（含内贸）、水利、交通、铁道、民航、信息产业等行业和产业项目的初步设计、开工报告分别由经信、水务、交通运输等相关部门初审后报发改局审查、审批。各类房屋建筑及其附属设施的建造，与各类房屋建筑及其附属设施的建造配套的线路、管道、设备的安装项目，以及市政工程项目的初步设计审查、项目开工及开工后的质量监督、进度，项目建设施工中的有关组织协调工作由县住建局负责。其中，政府性投资项目的</w:t>
      </w:r>
      <w:r>
        <w:rPr>
          <w:rFonts w:hint="eastAsia" w:ascii="仿宋_GB2312" w:hAnsi="仿宋_GB2312" w:eastAsia="仿宋_GB2312" w:cs="仿宋_GB2312"/>
          <w:sz w:val="32"/>
          <w:szCs w:val="32"/>
          <w:lang w:eastAsia="zh-CN"/>
        </w:rPr>
        <w:t>调研</w:t>
      </w:r>
      <w:r>
        <w:rPr>
          <w:rFonts w:hint="eastAsia" w:ascii="仿宋_GB2312" w:hAnsi="仿宋_GB2312" w:eastAsia="仿宋_GB2312" w:cs="仿宋_GB2312"/>
          <w:sz w:val="32"/>
          <w:szCs w:val="32"/>
        </w:rPr>
        <w:t xml:space="preserve">以县发改局为主，县住建局参加。2.与县经济商务和信息化局（简称县经信局）有关职责分工。重要商品进出口管理：县发改局负责编制重要工业品、原材料和重要农产品的进出口总量计划；县经信局负责在县发改局确定的总量计划内组织实施。粮食、棉花、煤炭由县发改局会同县经信局在进出口总量计划内进行分配并协调相关政策。外商投资管理：县发改局按规定权限负责对外商投资项目进行核准，县经信局按规定权限负责对外商投资企业设立及合同、章程等进行核准。境外投资管理：县发改局按照规定权限负责对境外投资项目进行核准，县经信局按照规定权限负责对国内企业在境外设立非金融企业进行核准。并购安全审查：县发改局和县经信局按照各自职责，分别配合上级职能部门做好外国投资者并购县内企业安全审查的相关工作。 </w:t>
      </w:r>
    </w:p>
    <w:p w14:paraId="37B0E51A">
      <w:pPr>
        <w:numPr>
          <w:ilvl w:val="0"/>
          <w:numId w:val="0"/>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第六条 县发改局设下列内设机构：</w:t>
      </w:r>
    </w:p>
    <w:p w14:paraId="60A461ED">
      <w:pPr>
        <w:numPr>
          <w:ilvl w:val="0"/>
          <w:numId w:val="0"/>
        </w:num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办公室。组织协调机关日常政务，负责机关目标管理、电子政务、公文运转、会议组织、政务信息、财务、资产管理、后勤服务、机要、保密、信访、安全保卫、社会治安综合治理、精神文明建设等工作；负责机关规章制度的制订和组织实施；组织办理议案、提案和建议；负责会议组织及会议决定事项的督办。负责本局机关的机构编制和干部、劳动、人事管理；负责本局档 案管理和离退休人员的管理、服务工作</w:t>
      </w:r>
      <w:r>
        <w:rPr>
          <w:rFonts w:hint="eastAsia" w:ascii="仿宋_GB2312" w:hAnsi="仿宋_GB2312" w:eastAsia="仿宋_GB2312" w:cs="仿宋_GB2312"/>
          <w:sz w:val="32"/>
          <w:szCs w:val="32"/>
          <w:lang w:eastAsia="zh-CN"/>
        </w:rPr>
        <w:t>。</w:t>
      </w:r>
    </w:p>
    <w:p w14:paraId="7D17F807">
      <w:pPr>
        <w:numPr>
          <w:ilvl w:val="0"/>
          <w:numId w:val="0"/>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政策法规股（挂稽察办公室、行政审批股牌子）。起草有关国民经济和社会发展、经济体制改革的重大政策和规章草案；组织研究经济社会发展、改革开放的重大问题；承担本系统、本部门推进依法行政工作的组织协调和督促指导；承担行政执法 监督、行政复议、行政应诉、行政调解和规范性文件审核和备案工作；负责本部门普法工作的宣传、指导和监督。负责指导和协调招标投标工作，组织拟订招标投标配套规定 和实施意见；按规定核准项目招标事项；协助省、州发展改革委负责中央投资项目招标代理机构的转报及管理；负责省、州发改委审批项目招标投标核准意见的转报工作。综合管理招标投标活动。负责重大建设项目招标文件的审查和备案，监督招标投标活动，受理相关投诉，调查违规行为；统筹监督国家投资建设项目招标投标合同的执行情况并组织后评 估工作；负责协调招标投标平台的建设和管理，管理综合性评标专家库；组织协调招标投标信用体系建设，建立公共资源交易中心招标投标活动和其他招标投标领域相关中介咨询机构的协调管理机制。负责对国家、省、州安排资金项目的审批程序、建设资金使用、工程招标投标、开工建设条件、建设进度、工程质量、投资 概算控制以及工程竣工验收等建设活动进行全过程</w:t>
      </w:r>
      <w:r>
        <w:rPr>
          <w:rFonts w:hint="eastAsia" w:ascii="仿宋_GB2312" w:hAnsi="仿宋_GB2312" w:eastAsia="仿宋_GB2312" w:cs="仿宋_GB2312"/>
          <w:sz w:val="32"/>
          <w:szCs w:val="32"/>
          <w:lang w:eastAsia="zh-CN"/>
        </w:rPr>
        <w:t>的稽查</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监督检查</w:t>
      </w:r>
      <w:r>
        <w:rPr>
          <w:rFonts w:hint="eastAsia" w:ascii="仿宋_GB2312" w:hAnsi="仿宋_GB2312" w:eastAsia="仿宋_GB2312" w:cs="仿宋_GB2312"/>
          <w:sz w:val="32"/>
          <w:szCs w:val="32"/>
        </w:rPr>
        <w:t>，及时提出</w:t>
      </w:r>
      <w:r>
        <w:rPr>
          <w:rFonts w:hint="eastAsia" w:ascii="仿宋_GB2312" w:hAnsi="仿宋_GB2312" w:eastAsia="仿宋_GB2312" w:cs="仿宋_GB2312"/>
          <w:sz w:val="32"/>
          <w:szCs w:val="32"/>
          <w:lang w:eastAsia="zh-CN"/>
        </w:rPr>
        <w:t>稽查报告</w:t>
      </w:r>
      <w:r>
        <w:rPr>
          <w:rFonts w:hint="eastAsia" w:ascii="仿宋_GB2312" w:hAnsi="仿宋_GB2312" w:eastAsia="仿宋_GB2312" w:cs="仿宋_GB2312"/>
          <w:sz w:val="32"/>
          <w:szCs w:val="32"/>
        </w:rPr>
        <w:t>；协调、督促有关项目建设单位进行整改。监督检查以工代赈项目的实施情况；承担全县所有固定</w:t>
      </w:r>
      <w:r>
        <w:rPr>
          <w:rFonts w:hint="eastAsia" w:ascii="仿宋_GB2312" w:hAnsi="仿宋_GB2312" w:eastAsia="仿宋_GB2312" w:cs="仿宋_GB2312"/>
          <w:sz w:val="32"/>
          <w:szCs w:val="32"/>
          <w:lang w:eastAsia="zh-CN"/>
        </w:rPr>
        <w:t>资产投资项目进行稽查</w:t>
      </w:r>
      <w:r>
        <w:rPr>
          <w:rFonts w:hint="eastAsia" w:ascii="仿宋_GB2312" w:hAnsi="仿宋_GB2312" w:eastAsia="仿宋_GB2312" w:cs="仿宋_GB2312"/>
          <w:sz w:val="32"/>
          <w:szCs w:val="32"/>
        </w:rPr>
        <w:t>，纠正建设项目中存在的问题，确保建设工程顺利实施。贯彻和组织实施上级有关纪检监察工作方面的决议、决定和指示；负责处理纪检监察工作的日常事务；负责处理控告和举报；处理与部门工作相关的重大疑难问题及突发性事件；负责处理系统内的违法违纪案件。负责拟订行政许可事项审查（审核）的政策、规定、标准、规程细则；负责县发展和改革局（县粮食和物资储备中心、县价格认证和监测中心）机关行政许可职责，依法审批保留权限以内的行政许可事项；负责审批权限以内的非国家投资项目立项（核准、备案）。负责全县社会信用体系建设指导、协调和综合管理；负责信用信息平台的业务管理。</w:t>
      </w:r>
    </w:p>
    <w:p w14:paraId="723D12A2">
      <w:pPr>
        <w:numPr>
          <w:ilvl w:val="0"/>
          <w:numId w:val="0"/>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国民经济综合协调股（挂经济动员办公室牌子）。起草有关国民经济和社会发展、经济体制改革的重大政策和地方性法规、规章草案；组织研究经济社会发展、改革开放的重大问题；研究提出全县经济和社会发展战略、规划及生产力布局的建议；提出全县经济和社会中长期发展、总量平衡和结构调整的目标和政策；提出推进新型城镇化的发展战略和重大政策，提出城乡融合发展政策建议；编制经济和社会发展中长期规划；组织编制和协调经济社会发展专项规划、区域经济发展规划，提出区域经济 发展政策。综合分析研究经济形势，做好对全县宏观经济的预测、预警；组织研究并提出全县经济和社会发展年度计划以及年度总量平衡、结构调整的目标和政策；提出促进经济增长、增加就业、稳定物价等宏观调控目标以及运用各种经济手段和政策的建议；对县级开发区（含保税区）进行指导、协调和宏观管理。负责半年和年度国民经济和社会发展计划执行情况报告的起草工作；参与有关股室研究制定发展计划和规划。研究提出经济体制改革重大问题，指导推进和综合协调经济</w:t>
      </w:r>
      <w:r>
        <w:rPr>
          <w:rFonts w:hint="eastAsia" w:ascii="仿宋_GB2312" w:hAnsi="仿宋_GB2312" w:eastAsia="仿宋_GB2312" w:cs="仿宋_GB2312"/>
          <w:sz w:val="32"/>
          <w:szCs w:val="32"/>
          <w:lang w:val="en-US" w:eastAsia="zh-CN"/>
        </w:rPr>
        <w:t>体</w:t>
      </w:r>
      <w:r>
        <w:rPr>
          <w:rFonts w:hint="eastAsia" w:ascii="仿宋_GB2312" w:hAnsi="仿宋_GB2312" w:eastAsia="仿宋_GB2312" w:cs="仿宋_GB2312"/>
          <w:sz w:val="32"/>
          <w:szCs w:val="32"/>
        </w:rPr>
        <w:t>制改革；组织拟订综合性经济体制改革方案，参与研究和衔接有关方面拟订的专项经济体制改革方案，协调推进专项经济体制改革；指导经济体制改革试点和改革试验区工作；协调解决经济体制改革进程中的重大问题。研究提出全县国民经济动员工作方针、政策，编制全县国民经济动员方案、总体规划和年度计划；</w:t>
      </w:r>
      <w:r>
        <w:rPr>
          <w:rFonts w:hint="eastAsia" w:ascii="仿宋_GB2312" w:hAnsi="仿宋_GB2312" w:eastAsia="仿宋_GB2312" w:cs="仿宋_GB2312"/>
          <w:sz w:val="32"/>
          <w:szCs w:val="32"/>
          <w:lang w:eastAsia="zh-CN"/>
        </w:rPr>
        <w:t>编报</w:t>
      </w:r>
      <w:r>
        <w:rPr>
          <w:rFonts w:hint="eastAsia" w:ascii="仿宋_GB2312" w:hAnsi="仿宋_GB2312" w:eastAsia="仿宋_GB2312" w:cs="仿宋_GB2312"/>
          <w:sz w:val="32"/>
          <w:szCs w:val="32"/>
        </w:rPr>
        <w:t>、安排全县国民经济动员重大项目；协调国民经济动员工作中的重大问题。</w:t>
      </w:r>
    </w:p>
    <w:p w14:paraId="75938A30">
      <w:pPr>
        <w:numPr>
          <w:ilvl w:val="0"/>
          <w:numId w:val="0"/>
        </w:num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（四）固定资产投资和项目管理股（挂援藏办公室、西部大 开发办公室牌子）。负责编制重大项目规划、年度计划，管理项目储备；提出加强重大项目全过程管理的政策措施；监督检查重大项目计划执行情况，会同有关部门督促重大项目实施工作，协调重大项目建设、管理、要素支持和资源配置中的相关事宜；参与重大项目的立项、可行性研究、初步设计的审批、核准、备案、审查等工作；汇总并发布县重大项目进展情况；指导重大项目储备、建设、管理工作；承办县重大建设项目推进领导小组的具体工作。研究提出全县实施西部大开发战略、发展规划和有关政策建议；编制我县实施西部大开发战略的规划，组织协调全县实施西部大开发战略的有关重大问题；承办县实施西部大开发领导小组及其办公室的日常工作。协助做好对国家、省、州安排资金项目以及固定资产投资项目的审批程序、建设资金使用、工程招标投标、开工建设条件、建设进度、工程质量、投资概算控制以及工程竣工验收等建设活动进行全过程的监督检查，协调、督促有关项目建设单位进行整改，纠正建设项目中存在的问题，确保工程建设顺利实施。监测分析全社会固定资产投资状况，研究提出固定资产投资的总规模、结构和资金来源，提出全社会固定资产投资调控政策、中长期规划和年度计划；研究制定加强政府投资项目管理的政策措施；提出投融资体制改革的建议；审核、转报和安排国家和县财政性资金的建设项目。研究提出全县民族地区（涉藏地区）经济社会发展战略和政策，协调发展中的重大问题；汇总编制涉藏地区经济和社会发展中长期规划和年度规划；汇总申报涉藏地区国家政策性投资项目。协助参与对全县所有固定资产投资</w:t>
      </w:r>
      <w:r>
        <w:rPr>
          <w:rFonts w:hint="eastAsia" w:ascii="仿宋_GB2312" w:hAnsi="仿宋_GB2312" w:eastAsia="仿宋_GB2312" w:cs="仿宋_GB2312"/>
          <w:sz w:val="32"/>
          <w:szCs w:val="32"/>
          <w:lang w:eastAsia="zh-CN"/>
        </w:rPr>
        <w:t>项目进行稽查</w:t>
      </w:r>
      <w:r>
        <w:rPr>
          <w:rFonts w:hint="eastAsia" w:ascii="仿宋_GB2312" w:hAnsi="仿宋_GB2312" w:eastAsia="仿宋_GB2312" w:cs="仿宋_GB2312"/>
          <w:sz w:val="32"/>
          <w:szCs w:val="32"/>
        </w:rPr>
        <w:t>，纠正建设项目中存在的问题，确保建设工程顺利实施</w:t>
      </w:r>
      <w:r>
        <w:rPr>
          <w:rFonts w:hint="eastAsia" w:ascii="仿宋_GB2312" w:hAnsi="仿宋_GB2312" w:eastAsia="仿宋_GB2312" w:cs="仿宋_GB2312"/>
          <w:sz w:val="32"/>
          <w:szCs w:val="32"/>
          <w:lang w:eastAsia="zh-CN"/>
        </w:rPr>
        <w:t>。</w:t>
      </w:r>
    </w:p>
    <w:p w14:paraId="18706598">
      <w:pPr>
        <w:numPr>
          <w:ilvl w:val="0"/>
          <w:numId w:val="0"/>
        </w:numPr>
        <w:rPr>
          <w:rFonts w:hint="default" w:ascii="Times New Roman" w:hAnsi="Times New Roman" w:cs="Times New Roman"/>
          <w:szCs w:val="32"/>
        </w:rPr>
      </w:pPr>
      <w:r>
        <w:rPr>
          <w:rFonts w:hint="eastAsia" w:ascii="仿宋_GB2312" w:hAnsi="仿宋_GB2312" w:eastAsia="仿宋_GB2312" w:cs="仿宋_GB2312"/>
          <w:sz w:val="32"/>
          <w:szCs w:val="32"/>
        </w:rPr>
        <w:t>（五）农村经济发展和社会事业股。会同相关部门研究提出全县农业和农村经济发展战略、体制改革及有关政策建议，协调农业和农村经济社会发展的重大问题；组织编制农村经济中长期规划和年度计划，衔接平衡农业、林业、水利、畜牧、农机和气象等行业发展规划和年度计划；组织编制农业、林业、水利、畜牧、农机和气象及有关农村基础设施投资计划并审核、转报使用 财政性资金重大项目，监督检查投资计划执行和项目实施情况；组织编制全县生态建设中长期规划和年度计划，协调组织相关部门实施生态建设重大项目；协助做好涉藏地区政策研究及项目的申报。研究提出全县社会发展战略，拟订和协调全县社会发展中长期规划和年度计划；协调社会事业发展和改革的重大问题；转报、安排国家和县财政性资金的社会事业项目；协调人口、文化、教育、卫生、体育、广播电视、旅游、民政、文物、新闻出版、民族等发展政策。研究提出全县社会事业投资的发展战略、总规模和中长期规划、年度计划；提出和申报涉及社会事业的国外贷款备选项目，负责权限以内投资项目的审核工作，审核和转报利用外资和境外投资项目。研究全县就业与人力资源、居民收入分配和社会保障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出就业规划和促进就业、调整收入分配、完善社会保障体系的相关政策；组织拟订和论证相关体制改革方案，协调解决相关的重大问题。（六）产业发展和能源股（挂以工代赈综合办公室）。统筹工业、服务业、交通运输业发展规划、计划与国民经济</w:t>
      </w:r>
      <w:r>
        <w:rPr>
          <w:rFonts w:hint="eastAsia" w:ascii="仿宋_GB2312" w:hAnsi="仿宋_GB2312" w:eastAsia="仿宋_GB2312" w:cs="仿宋_GB2312"/>
          <w:sz w:val="32"/>
          <w:szCs w:val="32"/>
          <w:lang w:eastAsia="zh-CN"/>
        </w:rPr>
        <w:t>和社会发</w:t>
      </w:r>
      <w:r>
        <w:rPr>
          <w:rFonts w:hint="eastAsia" w:ascii="仿宋_GB2312" w:hAnsi="仿宋_GB2312" w:eastAsia="仿宋_GB2312" w:cs="仿宋_GB2312"/>
          <w:sz w:val="32"/>
          <w:szCs w:val="32"/>
        </w:rPr>
        <w:t>展规划、计划的衔接平衡；研究分析全县产业发展的情况，组织拟订综合性产业政策，组织协调专项产业政策的制定，监督产业政策的落实；研究提出全县服务业发展战略和重大政策，协调服</w:t>
      </w:r>
      <w:r>
        <w:rPr>
          <w:rFonts w:hint="eastAsia" w:ascii="仿宋_GB2312" w:hAnsi="仿宋_GB2312" w:eastAsia="仿宋_GB2312" w:cs="仿宋_GB2312"/>
          <w:sz w:val="32"/>
          <w:szCs w:val="32"/>
          <w:lang w:eastAsia="zh-CN"/>
        </w:rPr>
        <w:t>物业</w:t>
      </w:r>
      <w:r>
        <w:rPr>
          <w:rFonts w:hint="eastAsia" w:ascii="仿宋_GB2312" w:hAnsi="仿宋_GB2312" w:eastAsia="仿宋_GB2312" w:cs="仿宋_GB2312"/>
          <w:sz w:val="32"/>
          <w:szCs w:val="32"/>
        </w:rPr>
        <w:t>发展。协调重大技术装备推广应用和重大产业基地建设；统筹协调重要矿产资源的开发利用；按规定权限审批、备案、核准和转报工业、交通。承办食盐、烟草等国家指令性管理的特种行业和清洁汽车产业发展工作；研究提出高技术产业及产业技术的发展方向，拟订高技术产业发展和产业技术进步的战略、规划、政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相关高新技术产业化工作，组织高技术产业化示范工程；申报、安排工业、交通、邮政和高技术产业财政性资金建设项目。转报、安排国家、省、州的高技术产业化财政性资金建设项目；指导协调自主创新体系发展，组织推动技术创新和产学研联合；推动国民经济和社会发展信息化进程，培育壮大战略性新兴产业；协调做好涉藏地区政策研究及项目的申报。研究提出全县交通运输发展战略、政策措施和体制改革建议；协调相关部门编制全县交通运输发展中长期规划和年度计划；审核转报交通重点建设项目（含利用外资项目）；协调全县公路、航空、铁路、水运建设的综合平衡以及发展中的重大问题。分析工业发展情况，研究新型工业化发展战略；拟订工业及相关产业发展规划及配套政策，提出相关体制改革建议，对工业现代化实施宏观指导；组织拟订与全县工业发展配套的优化</w:t>
      </w:r>
      <w:r>
        <w:rPr>
          <w:rFonts w:hint="eastAsia" w:ascii="仿宋_GB2312" w:hAnsi="仿宋_GB2312" w:eastAsia="仿宋_GB2312" w:cs="仿宋_GB2312"/>
          <w:sz w:val="32"/>
          <w:szCs w:val="32"/>
          <w:lang w:eastAsia="zh-CN"/>
        </w:rPr>
        <w:t>资源配置</w:t>
      </w:r>
      <w:r>
        <w:rPr>
          <w:rFonts w:hint="eastAsia" w:ascii="仿宋_GB2312" w:hAnsi="仿宋_GB2312" w:eastAsia="仿宋_GB2312" w:cs="仿宋_GB2312"/>
          <w:sz w:val="32"/>
          <w:szCs w:val="32"/>
        </w:rPr>
        <w:t>的政策、措施；审核转报工业建设项目；协调相关产业发展和生产力布局。负责组织协调推进长江经济带生态环境保护专项行动，生态环境问题整改；负责协调推动长江综合立体交通走廊、岸线整治修复等重大项目实施。统筹国民经济和社会发展对能源的需求，拟订全县能源发展战略和政策措施；协调有关部门拟订全县能源发展规划，提出相关体制改革的建议；监测能源发展情况；统筹规划、综合平衡能源建设和重大项目布局，协调能源发展和项目建设中的重大问题，审核和转报能源建设项目。研究提出优化能源结构、能源节约综合利用和发展循环经济（开发新能源）的政策措施；组织对煤、电、油、气资源勘探调查和合理、有序开发利用；实施能源可持续发展战略的，推进可再生能源和新能源的开发利用；参与编制环境保护规划，协调环保产业发展有关工作；组织实施固定资产投资项目（企业技术改造项目除外）节能评估和审查工作；审核、转报和安排资源节约、综合利用、循环经济和污染治</w:t>
      </w:r>
      <w:r>
        <w:rPr>
          <w:rFonts w:hint="eastAsia" w:ascii="仿宋_GB2312" w:hAnsi="仿宋_GB2312" w:eastAsia="仿宋_GB2312" w:cs="仿宋_GB2312"/>
          <w:sz w:val="32"/>
          <w:szCs w:val="32"/>
          <w:lang w:eastAsia="zh-CN"/>
        </w:rPr>
        <w:t>理等</w:t>
      </w:r>
      <w:r>
        <w:rPr>
          <w:rFonts w:hint="eastAsia" w:ascii="仿宋_GB2312" w:hAnsi="仿宋_GB2312" w:eastAsia="仿宋_GB2312" w:cs="仿宋_GB2312"/>
          <w:sz w:val="32"/>
          <w:szCs w:val="32"/>
        </w:rPr>
        <w:t>国家财政性资金建设项目；组织协调重大节能减排示范工程和新产品、新技术、新设备的推广应用；组织拟订应对气候变化重大战略、规划和重大政策；承办县节能减排工作领导小组的具体工作。提出全县以工代赈工作的具体政策措施并组织实施；负责管理以工代赈资金；编制全县以工代赈项目规划；建立和完善以工代赈项目库；会同有关部门筛选、审查以工代赈项目；编制和</w:t>
      </w:r>
      <w:r>
        <w:rPr>
          <w:rFonts w:hint="eastAsia" w:ascii="仿宋_GB2312" w:hAnsi="仿宋_GB2312" w:eastAsia="仿宋_GB2312" w:cs="仿宋_GB2312"/>
          <w:sz w:val="32"/>
          <w:szCs w:val="32"/>
          <w:lang w:eastAsia="zh-CN"/>
        </w:rPr>
        <w:t>申</w:t>
      </w:r>
      <w:r>
        <w:rPr>
          <w:rFonts w:hint="eastAsia" w:ascii="仿宋_GB2312" w:hAnsi="仿宋_GB2312" w:eastAsia="仿宋_GB2312" w:cs="仿宋_GB2312"/>
          <w:sz w:val="32"/>
          <w:szCs w:val="32"/>
        </w:rPr>
        <w:t>报以工代赈项目的年度计划；监督检查以工代赈项目的实施情况，协助做好以工代赈项目的监督检查；协助有关部门做好以工代赈资金的及时到位；负责以工代赈工作文件的起草和统计工作；提出以工代赈资金使用管理的措施、意见；负责以工代赈培训工作；负责搜集、整理、报送以工代赈工作信息；负责人民代表、政协委员有关以工代赈工作的建议、提案的办理。</w:t>
      </w:r>
    </w:p>
    <w:p w14:paraId="74870BE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1EA8C72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szCs w:val="32"/>
          <w:highlight w:val="none"/>
        </w:rPr>
      </w:pPr>
      <w:r>
        <w:rPr>
          <w:rFonts w:hint="default" w:ascii="Times New Roman" w:hAnsi="Times New Roman" w:eastAsia="仿宋_GB2312" w:cs="Times New Roman"/>
          <w:sz w:val="32"/>
          <w:szCs w:val="32"/>
          <w:highlight w:val="none"/>
          <w:lang w:val="en-US" w:eastAsia="zh-CN"/>
        </w:rPr>
        <w:t>截至202</w:t>
      </w:r>
      <w:r>
        <w:rPr>
          <w:rFonts w:hint="eastAsia"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val="en-US" w:eastAsia="zh-CN"/>
        </w:rPr>
        <w:t>年末，</w:t>
      </w:r>
      <w:r>
        <w:rPr>
          <w:rFonts w:hint="eastAsia" w:ascii="Times New Roman" w:hAnsi="Times New Roman" w:eastAsia="仿宋_GB2312" w:cs="Times New Roman"/>
          <w:sz w:val="32"/>
          <w:szCs w:val="32"/>
          <w:highlight w:val="none"/>
          <w:lang w:val="en-US" w:eastAsia="zh-CN"/>
        </w:rPr>
        <w:t>松潘</w:t>
      </w:r>
      <w:r>
        <w:rPr>
          <w:rFonts w:hint="eastAsia" w:ascii="仿宋_GB2312" w:hAnsi="仿宋_GB2312" w:eastAsia="仿宋_GB2312" w:cs="仿宋_GB2312"/>
          <w:sz w:val="32"/>
          <w:szCs w:val="32"/>
          <w:highlight w:val="none"/>
        </w:rPr>
        <w:t>县发</w:t>
      </w:r>
      <w:r>
        <w:rPr>
          <w:rFonts w:hint="eastAsia" w:ascii="仿宋_GB2312" w:hAnsi="仿宋_GB2312" w:eastAsia="仿宋_GB2312" w:cs="仿宋_GB2312"/>
          <w:sz w:val="32"/>
          <w:szCs w:val="32"/>
          <w:highlight w:val="none"/>
          <w:lang w:val="en-US" w:eastAsia="zh-CN"/>
        </w:rPr>
        <w:t>展和</w:t>
      </w:r>
      <w:r>
        <w:rPr>
          <w:rFonts w:hint="eastAsia" w:ascii="仿宋_GB2312" w:hAnsi="仿宋_GB2312" w:eastAsia="仿宋_GB2312" w:cs="仿宋_GB2312"/>
          <w:sz w:val="32"/>
          <w:szCs w:val="32"/>
          <w:highlight w:val="none"/>
        </w:rPr>
        <w:t>改</w:t>
      </w:r>
      <w:r>
        <w:rPr>
          <w:rFonts w:hint="eastAsia" w:ascii="仿宋_GB2312" w:hAnsi="仿宋_GB2312" w:eastAsia="仿宋_GB2312" w:cs="仿宋_GB2312"/>
          <w:sz w:val="32"/>
          <w:szCs w:val="32"/>
          <w:highlight w:val="none"/>
          <w:lang w:val="en-US" w:eastAsia="zh-CN"/>
        </w:rPr>
        <w:t>革</w:t>
      </w:r>
      <w:r>
        <w:rPr>
          <w:rFonts w:hint="eastAsia" w:ascii="仿宋_GB2312" w:hAnsi="仿宋_GB2312" w:eastAsia="仿宋_GB2312" w:cs="仿宋_GB2312"/>
          <w:sz w:val="32"/>
          <w:szCs w:val="32"/>
          <w:highlight w:val="none"/>
        </w:rPr>
        <w:t>局行政编制 1</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名</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参公编制10名，</w:t>
      </w:r>
      <w:r>
        <w:rPr>
          <w:rFonts w:hint="default" w:ascii="Times New Roman" w:hAnsi="Times New Roman" w:eastAsia="仿宋_GB2312" w:cs="Times New Roman"/>
          <w:sz w:val="32"/>
          <w:szCs w:val="32"/>
          <w:highlight w:val="none"/>
          <w:lang w:val="en-US" w:eastAsia="zh-CN"/>
        </w:rPr>
        <w:t>下属单位</w:t>
      </w:r>
      <w:r>
        <w:rPr>
          <w:rFonts w:hint="eastAsia" w:ascii="Times New Roman" w:hAnsi="Times New Roman" w:eastAsia="仿宋_GB2312" w:cs="Times New Roman"/>
          <w:sz w:val="32"/>
          <w:szCs w:val="32"/>
          <w:highlight w:val="none"/>
          <w:lang w:val="en-US" w:eastAsia="zh-CN"/>
        </w:rPr>
        <w:t>松潘县人民政府项目管理中心事业编制5名。</w:t>
      </w:r>
      <w:r>
        <w:rPr>
          <w:rFonts w:hint="default" w:ascii="Times New Roman" w:hAnsi="Times New Roman" w:eastAsia="仿宋_GB2312" w:cs="Times New Roman"/>
          <w:sz w:val="32"/>
          <w:szCs w:val="32"/>
          <w:highlight w:val="none"/>
          <w:lang w:val="en-US" w:eastAsia="zh-CN"/>
        </w:rPr>
        <w:t>年末实有人数</w:t>
      </w:r>
      <w:r>
        <w:rPr>
          <w:rFonts w:hint="eastAsia" w:ascii="Times New Roman" w:hAnsi="Times New Roman" w:eastAsia="仿宋_GB2312" w:cs="Times New Roman"/>
          <w:sz w:val="32"/>
          <w:szCs w:val="32"/>
          <w:highlight w:val="none"/>
          <w:lang w:val="en-US" w:eastAsia="zh-CN"/>
        </w:rPr>
        <w:t>情况：年末实有参公人员</w:t>
      </w:r>
      <w:r>
        <w:rPr>
          <w:rFonts w:hint="eastAsia" w:eastAsia="仿宋_GB2312" w:cs="Times New Roman"/>
          <w:sz w:val="32"/>
          <w:szCs w:val="32"/>
          <w:highlight w:val="none"/>
          <w:lang w:val="en-US" w:eastAsia="zh-CN"/>
        </w:rPr>
        <w:t>7</w:t>
      </w:r>
      <w:r>
        <w:rPr>
          <w:rFonts w:hint="eastAsia" w:ascii="Times New Roman" w:hAnsi="Times New Roman" w:eastAsia="仿宋_GB2312" w:cs="Times New Roman"/>
          <w:sz w:val="32"/>
          <w:szCs w:val="32"/>
          <w:highlight w:val="none"/>
          <w:lang w:val="en-US" w:eastAsia="zh-CN"/>
        </w:rPr>
        <w:t>名，行政在职1</w:t>
      </w:r>
      <w:r>
        <w:rPr>
          <w:rFonts w:hint="eastAsia" w:eastAsia="仿宋_GB2312" w:cs="Times New Roman"/>
          <w:sz w:val="32"/>
          <w:szCs w:val="32"/>
          <w:highlight w:val="none"/>
          <w:lang w:val="en-US" w:eastAsia="zh-CN"/>
        </w:rPr>
        <w:t>1</w:t>
      </w:r>
      <w:r>
        <w:rPr>
          <w:rFonts w:hint="eastAsia" w:ascii="Times New Roman" w:hAnsi="Times New Roman" w:eastAsia="仿宋_GB2312" w:cs="Times New Roman"/>
          <w:sz w:val="32"/>
          <w:szCs w:val="32"/>
          <w:highlight w:val="none"/>
          <w:lang w:val="en-US" w:eastAsia="zh-CN"/>
        </w:rPr>
        <w:t>名，事业在职4人。</w:t>
      </w:r>
    </w:p>
    <w:p w14:paraId="3C3E9E0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30A3003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松潘</w:t>
      </w:r>
      <w:r>
        <w:rPr>
          <w:rFonts w:hint="eastAsia" w:ascii="仿宋_GB2312" w:hAnsi="仿宋_GB2312" w:eastAsia="仿宋_GB2312" w:cs="仿宋_GB2312"/>
          <w:sz w:val="32"/>
          <w:szCs w:val="32"/>
        </w:rPr>
        <w:t>县发</w:t>
      </w:r>
      <w:r>
        <w:rPr>
          <w:rFonts w:hint="eastAsia" w:ascii="仿宋_GB2312" w:hAnsi="仿宋_GB2312" w:eastAsia="仿宋_GB2312" w:cs="仿宋_GB2312"/>
          <w:sz w:val="32"/>
          <w:szCs w:val="32"/>
          <w:lang w:val="en-US" w:eastAsia="zh-CN"/>
        </w:rPr>
        <w:t>展和</w:t>
      </w:r>
      <w:r>
        <w:rPr>
          <w:rFonts w:hint="eastAsia" w:ascii="仿宋_GB2312" w:hAnsi="仿宋_GB2312" w:eastAsia="仿宋_GB2312" w:cs="仿宋_GB2312"/>
          <w:sz w:val="32"/>
          <w:szCs w:val="32"/>
        </w:rPr>
        <w:t>改</w:t>
      </w:r>
      <w:r>
        <w:rPr>
          <w:rFonts w:hint="eastAsia" w:ascii="仿宋_GB2312" w:hAnsi="仿宋_GB2312" w:eastAsia="仿宋_GB2312" w:cs="仿宋_GB2312"/>
          <w:sz w:val="32"/>
          <w:szCs w:val="32"/>
          <w:lang w:val="en-US" w:eastAsia="zh-CN"/>
        </w:rPr>
        <w:t>革</w:t>
      </w:r>
      <w:r>
        <w:rPr>
          <w:rFonts w:hint="eastAsia" w:ascii="仿宋_GB2312" w:hAnsi="仿宋_GB2312" w:eastAsia="仿宋_GB2312" w:cs="仿宋_GB2312"/>
          <w:sz w:val="32"/>
          <w:szCs w:val="32"/>
        </w:rPr>
        <w:t>局</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年年初预算收入情况、决算报表收入情况</w:t>
      </w:r>
      <w:r>
        <w:rPr>
          <w:rFonts w:hint="eastAsia" w:eastAsia="仿宋_GB2312" w:cs="Times New Roman"/>
          <w:sz w:val="32"/>
          <w:szCs w:val="32"/>
          <w:lang w:val="en-US" w:eastAsia="zh-CN"/>
        </w:rPr>
        <w:t>：</w:t>
      </w:r>
      <w:r>
        <w:rPr>
          <w:rFonts w:hint="eastAsia" w:ascii="仿宋_GB2312" w:hAnsi="仿宋_GB2312" w:eastAsia="仿宋_GB2312" w:cs="仿宋_GB2312"/>
          <w:color w:val="000000"/>
          <w:kern w:val="0"/>
          <w:sz w:val="32"/>
          <w:szCs w:val="32"/>
          <w:shd w:val="clear" w:color="auto" w:fill="FFFFFF"/>
          <w:lang w:val="en-US" w:eastAsia="zh-CN" w:bidi="ar"/>
        </w:rPr>
        <w:t>2025年</w:t>
      </w:r>
      <w:r>
        <w:rPr>
          <w:rFonts w:hint="eastAsia" w:ascii="仿宋" w:hAnsi="仿宋" w:eastAsia="仿宋" w:cs="仿宋"/>
          <w:color w:val="000000"/>
          <w:kern w:val="0"/>
          <w:sz w:val="32"/>
          <w:szCs w:val="32"/>
          <w:shd w:val="clear" w:color="auto" w:fill="FFFFFF"/>
          <w:lang w:val="en-US" w:eastAsia="zh-CN" w:bidi="ar"/>
        </w:rPr>
        <w:t>预算收入总数1866.02万元，无基金预算。2025年决算收入决算数为1866.02万元。年初预算收入等于决算报表收入。</w:t>
      </w:r>
    </w:p>
    <w:p w14:paraId="3384D541">
      <w:pPr>
        <w:keepNext w:val="0"/>
        <w:keepLines w:val="0"/>
        <w:widowControl/>
        <w:suppressLineNumbers w:val="0"/>
        <w:shd w:val="clear" w:color="auto" w:fill="FFFFFF"/>
        <w:snapToGrid w:val="0"/>
        <w:spacing w:before="0" w:beforeAutospacing="0" w:after="0" w:afterAutospacing="0" w:line="580" w:lineRule="exact"/>
        <w:ind w:left="0" w:right="0" w:firstLine="321" w:firstLineChars="100"/>
        <w:jc w:val="left"/>
        <w:rPr>
          <w:rFonts w:hint="eastAsia" w:ascii="仿宋" w:hAnsi="仿宋" w:eastAsia="仿宋" w:cs="仿宋"/>
          <w:color w:val="000000"/>
          <w:sz w:val="32"/>
          <w:szCs w:val="32"/>
          <w:highlight w:val="none"/>
          <w:u w:val="none"/>
          <w:shd w:val="clear" w:color="auto" w:fill="FFFFFF"/>
          <w:lang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sz w:val="32"/>
          <w:szCs w:val="32"/>
          <w:lang w:val="en-US" w:eastAsia="zh-CN"/>
        </w:rPr>
        <w:t>松潘县发展和改革局2025年年初预算支出</w:t>
      </w:r>
      <w:r>
        <w:rPr>
          <w:rFonts w:hint="eastAsia" w:ascii="仿宋_GB2312" w:hAnsi="仿宋_GB2312" w:eastAsia="仿宋_GB2312" w:cs="仿宋_GB2312"/>
          <w:color w:val="000000"/>
          <w:kern w:val="0"/>
          <w:sz w:val="32"/>
          <w:szCs w:val="32"/>
          <w:shd w:val="clear" w:color="auto" w:fill="FFFFFF"/>
          <w:lang w:val="en-US" w:eastAsia="zh-CN" w:bidi="ar"/>
        </w:rPr>
        <w:t>预算总数1866.02</w:t>
      </w:r>
      <w:r>
        <w:rPr>
          <w:rFonts w:hint="eastAsia" w:ascii="仿宋" w:hAnsi="仿宋" w:eastAsia="仿宋" w:cs="仿宋"/>
          <w:color w:val="000000"/>
          <w:kern w:val="0"/>
          <w:sz w:val="32"/>
          <w:szCs w:val="32"/>
          <w:shd w:val="clear" w:color="auto" w:fill="FFFFFF"/>
          <w:lang w:val="en-US" w:eastAsia="zh-CN" w:bidi="ar"/>
        </w:rPr>
        <w:t>万元</w:t>
      </w:r>
      <w:r>
        <w:rPr>
          <w:rFonts w:hint="eastAsia" w:ascii="仿宋" w:hAnsi="仿宋" w:eastAsia="仿宋" w:cs="仿宋"/>
          <w:color w:val="000000"/>
          <w:kern w:val="0"/>
          <w:sz w:val="32"/>
          <w:szCs w:val="32"/>
          <w:highlight w:val="none"/>
          <w:u w:val="none"/>
          <w:shd w:val="clear" w:color="auto" w:fill="FFFFFF"/>
          <w:lang w:val="en-US" w:eastAsia="zh-CN" w:bidi="ar"/>
        </w:rPr>
        <w:t>，其中：人员支出559.72万元，公用经费：55.77万元。2025年部门支出决算总数1866.02万元，基本支出总数615.49，其中人员支出：559.72万元，公用支出55.77万元。</w:t>
      </w:r>
      <w:r>
        <w:rPr>
          <w:rFonts w:hint="eastAsia" w:ascii="仿宋" w:hAnsi="仿宋" w:eastAsia="仿宋" w:cs="仿宋"/>
          <w:color w:val="000000"/>
          <w:sz w:val="32"/>
          <w:szCs w:val="32"/>
          <w:highlight w:val="none"/>
          <w:u w:val="none"/>
          <w:shd w:val="clear" w:color="auto" w:fill="FFFFFF"/>
          <w:lang w:val="en-US"/>
        </w:rPr>
        <w:t>202</w:t>
      </w:r>
      <w:r>
        <w:rPr>
          <w:rFonts w:hint="eastAsia" w:ascii="仿宋" w:hAnsi="仿宋" w:eastAsia="仿宋" w:cs="仿宋"/>
          <w:color w:val="000000"/>
          <w:sz w:val="32"/>
          <w:szCs w:val="32"/>
          <w:highlight w:val="none"/>
          <w:u w:val="none"/>
          <w:shd w:val="clear" w:color="auto" w:fill="FFFFFF"/>
          <w:lang w:val="en-US" w:eastAsia="zh-CN"/>
        </w:rPr>
        <w:t>5</w:t>
      </w:r>
      <w:r>
        <w:rPr>
          <w:rFonts w:hint="eastAsia" w:ascii="仿宋" w:hAnsi="仿宋" w:eastAsia="仿宋" w:cs="仿宋"/>
          <w:color w:val="000000"/>
          <w:sz w:val="32"/>
          <w:szCs w:val="32"/>
          <w:highlight w:val="none"/>
          <w:u w:val="none"/>
          <w:shd w:val="clear" w:color="auto" w:fill="FFFFFF"/>
          <w:lang w:eastAsia="zh-CN"/>
        </w:rPr>
        <w:t>年部门预算项目支出预算总数</w:t>
      </w:r>
      <w:r>
        <w:rPr>
          <w:rFonts w:hint="eastAsia" w:ascii="仿宋" w:hAnsi="仿宋" w:eastAsia="仿宋" w:cs="仿宋"/>
          <w:color w:val="000000"/>
          <w:sz w:val="32"/>
          <w:szCs w:val="32"/>
          <w:highlight w:val="none"/>
          <w:u w:val="none"/>
          <w:shd w:val="clear" w:color="auto" w:fill="FFFFFF"/>
          <w:lang w:val="en-US" w:eastAsia="zh-CN"/>
        </w:rPr>
        <w:t>1240.53</w:t>
      </w:r>
      <w:r>
        <w:rPr>
          <w:rFonts w:hint="eastAsia" w:ascii="仿宋" w:hAnsi="仿宋" w:eastAsia="仿宋" w:cs="仿宋"/>
          <w:color w:val="000000"/>
          <w:sz w:val="32"/>
          <w:szCs w:val="32"/>
          <w:highlight w:val="none"/>
          <w:u w:val="none"/>
          <w:shd w:val="clear" w:color="auto" w:fill="FFFFFF"/>
          <w:lang w:eastAsia="zh-CN"/>
        </w:rPr>
        <w:t>万元，</w:t>
      </w:r>
      <w:r>
        <w:rPr>
          <w:rFonts w:hint="eastAsia" w:ascii="仿宋" w:hAnsi="仿宋" w:eastAsia="仿宋" w:cs="仿宋"/>
          <w:color w:val="000000"/>
          <w:sz w:val="32"/>
          <w:szCs w:val="32"/>
          <w:highlight w:val="none"/>
          <w:u w:val="none"/>
          <w:shd w:val="clear" w:color="auto" w:fill="FFFFFF"/>
          <w:lang w:val="en-US" w:eastAsia="zh-CN"/>
        </w:rPr>
        <w:t>年末结转和结余10万元</w:t>
      </w:r>
      <w:r>
        <w:rPr>
          <w:rFonts w:hint="eastAsia" w:ascii="仿宋" w:hAnsi="仿宋" w:eastAsia="仿宋" w:cs="仿宋"/>
          <w:color w:val="000000"/>
          <w:sz w:val="32"/>
          <w:szCs w:val="32"/>
          <w:highlight w:val="none"/>
          <w:u w:val="none"/>
          <w:shd w:val="clear" w:color="auto" w:fill="FFFFFF"/>
          <w:lang w:eastAsia="zh-CN"/>
        </w:rPr>
        <w:t>。</w:t>
      </w:r>
      <w:r>
        <w:rPr>
          <w:rFonts w:hint="eastAsia" w:ascii="仿宋" w:hAnsi="仿宋" w:eastAsia="仿宋" w:cs="仿宋"/>
          <w:color w:val="000000"/>
          <w:sz w:val="32"/>
          <w:szCs w:val="32"/>
          <w:highlight w:val="none"/>
          <w:u w:val="none"/>
          <w:shd w:val="clear" w:color="auto" w:fill="FFFFFF"/>
          <w:lang w:val="en-US"/>
        </w:rPr>
        <w:t>202</w:t>
      </w:r>
      <w:r>
        <w:rPr>
          <w:rFonts w:hint="eastAsia" w:ascii="仿宋" w:hAnsi="仿宋" w:eastAsia="仿宋" w:cs="仿宋"/>
          <w:color w:val="000000"/>
          <w:sz w:val="32"/>
          <w:szCs w:val="32"/>
          <w:highlight w:val="none"/>
          <w:u w:val="none"/>
          <w:shd w:val="clear" w:color="auto" w:fill="FFFFFF"/>
          <w:lang w:val="en-US" w:eastAsia="zh-CN"/>
        </w:rPr>
        <w:t>5</w:t>
      </w:r>
      <w:r>
        <w:rPr>
          <w:rFonts w:hint="eastAsia" w:ascii="仿宋" w:hAnsi="仿宋" w:eastAsia="仿宋" w:cs="仿宋"/>
          <w:color w:val="000000"/>
          <w:sz w:val="32"/>
          <w:szCs w:val="32"/>
          <w:highlight w:val="none"/>
          <w:u w:val="none"/>
          <w:shd w:val="clear" w:color="auto" w:fill="FFFFFF"/>
          <w:lang w:eastAsia="zh-CN"/>
        </w:rPr>
        <w:t>年部门决算项目支出总数</w:t>
      </w:r>
      <w:r>
        <w:rPr>
          <w:rFonts w:hint="eastAsia" w:ascii="仿宋" w:hAnsi="仿宋" w:eastAsia="仿宋" w:cs="仿宋"/>
          <w:color w:val="000000"/>
          <w:sz w:val="32"/>
          <w:szCs w:val="32"/>
          <w:highlight w:val="none"/>
          <w:u w:val="none"/>
          <w:shd w:val="clear" w:color="auto" w:fill="FFFFFF"/>
          <w:lang w:val="en-US" w:eastAsia="zh-CN"/>
        </w:rPr>
        <w:t>1240.53</w:t>
      </w:r>
      <w:r>
        <w:rPr>
          <w:rFonts w:hint="eastAsia" w:ascii="仿宋" w:hAnsi="仿宋" w:eastAsia="仿宋" w:cs="仿宋"/>
          <w:color w:val="000000"/>
          <w:sz w:val="32"/>
          <w:szCs w:val="32"/>
          <w:highlight w:val="none"/>
          <w:u w:val="none"/>
          <w:shd w:val="clear" w:color="auto" w:fill="FFFFFF"/>
          <w:lang w:eastAsia="zh-CN"/>
        </w:rPr>
        <w:t>万元，其中：一般行政管理事务项目经费：</w:t>
      </w:r>
      <w:r>
        <w:rPr>
          <w:rFonts w:hint="eastAsia" w:ascii="仿宋" w:hAnsi="仿宋" w:eastAsia="仿宋" w:cs="仿宋"/>
          <w:color w:val="000000"/>
          <w:sz w:val="32"/>
          <w:szCs w:val="32"/>
          <w:highlight w:val="none"/>
          <w:u w:val="none"/>
          <w:shd w:val="clear" w:color="auto" w:fill="FFFFFF"/>
          <w:lang w:val="en-US" w:eastAsia="zh-CN"/>
        </w:rPr>
        <w:t>158.89</w:t>
      </w:r>
      <w:r>
        <w:rPr>
          <w:rFonts w:hint="eastAsia" w:ascii="仿宋" w:hAnsi="仿宋" w:eastAsia="仿宋" w:cs="仿宋"/>
          <w:color w:val="000000"/>
          <w:sz w:val="32"/>
          <w:szCs w:val="32"/>
          <w:highlight w:val="none"/>
          <w:u w:val="none"/>
          <w:shd w:val="clear" w:color="auto" w:fill="FFFFFF"/>
          <w:lang w:eastAsia="zh-CN"/>
        </w:rPr>
        <w:t>万元，</w:t>
      </w:r>
      <w:r>
        <w:rPr>
          <w:rFonts w:hint="eastAsia" w:ascii="仿宋" w:hAnsi="仿宋" w:eastAsia="仿宋" w:cs="仿宋"/>
          <w:color w:val="000000"/>
          <w:sz w:val="32"/>
          <w:szCs w:val="32"/>
          <w:highlight w:val="none"/>
          <w:u w:val="none"/>
          <w:shd w:val="clear" w:color="auto" w:fill="FFFFFF"/>
          <w:lang w:val="en-US" w:eastAsia="zh-CN"/>
        </w:rPr>
        <w:t>其他</w:t>
      </w:r>
      <w:r>
        <w:rPr>
          <w:rFonts w:hint="eastAsia" w:ascii="仿宋" w:hAnsi="仿宋" w:eastAsia="仿宋" w:cs="仿宋"/>
          <w:color w:val="000000"/>
          <w:sz w:val="32"/>
          <w:szCs w:val="32"/>
          <w:highlight w:val="none"/>
          <w:u w:val="none"/>
          <w:shd w:val="clear" w:color="auto" w:fill="FFFFFF"/>
          <w:lang w:eastAsia="zh-CN"/>
        </w:rPr>
        <w:t>支出：</w:t>
      </w:r>
      <w:r>
        <w:rPr>
          <w:rFonts w:hint="eastAsia" w:ascii="仿宋" w:hAnsi="仿宋" w:eastAsia="仿宋" w:cs="仿宋"/>
          <w:color w:val="000000"/>
          <w:sz w:val="32"/>
          <w:szCs w:val="32"/>
          <w:highlight w:val="none"/>
          <w:u w:val="none"/>
          <w:shd w:val="clear" w:color="auto" w:fill="FFFFFF"/>
          <w:lang w:val="en-US" w:eastAsia="zh-CN"/>
        </w:rPr>
        <w:t>1081.64</w:t>
      </w:r>
      <w:r>
        <w:rPr>
          <w:rFonts w:hint="eastAsia" w:ascii="仿宋" w:hAnsi="仿宋" w:eastAsia="仿宋" w:cs="仿宋"/>
          <w:color w:val="000000"/>
          <w:sz w:val="32"/>
          <w:szCs w:val="32"/>
          <w:highlight w:val="none"/>
          <w:u w:val="none"/>
          <w:shd w:val="clear" w:color="auto" w:fill="FFFFFF"/>
          <w:lang w:eastAsia="zh-CN"/>
        </w:rPr>
        <w:t>万元。</w:t>
      </w:r>
    </w:p>
    <w:p w14:paraId="747BDCAE">
      <w:pPr>
        <w:keepNext w:val="0"/>
        <w:keepLines w:val="0"/>
        <w:widowControl/>
        <w:suppressLineNumbers w:val="0"/>
        <w:shd w:val="clear" w:color="auto" w:fill="FFFFFF"/>
        <w:snapToGrid w:val="0"/>
        <w:spacing w:before="0" w:beforeAutospacing="0" w:after="0" w:afterAutospacing="0" w:line="580" w:lineRule="exact"/>
        <w:ind w:left="0" w:right="0" w:firstLine="321" w:firstLineChars="100"/>
        <w:jc w:val="left"/>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_GB2312" w:hAnsi="仿宋_GB2312" w:eastAsia="仿宋_GB2312" w:cs="仿宋_GB2312"/>
          <w:sz w:val="32"/>
          <w:szCs w:val="32"/>
          <w:highlight w:val="none"/>
          <w:lang w:val="en-US" w:eastAsia="zh-CN"/>
        </w:rPr>
        <w:t>松潘县发展改革局2025年决算报表年初</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结转结余：行政运行结转结余</w:t>
      </w:r>
      <w:r>
        <w:rPr>
          <w:rFonts w:hint="eastAsia" w:ascii="仿宋" w:hAnsi="仿宋" w:eastAsia="仿宋" w:cs="仿宋"/>
          <w:color w:val="000000"/>
          <w:sz w:val="32"/>
          <w:szCs w:val="32"/>
          <w:highlight w:val="none"/>
          <w:shd w:val="clear" w:color="auto" w:fill="FFFFFF"/>
          <w:lang w:eastAsia="zh-CN"/>
        </w:rPr>
        <w:t>：</w:t>
      </w:r>
      <w:r>
        <w:rPr>
          <w:rFonts w:hint="eastAsia" w:ascii="仿宋" w:hAnsi="仿宋" w:eastAsia="仿宋" w:cs="仿宋"/>
          <w:color w:val="000000"/>
          <w:sz w:val="32"/>
          <w:szCs w:val="32"/>
          <w:highlight w:val="none"/>
          <w:shd w:val="clear" w:color="auto" w:fill="FFFFFF"/>
          <w:lang w:val="en-US" w:eastAsia="zh-CN"/>
        </w:rPr>
        <w:t>10</w:t>
      </w:r>
      <w:r>
        <w:rPr>
          <w:rFonts w:hint="eastAsia" w:ascii="仿宋" w:hAnsi="仿宋" w:eastAsia="仿宋" w:cs="仿宋"/>
          <w:color w:val="000000"/>
          <w:sz w:val="32"/>
          <w:szCs w:val="32"/>
          <w:highlight w:val="none"/>
          <w:shd w:val="clear" w:color="auto" w:fill="FFFFFF"/>
          <w:lang w:eastAsia="zh-CN"/>
        </w:rPr>
        <w:t>万元。</w:t>
      </w:r>
    </w:p>
    <w:p w14:paraId="1C84FF1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6536A89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7F593B0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履职效能。部门整体绩效目标中选定3-5个核心职能目标，对职能目标完成效果情况绩效分析。</w:t>
      </w:r>
    </w:p>
    <w:p w14:paraId="75B39903">
      <w:pPr>
        <w:keepNext w:val="0"/>
        <w:keepLines w:val="0"/>
        <w:pageBreakBefore w:val="0"/>
        <w:kinsoku/>
        <w:wordWrap/>
        <w:overflowPunct/>
        <w:topLinePunct w:val="0"/>
        <w:autoSpaceDE/>
        <w:autoSpaceDN/>
        <w:bidi w:val="0"/>
        <w:snapToGrid w:val="0"/>
        <w:spacing w:beforeAutospacing="0" w:afterAutospacing="0" w:line="576" w:lineRule="exact"/>
        <w:ind w:right="0" w:rightChars="0" w:firstLine="640" w:firstLineChars="200"/>
        <w:textAlignment w:val="auto"/>
        <w:rPr>
          <w:rFonts w:hint="eastAsia" w:ascii="楷体_GB2312" w:hAnsi="楷体_GB2312" w:eastAsia="楷体_GB2312" w:cs="楷体_GB2312"/>
          <w:color w:val="000000"/>
          <w:kern w:val="0"/>
          <w:sz w:val="32"/>
          <w:szCs w:val="32"/>
          <w:highlight w:val="none"/>
          <w:u w:val="none"/>
          <w:shd w:val="clear" w:color="auto" w:fill="FFFFFF"/>
          <w:lang w:val="zh-CN"/>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0</w:t>
      </w:r>
      <w:r>
        <w:rPr>
          <w:rFonts w:hint="eastAsia" w:ascii="Times New Roman" w:hAnsi="Times New Roman"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zh-CN" w:eastAsia="zh-CN" w:bidi="ar-SA"/>
        </w:rPr>
        <w:t>年总收入</w:t>
      </w:r>
      <w:r>
        <w:rPr>
          <w:rFonts w:hint="eastAsia" w:ascii="Times New Roman" w:hAnsi="Times New Roman" w:eastAsia="仿宋_GB2312" w:cs="仿宋_GB2312"/>
          <w:color w:val="auto"/>
          <w:kern w:val="2"/>
          <w:sz w:val="32"/>
          <w:szCs w:val="32"/>
          <w:highlight w:val="none"/>
          <w:lang w:val="en-US" w:eastAsia="zh-CN" w:bidi="ar-SA"/>
        </w:rPr>
        <w:t>1856.02万元、</w:t>
      </w:r>
      <w:r>
        <w:rPr>
          <w:rFonts w:hint="eastAsia" w:ascii="Times New Roman" w:hAnsi="Times New Roman" w:eastAsia="仿宋_GB2312" w:cs="仿宋_GB2312"/>
          <w:color w:val="auto"/>
          <w:kern w:val="2"/>
          <w:sz w:val="32"/>
          <w:szCs w:val="32"/>
          <w:highlight w:val="none"/>
          <w:lang w:val="zh-CN" w:eastAsia="zh-CN" w:bidi="ar-SA"/>
        </w:rPr>
        <w:t>总支出</w:t>
      </w:r>
      <w:r>
        <w:rPr>
          <w:rFonts w:hint="eastAsia" w:ascii="Times New Roman" w:hAnsi="Times New Roman" w:eastAsia="仿宋_GB2312" w:cs="仿宋_GB2312"/>
          <w:color w:val="auto"/>
          <w:kern w:val="2"/>
          <w:sz w:val="32"/>
          <w:szCs w:val="32"/>
          <w:highlight w:val="none"/>
          <w:lang w:val="en-US" w:eastAsia="zh-CN" w:bidi="ar-SA"/>
        </w:rPr>
        <w:t>1866.02</w:t>
      </w:r>
      <w:r>
        <w:rPr>
          <w:rFonts w:hint="eastAsia" w:ascii="Times New Roman" w:hAnsi="Times New Roman" w:eastAsia="仿宋_GB2312" w:cs="仿宋_GB2312"/>
          <w:color w:val="auto"/>
          <w:kern w:val="2"/>
          <w:sz w:val="32"/>
          <w:szCs w:val="32"/>
          <w:highlight w:val="none"/>
          <w:lang w:val="zh-CN" w:eastAsia="zh-CN" w:bidi="ar-SA"/>
        </w:rPr>
        <w:t>万元，</w:t>
      </w:r>
      <w:r>
        <w:rPr>
          <w:rFonts w:hint="eastAsia" w:ascii="Times New Roman" w:hAnsi="Times New Roman" w:eastAsia="仿宋_GB2312" w:cs="仿宋_GB2312"/>
          <w:color w:val="auto"/>
          <w:kern w:val="2"/>
          <w:sz w:val="32"/>
          <w:szCs w:val="32"/>
          <w:highlight w:val="none"/>
          <w:lang w:val="en-US" w:eastAsia="zh-CN" w:bidi="ar-SA"/>
        </w:rPr>
        <w:t>结转结余10万元</w:t>
      </w:r>
      <w:r>
        <w:rPr>
          <w:rFonts w:hint="eastAsia" w:ascii="Times New Roman" w:hAnsi="Times New Roman" w:eastAsia="仿宋_GB2312" w:cs="仿宋_GB2312"/>
          <w:color w:val="auto"/>
          <w:kern w:val="2"/>
          <w:sz w:val="32"/>
          <w:szCs w:val="32"/>
          <w:highlight w:val="none"/>
          <w:u w:val="none"/>
          <w:lang w:val="en-US" w:eastAsia="zh-CN" w:bidi="ar-SA"/>
        </w:rPr>
        <w:t>。</w:t>
      </w:r>
      <w:r>
        <w:rPr>
          <w:rFonts w:hint="eastAsia" w:ascii="Times New Roman" w:hAnsi="Times New Roman" w:eastAsia="仿宋_GB2312" w:cs="仿宋_GB2312"/>
          <w:color w:val="auto"/>
          <w:kern w:val="2"/>
          <w:sz w:val="32"/>
          <w:szCs w:val="32"/>
          <w:highlight w:val="none"/>
          <w:u w:val="none"/>
          <w:lang w:val="zh-CN" w:eastAsia="zh-CN" w:bidi="ar-SA"/>
        </w:rPr>
        <w:t>其中：工资福利支出</w:t>
      </w:r>
      <w:r>
        <w:rPr>
          <w:rFonts w:hint="eastAsia" w:eastAsia="仿宋_GB2312" w:cs="仿宋_GB2312"/>
          <w:color w:val="auto"/>
          <w:kern w:val="2"/>
          <w:sz w:val="32"/>
          <w:szCs w:val="32"/>
          <w:highlight w:val="none"/>
          <w:u w:val="none"/>
          <w:lang w:val="en-US" w:eastAsia="zh-CN" w:bidi="ar-SA"/>
        </w:rPr>
        <w:t>544.05</w:t>
      </w:r>
      <w:r>
        <w:rPr>
          <w:rFonts w:hint="eastAsia" w:ascii="Times New Roman" w:hAnsi="Times New Roman" w:eastAsia="仿宋_GB2312" w:cs="仿宋_GB2312"/>
          <w:color w:val="auto"/>
          <w:kern w:val="2"/>
          <w:sz w:val="32"/>
          <w:szCs w:val="32"/>
          <w:highlight w:val="none"/>
          <w:u w:val="none"/>
          <w:lang w:val="zh-CN" w:eastAsia="zh-CN" w:bidi="ar-SA"/>
        </w:rPr>
        <w:t>万元、占总支出的</w:t>
      </w:r>
      <w:r>
        <w:rPr>
          <w:rFonts w:hint="eastAsia" w:eastAsia="仿宋_GB2312" w:cs="仿宋_GB2312"/>
          <w:color w:val="auto"/>
          <w:kern w:val="2"/>
          <w:sz w:val="32"/>
          <w:szCs w:val="32"/>
          <w:highlight w:val="none"/>
          <w:u w:val="none"/>
          <w:lang w:val="en-US" w:eastAsia="zh-CN" w:bidi="ar-SA"/>
        </w:rPr>
        <w:t>29.31</w:t>
      </w:r>
      <w:r>
        <w:rPr>
          <w:rFonts w:hint="eastAsia" w:ascii="Times New Roman" w:hAnsi="Times New Roman" w:eastAsia="仿宋_GB2312" w:cs="仿宋_GB2312"/>
          <w:color w:val="auto"/>
          <w:kern w:val="2"/>
          <w:sz w:val="32"/>
          <w:szCs w:val="32"/>
          <w:highlight w:val="none"/>
          <w:u w:val="none"/>
          <w:lang w:val="zh-CN" w:eastAsia="zh-CN" w:bidi="ar-SA"/>
        </w:rPr>
        <w:t>%，商品和服务支</w:t>
      </w:r>
      <w:r>
        <w:rPr>
          <w:rFonts w:hint="eastAsia" w:ascii="仿宋_GB2312" w:hAnsi="仿宋" w:eastAsia="仿宋_GB2312"/>
          <w:color w:val="auto"/>
          <w:sz w:val="32"/>
          <w:szCs w:val="32"/>
          <w:highlight w:val="none"/>
          <w:u w:val="none"/>
        </w:rPr>
        <w:t>出</w:t>
      </w:r>
      <w:r>
        <w:rPr>
          <w:rFonts w:hint="eastAsia" w:ascii="仿宋_GB2312" w:hAnsi="仿宋" w:eastAsia="仿宋_GB2312"/>
          <w:color w:val="auto"/>
          <w:sz w:val="32"/>
          <w:szCs w:val="32"/>
          <w:highlight w:val="none"/>
          <w:u w:val="none"/>
          <w:lang w:val="en-US" w:eastAsia="zh-CN"/>
        </w:rPr>
        <w:t>421.12</w:t>
      </w:r>
      <w:r>
        <w:rPr>
          <w:rFonts w:hint="eastAsia" w:ascii="仿宋_GB2312" w:hAnsi="仿宋" w:eastAsia="仿宋_GB2312"/>
          <w:color w:val="auto"/>
          <w:sz w:val="32"/>
          <w:szCs w:val="32"/>
          <w:highlight w:val="none"/>
          <w:u w:val="none"/>
        </w:rPr>
        <w:t>万元、占总支出的</w:t>
      </w:r>
      <w:r>
        <w:rPr>
          <w:rFonts w:hint="eastAsia" w:ascii="仿宋_GB2312" w:hAnsi="仿宋" w:eastAsia="仿宋_GB2312"/>
          <w:color w:val="auto"/>
          <w:sz w:val="32"/>
          <w:szCs w:val="32"/>
          <w:highlight w:val="none"/>
          <w:u w:val="none"/>
          <w:lang w:val="en-US" w:eastAsia="zh-CN"/>
        </w:rPr>
        <w:t>22.69</w:t>
      </w:r>
      <w:r>
        <w:rPr>
          <w:rFonts w:hint="eastAsia" w:ascii="仿宋_GB2312" w:hAnsi="仿宋" w:eastAsia="仿宋_GB2312"/>
          <w:color w:val="auto"/>
          <w:sz w:val="32"/>
          <w:szCs w:val="32"/>
          <w:highlight w:val="none"/>
          <w:u w:val="none"/>
        </w:rPr>
        <w:t>%</w:t>
      </w:r>
      <w:r>
        <w:rPr>
          <w:rFonts w:hint="eastAsia" w:ascii="仿宋_GB2312" w:hAnsi="仿宋" w:eastAsia="仿宋_GB2312"/>
          <w:color w:val="auto"/>
          <w:sz w:val="32"/>
          <w:szCs w:val="32"/>
          <w:highlight w:val="none"/>
          <w:u w:val="none"/>
          <w:lang w:eastAsia="zh-CN"/>
        </w:rPr>
        <w:t>，</w:t>
      </w:r>
      <w:r>
        <w:rPr>
          <w:rFonts w:hint="eastAsia" w:ascii="仿宋_GB2312" w:hAnsi="仿宋" w:eastAsia="仿宋_GB2312"/>
          <w:color w:val="auto"/>
          <w:sz w:val="32"/>
          <w:szCs w:val="32"/>
          <w:highlight w:val="none"/>
          <w:u w:val="none"/>
        </w:rPr>
        <w:t>个人和家庭的补助</w:t>
      </w:r>
      <w:r>
        <w:rPr>
          <w:rFonts w:hint="eastAsia" w:ascii="仿宋_GB2312" w:hAnsi="仿宋" w:eastAsia="仿宋_GB2312"/>
          <w:color w:val="auto"/>
          <w:sz w:val="32"/>
          <w:szCs w:val="32"/>
          <w:highlight w:val="none"/>
          <w:u w:val="none"/>
          <w:lang w:val="en-US" w:eastAsia="zh-CN"/>
        </w:rPr>
        <w:t>15.68万元</w:t>
      </w:r>
      <w:r>
        <w:rPr>
          <w:rFonts w:hint="eastAsia" w:ascii="仿宋_GB2312" w:hAnsi="仿宋" w:eastAsia="仿宋_GB2312"/>
          <w:color w:val="auto"/>
          <w:sz w:val="32"/>
          <w:szCs w:val="32"/>
          <w:highlight w:val="none"/>
          <w:u w:val="none"/>
        </w:rPr>
        <w:t>、占总支出的</w:t>
      </w:r>
      <w:r>
        <w:rPr>
          <w:rFonts w:hint="eastAsia" w:ascii="仿宋_GB2312" w:hAnsi="仿宋" w:eastAsia="仿宋_GB2312"/>
          <w:color w:val="auto"/>
          <w:sz w:val="32"/>
          <w:szCs w:val="32"/>
          <w:highlight w:val="none"/>
          <w:u w:val="none"/>
          <w:lang w:val="en-US" w:eastAsia="zh-CN"/>
        </w:rPr>
        <w:t>0.84</w:t>
      </w:r>
      <w:r>
        <w:rPr>
          <w:rFonts w:hint="eastAsia" w:ascii="仿宋_GB2312" w:hAnsi="仿宋" w:eastAsia="仿宋_GB2312"/>
          <w:color w:val="auto"/>
          <w:sz w:val="32"/>
          <w:szCs w:val="32"/>
          <w:highlight w:val="none"/>
          <w:u w:val="none"/>
        </w:rPr>
        <w:t>%</w:t>
      </w:r>
      <w:r>
        <w:rPr>
          <w:rFonts w:hint="eastAsia" w:ascii="仿宋_GB2312" w:hAnsi="仿宋" w:eastAsia="仿宋_GB2312"/>
          <w:color w:val="auto"/>
          <w:sz w:val="32"/>
          <w:szCs w:val="32"/>
          <w:highlight w:val="none"/>
          <w:u w:val="none"/>
          <w:lang w:eastAsia="zh-CN"/>
        </w:rPr>
        <w:t>，</w:t>
      </w:r>
      <w:r>
        <w:rPr>
          <w:rFonts w:hint="eastAsia" w:ascii="仿宋_GB2312" w:hAnsi="仿宋" w:eastAsia="仿宋_GB2312"/>
          <w:color w:val="auto"/>
          <w:sz w:val="32"/>
          <w:szCs w:val="32"/>
          <w:highlight w:val="none"/>
          <w:u w:val="none"/>
        </w:rPr>
        <w:t>其他资本性支出</w:t>
      </w:r>
      <w:r>
        <w:rPr>
          <w:rFonts w:hint="eastAsia" w:ascii="仿宋_GB2312" w:hAnsi="仿宋" w:eastAsia="仿宋_GB2312"/>
          <w:color w:val="auto"/>
          <w:sz w:val="32"/>
          <w:szCs w:val="32"/>
          <w:highlight w:val="none"/>
          <w:u w:val="none"/>
          <w:lang w:val="en-US" w:eastAsia="zh-CN"/>
        </w:rPr>
        <w:t>875.18</w:t>
      </w:r>
      <w:r>
        <w:rPr>
          <w:rFonts w:hint="eastAsia" w:ascii="仿宋_GB2312" w:hAnsi="仿宋" w:eastAsia="仿宋_GB2312"/>
          <w:color w:val="auto"/>
          <w:sz w:val="32"/>
          <w:szCs w:val="32"/>
          <w:highlight w:val="none"/>
          <w:u w:val="none"/>
        </w:rPr>
        <w:t>万元，占总支出的</w:t>
      </w:r>
      <w:r>
        <w:rPr>
          <w:rFonts w:hint="eastAsia" w:ascii="仿宋_GB2312" w:hAnsi="仿宋" w:eastAsia="仿宋_GB2312"/>
          <w:color w:val="auto"/>
          <w:sz w:val="32"/>
          <w:szCs w:val="32"/>
          <w:highlight w:val="none"/>
          <w:u w:val="none"/>
          <w:lang w:val="en-US" w:eastAsia="zh-CN"/>
        </w:rPr>
        <w:t>47.15</w:t>
      </w:r>
      <w:r>
        <w:rPr>
          <w:rFonts w:hint="eastAsia" w:ascii="仿宋_GB2312" w:hAnsi="仿宋" w:eastAsia="仿宋_GB2312"/>
          <w:color w:val="auto"/>
          <w:sz w:val="32"/>
          <w:szCs w:val="32"/>
          <w:highlight w:val="none"/>
          <w:u w:val="none"/>
        </w:rPr>
        <w:t>%。</w:t>
      </w:r>
    </w:p>
    <w:p w14:paraId="36654625">
      <w:pPr>
        <w:numPr>
          <w:ilvl w:val="0"/>
          <w:numId w:val="0"/>
        </w:numPr>
        <w:spacing w:line="58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hAnsi="仿宋_GB2312" w:eastAsia="仿宋_GB2312" w:cs="仿宋_GB2312"/>
          <w:sz w:val="32"/>
          <w:szCs w:val="32"/>
        </w:rPr>
        <w:t>完善和健全了各类规章制度和内控制度，严格按财政部门监管要求规范预算执行；规范财政资金支付管理，逐月逐笔核对银行存款收支明细信息，确保账户资金明确</w:t>
      </w:r>
      <w:r>
        <w:rPr>
          <w:rFonts w:hint="eastAsia" w:ascii="仿宋_GB2312" w:hAnsi="仿宋_GB2312" w:eastAsia="仿宋_GB2312" w:cs="仿宋_GB2312"/>
          <w:sz w:val="32"/>
          <w:szCs w:val="32"/>
          <w:lang w:eastAsia="zh-CN"/>
        </w:rPr>
        <w:t>清晰</w:t>
      </w:r>
      <w:r>
        <w:rPr>
          <w:rFonts w:hint="eastAsia" w:ascii="仿宋_GB2312" w:hAnsi="仿宋_GB2312" w:eastAsia="仿宋_GB2312" w:cs="仿宋_GB2312"/>
          <w:sz w:val="32"/>
          <w:szCs w:val="32"/>
        </w:rPr>
        <w:t>；完善会计管理制度，建立岗位分离制度，同时按规定建立会计账册、设置会计科目，依法依规进行会计核算，确保会计信息合法性、真实性和完整性，做到账证、</w:t>
      </w:r>
      <w:r>
        <w:rPr>
          <w:rFonts w:hint="eastAsia" w:ascii="仿宋_GB2312" w:hAnsi="仿宋_GB2312" w:eastAsia="仿宋_GB2312" w:cs="仿宋_GB2312"/>
          <w:sz w:val="32"/>
          <w:szCs w:val="32"/>
          <w:lang w:eastAsia="zh-CN"/>
        </w:rPr>
        <w:t>账</w:t>
      </w:r>
      <w:r>
        <w:rPr>
          <w:rFonts w:hint="eastAsia" w:ascii="仿宋_GB2312" w:hAnsi="仿宋_GB2312" w:eastAsia="仿宋_GB2312" w:cs="仿宋_GB2312"/>
          <w:sz w:val="32"/>
          <w:szCs w:val="32"/>
        </w:rPr>
        <w:t>、账表和账实相符；同时加强内</w:t>
      </w:r>
      <w:r>
        <w:rPr>
          <w:rFonts w:hint="eastAsia" w:ascii="仿宋_GB2312" w:hAnsi="仿宋_GB2312" w:eastAsia="仿宋_GB2312" w:cs="仿宋_GB2312"/>
          <w:sz w:val="32"/>
          <w:szCs w:val="32"/>
          <w:lang w:eastAsia="zh-CN"/>
        </w:rPr>
        <w:t>控管清理</w:t>
      </w:r>
      <w:r>
        <w:rPr>
          <w:rFonts w:hint="eastAsia" w:ascii="仿宋_GB2312" w:hAnsi="仿宋_GB2312" w:eastAsia="仿宋_GB2312" w:cs="仿宋_GB2312"/>
          <w:sz w:val="32"/>
          <w:szCs w:val="32"/>
        </w:rPr>
        <w:t>，开展内控自我评价工作</w:t>
      </w:r>
      <w:r>
        <w:rPr>
          <w:rFonts w:hint="eastAsia" w:ascii="仿宋_GB2312" w:hAnsi="仿宋_GB2312" w:cs="仿宋_GB2312"/>
          <w:sz w:val="32"/>
          <w:szCs w:val="32"/>
          <w:lang w:val="en-US" w:eastAsia="zh-CN"/>
        </w:rPr>
        <w:t>.</w:t>
      </w:r>
      <w:r>
        <w:rPr>
          <w:rFonts w:hint="eastAsia" w:ascii="仿宋_GB2312" w:eastAsia="仿宋_GB2312"/>
          <w:sz w:val="32"/>
          <w:szCs w:val="32"/>
        </w:rPr>
        <w:t>同时加大账户和存量资金的清理，决算管理返部门决算编制要求将单位所有收支和结余结转情况进行全面</w:t>
      </w:r>
      <w:r>
        <w:rPr>
          <w:rFonts w:hint="eastAsia" w:ascii="仿宋_GB2312" w:eastAsia="仿宋_GB2312"/>
          <w:sz w:val="32"/>
          <w:szCs w:val="32"/>
          <w:lang w:eastAsia="zh-CN"/>
        </w:rPr>
        <w:t>反映</w:t>
      </w:r>
      <w:r>
        <w:rPr>
          <w:rFonts w:hint="eastAsia" w:ascii="仿宋_GB2312" w:eastAsia="仿宋_GB2312"/>
          <w:sz w:val="32"/>
          <w:szCs w:val="32"/>
        </w:rPr>
        <w:t>。</w:t>
      </w:r>
    </w:p>
    <w:p w14:paraId="0601008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en-US" w:eastAsia="zh-CN" w:bidi="ar-SA"/>
        </w:rPr>
        <w:t>固定资产无变化。</w:t>
      </w:r>
    </w:p>
    <w:p w14:paraId="64460B3D">
      <w:pPr>
        <w:spacing w:line="590" w:lineRule="exact"/>
        <w:ind w:firstLine="640" w:firstLineChars="20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hAnsi="仿宋_GB2312" w:eastAsia="仿宋_GB2312" w:cs="仿宋_GB2312"/>
          <w:sz w:val="32"/>
          <w:szCs w:val="32"/>
        </w:rPr>
        <w:t>我单位采购内部控制制度健全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采购程序均按要求进行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合同签订、公告、备案等均按采购法要求时限完成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采购项目按要求编目入</w:t>
      </w:r>
      <w:r>
        <w:rPr>
          <w:rFonts w:hint="eastAsia" w:ascii="仿宋_GB2312" w:hAnsi="仿宋_GB2312" w:eastAsia="仿宋_GB2312" w:cs="仿宋_GB2312"/>
          <w:sz w:val="32"/>
          <w:szCs w:val="32"/>
          <w:lang w:eastAsia="zh-CN"/>
        </w:rPr>
        <w:t>库，</w:t>
      </w:r>
      <w:r>
        <w:rPr>
          <w:rFonts w:hint="eastAsia" w:ascii="仿宋_GB2312" w:hAnsi="仿宋_GB2312" w:eastAsia="仿宋_GB2312" w:cs="仿宋_GB2312"/>
          <w:sz w:val="32"/>
          <w:szCs w:val="32"/>
        </w:rPr>
        <w:t>管理规范，不存在不规范政府采购行为。</w:t>
      </w:r>
      <w:r>
        <w:rPr>
          <w:rFonts w:hint="eastAsia" w:ascii="仿宋_GB2312" w:hAnsi="仿宋_GB2312" w:eastAsia="仿宋_GB2312" w:cs="仿宋_GB2312"/>
          <w:color w:val="000000"/>
          <w:kern w:val="0"/>
          <w:sz w:val="32"/>
          <w:szCs w:val="32"/>
          <w:highlight w:val="none"/>
          <w:shd w:val="clear" w:color="auto" w:fill="FFFFFF"/>
          <w:lang w:val="zh-CN"/>
        </w:rPr>
        <w:t>支持中小企业发展，</w:t>
      </w:r>
      <w:r>
        <w:rPr>
          <w:rFonts w:hint="eastAsia" w:ascii="仿宋_GB2312" w:hAnsi="仿宋_GB2312" w:eastAsia="仿宋_GB2312" w:cs="仿宋_GB2312"/>
          <w:color w:val="000000"/>
          <w:kern w:val="0"/>
          <w:sz w:val="32"/>
          <w:szCs w:val="32"/>
          <w:highlight w:val="none"/>
          <w:shd w:val="clear" w:color="auto" w:fill="FFFFFF"/>
          <w:lang w:val="en-US" w:eastAsia="zh-CN"/>
        </w:rPr>
        <w:t>不存在</w:t>
      </w:r>
      <w:r>
        <w:rPr>
          <w:rFonts w:hint="eastAsia" w:ascii="仿宋_GB2312" w:hAnsi="仿宋_GB2312" w:eastAsia="仿宋_GB2312" w:cs="仿宋_GB2312"/>
          <w:sz w:val="32"/>
          <w:szCs w:val="32"/>
        </w:rPr>
        <w:t>对供应商实</w:t>
      </w:r>
      <w:r>
        <w:rPr>
          <w:rFonts w:hint="eastAsia" w:ascii="仿宋_GB2312" w:hAnsi="仿宋_GB2312" w:eastAsia="仿宋_GB2312" w:cs="仿宋_GB2312"/>
          <w:sz w:val="32"/>
          <w:szCs w:val="32"/>
          <w:lang w:eastAsia="zh-CN"/>
        </w:rPr>
        <w:t>施</w:t>
      </w:r>
      <w:r>
        <w:rPr>
          <w:rFonts w:hint="eastAsia" w:ascii="仿宋_GB2312" w:hAnsi="仿宋_GB2312" w:eastAsia="仿宋_GB2312" w:cs="仿宋_GB2312"/>
          <w:sz w:val="32"/>
          <w:szCs w:val="32"/>
        </w:rPr>
        <w:t>差别待遇、设置或者变相设置供应商进入政府采购市场障碍</w:t>
      </w:r>
      <w:r>
        <w:rPr>
          <w:rFonts w:hint="eastAsia" w:ascii="仿宋_GB2312" w:hAnsi="仿宋_GB2312" w:eastAsia="仿宋_GB2312" w:cs="仿宋_GB2312"/>
          <w:sz w:val="32"/>
          <w:szCs w:val="32"/>
          <w:lang w:val="en-US" w:eastAsia="zh-CN"/>
        </w:rPr>
        <w:t>等现象。</w:t>
      </w:r>
      <w:r>
        <w:rPr>
          <w:rFonts w:hint="eastAsia" w:ascii="仿宋_GB2312" w:hAnsi="仿宋_GB2312" w:eastAsia="仿宋_GB2312" w:cs="仿宋_GB2312"/>
          <w:color w:val="000000"/>
          <w:kern w:val="0"/>
          <w:sz w:val="32"/>
          <w:szCs w:val="32"/>
          <w:highlight w:val="none"/>
          <w:shd w:val="clear" w:color="auto" w:fill="FFFFFF"/>
          <w:lang w:val="zh-CN"/>
        </w:rPr>
        <w:t>采购执行率</w:t>
      </w:r>
      <w:r>
        <w:rPr>
          <w:rFonts w:hint="eastAsia" w:ascii="仿宋_GB2312" w:hAnsi="仿宋_GB2312" w:eastAsia="仿宋_GB2312" w:cs="仿宋_GB2312"/>
          <w:color w:val="000000"/>
          <w:kern w:val="0"/>
          <w:sz w:val="32"/>
          <w:szCs w:val="32"/>
          <w:highlight w:val="none"/>
          <w:shd w:val="clear" w:color="auto" w:fill="FFFFFF"/>
          <w:lang w:val="en-US" w:eastAsia="zh-CN"/>
        </w:rPr>
        <w:t>达100%</w:t>
      </w:r>
      <w:r>
        <w:rPr>
          <w:rFonts w:hint="eastAsia" w:ascii="仿宋_GB2312" w:hAnsi="仿宋_GB2312" w:eastAsia="仿宋_GB2312" w:cs="仿宋_GB2312"/>
          <w:color w:val="000000"/>
          <w:kern w:val="0"/>
          <w:sz w:val="32"/>
          <w:szCs w:val="32"/>
          <w:highlight w:val="none"/>
          <w:shd w:val="clear" w:color="auto" w:fill="FFFFFF"/>
          <w:lang w:val="zh-CN"/>
        </w:rPr>
        <w:t>。</w:t>
      </w:r>
    </w:p>
    <w:p w14:paraId="5F9902E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14:paraId="29FA4A6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u w:val="none"/>
          <w:lang w:val="zh-CN" w:eastAsia="zh-CN" w:bidi="ar-SA"/>
        </w:rPr>
      </w:pPr>
      <w:r>
        <w:rPr>
          <w:rFonts w:hint="default" w:ascii="Times New Roman" w:hAnsi="Times New Roman" w:eastAsia="仿宋_GB2312" w:cs="仿宋_GB2312"/>
          <w:color w:val="auto"/>
          <w:kern w:val="2"/>
          <w:sz w:val="32"/>
          <w:szCs w:val="32"/>
          <w:highlight w:val="none"/>
          <w:u w:val="none"/>
          <w:lang w:val="en-US" w:eastAsia="zh-CN" w:bidi="ar-SA"/>
        </w:rPr>
        <w:t>常年项目绩效分析。</w:t>
      </w:r>
      <w:r>
        <w:rPr>
          <w:rFonts w:hint="default" w:ascii="Times New Roman" w:hAnsi="Times New Roman" w:eastAsia="仿宋_GB2312" w:cs="仿宋_GB2312"/>
          <w:color w:val="auto"/>
          <w:kern w:val="2"/>
          <w:sz w:val="32"/>
          <w:szCs w:val="32"/>
          <w:highlight w:val="none"/>
          <w:u w:val="none"/>
          <w:lang w:val="zh-CN" w:eastAsia="zh-CN" w:bidi="ar-SA"/>
        </w:rPr>
        <w:t>该类项目总数</w:t>
      </w:r>
      <w:r>
        <w:rPr>
          <w:rFonts w:hint="eastAsia" w:eastAsia="仿宋_GB2312" w:cs="仿宋_GB2312"/>
          <w:color w:val="auto"/>
          <w:kern w:val="2"/>
          <w:sz w:val="32"/>
          <w:szCs w:val="32"/>
          <w:highlight w:val="none"/>
          <w:u w:val="none"/>
          <w:lang w:val="en-US" w:eastAsia="zh-CN" w:bidi="ar-SA"/>
        </w:rPr>
        <w:t>0</w:t>
      </w:r>
      <w:r>
        <w:rPr>
          <w:rFonts w:hint="default" w:ascii="Times New Roman" w:hAnsi="Times New Roman" w:eastAsia="仿宋_GB2312" w:cs="仿宋_GB2312"/>
          <w:color w:val="auto"/>
          <w:kern w:val="2"/>
          <w:sz w:val="32"/>
          <w:szCs w:val="32"/>
          <w:highlight w:val="none"/>
          <w:u w:val="none"/>
          <w:lang w:val="zh-CN" w:eastAsia="zh-CN" w:bidi="ar-SA"/>
        </w:rPr>
        <w:t>个，涉及预算总金额</w:t>
      </w:r>
      <w:r>
        <w:rPr>
          <w:rFonts w:hint="eastAsia" w:eastAsia="仿宋_GB2312" w:cs="仿宋_GB2312"/>
          <w:color w:val="auto"/>
          <w:kern w:val="2"/>
          <w:sz w:val="32"/>
          <w:szCs w:val="32"/>
          <w:highlight w:val="none"/>
          <w:u w:val="none"/>
          <w:lang w:val="en-US" w:eastAsia="zh-CN" w:bidi="ar-SA"/>
        </w:rPr>
        <w:t>0</w:t>
      </w:r>
      <w:r>
        <w:rPr>
          <w:rFonts w:hint="default" w:ascii="Times New Roman" w:hAnsi="Times New Roman" w:eastAsia="仿宋_GB2312" w:cs="仿宋_GB2312"/>
          <w:color w:val="auto"/>
          <w:kern w:val="2"/>
          <w:sz w:val="32"/>
          <w:szCs w:val="32"/>
          <w:highlight w:val="none"/>
          <w:u w:val="none"/>
          <w:lang w:val="zh-CN" w:eastAsia="zh-CN" w:bidi="ar-SA"/>
        </w:rPr>
        <w:t>万元，1</w:t>
      </w:r>
      <w:r>
        <w:rPr>
          <w:rFonts w:hint="eastAsia" w:ascii="Times New Roman" w:hAnsi="Times New Roman" w:eastAsia="仿宋_GB2312" w:cs="仿宋_GB2312"/>
          <w:color w:val="auto"/>
          <w:kern w:val="2"/>
          <w:sz w:val="32"/>
          <w:szCs w:val="32"/>
          <w:highlight w:val="none"/>
          <w:u w:val="none"/>
          <w:lang w:val="zh-CN" w:eastAsia="zh-CN" w:bidi="ar-SA"/>
        </w:rPr>
        <w:t>—</w:t>
      </w:r>
      <w:r>
        <w:rPr>
          <w:rFonts w:hint="default" w:ascii="Times New Roman" w:hAnsi="Times New Roman" w:eastAsia="仿宋_GB2312" w:cs="仿宋_GB2312"/>
          <w:color w:val="auto"/>
          <w:kern w:val="2"/>
          <w:sz w:val="32"/>
          <w:szCs w:val="32"/>
          <w:highlight w:val="none"/>
          <w:u w:val="none"/>
          <w:lang w:val="zh-CN" w:eastAsia="zh-CN" w:bidi="ar-SA"/>
        </w:rPr>
        <w:t>1</w:t>
      </w:r>
      <w:r>
        <w:rPr>
          <w:rFonts w:hint="default" w:ascii="Times New Roman" w:hAnsi="Times New Roman" w:eastAsia="仿宋_GB2312" w:cs="仿宋_GB2312"/>
          <w:color w:val="auto"/>
          <w:kern w:val="2"/>
          <w:sz w:val="32"/>
          <w:szCs w:val="32"/>
          <w:highlight w:val="none"/>
          <w:u w:val="none"/>
          <w:lang w:val="en-US" w:eastAsia="zh-CN" w:bidi="ar-SA"/>
        </w:rPr>
        <w:t>2</w:t>
      </w:r>
      <w:r>
        <w:rPr>
          <w:rFonts w:hint="default" w:ascii="Times New Roman" w:hAnsi="Times New Roman" w:eastAsia="仿宋_GB2312" w:cs="仿宋_GB2312"/>
          <w:color w:val="auto"/>
          <w:kern w:val="2"/>
          <w:sz w:val="32"/>
          <w:szCs w:val="32"/>
          <w:highlight w:val="none"/>
          <w:u w:val="none"/>
          <w:lang w:val="zh-CN" w:eastAsia="zh-CN" w:bidi="ar-SA"/>
        </w:rPr>
        <w:t>月预算执行总体进度为</w:t>
      </w:r>
      <w:r>
        <w:rPr>
          <w:rFonts w:hint="eastAsia" w:eastAsia="仿宋_GB2312" w:cs="仿宋_GB2312"/>
          <w:color w:val="auto"/>
          <w:kern w:val="2"/>
          <w:sz w:val="32"/>
          <w:szCs w:val="32"/>
          <w:highlight w:val="none"/>
          <w:u w:val="none"/>
          <w:lang w:val="en-US" w:eastAsia="zh-CN" w:bidi="ar-SA"/>
        </w:rPr>
        <w:t>0</w:t>
      </w:r>
      <w:r>
        <w:rPr>
          <w:rFonts w:hint="default" w:ascii="Times New Roman" w:hAnsi="Times New Roman" w:eastAsia="仿宋_GB2312" w:cs="仿宋_GB2312"/>
          <w:color w:val="auto"/>
          <w:kern w:val="2"/>
          <w:sz w:val="32"/>
          <w:szCs w:val="32"/>
          <w:highlight w:val="none"/>
          <w:u w:val="none"/>
          <w:lang w:val="zh-CN" w:eastAsia="zh-CN" w:bidi="ar-SA"/>
        </w:rPr>
        <w:t>%，其中：预算结余率大于</w:t>
      </w:r>
      <w:r>
        <w:rPr>
          <w:rFonts w:hint="default" w:ascii="Times New Roman" w:hAnsi="Times New Roman" w:eastAsia="仿宋_GB2312" w:cs="仿宋_GB2312"/>
          <w:color w:val="auto"/>
          <w:kern w:val="2"/>
          <w:sz w:val="32"/>
          <w:szCs w:val="32"/>
          <w:highlight w:val="none"/>
          <w:u w:val="none"/>
          <w:lang w:val="en-US" w:eastAsia="zh-CN" w:bidi="ar-SA"/>
        </w:rPr>
        <w:t>10%</w:t>
      </w:r>
      <w:r>
        <w:rPr>
          <w:rFonts w:hint="default" w:ascii="Times New Roman" w:hAnsi="Times New Roman" w:eastAsia="仿宋_GB2312" w:cs="仿宋_GB2312"/>
          <w:color w:val="auto"/>
          <w:kern w:val="2"/>
          <w:sz w:val="32"/>
          <w:szCs w:val="32"/>
          <w:highlight w:val="none"/>
          <w:u w:val="none"/>
          <w:lang w:val="zh-CN" w:eastAsia="zh-CN" w:bidi="ar-SA"/>
        </w:rPr>
        <w:t>的项目共计</w:t>
      </w:r>
      <w:r>
        <w:rPr>
          <w:rFonts w:hint="eastAsia" w:eastAsia="仿宋_GB2312" w:cs="仿宋_GB2312"/>
          <w:color w:val="auto"/>
          <w:kern w:val="2"/>
          <w:sz w:val="32"/>
          <w:szCs w:val="32"/>
          <w:highlight w:val="none"/>
          <w:u w:val="none"/>
          <w:lang w:val="en-US" w:eastAsia="zh-CN" w:bidi="ar-SA"/>
        </w:rPr>
        <w:t>0</w:t>
      </w:r>
      <w:r>
        <w:rPr>
          <w:rFonts w:hint="default" w:ascii="Times New Roman" w:hAnsi="Times New Roman" w:eastAsia="仿宋_GB2312" w:cs="仿宋_GB2312"/>
          <w:color w:val="auto"/>
          <w:kern w:val="2"/>
          <w:sz w:val="32"/>
          <w:szCs w:val="32"/>
          <w:highlight w:val="none"/>
          <w:u w:val="none"/>
          <w:lang w:val="zh-CN" w:eastAsia="zh-CN" w:bidi="ar-SA"/>
        </w:rPr>
        <w:t>个。</w:t>
      </w:r>
    </w:p>
    <w:p w14:paraId="298F881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u w:val="none"/>
          <w:lang w:val="zh-CN" w:eastAsia="zh-CN" w:bidi="ar-SA"/>
        </w:rPr>
      </w:pPr>
      <w:r>
        <w:rPr>
          <w:rFonts w:hint="default" w:ascii="Times New Roman" w:hAnsi="Times New Roman" w:eastAsia="仿宋_GB2312" w:cs="仿宋_GB2312"/>
          <w:color w:val="auto"/>
          <w:kern w:val="2"/>
          <w:sz w:val="32"/>
          <w:szCs w:val="32"/>
          <w:highlight w:val="none"/>
          <w:u w:val="none"/>
          <w:lang w:val="en-US" w:eastAsia="zh-CN" w:bidi="ar-SA"/>
        </w:rPr>
        <w:t>阶段</w:t>
      </w:r>
      <w:r>
        <w:rPr>
          <w:rFonts w:hint="eastAsia" w:ascii="Times New Roman" w:hAnsi="Times New Roman" w:eastAsia="仿宋_GB2312" w:cs="仿宋_GB2312"/>
          <w:color w:val="auto"/>
          <w:kern w:val="2"/>
          <w:sz w:val="32"/>
          <w:szCs w:val="32"/>
          <w:highlight w:val="none"/>
          <w:u w:val="none"/>
          <w:lang w:val="en-US" w:eastAsia="zh-CN" w:bidi="ar-SA"/>
        </w:rPr>
        <w:t>（</w:t>
      </w:r>
      <w:r>
        <w:rPr>
          <w:rFonts w:hint="default" w:ascii="Times New Roman" w:hAnsi="Times New Roman" w:eastAsia="仿宋_GB2312" w:cs="仿宋_GB2312"/>
          <w:color w:val="auto"/>
          <w:kern w:val="2"/>
          <w:sz w:val="32"/>
          <w:szCs w:val="32"/>
          <w:highlight w:val="none"/>
          <w:u w:val="none"/>
          <w:lang w:val="en-US" w:eastAsia="zh-CN" w:bidi="ar-SA"/>
        </w:rPr>
        <w:t>一次性</w:t>
      </w:r>
      <w:r>
        <w:rPr>
          <w:rFonts w:hint="eastAsia" w:ascii="Times New Roman" w:hAnsi="Times New Roman" w:eastAsia="仿宋_GB2312" w:cs="仿宋_GB2312"/>
          <w:color w:val="auto"/>
          <w:kern w:val="2"/>
          <w:sz w:val="32"/>
          <w:szCs w:val="32"/>
          <w:highlight w:val="none"/>
          <w:u w:val="none"/>
          <w:lang w:val="en-US" w:eastAsia="zh-CN" w:bidi="ar-SA"/>
        </w:rPr>
        <w:t>）</w:t>
      </w:r>
      <w:r>
        <w:rPr>
          <w:rFonts w:hint="default" w:ascii="Times New Roman" w:hAnsi="Times New Roman" w:eastAsia="仿宋_GB2312" w:cs="仿宋_GB2312"/>
          <w:color w:val="auto"/>
          <w:kern w:val="2"/>
          <w:sz w:val="32"/>
          <w:szCs w:val="32"/>
          <w:highlight w:val="none"/>
          <w:u w:val="none"/>
          <w:lang w:val="en-US" w:eastAsia="zh-CN" w:bidi="ar-SA"/>
        </w:rPr>
        <w:t>项目绩效分析。</w:t>
      </w:r>
      <w:r>
        <w:rPr>
          <w:rFonts w:hint="default" w:ascii="Times New Roman" w:hAnsi="Times New Roman" w:eastAsia="仿宋_GB2312" w:cs="仿宋_GB2312"/>
          <w:color w:val="auto"/>
          <w:kern w:val="2"/>
          <w:sz w:val="32"/>
          <w:szCs w:val="32"/>
          <w:highlight w:val="none"/>
          <w:u w:val="none"/>
          <w:lang w:val="zh-CN" w:eastAsia="zh-CN" w:bidi="ar-SA"/>
        </w:rPr>
        <w:t>该类项目总数</w:t>
      </w:r>
      <w:r>
        <w:rPr>
          <w:rFonts w:hint="eastAsia" w:eastAsia="仿宋_GB2312" w:cs="仿宋_GB2312"/>
          <w:color w:val="auto"/>
          <w:kern w:val="2"/>
          <w:sz w:val="32"/>
          <w:szCs w:val="32"/>
          <w:highlight w:val="none"/>
          <w:u w:val="none"/>
          <w:lang w:val="en-US" w:eastAsia="zh-CN" w:bidi="ar-SA"/>
        </w:rPr>
        <w:t>11</w:t>
      </w:r>
      <w:r>
        <w:rPr>
          <w:rFonts w:hint="default" w:ascii="Times New Roman" w:hAnsi="Times New Roman" w:eastAsia="仿宋_GB2312" w:cs="仿宋_GB2312"/>
          <w:color w:val="auto"/>
          <w:kern w:val="2"/>
          <w:sz w:val="32"/>
          <w:szCs w:val="32"/>
          <w:highlight w:val="none"/>
          <w:u w:val="none"/>
          <w:lang w:val="zh-CN" w:eastAsia="zh-CN" w:bidi="ar-SA"/>
        </w:rPr>
        <w:t>个，涉及</w:t>
      </w:r>
      <w:r>
        <w:rPr>
          <w:rFonts w:hint="eastAsia" w:eastAsia="仿宋_GB2312" w:cs="仿宋_GB2312"/>
          <w:color w:val="auto"/>
          <w:kern w:val="2"/>
          <w:sz w:val="32"/>
          <w:szCs w:val="32"/>
          <w:highlight w:val="none"/>
          <w:u w:val="none"/>
          <w:lang w:val="en-US" w:eastAsia="zh-CN" w:bidi="ar-SA"/>
        </w:rPr>
        <w:t>项目</w:t>
      </w:r>
      <w:r>
        <w:rPr>
          <w:rFonts w:hint="default" w:ascii="Times New Roman" w:hAnsi="Times New Roman" w:eastAsia="仿宋_GB2312" w:cs="仿宋_GB2312"/>
          <w:color w:val="auto"/>
          <w:kern w:val="2"/>
          <w:sz w:val="32"/>
          <w:szCs w:val="32"/>
          <w:highlight w:val="none"/>
          <w:u w:val="none"/>
          <w:lang w:val="zh-CN" w:eastAsia="zh-CN" w:bidi="ar-SA"/>
        </w:rPr>
        <w:t>预算总金额</w:t>
      </w:r>
      <w:r>
        <w:rPr>
          <w:rFonts w:hint="eastAsia" w:eastAsia="仿宋_GB2312" w:cs="仿宋_GB2312"/>
          <w:color w:val="auto"/>
          <w:kern w:val="2"/>
          <w:sz w:val="32"/>
          <w:szCs w:val="32"/>
          <w:highlight w:val="none"/>
          <w:u w:val="none"/>
          <w:lang w:val="en-US" w:eastAsia="zh-CN" w:bidi="ar-SA"/>
        </w:rPr>
        <w:t>1240.53</w:t>
      </w:r>
      <w:r>
        <w:rPr>
          <w:rFonts w:hint="default" w:ascii="Times New Roman" w:hAnsi="Times New Roman" w:eastAsia="仿宋_GB2312" w:cs="仿宋_GB2312"/>
          <w:color w:val="auto"/>
          <w:kern w:val="2"/>
          <w:sz w:val="32"/>
          <w:szCs w:val="32"/>
          <w:highlight w:val="none"/>
          <w:u w:val="none"/>
          <w:lang w:val="zh-CN" w:eastAsia="zh-CN" w:bidi="ar-SA"/>
        </w:rPr>
        <w:t>万元，1</w:t>
      </w:r>
      <w:r>
        <w:rPr>
          <w:rFonts w:hint="eastAsia" w:ascii="Times New Roman" w:hAnsi="Times New Roman" w:eastAsia="仿宋_GB2312" w:cs="仿宋_GB2312"/>
          <w:color w:val="auto"/>
          <w:kern w:val="2"/>
          <w:sz w:val="32"/>
          <w:szCs w:val="32"/>
          <w:highlight w:val="none"/>
          <w:u w:val="none"/>
          <w:lang w:val="zh-CN" w:eastAsia="zh-CN" w:bidi="ar-SA"/>
        </w:rPr>
        <w:t>—</w:t>
      </w:r>
      <w:r>
        <w:rPr>
          <w:rFonts w:hint="default" w:ascii="Times New Roman" w:hAnsi="Times New Roman" w:eastAsia="仿宋_GB2312" w:cs="仿宋_GB2312"/>
          <w:color w:val="auto"/>
          <w:kern w:val="2"/>
          <w:sz w:val="32"/>
          <w:szCs w:val="32"/>
          <w:highlight w:val="none"/>
          <w:u w:val="none"/>
          <w:lang w:val="zh-CN" w:eastAsia="zh-CN" w:bidi="ar-SA"/>
        </w:rPr>
        <w:t>1</w:t>
      </w:r>
      <w:r>
        <w:rPr>
          <w:rFonts w:hint="default" w:ascii="Times New Roman" w:hAnsi="Times New Roman" w:eastAsia="仿宋_GB2312" w:cs="仿宋_GB2312"/>
          <w:color w:val="auto"/>
          <w:kern w:val="2"/>
          <w:sz w:val="32"/>
          <w:szCs w:val="32"/>
          <w:highlight w:val="none"/>
          <w:u w:val="none"/>
          <w:lang w:val="en-US" w:eastAsia="zh-CN" w:bidi="ar-SA"/>
        </w:rPr>
        <w:t>2</w:t>
      </w:r>
      <w:r>
        <w:rPr>
          <w:rFonts w:hint="default" w:ascii="Times New Roman" w:hAnsi="Times New Roman" w:eastAsia="仿宋_GB2312" w:cs="仿宋_GB2312"/>
          <w:color w:val="auto"/>
          <w:kern w:val="2"/>
          <w:sz w:val="32"/>
          <w:szCs w:val="32"/>
          <w:highlight w:val="none"/>
          <w:u w:val="none"/>
          <w:lang w:val="zh-CN" w:eastAsia="zh-CN" w:bidi="ar-SA"/>
        </w:rPr>
        <w:t>月预算执行总体进度为</w:t>
      </w:r>
      <w:r>
        <w:rPr>
          <w:rFonts w:hint="eastAsia" w:eastAsia="仿宋_GB2312" w:cs="仿宋_GB2312"/>
          <w:color w:val="auto"/>
          <w:kern w:val="2"/>
          <w:sz w:val="32"/>
          <w:szCs w:val="32"/>
          <w:highlight w:val="none"/>
          <w:u w:val="none"/>
          <w:lang w:val="en-US" w:eastAsia="zh-CN" w:bidi="ar-SA"/>
        </w:rPr>
        <w:t>98</w:t>
      </w:r>
      <w:r>
        <w:rPr>
          <w:rFonts w:hint="default" w:ascii="Times New Roman" w:hAnsi="Times New Roman" w:eastAsia="仿宋_GB2312" w:cs="仿宋_GB2312"/>
          <w:color w:val="auto"/>
          <w:kern w:val="2"/>
          <w:sz w:val="32"/>
          <w:szCs w:val="32"/>
          <w:highlight w:val="none"/>
          <w:u w:val="none"/>
          <w:lang w:val="zh-CN" w:eastAsia="zh-CN" w:bidi="ar-SA"/>
        </w:rPr>
        <w:t>%，其中：预算结余率大于</w:t>
      </w:r>
      <w:r>
        <w:rPr>
          <w:rFonts w:hint="default" w:ascii="Times New Roman" w:hAnsi="Times New Roman" w:eastAsia="仿宋_GB2312" w:cs="仿宋_GB2312"/>
          <w:color w:val="auto"/>
          <w:kern w:val="2"/>
          <w:sz w:val="32"/>
          <w:szCs w:val="32"/>
          <w:highlight w:val="none"/>
          <w:u w:val="none"/>
          <w:lang w:val="en-US" w:eastAsia="zh-CN" w:bidi="ar-SA"/>
        </w:rPr>
        <w:t>10%</w:t>
      </w:r>
      <w:r>
        <w:rPr>
          <w:rFonts w:hint="default" w:ascii="Times New Roman" w:hAnsi="Times New Roman" w:eastAsia="仿宋_GB2312" w:cs="仿宋_GB2312"/>
          <w:color w:val="auto"/>
          <w:kern w:val="2"/>
          <w:sz w:val="32"/>
          <w:szCs w:val="32"/>
          <w:highlight w:val="none"/>
          <w:u w:val="none"/>
          <w:lang w:val="zh-CN" w:eastAsia="zh-CN" w:bidi="ar-SA"/>
        </w:rPr>
        <w:t>的项目共计</w:t>
      </w:r>
      <w:r>
        <w:rPr>
          <w:rFonts w:hint="eastAsia" w:eastAsia="仿宋_GB2312" w:cs="仿宋_GB2312"/>
          <w:color w:val="auto"/>
          <w:kern w:val="2"/>
          <w:sz w:val="32"/>
          <w:szCs w:val="32"/>
          <w:highlight w:val="none"/>
          <w:u w:val="none"/>
          <w:lang w:val="en-US" w:eastAsia="zh-CN" w:bidi="ar-SA"/>
        </w:rPr>
        <w:t>1</w:t>
      </w:r>
      <w:r>
        <w:rPr>
          <w:rFonts w:hint="default" w:ascii="Times New Roman" w:hAnsi="Times New Roman" w:eastAsia="仿宋_GB2312" w:cs="仿宋_GB2312"/>
          <w:color w:val="auto"/>
          <w:kern w:val="2"/>
          <w:sz w:val="32"/>
          <w:szCs w:val="32"/>
          <w:highlight w:val="none"/>
          <w:u w:val="none"/>
          <w:lang w:val="zh-CN" w:eastAsia="zh-CN" w:bidi="ar-SA"/>
        </w:rPr>
        <w:t>个。</w:t>
      </w:r>
    </w:p>
    <w:p w14:paraId="3537815E">
      <w:pPr>
        <w:keepNext w:val="0"/>
        <w:keepLines w:val="0"/>
        <w:pageBreakBefore w:val="0"/>
        <w:widowControl w:val="0"/>
        <w:numPr>
          <w:ilvl w:val="0"/>
          <w:numId w:val="3"/>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color w:val="000000"/>
          <w:kern w:val="0"/>
          <w:sz w:val="32"/>
          <w:szCs w:val="32"/>
          <w:highlight w:val="none"/>
          <w:shd w:val="clear" w:color="auto" w:fill="FFFFFF"/>
          <w:lang w:val="zh-CN"/>
        </w:rPr>
        <w:t>项目决策。</w:t>
      </w:r>
      <w:r>
        <w:rPr>
          <w:rFonts w:hint="eastAsia" w:ascii="仿宋_GB2312" w:hAnsi="仿宋_GB2312" w:eastAsia="仿宋_GB2312" w:cs="仿宋_GB2312"/>
          <w:color w:val="000000"/>
          <w:kern w:val="0"/>
          <w:sz w:val="32"/>
          <w:szCs w:val="32"/>
          <w:highlight w:val="none"/>
          <w:shd w:val="clear" w:color="auto" w:fill="FFFFFF"/>
          <w:lang w:val="en-US" w:eastAsia="zh-CN"/>
        </w:rPr>
        <w:t>我单位</w:t>
      </w:r>
      <w:r>
        <w:rPr>
          <w:rFonts w:hint="eastAsia" w:ascii="仿宋_GB2312" w:hAnsi="仿宋_GB2312" w:eastAsia="仿宋_GB2312" w:cs="仿宋_GB2312"/>
          <w:color w:val="000000"/>
          <w:kern w:val="0"/>
          <w:sz w:val="32"/>
          <w:szCs w:val="32"/>
          <w:highlight w:val="none"/>
          <w:shd w:val="clear" w:color="auto" w:fill="FFFFFF"/>
          <w:lang w:val="zh-CN"/>
        </w:rPr>
        <w:t>部门预算项目在规定时间</w:t>
      </w:r>
      <w:r>
        <w:rPr>
          <w:rFonts w:hint="eastAsia" w:ascii="仿宋_GB2312" w:hAnsi="仿宋_GB2312" w:eastAsia="仿宋_GB2312" w:cs="仿宋_GB2312"/>
          <w:color w:val="000000"/>
          <w:kern w:val="0"/>
          <w:sz w:val="32"/>
          <w:szCs w:val="32"/>
          <w:highlight w:val="none"/>
          <w:shd w:val="clear" w:color="auto" w:fill="FFFFFF"/>
          <w:lang w:val="en-US" w:eastAsia="zh-CN"/>
        </w:rPr>
        <w:t>内</w:t>
      </w:r>
      <w:r>
        <w:rPr>
          <w:rFonts w:hint="eastAsia" w:ascii="仿宋_GB2312" w:hAnsi="仿宋_GB2312" w:eastAsia="仿宋_GB2312" w:cs="仿宋_GB2312"/>
          <w:color w:val="000000"/>
          <w:kern w:val="0"/>
          <w:sz w:val="32"/>
          <w:szCs w:val="32"/>
          <w:highlight w:val="none"/>
          <w:shd w:val="clear" w:color="auto" w:fill="FFFFFF"/>
          <w:lang w:val="zh-CN"/>
        </w:rPr>
        <w:t>完成项目入库。部门预算项目设立按规定履行评估论证、申报程序。部门预算项目绩效目标与计划期内的任务量、预算安排的资金量匹配，绩效目标设置科学合理、规范完整、量化细化、预算匹配。</w:t>
      </w:r>
    </w:p>
    <w:p w14:paraId="5D219D1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color w:val="000000"/>
          <w:kern w:val="0"/>
          <w:sz w:val="32"/>
          <w:szCs w:val="32"/>
          <w:highlight w:val="none"/>
          <w:shd w:val="clear" w:color="auto" w:fill="FFFFFF"/>
          <w:lang w:val="en-US" w:eastAsia="zh-CN"/>
        </w:rPr>
        <w:t>2.项目执行</w:t>
      </w: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2025年我单位项目</w:t>
      </w:r>
      <w:r>
        <w:rPr>
          <w:rFonts w:hint="eastAsia" w:ascii="仿宋_GB2312" w:hAnsi="仿宋_GB2312" w:eastAsia="仿宋_GB2312" w:cs="仿宋_GB2312"/>
          <w:color w:val="000000"/>
          <w:kern w:val="0"/>
          <w:sz w:val="32"/>
          <w:szCs w:val="32"/>
          <w:highlight w:val="none"/>
          <w:shd w:val="clear" w:color="auto" w:fill="FFFFFF"/>
          <w:lang w:val="zh-CN" w:eastAsia="zh-CN"/>
        </w:rPr>
        <w:t>资金</w:t>
      </w:r>
      <w:r>
        <w:rPr>
          <w:rFonts w:hint="eastAsia" w:ascii="仿宋_GB2312" w:hAnsi="仿宋_GB2312" w:eastAsia="仿宋_GB2312" w:cs="仿宋_GB2312"/>
          <w:color w:val="000000"/>
          <w:kern w:val="0"/>
          <w:sz w:val="32"/>
          <w:szCs w:val="32"/>
          <w:highlight w:val="none"/>
          <w:shd w:val="clear" w:color="auto" w:fill="FFFFFF"/>
          <w:lang w:val="en-US" w:eastAsia="zh-CN"/>
        </w:rPr>
        <w:t>按照年初项目事前评估和支出绩效指标</w:t>
      </w:r>
      <w:r>
        <w:rPr>
          <w:rFonts w:hint="eastAsia" w:ascii="仿宋_GB2312" w:hAnsi="仿宋_GB2312" w:eastAsia="仿宋_GB2312" w:cs="仿宋_GB2312"/>
          <w:color w:val="000000"/>
          <w:kern w:val="0"/>
          <w:sz w:val="32"/>
          <w:szCs w:val="32"/>
          <w:highlight w:val="none"/>
          <w:shd w:val="clear" w:color="auto" w:fill="FFFFFF"/>
          <w:lang w:val="zh-CN" w:eastAsia="zh-CN"/>
        </w:rPr>
        <w:t>同向执行；</w:t>
      </w:r>
      <w:r>
        <w:rPr>
          <w:rFonts w:hint="eastAsia" w:ascii="仿宋_GB2312" w:hAnsi="仿宋_GB2312" w:eastAsia="仿宋_GB2312" w:cs="仿宋_GB2312"/>
          <w:color w:val="000000"/>
          <w:kern w:val="0"/>
          <w:sz w:val="32"/>
          <w:szCs w:val="32"/>
          <w:highlight w:val="none"/>
          <w:shd w:val="clear" w:color="auto" w:fill="FFFFFF"/>
          <w:lang w:val="en-US" w:eastAsia="zh-CN"/>
        </w:rPr>
        <w:t>期间不存在</w:t>
      </w:r>
      <w:r>
        <w:rPr>
          <w:rFonts w:hint="eastAsia" w:ascii="仿宋_GB2312" w:hAnsi="仿宋_GB2312" w:eastAsia="仿宋_GB2312" w:cs="仿宋_GB2312"/>
          <w:color w:val="000000"/>
          <w:kern w:val="0"/>
          <w:sz w:val="32"/>
          <w:szCs w:val="32"/>
          <w:highlight w:val="none"/>
          <w:shd w:val="clear" w:color="auto" w:fill="FFFFFF"/>
          <w:lang w:val="zh-CN" w:eastAsia="zh-CN"/>
        </w:rPr>
        <w:t>项目调整，</w:t>
      </w:r>
      <w:r>
        <w:rPr>
          <w:rFonts w:hint="eastAsia" w:ascii="仿宋_GB2312" w:hAnsi="仿宋_GB2312" w:eastAsia="仿宋_GB2312" w:cs="仿宋_GB2312"/>
          <w:color w:val="000000"/>
          <w:kern w:val="0"/>
          <w:sz w:val="32"/>
          <w:szCs w:val="32"/>
          <w:highlight w:val="none"/>
          <w:shd w:val="clear" w:color="auto" w:fill="FFFFFF"/>
          <w:lang w:val="en-US" w:eastAsia="zh-CN"/>
        </w:rPr>
        <w:t>年内全部执行，</w:t>
      </w:r>
      <w:r>
        <w:rPr>
          <w:rFonts w:hint="eastAsia" w:ascii="仿宋_GB2312" w:hAnsi="仿宋_GB2312" w:eastAsia="仿宋_GB2312" w:cs="仿宋_GB2312"/>
          <w:color w:val="000000"/>
          <w:kern w:val="0"/>
          <w:sz w:val="32"/>
          <w:szCs w:val="32"/>
          <w:highlight w:val="none"/>
          <w:shd w:val="clear" w:color="auto" w:fill="FFFFFF"/>
          <w:lang w:val="zh-CN" w:eastAsia="zh-CN"/>
        </w:rPr>
        <w:t>执行</w:t>
      </w:r>
      <w:r>
        <w:rPr>
          <w:rFonts w:hint="eastAsia" w:ascii="仿宋_GB2312" w:hAnsi="仿宋_GB2312" w:eastAsia="仿宋_GB2312" w:cs="仿宋_GB2312"/>
          <w:color w:val="000000"/>
          <w:kern w:val="0"/>
          <w:sz w:val="32"/>
          <w:szCs w:val="32"/>
          <w:highlight w:val="none"/>
          <w:shd w:val="clear" w:color="auto" w:fill="FFFFFF"/>
          <w:lang w:val="en-US" w:eastAsia="zh-CN"/>
        </w:rPr>
        <w:t>率达100%</w:t>
      </w:r>
      <w:r>
        <w:rPr>
          <w:rFonts w:hint="eastAsia" w:ascii="仿宋_GB2312" w:hAnsi="仿宋_GB2312" w:eastAsia="仿宋_GB2312" w:cs="仿宋_GB2312"/>
          <w:color w:val="000000"/>
          <w:kern w:val="0"/>
          <w:sz w:val="32"/>
          <w:szCs w:val="32"/>
          <w:highlight w:val="none"/>
          <w:shd w:val="clear" w:color="auto" w:fill="FFFFFF"/>
          <w:lang w:val="zh-CN" w:eastAsia="zh-CN"/>
        </w:rPr>
        <w:t>。</w:t>
      </w:r>
    </w:p>
    <w:p w14:paraId="1887AD83">
      <w:pPr>
        <w:pageBreakBefore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楷体_GB2312" w:cs="Times New Roman"/>
          <w:color w:val="333333"/>
          <w:sz w:val="32"/>
          <w:szCs w:val="32"/>
          <w:highlight w:val="none"/>
          <w:u w:val="none"/>
          <w:shd w:val="clear" w:color="auto" w:fill="auto"/>
          <w:lang w:bidi="ar"/>
        </w:rPr>
      </w:pPr>
      <w:r>
        <w:rPr>
          <w:rFonts w:hint="eastAsia" w:ascii="仿宋_GB2312" w:hAnsi="仿宋_GB2312" w:eastAsia="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rPr>
        <w:t>目标实现。</w:t>
      </w:r>
      <w:r>
        <w:rPr>
          <w:rFonts w:hint="eastAsia" w:ascii="仿宋_GB2312" w:hAnsi="仿宋_GB2312" w:eastAsia="仿宋_GB2312" w:cs="仿宋_GB2312"/>
          <w:snapToGrid/>
          <w:color w:val="000000"/>
          <w:kern w:val="0"/>
          <w:sz w:val="32"/>
          <w:szCs w:val="32"/>
          <w:highlight w:val="none"/>
          <w:shd w:val="clear" w:color="auto" w:fill="FFFFFF"/>
          <w:lang w:val="en-US" w:eastAsia="zh-CN" w:bidi="ar-SA"/>
        </w:rPr>
        <w:t>我单位2025年内项目均按</w:t>
      </w:r>
      <w:r>
        <w:rPr>
          <w:rFonts w:hint="eastAsia" w:ascii="仿宋_GB2312" w:hAnsi="仿宋_GB2312" w:eastAsia="仿宋_GB2312" w:cs="仿宋_GB2312"/>
          <w:snapToGrid/>
          <w:color w:val="000000"/>
          <w:kern w:val="0"/>
          <w:sz w:val="32"/>
          <w:szCs w:val="32"/>
          <w:highlight w:val="none"/>
          <w:shd w:val="clear" w:color="auto" w:fill="FFFFFF"/>
          <w:lang w:val="zh-CN" w:eastAsia="zh-CN" w:bidi="ar-SA"/>
        </w:rPr>
        <w:t>目标完成、目</w:t>
      </w:r>
      <w:r>
        <w:rPr>
          <w:rFonts w:hint="eastAsia" w:ascii="Times New Roman" w:hAnsi="Times New Roman" w:eastAsia="仿宋_GB2312" w:cs="Times New Roman"/>
          <w:snapToGrid/>
          <w:color w:val="000000"/>
          <w:kern w:val="0"/>
          <w:sz w:val="32"/>
          <w:szCs w:val="32"/>
          <w:highlight w:val="none"/>
          <w:shd w:val="clear" w:color="auto" w:fill="FFFFFF"/>
          <w:lang w:val="zh-CN" w:eastAsia="zh-CN" w:bidi="ar-SA"/>
        </w:rPr>
        <w:t>标偏离</w:t>
      </w:r>
      <w:r>
        <w:rPr>
          <w:rFonts w:hint="eastAsia" w:ascii="Times New Roman" w:hAnsi="Times New Roman" w:eastAsia="仿宋_GB2312" w:cs="Times New Roman"/>
          <w:snapToGrid/>
          <w:color w:val="000000"/>
          <w:kern w:val="0"/>
          <w:sz w:val="32"/>
          <w:szCs w:val="32"/>
          <w:highlight w:val="none"/>
          <w:shd w:val="clear" w:color="auto" w:fill="FFFFFF"/>
          <w:lang w:val="en-US" w:eastAsia="zh-CN" w:bidi="ar-SA"/>
        </w:rPr>
        <w:t>度为0。项目的实施有效保障了我单位正常工作运行。主要体现在它的数量指标、时效指标、质量指标、经济效益指标和社会满意度指标上。项目绩效目标和绩效指标量化可考核，相匹配，全面完整，契合政策和项目实质，与部门的长期规划目标、年度工作目标相一致，产出和效果均达到了预期</w:t>
      </w:r>
      <w:r>
        <w:rPr>
          <w:rFonts w:hint="default" w:ascii="Times New Roman" w:hAnsi="Times New Roman" w:eastAsia="仿宋_GB2312" w:cs="Times New Roman"/>
          <w:sz w:val="32"/>
          <w:szCs w:val="32"/>
          <w:highlight w:val="none"/>
          <w:u w:val="none"/>
        </w:rPr>
        <w:t>。</w:t>
      </w:r>
    </w:p>
    <w:p w14:paraId="31EC7FD7">
      <w:pPr>
        <w:keepNext w:val="0"/>
        <w:keepLines w:val="0"/>
        <w:pageBreakBefore w:val="0"/>
        <w:widowControl w:val="0"/>
        <w:kinsoku/>
        <w:wordWrap/>
        <w:overflowPunct/>
        <w:topLinePunct w:val="0"/>
        <w:autoSpaceDE/>
        <w:autoSpaceDN/>
        <w:bidi w:val="0"/>
        <w:snapToGrid w:val="0"/>
        <w:spacing w:line="600" w:lineRule="exact"/>
        <w:ind w:firstLine="643" w:firstLineChars="200"/>
        <w:textAlignment w:val="auto"/>
        <w:rPr>
          <w:rFonts w:hint="default" w:ascii="Times New Roman" w:hAnsi="Times New Roman" w:eastAsia="仿宋_GB2312" w:cs="Times New Roman"/>
          <w:sz w:val="32"/>
          <w:szCs w:val="32"/>
          <w:highlight w:val="none"/>
          <w:u w:val="none"/>
          <w:lang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p>
    <w:p w14:paraId="2D8824B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3EDBA6F2">
      <w:pPr>
        <w:pStyle w:val="16"/>
        <w:keepNext w:val="0"/>
        <w:keepLines w:val="0"/>
        <w:pageBreakBefore w:val="0"/>
        <w:kinsoku/>
        <w:wordWrap/>
        <w:overflowPunct/>
        <w:topLinePunct w:val="0"/>
        <w:autoSpaceDE/>
        <w:autoSpaceDN/>
        <w:bidi w:val="0"/>
        <w:spacing w:before="0" w:beforeAutospacing="0" w:after="0" w:afterAutospacing="0" w:line="576" w:lineRule="exact"/>
        <w:ind w:right="0" w:rightChars="0" w:firstLine="643" w:firstLineChars="200"/>
        <w:textAlignment w:val="auto"/>
        <w:rPr>
          <w:rFonts w:hint="eastAsia" w:ascii="仿宋" w:hAnsi="仿宋" w:eastAsia="仿宋" w:cs="仿宋"/>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仿宋" w:hAnsi="仿宋" w:eastAsia="仿宋" w:cs="仿宋"/>
          <w:color w:val="000000"/>
          <w:sz w:val="32"/>
          <w:szCs w:val="32"/>
        </w:rPr>
        <w:t>建立单位内控制度，</w:t>
      </w:r>
      <w:r>
        <w:rPr>
          <w:rFonts w:hint="eastAsia" w:ascii="仿宋" w:hAnsi="仿宋" w:eastAsia="仿宋" w:cs="仿宋"/>
          <w:sz w:val="32"/>
          <w:szCs w:val="32"/>
        </w:rPr>
        <w:t>在单位内部控制不断完善的基础上，</w:t>
      </w:r>
      <w:r>
        <w:rPr>
          <w:rFonts w:hint="eastAsia" w:ascii="仿宋" w:hAnsi="仿宋" w:eastAsia="仿宋" w:cs="仿宋"/>
          <w:sz w:val="32"/>
          <w:szCs w:val="32"/>
          <w:lang w:eastAsia="zh-CN"/>
        </w:rPr>
        <w:t>针对</w:t>
      </w:r>
      <w:r>
        <w:rPr>
          <w:rFonts w:hint="eastAsia" w:ascii="仿宋" w:hAnsi="仿宋" w:eastAsia="仿宋" w:cs="仿宋"/>
          <w:sz w:val="32"/>
          <w:szCs w:val="32"/>
        </w:rPr>
        <w:t>行政事业单位内部控制的独特性开展内部控制自我评价工作，可以使单位全体人员及时发现内部控制存在的问题，并采取有效改进措施，加大内部控制执行力度，保证行政事业单位内部控制目标的实现。</w:t>
      </w:r>
      <w:r>
        <w:rPr>
          <w:rFonts w:hint="eastAsia" w:ascii="仿宋_GB2312" w:hAnsi="仿宋_GB2312" w:eastAsia="仿宋_GB2312" w:cs="仿宋_GB2312"/>
          <w:color w:val="auto"/>
          <w:sz w:val="32"/>
          <w:szCs w:val="32"/>
          <w:highlight w:val="none"/>
          <w:lang w:val="en-US" w:eastAsia="zh-CN"/>
        </w:rPr>
        <w:t>松潘县发展和改革局部门整体</w:t>
      </w:r>
      <w:r>
        <w:rPr>
          <w:rFonts w:hint="eastAsia" w:ascii="仿宋_GB2312" w:hAnsi="仿宋_GB2312" w:eastAsia="仿宋_GB2312" w:cs="仿宋_GB2312"/>
          <w:color w:val="auto"/>
          <w:sz w:val="32"/>
          <w:szCs w:val="32"/>
          <w:highlight w:val="none"/>
          <w:lang w:eastAsia="zh-CN"/>
        </w:rPr>
        <w:t>（含部门预算项目）</w:t>
      </w:r>
      <w:r>
        <w:rPr>
          <w:rFonts w:hint="eastAsia" w:ascii="仿宋_GB2312" w:hAnsi="仿宋_GB2312" w:eastAsia="仿宋_GB2312" w:cs="仿宋_GB2312"/>
          <w:color w:val="auto"/>
          <w:sz w:val="32"/>
          <w:szCs w:val="32"/>
          <w:highlight w:val="none"/>
          <w:lang w:val="en-US" w:eastAsia="zh-CN"/>
        </w:rPr>
        <w:t>绩效自评得分为89分。</w:t>
      </w:r>
    </w:p>
    <w:p w14:paraId="00F00CA2">
      <w:pPr>
        <w:keepNext w:val="0"/>
        <w:keepLines w:val="0"/>
        <w:pageBreakBefore w:val="0"/>
        <w:widowControl/>
        <w:numPr>
          <w:ilvl w:val="0"/>
          <w:numId w:val="0"/>
        </w:numPr>
        <w:kinsoku/>
        <w:wordWrap/>
        <w:overflowPunct/>
        <w:topLinePunct w:val="0"/>
        <w:bidi w:val="0"/>
        <w:spacing w:line="570" w:lineRule="exact"/>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14:paraId="61C6978F">
      <w:pPr>
        <w:keepNext w:val="0"/>
        <w:keepLines w:val="0"/>
        <w:pageBreakBefore w:val="0"/>
        <w:widowControl/>
        <w:numPr>
          <w:ilvl w:val="0"/>
          <w:numId w:val="0"/>
        </w:numPr>
        <w:kinsoku/>
        <w:wordWrap/>
        <w:overflowPunct/>
        <w:topLinePunct w:val="0"/>
        <w:bidi w:val="0"/>
        <w:spacing w:line="57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1.会计核算方面，存在核算不规范、账务处理不及时现象。</w:t>
      </w:r>
    </w:p>
    <w:p w14:paraId="51E9A5F5">
      <w:pPr>
        <w:keepNext w:val="0"/>
        <w:keepLines w:val="0"/>
        <w:pageBreakBefore w:val="0"/>
        <w:widowControl/>
        <w:kinsoku/>
        <w:wordWrap/>
        <w:overflowPunct/>
        <w:topLinePunct w:val="0"/>
        <w:bidi w:val="0"/>
        <w:spacing w:line="570" w:lineRule="exact"/>
        <w:ind w:firstLine="640" w:firstLineChars="200"/>
        <w:jc w:val="left"/>
        <w:textAlignment w:val="auto"/>
        <w:rPr>
          <w:rFonts w:hint="eastAsia"/>
          <w:lang w:val="en-US" w:eastAsia="zh-CN"/>
        </w:rPr>
      </w:pPr>
      <w:r>
        <w:rPr>
          <w:rFonts w:hint="eastAsia" w:ascii="仿宋_GB2312" w:hAnsi="仿宋_GB2312" w:eastAsia="仿宋_GB2312" w:cs="仿宋_GB2312"/>
          <w:sz w:val="32"/>
          <w:szCs w:val="32"/>
        </w:rPr>
        <w:t>2.资金使用效益有待进一步提高。</w:t>
      </w:r>
    </w:p>
    <w:p w14:paraId="59F309FE">
      <w:pPr>
        <w:keepNext w:val="0"/>
        <w:keepLines w:val="0"/>
        <w:pageBreakBefore w:val="0"/>
        <w:widowControl/>
        <w:kinsoku/>
        <w:wordWrap/>
        <w:overflowPunct/>
        <w:topLinePunct w:val="0"/>
        <w:autoSpaceDE/>
        <w:autoSpaceDN/>
        <w:bidi w:val="0"/>
        <w:adjustRightInd w:val="0"/>
        <w:snapToGrid w:val="0"/>
        <w:spacing w:beforeAutospacing="0" w:afterAutospacing="0" w:line="576" w:lineRule="exact"/>
        <w:ind w:left="0" w:leftChars="0" w:right="0" w:rightChars="0" w:firstLine="720"/>
        <w:jc w:val="left"/>
        <w:textAlignment w:val="auto"/>
        <w:outlineLvl w:val="9"/>
        <w:rPr>
          <w:rFonts w:hint="eastAsia" w:hAnsi="Times New Roman" w:cs="Times New Roman"/>
          <w:color w:val="auto"/>
          <w:sz w:val="32"/>
          <w:szCs w:val="32"/>
          <w:highlight w:val="none"/>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51" w:name="_Hlk110546638"/>
      <w:r>
        <w:rPr>
          <w:rFonts w:hint="eastAsia" w:ascii="仿宋_GB2312" w:hAnsi="仿宋_GB2312" w:eastAsia="仿宋_GB2312" w:cs="仿宋_GB2312"/>
          <w:color w:val="000000"/>
          <w:kern w:val="0"/>
          <w:sz w:val="32"/>
          <w:szCs w:val="32"/>
          <w:lang w:val="zh-CN"/>
        </w:rPr>
        <w:t>我局结合实际就如何继续抓好此项工作提出如下几点意见：一是健全财务制度。二是提升人员素质，加强工作人员学习培训，提升工作人员业务水平、工作能力与责任心。三是继续加大公开力度，强化监督。</w:t>
      </w:r>
      <w:bookmarkEnd w:id="51"/>
    </w:p>
    <w:p w14:paraId="2DA2A246">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004BD553">
      <w:pPr>
        <w:pStyle w:val="7"/>
        <w:rPr>
          <w:rFonts w:hint="eastAsia" w:ascii="Times New Roman" w:hAnsi="Times New Roman" w:cs="宋体"/>
          <w:color w:val="FF0000"/>
          <w:kern w:val="0"/>
          <w:sz w:val="32"/>
          <w:szCs w:val="32"/>
          <w:highlight w:val="yellow"/>
          <w:shd w:val="clear" w:color="auto" w:fill="FFFFFF"/>
          <w:lang w:val="zh-CN"/>
        </w:rPr>
      </w:pPr>
    </w:p>
    <w:p w14:paraId="2E1C9439">
      <w:pPr>
        <w:rPr>
          <w:rFonts w:hint="eastAsia" w:ascii="仿宋_GB2312" w:hAnsi="仿宋_GB2312" w:eastAsia="仿宋_GB2312" w:cs="仿宋_GB2312"/>
          <w:b w:val="0"/>
          <w:bCs w:val="0"/>
          <w:kern w:val="0"/>
          <w:position w:val="0"/>
          <w:sz w:val="32"/>
          <w:szCs w:val="32"/>
          <w:highlight w:val="none"/>
          <w:lang w:val="en-US" w:eastAsia="zh-CN" w:bidi="ar-SA"/>
        </w:rPr>
      </w:pPr>
    </w:p>
    <w:p w14:paraId="7F1E10E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2"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4B723283">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49"/>
      <w:bookmarkEnd w:id="52"/>
      <w:bookmarkStart w:id="53" w:name="_Toc15396619"/>
    </w:p>
    <w:p w14:paraId="4C78248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3C549C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3"/>
    </w:p>
    <w:p w14:paraId="1270759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0"/>
      <w:r>
        <w:rPr>
          <w:rFonts w:hint="eastAsia" w:ascii="Times New Roman" w:hAnsi="Times New Roman" w:eastAsia="仿宋_GB2312" w:cs="仿宋_GB2312"/>
          <w:color w:val="auto"/>
          <w:sz w:val="32"/>
          <w:szCs w:val="32"/>
          <w:highlight w:val="none"/>
        </w:rPr>
        <w:t>二、收入决算表</w:t>
      </w:r>
      <w:bookmarkEnd w:id="54"/>
    </w:p>
    <w:p w14:paraId="16F22E0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1"/>
      <w:r>
        <w:rPr>
          <w:rFonts w:hint="eastAsia" w:ascii="Times New Roman" w:hAnsi="Times New Roman" w:eastAsia="仿宋_GB2312" w:cs="仿宋_GB2312"/>
          <w:color w:val="auto"/>
          <w:sz w:val="32"/>
          <w:szCs w:val="32"/>
          <w:highlight w:val="none"/>
        </w:rPr>
        <w:t>三、支出决算表</w:t>
      </w:r>
      <w:bookmarkEnd w:id="55"/>
    </w:p>
    <w:p w14:paraId="31004F0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2"/>
      <w:r>
        <w:rPr>
          <w:rFonts w:hint="eastAsia" w:ascii="Times New Roman" w:hAnsi="Times New Roman" w:eastAsia="仿宋_GB2312" w:cs="仿宋_GB2312"/>
          <w:color w:val="auto"/>
          <w:sz w:val="32"/>
          <w:szCs w:val="32"/>
          <w:highlight w:val="none"/>
        </w:rPr>
        <w:t>四、财政拨款收入支出决算总表</w:t>
      </w:r>
      <w:bookmarkEnd w:id="56"/>
    </w:p>
    <w:p w14:paraId="1F3C6E3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3"/>
      <w:r>
        <w:rPr>
          <w:rFonts w:hint="eastAsia" w:ascii="Times New Roman" w:hAnsi="Times New Roman" w:eastAsia="仿宋_GB2312" w:cs="仿宋_GB2312"/>
          <w:color w:val="auto"/>
          <w:sz w:val="32"/>
          <w:szCs w:val="32"/>
          <w:highlight w:val="none"/>
        </w:rPr>
        <w:t>五、财政拨款支出决算明细表</w:t>
      </w:r>
      <w:bookmarkEnd w:id="57"/>
      <w:bookmarkStart w:id="58" w:name="_Toc15396624"/>
    </w:p>
    <w:p w14:paraId="2BD020F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8"/>
    </w:p>
    <w:p w14:paraId="03658FC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5"/>
      <w:r>
        <w:rPr>
          <w:rFonts w:hint="eastAsia" w:ascii="Times New Roman" w:hAnsi="Times New Roman" w:eastAsia="仿宋_GB2312" w:cs="仿宋_GB2312"/>
          <w:color w:val="auto"/>
          <w:sz w:val="32"/>
          <w:szCs w:val="32"/>
          <w:highlight w:val="none"/>
        </w:rPr>
        <w:t>七、一般公共预算财政拨款支出决算明细表</w:t>
      </w:r>
      <w:bookmarkEnd w:id="59"/>
    </w:p>
    <w:p w14:paraId="57B6DBF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6"/>
      <w:r>
        <w:rPr>
          <w:rFonts w:hint="eastAsia" w:ascii="Times New Roman" w:hAnsi="Times New Roman" w:eastAsia="仿宋_GB2312" w:cs="仿宋_GB2312"/>
          <w:color w:val="auto"/>
          <w:sz w:val="32"/>
          <w:szCs w:val="32"/>
          <w:highlight w:val="none"/>
        </w:rPr>
        <w:t>八、一般公共预算财政拨款基本支出决算表</w:t>
      </w:r>
      <w:bookmarkEnd w:id="60"/>
    </w:p>
    <w:p w14:paraId="1DDF964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7"/>
      <w:r>
        <w:rPr>
          <w:rFonts w:hint="eastAsia" w:ascii="Times New Roman" w:hAnsi="Times New Roman" w:eastAsia="仿宋_GB2312" w:cs="仿宋_GB2312"/>
          <w:color w:val="auto"/>
          <w:sz w:val="32"/>
          <w:szCs w:val="32"/>
          <w:highlight w:val="none"/>
        </w:rPr>
        <w:t>九、一般公共预算财政拨款项目支出决算表</w:t>
      </w:r>
      <w:bookmarkEnd w:id="61"/>
    </w:p>
    <w:p w14:paraId="5690DB0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8"/>
      <w:r>
        <w:rPr>
          <w:rFonts w:hint="eastAsia" w:ascii="Times New Roman" w:hAnsi="Times New Roman" w:eastAsia="仿宋_GB2312" w:cs="仿宋_GB2312"/>
          <w:color w:val="auto"/>
          <w:sz w:val="32"/>
          <w:szCs w:val="32"/>
          <w:highlight w:val="none"/>
        </w:rPr>
        <w:t>十、</w:t>
      </w:r>
      <w:bookmarkEnd w:id="62"/>
      <w:r>
        <w:rPr>
          <w:rFonts w:hint="eastAsia" w:ascii="Times New Roman" w:hAnsi="Times New Roman" w:eastAsia="仿宋_GB2312" w:cs="仿宋_GB2312"/>
          <w:color w:val="auto"/>
          <w:sz w:val="32"/>
          <w:szCs w:val="32"/>
          <w:highlight w:val="none"/>
        </w:rPr>
        <w:t>政府性基金预算财政拨款收入支出决算表</w:t>
      </w:r>
    </w:p>
    <w:p w14:paraId="62E2848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9"/>
      <w:r>
        <w:rPr>
          <w:rFonts w:hint="eastAsia" w:ascii="Times New Roman" w:hAnsi="Times New Roman" w:eastAsia="仿宋_GB2312" w:cs="仿宋_GB2312"/>
          <w:color w:val="auto"/>
          <w:sz w:val="32"/>
          <w:szCs w:val="32"/>
          <w:highlight w:val="none"/>
        </w:rPr>
        <w:t>十一、</w:t>
      </w:r>
      <w:bookmarkEnd w:id="6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B8A427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30"/>
      <w:r>
        <w:rPr>
          <w:rFonts w:hint="eastAsia" w:ascii="Times New Roman" w:hAnsi="Times New Roman" w:eastAsia="仿宋_GB2312" w:cs="仿宋_GB2312"/>
          <w:color w:val="auto"/>
          <w:sz w:val="32"/>
          <w:szCs w:val="32"/>
          <w:highlight w:val="none"/>
        </w:rPr>
        <w:t>十二、</w:t>
      </w:r>
      <w:bookmarkEnd w:id="64"/>
      <w:r>
        <w:rPr>
          <w:rFonts w:hint="eastAsia" w:ascii="Times New Roman" w:hAnsi="Times New Roman" w:eastAsia="仿宋_GB2312" w:cs="仿宋_GB2312"/>
          <w:color w:val="auto"/>
          <w:sz w:val="32"/>
          <w:szCs w:val="32"/>
          <w:highlight w:val="none"/>
          <w:lang w:eastAsia="zh-CN"/>
        </w:rPr>
        <w:t>国有资本经营预算财政拨款支出决算表</w:t>
      </w:r>
    </w:p>
    <w:p w14:paraId="1115F3A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5" w:name="_Toc15396631"/>
      <w:r>
        <w:rPr>
          <w:rFonts w:hint="eastAsia" w:ascii="Times New Roman" w:hAnsi="Times New Roman" w:eastAsia="仿宋_GB2312" w:cs="仿宋_GB2312"/>
          <w:color w:val="auto"/>
          <w:sz w:val="32"/>
          <w:szCs w:val="32"/>
          <w:highlight w:val="none"/>
        </w:rPr>
        <w:t>十三、</w:t>
      </w:r>
      <w:bookmarkEnd w:id="65"/>
      <w:r>
        <w:rPr>
          <w:rFonts w:hint="eastAsia" w:ascii="Times New Roman" w:hAnsi="Times New Roman" w:eastAsia="仿宋_GB2312" w:cs="仿宋_GB2312"/>
          <w:color w:val="auto"/>
          <w:sz w:val="32"/>
          <w:szCs w:val="32"/>
          <w:highlight w:val="none"/>
          <w:lang w:eastAsia="zh-CN"/>
        </w:rPr>
        <w:t>财政拨款“三公”经费支出决算表</w:t>
      </w:r>
    </w:p>
    <w:p w14:paraId="50C1BB1F">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537FE09-8032-4020-8051-AD9D7D09EB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6F5CFB63-4DC6-4A4B-A2F7-A32A5ABBF602}"/>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EB5CB0A8-9391-4DED-B24D-AF73349D9671}"/>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embedRegular r:id="rId4" w:fontKey="{B3F95A68-899A-4E19-98FE-DAFAD38F2043}"/>
  </w:font>
  <w:font w:name="楷体_GB2312">
    <w:panose1 w:val="02010609030101010101"/>
    <w:charset w:val="86"/>
    <w:family w:val="auto"/>
    <w:pitch w:val="default"/>
    <w:sig w:usb0="00000001" w:usb1="080E0000" w:usb2="00000000" w:usb3="00000000" w:csb0="00040000" w:csb1="00000000"/>
    <w:embedRegular r:id="rId5" w:fontKey="{84A7410D-4CA4-4055-ADC3-47D552522E4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1E451">
    <w:pPr>
      <w:pStyle w:val="10"/>
      <w:jc w:val="center"/>
    </w:pPr>
  </w:p>
  <w:p w14:paraId="24AAFA7D">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D78BE">
    <w:pPr>
      <w:pStyle w:val="10"/>
      <w:jc w:val="center"/>
    </w:pPr>
  </w:p>
  <w:p w14:paraId="497D14F8">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083CF">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63508">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4E179E"/>
    <w:multiLevelType w:val="singleLevel"/>
    <w:tmpl w:val="9A4E179E"/>
    <w:lvl w:ilvl="0" w:tentative="0">
      <w:start w:val="1"/>
      <w:numFmt w:val="decimal"/>
      <w:lvlText w:val="%1."/>
      <w:lvlJc w:val="left"/>
      <w:pPr>
        <w:tabs>
          <w:tab w:val="left" w:pos="312"/>
        </w:tabs>
      </w:pPr>
    </w:lvl>
  </w:abstractNum>
  <w:abstractNum w:abstractNumId="1">
    <w:nsid w:val="E4D0333B"/>
    <w:multiLevelType w:val="singleLevel"/>
    <w:tmpl w:val="E4D0333B"/>
    <w:lvl w:ilvl="0" w:tentative="0">
      <w:start w:val="1"/>
      <w:numFmt w:val="chineseCounting"/>
      <w:suff w:val="nothing"/>
      <w:lvlText w:val="%1、"/>
      <w:lvlJc w:val="left"/>
      <w:rPr>
        <w:rFonts w:hint="eastAsia"/>
      </w:rPr>
    </w:lvl>
  </w:abstractNum>
  <w:abstractNum w:abstractNumId="2">
    <w:nsid w:val="0AD2B963"/>
    <w:multiLevelType w:val="singleLevel"/>
    <w:tmpl w:val="0AD2B963"/>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389447C"/>
    <w:rsid w:val="04916F1E"/>
    <w:rsid w:val="061E35DE"/>
    <w:rsid w:val="066E0107"/>
    <w:rsid w:val="07996F6E"/>
    <w:rsid w:val="07DFD8BA"/>
    <w:rsid w:val="0964405F"/>
    <w:rsid w:val="09867E8F"/>
    <w:rsid w:val="0A2032A3"/>
    <w:rsid w:val="0CA8290A"/>
    <w:rsid w:val="0D35B1ED"/>
    <w:rsid w:val="0E254B6B"/>
    <w:rsid w:val="0F98263C"/>
    <w:rsid w:val="101860EC"/>
    <w:rsid w:val="101F47CC"/>
    <w:rsid w:val="10C055FF"/>
    <w:rsid w:val="11694EBD"/>
    <w:rsid w:val="11772AA4"/>
    <w:rsid w:val="118107EC"/>
    <w:rsid w:val="123F5684"/>
    <w:rsid w:val="12A439DE"/>
    <w:rsid w:val="12E24EE2"/>
    <w:rsid w:val="13D50BC4"/>
    <w:rsid w:val="14B17F78"/>
    <w:rsid w:val="1584257A"/>
    <w:rsid w:val="165E0673"/>
    <w:rsid w:val="16B831D5"/>
    <w:rsid w:val="16BB723D"/>
    <w:rsid w:val="16F878D7"/>
    <w:rsid w:val="17E50567"/>
    <w:rsid w:val="17E72A72"/>
    <w:rsid w:val="186504BB"/>
    <w:rsid w:val="18D50475"/>
    <w:rsid w:val="19A445FC"/>
    <w:rsid w:val="1BB36155"/>
    <w:rsid w:val="1BE8440E"/>
    <w:rsid w:val="1D155CEE"/>
    <w:rsid w:val="1D1638FE"/>
    <w:rsid w:val="1E312DEB"/>
    <w:rsid w:val="1E740ACF"/>
    <w:rsid w:val="1FF35744"/>
    <w:rsid w:val="1FF6BC77"/>
    <w:rsid w:val="2186353C"/>
    <w:rsid w:val="2377653E"/>
    <w:rsid w:val="23860B96"/>
    <w:rsid w:val="23D81E02"/>
    <w:rsid w:val="240371BF"/>
    <w:rsid w:val="244F3473"/>
    <w:rsid w:val="24BE20ED"/>
    <w:rsid w:val="24C97D99"/>
    <w:rsid w:val="25A718F0"/>
    <w:rsid w:val="25B678A8"/>
    <w:rsid w:val="25BB59F6"/>
    <w:rsid w:val="260F557C"/>
    <w:rsid w:val="26970054"/>
    <w:rsid w:val="277C7BD6"/>
    <w:rsid w:val="27FB5B5F"/>
    <w:rsid w:val="281408E2"/>
    <w:rsid w:val="28854BC0"/>
    <w:rsid w:val="294739C9"/>
    <w:rsid w:val="29FD04D3"/>
    <w:rsid w:val="2BFF7BC6"/>
    <w:rsid w:val="2C8A61B5"/>
    <w:rsid w:val="2DF04E50"/>
    <w:rsid w:val="2E586DFA"/>
    <w:rsid w:val="2E5E7D17"/>
    <w:rsid w:val="2F040D46"/>
    <w:rsid w:val="2F6B035B"/>
    <w:rsid w:val="2FAE5751"/>
    <w:rsid w:val="2FB1A395"/>
    <w:rsid w:val="2FD9A7D8"/>
    <w:rsid w:val="2FDBF714"/>
    <w:rsid w:val="30AB6865"/>
    <w:rsid w:val="319F7F4E"/>
    <w:rsid w:val="32BD1EF1"/>
    <w:rsid w:val="3304709D"/>
    <w:rsid w:val="33A773CB"/>
    <w:rsid w:val="349D6851"/>
    <w:rsid w:val="36AA5135"/>
    <w:rsid w:val="36AB328C"/>
    <w:rsid w:val="36BE0DA7"/>
    <w:rsid w:val="370A0934"/>
    <w:rsid w:val="376B6AA6"/>
    <w:rsid w:val="376D39B2"/>
    <w:rsid w:val="37E16F03"/>
    <w:rsid w:val="37F53A3B"/>
    <w:rsid w:val="389B6C89"/>
    <w:rsid w:val="38D469F0"/>
    <w:rsid w:val="39627CCD"/>
    <w:rsid w:val="397BAF1F"/>
    <w:rsid w:val="39E01D3F"/>
    <w:rsid w:val="39E30ACA"/>
    <w:rsid w:val="3A0B7ECD"/>
    <w:rsid w:val="3AB79AF3"/>
    <w:rsid w:val="3ACA3DC6"/>
    <w:rsid w:val="3AE834C0"/>
    <w:rsid w:val="3B7EF35A"/>
    <w:rsid w:val="3B9FDB6C"/>
    <w:rsid w:val="3BF5BC2F"/>
    <w:rsid w:val="3CEBA265"/>
    <w:rsid w:val="3D98207C"/>
    <w:rsid w:val="3DEE7CF3"/>
    <w:rsid w:val="3E740A63"/>
    <w:rsid w:val="3E78745D"/>
    <w:rsid w:val="3EE17838"/>
    <w:rsid w:val="3F55381A"/>
    <w:rsid w:val="3F7F7599"/>
    <w:rsid w:val="3FF4CAE0"/>
    <w:rsid w:val="3FF7B227"/>
    <w:rsid w:val="403B5EDC"/>
    <w:rsid w:val="41F94D80"/>
    <w:rsid w:val="4225707C"/>
    <w:rsid w:val="43DA1F54"/>
    <w:rsid w:val="44E268DA"/>
    <w:rsid w:val="450D13D7"/>
    <w:rsid w:val="45506656"/>
    <w:rsid w:val="486A6C7A"/>
    <w:rsid w:val="49241EF5"/>
    <w:rsid w:val="4A627F82"/>
    <w:rsid w:val="4B0E749A"/>
    <w:rsid w:val="4B2477C4"/>
    <w:rsid w:val="4B4F25DA"/>
    <w:rsid w:val="4BE068DB"/>
    <w:rsid w:val="4C1249C5"/>
    <w:rsid w:val="4D577224"/>
    <w:rsid w:val="4DBF1CEB"/>
    <w:rsid w:val="4DF0007C"/>
    <w:rsid w:val="4EAB630A"/>
    <w:rsid w:val="4ECA563F"/>
    <w:rsid w:val="4ECE2238"/>
    <w:rsid w:val="4F833267"/>
    <w:rsid w:val="4FE9BD67"/>
    <w:rsid w:val="4FFB052F"/>
    <w:rsid w:val="517C4F28"/>
    <w:rsid w:val="537E6D0A"/>
    <w:rsid w:val="53F74C96"/>
    <w:rsid w:val="54843939"/>
    <w:rsid w:val="55170BA8"/>
    <w:rsid w:val="553218C9"/>
    <w:rsid w:val="55D154DF"/>
    <w:rsid w:val="567E1AA5"/>
    <w:rsid w:val="56E47B74"/>
    <w:rsid w:val="57175D52"/>
    <w:rsid w:val="57524274"/>
    <w:rsid w:val="57AE1AFC"/>
    <w:rsid w:val="57BD3DD4"/>
    <w:rsid w:val="58AE1877"/>
    <w:rsid w:val="58FA2157"/>
    <w:rsid w:val="596B56EC"/>
    <w:rsid w:val="59785765"/>
    <w:rsid w:val="5AF92295"/>
    <w:rsid w:val="5B250254"/>
    <w:rsid w:val="5BAF51D7"/>
    <w:rsid w:val="5BDD79E6"/>
    <w:rsid w:val="5BF561CA"/>
    <w:rsid w:val="5BFF5DFC"/>
    <w:rsid w:val="5C5B1215"/>
    <w:rsid w:val="5CD71FC4"/>
    <w:rsid w:val="5D1F11B5"/>
    <w:rsid w:val="5D695134"/>
    <w:rsid w:val="5DAE1B18"/>
    <w:rsid w:val="5DC60467"/>
    <w:rsid w:val="5DE7D9E5"/>
    <w:rsid w:val="5ECEC941"/>
    <w:rsid w:val="5FBF9FF3"/>
    <w:rsid w:val="5FCD4E2C"/>
    <w:rsid w:val="5FEF394A"/>
    <w:rsid w:val="5FF67715"/>
    <w:rsid w:val="62BF3928"/>
    <w:rsid w:val="634B78AC"/>
    <w:rsid w:val="63B3701E"/>
    <w:rsid w:val="63E0179C"/>
    <w:rsid w:val="64034CDF"/>
    <w:rsid w:val="647F5392"/>
    <w:rsid w:val="65E66580"/>
    <w:rsid w:val="664B1D71"/>
    <w:rsid w:val="664B4E8E"/>
    <w:rsid w:val="67277B67"/>
    <w:rsid w:val="675820EA"/>
    <w:rsid w:val="67AA3209"/>
    <w:rsid w:val="698D0931"/>
    <w:rsid w:val="6A7FE5F3"/>
    <w:rsid w:val="6AEF30A4"/>
    <w:rsid w:val="6B053271"/>
    <w:rsid w:val="6BDD78B3"/>
    <w:rsid w:val="6C4A05C8"/>
    <w:rsid w:val="6C56130D"/>
    <w:rsid w:val="6C8742B8"/>
    <w:rsid w:val="6DBF5E93"/>
    <w:rsid w:val="6DEB00EB"/>
    <w:rsid w:val="6DFF077E"/>
    <w:rsid w:val="6E681DC9"/>
    <w:rsid w:val="6E714EF0"/>
    <w:rsid w:val="6E7E3605"/>
    <w:rsid w:val="6E7FDCC7"/>
    <w:rsid w:val="6ED6A62E"/>
    <w:rsid w:val="6EE00B15"/>
    <w:rsid w:val="6F6FB3EB"/>
    <w:rsid w:val="6F8731EA"/>
    <w:rsid w:val="6FCE6052"/>
    <w:rsid w:val="6FD57C00"/>
    <w:rsid w:val="6FEFFFD8"/>
    <w:rsid w:val="6FF5CC65"/>
    <w:rsid w:val="6FFB47EC"/>
    <w:rsid w:val="6FFF034A"/>
    <w:rsid w:val="70484440"/>
    <w:rsid w:val="704B41B9"/>
    <w:rsid w:val="712A28F1"/>
    <w:rsid w:val="715C0E4B"/>
    <w:rsid w:val="71992E7C"/>
    <w:rsid w:val="72014A35"/>
    <w:rsid w:val="72233669"/>
    <w:rsid w:val="72734D90"/>
    <w:rsid w:val="73160E6D"/>
    <w:rsid w:val="7332FE48"/>
    <w:rsid w:val="73AB61DA"/>
    <w:rsid w:val="73AD73D5"/>
    <w:rsid w:val="73B6EB34"/>
    <w:rsid w:val="73FA497D"/>
    <w:rsid w:val="744731E5"/>
    <w:rsid w:val="74BBD01D"/>
    <w:rsid w:val="74ED5379"/>
    <w:rsid w:val="75DEEEC2"/>
    <w:rsid w:val="75E32345"/>
    <w:rsid w:val="76AF78D7"/>
    <w:rsid w:val="76E3355F"/>
    <w:rsid w:val="76FF5125"/>
    <w:rsid w:val="776F6FFA"/>
    <w:rsid w:val="778769C8"/>
    <w:rsid w:val="77A75DCA"/>
    <w:rsid w:val="77DC22F5"/>
    <w:rsid w:val="77DD0D2E"/>
    <w:rsid w:val="783E271A"/>
    <w:rsid w:val="78616DE9"/>
    <w:rsid w:val="78E875D7"/>
    <w:rsid w:val="79086DAD"/>
    <w:rsid w:val="79D04C59"/>
    <w:rsid w:val="79D7FD79"/>
    <w:rsid w:val="79EE5BA4"/>
    <w:rsid w:val="7A894339"/>
    <w:rsid w:val="7AD284E8"/>
    <w:rsid w:val="7AFF7572"/>
    <w:rsid w:val="7B6C7DFB"/>
    <w:rsid w:val="7BBFBED0"/>
    <w:rsid w:val="7BC3E394"/>
    <w:rsid w:val="7C1F3737"/>
    <w:rsid w:val="7CBFC87B"/>
    <w:rsid w:val="7CFE0F48"/>
    <w:rsid w:val="7D272ABC"/>
    <w:rsid w:val="7D7EC23E"/>
    <w:rsid w:val="7E826976"/>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7">
    <w:name w:val="Body Text"/>
    <w:basedOn w:val="1"/>
    <w:link w:val="27"/>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2"/>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6">
    <w:name w:val="Normal (Web)"/>
    <w:basedOn w:val="1"/>
    <w:next w:val="1"/>
    <w:qFormat/>
    <w:uiPriority w:val="0"/>
    <w:pPr>
      <w:spacing w:before="100" w:beforeAutospacing="1" w:after="10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1"/>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4"/>
    <w:qFormat/>
    <w:uiPriority w:val="9"/>
    <w:rPr>
      <w:rFonts w:ascii="Times New Roman" w:hAnsi="Times New Roman"/>
      <w:b/>
      <w:bCs/>
      <w:kern w:val="44"/>
      <w:sz w:val="44"/>
      <w:szCs w:val="44"/>
    </w:rPr>
  </w:style>
  <w:style w:type="character" w:customStyle="1" w:styleId="31">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2">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6"/>
    <w:qFormat/>
    <w:uiPriority w:val="9"/>
    <w:rPr>
      <w:rFonts w:ascii="Times New Roman" w:hAnsi="Times New Roman"/>
      <w:b/>
      <w:bCs/>
      <w:kern w:val="2"/>
      <w:sz w:val="32"/>
      <w:szCs w:val="32"/>
    </w:rPr>
  </w:style>
  <w:style w:type="paragraph" w:customStyle="1" w:styleId="35">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0f5412eb-875f-4ce6-a09f-36419088a537</errorID>
      <errorWord>党要管党、从严治党</errorWord>
      <group>L1_Political</group>
      <groupName>政治性问题</groupName>
      <ability>L2_Unpolitical</ability>
      <abilityName>政治敏感错误</abilityName>
      <candidateList>
        <item>党要管党、全面从严治党</item>
      </candidateList>
      <explain/>
      <paraID>75E5AE84</paraID>
      <start>5</start>
      <end>16</end>
      <status>modified</status>
      <modifiedWord>党要管党、全面从严治党</modifiedWord>
      <trackRevisions>false</trackRevisions>
    </reviewItem>
    <reviewItem>
      <errorID>8ff9ea7a-f832-4c53-972f-793613a26bd3</errorID>
      <errorWord>法制的宣传教育</errorWord>
      <group>L1_Political</group>
      <groupName>政治性问题</groupName>
      <ability>L2_Keyword</ability>
      <abilityName>固定表述</abilityName>
      <candidateList>
        <item>法治宣传教育</item>
      </candidateList>
      <explain>词汇“法治宣传教育”在特定场景下为固定表述形式，请确认此处的“法制的宣传教育”是否存在不当。</explain>
      <paraID>23402C31</paraID>
      <start>445</start>
      <end>451</end>
      <status>modified</status>
      <modifiedWord>法治宣传教育</modifiedWord>
      <trackRevisions>false</trackRevisions>
    </reviewItem>
    <reviewItem>
      <errorID>8d9bc707-a5b9-4888-8bac-b42d0a276173</errorID>
      <errorWord>组组</errorWord>
      <group>L1_Word</group>
      <groupName>字词问题</groupName>
      <ability>L2_Typo</ability>
      <abilityName>字词错误</abilityName>
      <candidateList>
        <item>组</item>
      </candidateList>
      <explain/>
      <paraID>2F5AD092</paraID>
      <start>137</start>
      <end>138</end>
      <status>modified</status>
      <modifiedWord>组</modifiedWord>
      <trackRevisions>false</trackRevisions>
    </reviewItem>
    <reviewItem>
      <errorID>7781ce1d-95e7-4df6-a7cc-11c07bbc4b63</errorID>
      <errorWord>外商提资</errorWord>
      <group>L1_Knowledge</group>
      <groupName>知识性问题</groupName>
      <ability>L2_Knowledge</ability>
      <abilityName>其他知识</abilityName>
      <candidateList>
        <item>外商投资</item>
      </candidateList>
      <explain/>
      <paraID>422228E5</paraID>
      <start>297</start>
      <end>301</end>
      <status>modified</status>
      <modifiedWord>外商投资</modifiedWord>
      <trackRevisions>false</trackRevisions>
    </reviewItem>
    <reviewItem>
      <errorID>41cf473f-7cba-4e62-b9da-193e61c75450</errorID>
      <errorWord>计划计划</errorWord>
      <group>L1_Word</group>
      <groupName>字词问题</groupName>
      <ability>L2_Typo</ability>
      <abilityName>字词错误</abilityName>
      <candidateList>
        <item>计划</item>
      </candidateList>
      <explain/>
      <paraID>7987A9E1</paraID>
      <start>53</start>
      <end>55</end>
      <status>modified</status>
      <modifiedWord>计划</modifiedWord>
      <trackRevisions>false</trackRevisions>
    </reviewItem>
  </reviewItems>
  <config/>
</contractReview>
</file>

<file path=customXml/itemProps1.xml><?xml version="1.0" encoding="utf-8"?>
<ds:datastoreItem xmlns:ds="http://schemas.openxmlformats.org/officeDocument/2006/customXml" ds:itemID="{325f6a1f-b865-438d-a2da-8b081c9c123f}">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55</Pages>
  <Words>27549</Words>
  <Characters>28241</Characters>
  <Lines>61</Lines>
  <Paragraphs>17</Paragraphs>
  <TotalTime>6</TotalTime>
  <ScaleCrop>false</ScaleCrop>
  <LinksUpToDate>false</LinksUpToDate>
  <CharactersWithSpaces>28373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对影成三人</cp:lastModifiedBy>
  <cp:lastPrinted>2025-08-06T17:34:00Z</cp:lastPrinted>
  <dcterms:modified xsi:type="dcterms:W3CDTF">2026-10-20T08:03:24Z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04787F2533EB45DC91BCDE4AB213247F</vt:lpwstr>
  </property>
  <property fmtid="{D5CDD505-2E9C-101B-9397-08002B2CF9AE}" pid="4" name="KSOTemplateDocerSaveRecord">
    <vt:lpwstr>eyJoZGlkIjoiYjA1ZDg3Y2Y1MzJlNDVjZjA5NTk4YjViYTliYmM3NTYiLCJ1c2VySWQiOiIyNDIyNDYwNDUifQ==</vt:lpwstr>
  </property>
</Properties>
</file>