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theme/themeOverride1.xml" ContentType="application/vnd.openxmlformats-officedocument.themeOverrid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364F42">
      <w:pPr>
        <w:pStyle w:val="5"/>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06267"/>
      <w:bookmarkStart w:id="1" w:name="_Toc15378441"/>
      <w:bookmarkStart w:id="2" w:name="_Toc15396597"/>
      <w:bookmarkStart w:id="3" w:name="_Toc15377193"/>
      <w:bookmarkStart w:id="4" w:name="_Toc15396475"/>
      <w:bookmarkStart w:id="5" w:name="_Toc15377425"/>
    </w:p>
    <w:bookmarkEnd w:id="0"/>
    <w:bookmarkEnd w:id="1"/>
    <w:bookmarkEnd w:id="2"/>
    <w:bookmarkEnd w:id="3"/>
    <w:bookmarkEnd w:id="4"/>
    <w:bookmarkEnd w:id="5"/>
    <w:p w14:paraId="1AFC4BE9">
      <w:pPr>
        <w:widowControl w:val="0"/>
        <w:suppressAutoHyphens/>
        <w:bidi w:val="0"/>
        <w:spacing w:before="0" w:after="140" w:line="276" w:lineRule="auto"/>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2025年度四川省阿坝州中共松潘县委党校部门决算</w:t>
      </w:r>
    </w:p>
    <w:p w14:paraId="5DC569A3">
      <w:pPr>
        <w:pStyle w:val="5"/>
        <w:jc w:val="center"/>
        <w:rPr>
          <w:rFonts w:hint="eastAsia" w:ascii="Times New Roman" w:hAnsi="Times New Roman" w:eastAsia="方正小标宋简体" w:cs="Times New Roman"/>
          <w:color w:val="auto"/>
          <w:kern w:val="2"/>
          <w:sz w:val="44"/>
          <w:szCs w:val="44"/>
          <w:highlight w:val="none"/>
          <w:lang w:val="en-US" w:eastAsia="zh-CN" w:bidi="ar-SA"/>
        </w:rPr>
      </w:pPr>
    </w:p>
    <w:p w14:paraId="44588312">
      <w:pPr>
        <w:widowControl/>
        <w:jc w:val="center"/>
        <w:rPr>
          <w:rFonts w:hint="eastAsia" w:ascii="Times New Roman" w:hAnsi="Times New Roman" w:eastAsia="黑体"/>
          <w:color w:val="auto"/>
          <w:sz w:val="48"/>
          <w:szCs w:val="48"/>
          <w:highlight w:val="none"/>
        </w:rPr>
      </w:pPr>
    </w:p>
    <w:p w14:paraId="34614AEB">
      <w:pPr>
        <w:widowControl/>
        <w:jc w:val="center"/>
        <w:rPr>
          <w:rFonts w:hint="eastAsia" w:ascii="Times New Roman" w:hAnsi="Times New Roman" w:eastAsia="黑体"/>
          <w:color w:val="auto"/>
          <w:sz w:val="48"/>
          <w:szCs w:val="48"/>
          <w:highlight w:val="none"/>
        </w:rPr>
      </w:pPr>
    </w:p>
    <w:p w14:paraId="64443A0F">
      <w:pPr>
        <w:widowControl/>
        <w:jc w:val="center"/>
        <w:rPr>
          <w:rFonts w:hint="eastAsia" w:ascii="Times New Roman" w:hAnsi="Times New Roman" w:eastAsia="黑体"/>
          <w:color w:val="auto"/>
          <w:sz w:val="48"/>
          <w:szCs w:val="48"/>
          <w:highlight w:val="none"/>
        </w:rPr>
      </w:pPr>
    </w:p>
    <w:p w14:paraId="7015C929">
      <w:pPr>
        <w:widowControl/>
        <w:jc w:val="center"/>
        <w:rPr>
          <w:rFonts w:hint="eastAsia" w:ascii="Times New Roman" w:hAnsi="Times New Roman" w:eastAsia="黑体"/>
          <w:color w:val="auto"/>
          <w:sz w:val="48"/>
          <w:szCs w:val="48"/>
          <w:highlight w:val="none"/>
        </w:rPr>
      </w:pPr>
    </w:p>
    <w:p w14:paraId="76B47273">
      <w:pPr>
        <w:widowControl/>
        <w:jc w:val="center"/>
        <w:rPr>
          <w:rFonts w:hint="eastAsia" w:ascii="Times New Roman" w:hAnsi="Times New Roman" w:eastAsia="黑体"/>
          <w:color w:val="auto"/>
          <w:sz w:val="48"/>
          <w:szCs w:val="48"/>
          <w:highlight w:val="none"/>
        </w:rPr>
      </w:pPr>
    </w:p>
    <w:p w14:paraId="2A5EF3A1">
      <w:pPr>
        <w:widowControl/>
        <w:jc w:val="center"/>
        <w:rPr>
          <w:rFonts w:hint="eastAsia" w:ascii="Times New Roman" w:hAnsi="Times New Roman" w:eastAsia="黑体"/>
          <w:color w:val="auto"/>
          <w:sz w:val="48"/>
          <w:szCs w:val="48"/>
          <w:highlight w:val="none"/>
        </w:rPr>
      </w:pPr>
    </w:p>
    <w:p w14:paraId="6591D577">
      <w:pPr>
        <w:widowControl/>
        <w:jc w:val="center"/>
        <w:rPr>
          <w:rFonts w:hint="eastAsia" w:ascii="Times New Roman" w:hAnsi="Times New Roman" w:eastAsia="黑体"/>
          <w:color w:val="auto"/>
          <w:sz w:val="48"/>
          <w:szCs w:val="48"/>
          <w:highlight w:val="none"/>
        </w:rPr>
      </w:pPr>
    </w:p>
    <w:p w14:paraId="09CDC0E1">
      <w:pPr>
        <w:widowControl/>
        <w:jc w:val="center"/>
        <w:rPr>
          <w:rFonts w:hint="eastAsia" w:ascii="Times New Roman" w:hAnsi="Times New Roman" w:eastAsia="黑体"/>
          <w:color w:val="auto"/>
          <w:sz w:val="48"/>
          <w:szCs w:val="48"/>
          <w:highlight w:val="none"/>
        </w:rPr>
      </w:pPr>
    </w:p>
    <w:p w14:paraId="65A826B8">
      <w:pPr>
        <w:widowControl/>
        <w:jc w:val="center"/>
        <w:rPr>
          <w:rFonts w:hint="eastAsia" w:ascii="Times New Roman" w:hAnsi="Times New Roman" w:eastAsia="黑体"/>
          <w:color w:val="auto"/>
          <w:sz w:val="48"/>
          <w:szCs w:val="48"/>
          <w:highlight w:val="none"/>
        </w:rPr>
      </w:pPr>
    </w:p>
    <w:p w14:paraId="7A5C1853">
      <w:pPr>
        <w:widowControl/>
        <w:jc w:val="center"/>
        <w:rPr>
          <w:rFonts w:hint="eastAsia" w:ascii="Times New Roman" w:hAnsi="Times New Roman" w:eastAsia="黑体"/>
          <w:color w:val="auto"/>
          <w:sz w:val="48"/>
          <w:szCs w:val="48"/>
          <w:highlight w:val="none"/>
        </w:rPr>
      </w:pPr>
    </w:p>
    <w:p w14:paraId="0DCE12D9">
      <w:pPr>
        <w:widowControl/>
        <w:jc w:val="center"/>
        <w:rPr>
          <w:rFonts w:hint="eastAsia" w:ascii="Times New Roman" w:hAnsi="Times New Roman" w:eastAsia="黑体"/>
          <w:color w:val="auto"/>
          <w:sz w:val="48"/>
          <w:szCs w:val="48"/>
          <w:highlight w:val="none"/>
        </w:rPr>
      </w:pPr>
    </w:p>
    <w:p w14:paraId="03FFA7C7">
      <w:pPr>
        <w:widowControl/>
        <w:jc w:val="center"/>
        <w:rPr>
          <w:rFonts w:hint="eastAsia" w:ascii="Times New Roman" w:hAnsi="Times New Roman" w:eastAsia="黑体"/>
          <w:color w:val="auto"/>
          <w:sz w:val="48"/>
          <w:szCs w:val="48"/>
          <w:highlight w:val="none"/>
        </w:rPr>
      </w:pPr>
    </w:p>
    <w:p w14:paraId="2EE044A9">
      <w:pPr>
        <w:widowControl/>
        <w:jc w:val="center"/>
        <w:rPr>
          <w:rFonts w:hint="eastAsia" w:ascii="Times New Roman" w:hAnsi="Times New Roman" w:eastAsia="黑体"/>
          <w:color w:val="auto"/>
          <w:sz w:val="48"/>
          <w:szCs w:val="48"/>
          <w:highlight w:val="none"/>
        </w:rPr>
      </w:pPr>
    </w:p>
    <w:p w14:paraId="6F31157A">
      <w:pPr>
        <w:widowControl/>
        <w:jc w:val="center"/>
        <w:rPr>
          <w:rFonts w:hint="eastAsia" w:ascii="Times New Roman" w:hAnsi="Times New Roman" w:eastAsia="黑体"/>
          <w:color w:val="auto"/>
          <w:sz w:val="48"/>
          <w:szCs w:val="48"/>
          <w:highlight w:val="none"/>
        </w:rPr>
      </w:pPr>
    </w:p>
    <w:p w14:paraId="4A092C9E">
      <w:pPr>
        <w:widowControl/>
        <w:jc w:val="center"/>
        <w:rPr>
          <w:rFonts w:hint="eastAsia" w:ascii="Times New Roman" w:hAnsi="Times New Roman" w:eastAsia="黑体"/>
          <w:color w:val="auto"/>
          <w:sz w:val="48"/>
          <w:szCs w:val="48"/>
          <w:highlight w:val="none"/>
        </w:rPr>
      </w:pPr>
    </w:p>
    <w:p w14:paraId="40FE3FB6">
      <w:pPr>
        <w:widowControl/>
        <w:jc w:val="center"/>
        <w:rPr>
          <w:rFonts w:hint="eastAsia" w:ascii="Times New Roman" w:hAnsi="Times New Roman" w:eastAsia="黑体"/>
          <w:color w:val="auto"/>
          <w:sz w:val="48"/>
          <w:szCs w:val="48"/>
          <w:highlight w:val="none"/>
        </w:rPr>
      </w:pPr>
    </w:p>
    <w:p w14:paraId="46C6A67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FA556FB">
      <w:pPr>
        <w:widowControl/>
        <w:jc w:val="center"/>
        <w:rPr>
          <w:rFonts w:ascii="Times New Roman" w:hAnsi="Times New Roman" w:eastAsia="黑体" w:cstheme="minorBidi"/>
          <w:color w:val="auto"/>
          <w:sz w:val="28"/>
          <w:szCs w:val="28"/>
          <w:highlight w:val="none"/>
        </w:rPr>
      </w:pPr>
    </w:p>
    <w:p w14:paraId="7573C6D4">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15</w:t>
      </w:r>
      <w:r>
        <w:rPr>
          <w:rFonts w:hint="eastAsia" w:ascii="Times New Roman" w:hAnsi="Times New Roman" w:eastAsia="仿宋_GB2312" w:cs="仿宋_GB2312"/>
          <w:color w:val="auto"/>
          <w:sz w:val="32"/>
          <w:szCs w:val="32"/>
          <w:highlight w:val="none"/>
        </w:rPr>
        <w:t>日</w:t>
      </w:r>
    </w:p>
    <w:p w14:paraId="3566C182">
      <w:pPr>
        <w:rPr>
          <w:rFonts w:ascii="Times New Roman" w:hAnsi="Times New Roman"/>
          <w:color w:val="auto"/>
          <w:highlight w:val="none"/>
        </w:rPr>
      </w:pPr>
    </w:p>
    <w:p w14:paraId="5178C990">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B2B65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468F312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p>
    <w:p w14:paraId="4C69E4B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1A6AD2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500B647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2CB7BA8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58F0034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172581E2">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39BBCABA">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C4C396">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6E40256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6C700F2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2E25026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1130C9B1">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0EFF97BB">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781E40AD">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62598FBF">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6422FFD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25130D6C">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49A26F47">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28FCE68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729C2710">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20681CD">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0ABEAF08">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7A6F0055">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74AE3049">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3F22A66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44AA0D6E">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E83144B">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2AA6D344">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1A0856C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6" w:name="_Toc15377196"/>
      <w:bookmarkStart w:id="7" w:name="_Toc15396599"/>
      <w:r>
        <w:rPr>
          <w:rFonts w:hint="eastAsia" w:ascii="Times New Roman" w:hAnsi="Times New Roman" w:eastAsia="仿宋_GB2312" w:cs="仿宋_GB2312"/>
          <w:b/>
          <w:color w:val="auto"/>
          <w:sz w:val="32"/>
          <w:szCs w:val="32"/>
          <w:highlight w:val="none"/>
        </w:rPr>
        <w:br w:type="page"/>
      </w:r>
    </w:p>
    <w:p w14:paraId="3D7E6214">
      <w:pPr>
        <w:pStyle w:val="2"/>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6"/>
      <w:bookmarkEnd w:id="7"/>
    </w:p>
    <w:p w14:paraId="223282B0">
      <w:pPr>
        <w:widowControl/>
        <w:jc w:val="left"/>
        <w:rPr>
          <w:rFonts w:ascii="Times New Roman" w:hAnsi="Times New Roman" w:eastAsia="黑体"/>
          <w:color w:val="auto"/>
          <w:sz w:val="32"/>
          <w:szCs w:val="32"/>
          <w:highlight w:val="none"/>
        </w:rPr>
      </w:pPr>
    </w:p>
    <w:p w14:paraId="38B18226">
      <w:pPr>
        <w:pStyle w:val="3"/>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0C75265C">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 xml:space="preserve"> 党校坚持党的基本路线，以学习、宣传马列主义、毛泽东思想、邓小平理论、“三个代表”重要思想、科学发展观为己任，联系国际国内形势，结合党和国家召开的重大会议精神，结合全县各级党组织和党员实际，在抓好基础设施建设和教学手段建设的同时，努力办好主体班和函授教育，紧紧围绕</w:t>
      </w:r>
      <w:bookmarkStart w:id="58" w:name="_GoBack"/>
      <w:r>
        <w:rPr>
          <w:rFonts w:hint="eastAsia" w:eastAsia="仿宋_GB2312" w:cs="仿宋_GB2312"/>
          <w:color w:val="auto"/>
          <w:sz w:val="32"/>
          <w:szCs w:val="32"/>
          <w:highlight w:val="none"/>
          <w:lang w:eastAsia="zh-CN"/>
        </w:rPr>
        <w:t>增强培训效果</w:t>
      </w:r>
      <w:bookmarkEnd w:id="58"/>
      <w:r>
        <w:rPr>
          <w:rFonts w:hint="eastAsia" w:ascii="Times New Roman" w:hAnsi="Times New Roman" w:eastAsia="仿宋_GB2312" w:cs="仿宋_GB2312"/>
          <w:color w:val="auto"/>
          <w:sz w:val="32"/>
          <w:szCs w:val="32"/>
          <w:highlight w:val="none"/>
          <w:lang w:eastAsia="zh-CN"/>
        </w:rPr>
        <w:t>和教育教学质量、培养</w:t>
      </w:r>
      <w:r>
        <w:rPr>
          <w:rFonts w:hint="eastAsia" w:eastAsia="仿宋_GB2312" w:cs="仿宋_GB2312"/>
          <w:color w:val="auto"/>
          <w:sz w:val="32"/>
          <w:szCs w:val="32"/>
          <w:highlight w:val="none"/>
          <w:lang w:eastAsia="zh-CN"/>
        </w:rPr>
        <w:t>高素质干部队伍</w:t>
      </w:r>
      <w:r>
        <w:rPr>
          <w:rFonts w:hint="eastAsia" w:ascii="Times New Roman" w:hAnsi="Times New Roman" w:eastAsia="仿宋_GB2312" w:cs="仿宋_GB2312"/>
          <w:color w:val="auto"/>
          <w:sz w:val="32"/>
          <w:szCs w:val="32"/>
          <w:highlight w:val="none"/>
          <w:lang w:eastAsia="zh-CN"/>
        </w:rPr>
        <w:t>为目标，以教学为中心，科研为基础</w:t>
      </w:r>
      <w:r>
        <w:rPr>
          <w:rFonts w:hint="eastAsia" w:eastAsia="仿宋_GB2312" w:cs="仿宋_GB2312"/>
          <w:color w:val="auto"/>
          <w:sz w:val="32"/>
          <w:szCs w:val="32"/>
          <w:highlight w:val="none"/>
          <w:lang w:eastAsia="zh-CN"/>
        </w:rPr>
        <w:t>，以</w:t>
      </w:r>
      <w:r>
        <w:rPr>
          <w:rFonts w:hint="eastAsia" w:ascii="Times New Roman" w:hAnsi="Times New Roman" w:eastAsia="仿宋_GB2312" w:cs="仿宋_GB2312"/>
          <w:color w:val="auto"/>
          <w:sz w:val="32"/>
          <w:szCs w:val="32"/>
          <w:highlight w:val="none"/>
          <w:lang w:eastAsia="zh-CN"/>
        </w:rPr>
        <w:t>改革为动力，充分发挥“熔炉”和“阵地”的作用，加强党的理论学习、研究和宣传，搞好县、乡、村党员干部的培训，切实提高全县干部素质。</w:t>
      </w:r>
    </w:p>
    <w:p w14:paraId="42D200D0">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培训轮训科级党员领导干部、后备干部、乡镇一般干部、行政村</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社区</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党组织负责人、村民委主任等，培养理论干部</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承办县委、县政府和县有关部门举办的专题研讨班</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围绕党的中心工作，积极开展科学研究，承担县委、县政府下达的调研任务，推进理论创新</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针对改革开放和社会主义现代化建设进程中的重大理论问题和现实问题，开展马克思主义中国化最新成果的理论宣传，开展党的路线、方针、政策的宣传</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开展形式多样的干部继续教育和培训</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lang w:eastAsia="zh-CN"/>
        </w:rPr>
        <w:t>完成县委交办的其他任务。</w:t>
      </w:r>
    </w:p>
    <w:p w14:paraId="3F879691">
      <w:pPr>
        <w:pStyle w:val="3"/>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二、机构设置</w:t>
      </w:r>
    </w:p>
    <w:p w14:paraId="089D323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中共松潘县委党校为全额事业</w:t>
      </w:r>
      <w:r>
        <w:rPr>
          <w:rFonts w:hint="eastAsia" w:eastAsia="仿宋_GB2312" w:cs="仿宋_GB2312"/>
          <w:color w:val="auto"/>
          <w:sz w:val="32"/>
          <w:szCs w:val="32"/>
          <w:highlight w:val="none"/>
          <w:lang w:eastAsia="zh-CN"/>
        </w:rPr>
        <w:t>拨款</w:t>
      </w:r>
      <w:r>
        <w:rPr>
          <w:rFonts w:hint="eastAsia" w:ascii="Times New Roman" w:hAnsi="Times New Roman" w:eastAsia="仿宋_GB2312" w:cs="仿宋_GB2312"/>
          <w:color w:val="auto"/>
          <w:sz w:val="32"/>
          <w:szCs w:val="32"/>
          <w:highlight w:val="none"/>
          <w:lang w:eastAsia="zh-CN"/>
        </w:rPr>
        <w:t>单位（参公），编制数为1</w:t>
      </w:r>
      <w:r>
        <w:rPr>
          <w:rFonts w:hint="eastAsia"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lang w:eastAsia="zh-CN"/>
        </w:rPr>
        <w:t>人，下设综合管理办公室、教研室、长征精神教研室三个股室。</w:t>
      </w:r>
    </w:p>
    <w:p w14:paraId="0FDB5A6E">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无纳入202</w:t>
      </w:r>
      <w:r>
        <w:rPr>
          <w:rFonts w:hint="eastAsia" w:ascii="Times New Roman" w:hAnsi="Times New Roman" w:eastAsia="仿宋_GB2312" w:cs="仿宋_GB2312"/>
          <w:color w:val="auto"/>
          <w:sz w:val="32"/>
          <w:szCs w:val="32"/>
          <w:highlight w:val="none"/>
          <w:lang w:val="en-US" w:eastAsia="zh-CN"/>
        </w:rPr>
        <w:t>5</w:t>
      </w:r>
      <w:r>
        <w:rPr>
          <w:rFonts w:hint="eastAsia" w:ascii="Times New Roman" w:hAnsi="Times New Roman" w:eastAsia="仿宋_GB2312" w:cs="仿宋_GB2312"/>
          <w:color w:val="auto"/>
          <w:sz w:val="32"/>
          <w:szCs w:val="32"/>
          <w:highlight w:val="none"/>
          <w:lang w:eastAsia="zh-CN"/>
        </w:rPr>
        <w:t>年度部门决算编制范围的二级预算单位。</w:t>
      </w:r>
    </w:p>
    <w:p w14:paraId="5C0B1591">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742DCE99">
      <w:pPr>
        <w:pStyle w:val="2"/>
        <w:jc w:val="center"/>
        <w:rPr>
          <w:rFonts w:hint="eastAsia" w:ascii="Times New Roman" w:hAnsi="Times New Roman" w:eastAsia="方正小标宋简体" w:cs="方正小标宋简体"/>
          <w:b w:val="0"/>
          <w:color w:val="auto"/>
          <w:highlight w:val="none"/>
        </w:rPr>
      </w:pPr>
      <w:bookmarkStart w:id="8" w:name="_Toc15377204"/>
      <w:bookmarkStart w:id="9"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8"/>
      <w:bookmarkEnd w:id="9"/>
    </w:p>
    <w:p w14:paraId="16527B05">
      <w:pPr>
        <w:rPr>
          <w:rFonts w:ascii="Times New Roman" w:hAnsi="Times New Roman"/>
          <w:color w:val="auto"/>
          <w:highlight w:val="none"/>
        </w:rPr>
      </w:pPr>
    </w:p>
    <w:p w14:paraId="7E5CD00C">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0" w:name="_Toc15377205"/>
      <w:bookmarkStart w:id="11"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0"/>
      <w:bookmarkEnd w:id="11"/>
    </w:p>
    <w:p w14:paraId="7B17C86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_GB2312" w:hAnsi="仿宋" w:eastAsia="仿宋_GB2312"/>
          <w:sz w:val="32"/>
          <w:szCs w:val="32"/>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eastAsia="仿宋_GB2312" w:cs="仿宋_GB2312"/>
          <w:color w:val="auto"/>
          <w:sz w:val="32"/>
          <w:szCs w:val="32"/>
          <w:highlight w:val="none"/>
          <w:lang w:eastAsia="zh-CN"/>
        </w:rPr>
        <w:t>为</w:t>
      </w:r>
      <w:r>
        <w:rPr>
          <w:rFonts w:hint="eastAsia" w:eastAsia="仿宋_GB2312" w:cs="仿宋_GB2312"/>
          <w:color w:val="auto"/>
          <w:sz w:val="32"/>
          <w:szCs w:val="32"/>
          <w:highlight w:val="none"/>
          <w:lang w:val="en-US" w:eastAsia="zh-CN"/>
        </w:rPr>
        <w:t>334.53万元</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支出为</w:t>
      </w:r>
      <w:r>
        <w:rPr>
          <w:rFonts w:hint="eastAsia" w:eastAsia="仿宋_GB2312" w:cs="仿宋_GB2312"/>
          <w:color w:val="auto"/>
          <w:sz w:val="32"/>
          <w:szCs w:val="32"/>
          <w:highlight w:val="none"/>
          <w:lang w:val="en-US" w:eastAsia="zh-CN"/>
        </w:rPr>
        <w:t>333.53</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、结余</w:t>
      </w:r>
      <w:r>
        <w:rPr>
          <w:rFonts w:hint="eastAsia" w:eastAsia="仿宋_GB2312" w:cs="仿宋_GB2312"/>
          <w:color w:val="auto"/>
          <w:sz w:val="32"/>
          <w:szCs w:val="32"/>
          <w:highlight w:val="none"/>
          <w:lang w:val="en-US" w:eastAsia="zh-CN"/>
        </w:rPr>
        <w:t>1万元</w:t>
      </w:r>
      <w:r>
        <w:rPr>
          <w:rFonts w:hint="eastAsia" w:ascii="Times New Roman" w:hAnsi="Times New Roman" w:eastAsia="仿宋_GB2312" w:cs="仿宋_GB2312"/>
          <w:color w:val="auto"/>
          <w:sz w:val="32"/>
          <w:szCs w:val="32"/>
          <w:highlight w:val="none"/>
        </w:rPr>
        <w:t>。与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60.75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22.19</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增加</w:t>
      </w:r>
      <w:r>
        <w:rPr>
          <w:rFonts w:hint="eastAsia" w:eastAsia="仿宋_GB2312" w:cs="仿宋_GB2312"/>
          <w:color w:val="auto"/>
          <w:sz w:val="32"/>
          <w:szCs w:val="32"/>
          <w:highlight w:val="none"/>
          <w:lang w:val="en-US" w:eastAsia="zh-CN"/>
        </w:rPr>
        <w:t>59.75，增长21.82%</w:t>
      </w:r>
      <w:r>
        <w:rPr>
          <w:rFonts w:hint="eastAsia" w:ascii="Times New Roman" w:hAnsi="Times New Roman" w:eastAsia="仿宋_GB2312" w:cs="仿宋_GB2312"/>
          <w:color w:val="auto"/>
          <w:sz w:val="32"/>
          <w:szCs w:val="32"/>
          <w:highlight w:val="none"/>
        </w:rPr>
        <w:t>万元</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主要变动原因是</w:t>
      </w:r>
      <w:r>
        <w:rPr>
          <w:rFonts w:hint="eastAsia" w:ascii="仿宋_GB2312" w:hAnsi="仿宋" w:eastAsia="仿宋_GB2312"/>
          <w:sz w:val="32"/>
          <w:szCs w:val="32"/>
          <w:lang w:val="en-US" w:eastAsia="zh-CN"/>
        </w:rPr>
        <w:t>人员增加（1月调入1人，10月退休1人）、调研经费等项目资金增多、代管资金等非财政收入增多。</w:t>
      </w:r>
    </w:p>
    <w:p w14:paraId="1DF58B8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决算总计变动情况图）（柱状图）</w:t>
      </w:r>
    </w:p>
    <w:p w14:paraId="71D4E1E0">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p>
    <w:p w14:paraId="24372EF1">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850765" cy="2969895"/>
            <wp:effectExtent l="4445" t="4445" r="21590" b="1651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E7539D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Times New Roman" w:hAnsi="Times New Roman" w:eastAsia="仿宋_GB2312" w:cs="仿宋_GB2312"/>
          <w:color w:val="auto"/>
          <w:sz w:val="32"/>
          <w:szCs w:val="32"/>
          <w:highlight w:val="none"/>
          <w:lang w:eastAsia="zh-CN"/>
        </w:rPr>
      </w:pPr>
    </w:p>
    <w:p w14:paraId="595D00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2" w:name="_Toc15377206"/>
      <w:bookmarkStart w:id="13" w:name="_Toc15396604"/>
      <w:r>
        <w:rPr>
          <w:rFonts w:hint="eastAsia" w:ascii="Times New Roman" w:hAnsi="Times New Roman" w:eastAsia="黑体"/>
          <w:color w:val="auto"/>
          <w:sz w:val="32"/>
          <w:szCs w:val="32"/>
          <w:highlight w:val="none"/>
          <w:lang w:eastAsia="zh-CN"/>
        </w:rPr>
        <w:t>二、收入决算情况说明</w:t>
      </w:r>
      <w:bookmarkEnd w:id="12"/>
      <w:bookmarkEnd w:id="13"/>
    </w:p>
    <w:p w14:paraId="393BB241">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334.53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324</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96.85</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10.53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3.15</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3666A598">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（图2：收入决算结构图）（饼状图）</w:t>
      </w:r>
    </w:p>
    <w:p w14:paraId="01D5BCB4">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14:paraId="59D3FDB5">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408805" cy="2573020"/>
            <wp:effectExtent l="4445" t="5080" r="6350" b="1270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2AF477C">
      <w:pPr>
        <w:ind w:firstLine="800" w:firstLineChars="250"/>
        <w:rPr>
          <w:rFonts w:hint="eastAsia" w:ascii="Times New Roman" w:hAnsi="Times New Roman" w:eastAsia="仿宋_GB2312" w:cs="仿宋_GB2312"/>
          <w:color w:val="auto"/>
          <w:sz w:val="32"/>
          <w:szCs w:val="32"/>
          <w:highlight w:val="none"/>
          <w:lang w:eastAsia="zh-CN"/>
        </w:rPr>
      </w:pPr>
    </w:p>
    <w:p w14:paraId="5C129DB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4" w:name="_Toc15396605"/>
      <w:bookmarkStart w:id="15"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4"/>
      <w:bookmarkEnd w:id="15"/>
    </w:p>
    <w:p w14:paraId="6A735C1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333.53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317.93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95.32</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15.6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4.68</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3191B506">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（图3：支出决算结构图）（饼状图）</w:t>
      </w:r>
    </w:p>
    <w:p w14:paraId="02F68758">
      <w:pPr>
        <w:ind w:firstLine="800" w:firstLineChars="250"/>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inline distT="0" distB="0" distL="114300" distR="114300">
            <wp:extent cx="4522470" cy="2539365"/>
            <wp:effectExtent l="4445" t="4445" r="6985" b="8890"/>
            <wp:docPr id="4" name="图表 4" descr="7b0a202020202263686172745265734964223a20223230343731333838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5E4D6293">
      <w:pPr>
        <w:spacing w:line="600" w:lineRule="exact"/>
        <w:ind w:firstLine="640" w:firstLineChars="200"/>
        <w:outlineLvl w:val="1"/>
        <w:rPr>
          <w:rStyle w:val="29"/>
          <w:rFonts w:ascii="Times New Roman" w:hAnsi="Times New Roman" w:eastAsia="黑体"/>
          <w:b w:val="0"/>
          <w:color w:val="auto"/>
          <w:highlight w:val="none"/>
        </w:rPr>
      </w:pPr>
      <w:bookmarkStart w:id="16" w:name="_Toc15396606"/>
      <w:bookmarkStart w:id="17"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6"/>
      <w:bookmarkEnd w:id="17"/>
    </w:p>
    <w:p w14:paraId="633D0C0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324</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50.22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18.34</w:t>
      </w:r>
      <w:r>
        <w:rPr>
          <w:rFonts w:hint="eastAsia" w:ascii="Times New Roman" w:hAnsi="Times New Roman" w:eastAsia="仿宋_GB2312" w:cs="仿宋_GB2312"/>
          <w:color w:val="auto"/>
          <w:kern w:val="2"/>
          <w:sz w:val="32"/>
          <w:szCs w:val="32"/>
          <w:highlight w:val="none"/>
          <w:lang w:val="en-US" w:eastAsia="zh-CN" w:bidi="ar-SA"/>
        </w:rPr>
        <w:t>%。主要变动原因是 人员增加（1月调入1人，10月退休1人）、调研经费等项目资金增多</w:t>
      </w:r>
      <w:r>
        <w:rPr>
          <w:rFonts w:hint="eastAsia" w:eastAsia="仿宋_GB2312" w:cs="仿宋_GB2312"/>
          <w:color w:val="auto"/>
          <w:kern w:val="2"/>
          <w:sz w:val="32"/>
          <w:szCs w:val="32"/>
          <w:highlight w:val="none"/>
          <w:lang w:val="en-US" w:eastAsia="zh-CN" w:bidi="ar-SA"/>
        </w:rPr>
        <w:t>。</w:t>
      </w:r>
    </w:p>
    <w:p w14:paraId="24BFD564">
      <w:p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（图4：财政拨款收、支决算总计变动情况）（柱状图）</w:t>
      </w:r>
    </w:p>
    <w:p w14:paraId="015720E0">
      <w:pPr>
        <w:spacing w:line="600" w:lineRule="exact"/>
        <w:ind w:firstLine="640" w:firstLineChars="200"/>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59264" behindDoc="1" locked="0" layoutInCell="1" allowOverlap="1">
            <wp:simplePos x="0" y="0"/>
            <wp:positionH relativeFrom="column">
              <wp:posOffset>445135</wp:posOffset>
            </wp:positionH>
            <wp:positionV relativeFrom="paragraph">
              <wp:posOffset>302260</wp:posOffset>
            </wp:positionV>
            <wp:extent cx="4667885" cy="2678430"/>
            <wp:effectExtent l="4445" t="5080" r="13970" b="21590"/>
            <wp:wrapTight wrapText="bothSides">
              <wp:wrapPolygon>
                <wp:start x="-21" y="-41"/>
                <wp:lineTo x="-21" y="21467"/>
                <wp:lineTo x="21576" y="21467"/>
                <wp:lineTo x="21576" y="-41"/>
                <wp:lineTo x="-21" y="-41"/>
              </wp:wrapPolygon>
            </wp:wrapTight>
            <wp:docPr id="15" name="图表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291C7DE9">
      <w:pPr>
        <w:spacing w:line="600" w:lineRule="exact"/>
        <w:ind w:firstLine="640" w:firstLineChars="200"/>
        <w:outlineLvl w:val="1"/>
        <w:rPr>
          <w:rStyle w:val="29"/>
          <w:rFonts w:ascii="Times New Roman" w:hAnsi="Times New Roman" w:eastAsia="黑体"/>
          <w:b w:val="0"/>
          <w:color w:val="auto"/>
          <w:highlight w:val="none"/>
        </w:rPr>
      </w:pPr>
      <w:bookmarkStart w:id="18" w:name="_Toc15377209"/>
      <w:bookmarkStart w:id="19"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18"/>
      <w:bookmarkEnd w:id="19"/>
    </w:p>
    <w:p w14:paraId="3A0D1BE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0"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0"/>
    </w:p>
    <w:p w14:paraId="549B0DD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324</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96.85</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w:t>
      </w:r>
      <w:r>
        <w:rPr>
          <w:rFonts w:hint="eastAsia" w:eastAsia="仿宋_GB2312" w:cs="仿宋_GB2312"/>
          <w:color w:val="auto"/>
          <w:kern w:val="2"/>
          <w:sz w:val="32"/>
          <w:szCs w:val="32"/>
          <w:highlight w:val="none"/>
          <w:lang w:val="en-US" w:eastAsia="zh-CN" w:bidi="ar-SA"/>
        </w:rPr>
        <w:t>加50.22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18.34</w:t>
      </w:r>
      <w:r>
        <w:rPr>
          <w:rFonts w:hint="eastAsia" w:ascii="Times New Roman" w:hAnsi="Times New Roman" w:eastAsia="仿宋_GB2312" w:cs="仿宋_GB2312"/>
          <w:color w:val="auto"/>
          <w:kern w:val="2"/>
          <w:sz w:val="32"/>
          <w:szCs w:val="32"/>
          <w:highlight w:val="none"/>
          <w:lang w:val="en-US" w:eastAsia="zh-CN" w:bidi="ar-SA"/>
        </w:rPr>
        <w:t>%。主要变动原因是人员增加（1月调入1人，10月退休1人）、调研经费等项目资金增多。</w:t>
      </w:r>
    </w:p>
    <w:p w14:paraId="4202DE8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（图5：一般公共预算财政拨款支出决算变动情况）（柱状图）</w:t>
      </w:r>
    </w:p>
    <w:p w14:paraId="36B1D55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EB3131">
      <w:pPr>
        <w:spacing w:line="600" w:lineRule="exact"/>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0288" behindDoc="1" locked="0" layoutInCell="1" allowOverlap="1">
            <wp:simplePos x="0" y="0"/>
            <wp:positionH relativeFrom="column">
              <wp:posOffset>-125730</wp:posOffset>
            </wp:positionH>
            <wp:positionV relativeFrom="paragraph">
              <wp:posOffset>269875</wp:posOffset>
            </wp:positionV>
            <wp:extent cx="4876165" cy="2762885"/>
            <wp:effectExtent l="4445" t="4445" r="15240" b="52070"/>
            <wp:wrapTight wrapText="bothSides">
              <wp:wrapPolygon>
                <wp:start x="-20" y="-35"/>
                <wp:lineTo x="-20" y="21560"/>
                <wp:lineTo x="21499" y="21560"/>
                <wp:lineTo x="21499" y="-35"/>
                <wp:lineTo x="-20" y="-35"/>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027918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27F067A">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1"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1"/>
    </w:p>
    <w:p w14:paraId="652EB0E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324</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%；教育支出</w:t>
      </w:r>
      <w:r>
        <w:rPr>
          <w:rFonts w:hint="eastAsia" w:eastAsia="仿宋_GB2312" w:cs="仿宋_GB2312"/>
          <w:color w:val="auto"/>
          <w:kern w:val="2"/>
          <w:sz w:val="32"/>
          <w:szCs w:val="32"/>
          <w:highlight w:val="none"/>
          <w:lang w:val="en-US" w:eastAsia="zh-CN" w:bidi="ar-SA"/>
        </w:rPr>
        <w:t>241.16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74.43</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46.35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14.31</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14.16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4.37</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22.33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6.89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58D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（图6：一般公共预算财政拨款支出决算结构）（饼状图）</w:t>
      </w:r>
    </w:p>
    <w:p w14:paraId="4DE02B8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1" locked="0" layoutInCell="1" allowOverlap="1">
            <wp:simplePos x="0" y="0"/>
            <wp:positionH relativeFrom="column">
              <wp:posOffset>116840</wp:posOffset>
            </wp:positionH>
            <wp:positionV relativeFrom="paragraph">
              <wp:posOffset>88265</wp:posOffset>
            </wp:positionV>
            <wp:extent cx="5256530" cy="2815590"/>
            <wp:effectExtent l="4445" t="4445" r="15875" b="18415"/>
            <wp:wrapTight wrapText="bothSides">
              <wp:wrapPolygon>
                <wp:start x="-18" y="-34"/>
                <wp:lineTo x="-18" y="21449"/>
                <wp:lineTo x="21509" y="21449"/>
                <wp:lineTo x="21509" y="-34"/>
                <wp:lineTo x="-18" y="-34"/>
              </wp:wrapPolygon>
            </wp:wrapTight>
            <wp:docPr id="8" name="图表 8" descr="7b0a202020202263686172745265734964223a202232303437323139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5183803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2"/>
    </w:p>
    <w:p w14:paraId="23C611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3" w:name="_Toc15377444"/>
      <w:bookmarkStart w:id="24" w:name="_Toc15378460"/>
      <w:bookmarkStart w:id="25" w:name="_Toc15377213"/>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324万元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3"/>
      <w:bookmarkEnd w:id="24"/>
      <w:bookmarkEnd w:id="25"/>
    </w:p>
    <w:p w14:paraId="4D218274">
      <w:pPr>
        <w:spacing w:line="600" w:lineRule="exact"/>
        <w:ind w:firstLine="640"/>
        <w:rPr>
          <w:rFonts w:hint="eastAsia" w:ascii="仿宋" w:hAnsi="仿宋" w:eastAsia="仿宋"/>
          <w:color w:val="000000"/>
          <w:sz w:val="32"/>
          <w:szCs w:val="32"/>
          <w:lang w:eastAsia="zh-CN"/>
        </w:rPr>
      </w:pPr>
      <w:r>
        <w:rPr>
          <w:rFonts w:hint="eastAsia" w:eastAsia="仿宋_GB2312" w:cs="仿宋_GB2312"/>
          <w:color w:val="auto"/>
          <w:kern w:val="2"/>
          <w:sz w:val="32"/>
          <w:szCs w:val="32"/>
          <w:highlight w:val="none"/>
          <w:lang w:val="en-US" w:eastAsia="zh-CN" w:bidi="ar-SA"/>
        </w:rPr>
        <w:t>1.</w:t>
      </w:r>
      <w:r>
        <w:rPr>
          <w:rFonts w:hint="eastAsia" w:ascii="仿宋" w:hAnsi="仿宋" w:eastAsia="仿宋"/>
          <w:color w:val="000000"/>
          <w:sz w:val="32"/>
          <w:szCs w:val="32"/>
          <w:lang w:val="en-US" w:eastAsia="zh-CN"/>
        </w:rPr>
        <w:t>教育支出</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205</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进修及培训</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0508</w:t>
      </w:r>
      <w:r>
        <w:rPr>
          <w:rFonts w:hint="eastAsia" w:ascii="仿宋" w:hAnsi="仿宋" w:eastAsia="仿宋"/>
          <w:color w:val="000000"/>
          <w:sz w:val="32"/>
          <w:szCs w:val="32"/>
        </w:rPr>
        <w:t>）</w:t>
      </w:r>
      <w:r>
        <w:rPr>
          <w:rFonts w:hint="eastAsia" w:ascii="仿宋" w:hAnsi="仿宋" w:eastAsia="仿宋"/>
          <w:color w:val="000000"/>
          <w:sz w:val="32"/>
          <w:szCs w:val="32"/>
          <w:lang w:val="en-US" w:eastAsia="zh-CN"/>
        </w:rPr>
        <w:t>干部教育</w:t>
      </w:r>
      <w:r>
        <w:rPr>
          <w:rFonts w:hint="eastAsia" w:ascii="仿宋" w:hAnsi="仿宋" w:eastAsia="仿宋"/>
          <w:color w:val="000000"/>
          <w:sz w:val="32"/>
          <w:szCs w:val="32"/>
        </w:rPr>
        <w:t>（2</w:t>
      </w:r>
      <w:r>
        <w:rPr>
          <w:rFonts w:hint="eastAsia" w:ascii="仿宋" w:hAnsi="仿宋" w:eastAsia="仿宋"/>
          <w:color w:val="000000"/>
          <w:sz w:val="32"/>
          <w:szCs w:val="32"/>
          <w:lang w:val="en-US" w:eastAsia="zh-CN"/>
        </w:rPr>
        <w:t>050802</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241.16</w:t>
      </w:r>
      <w:r>
        <w:rPr>
          <w:rFonts w:hint="eastAsia" w:ascii="仿宋" w:hAnsi="仿宋" w:eastAsia="仿宋"/>
          <w:color w:val="000000"/>
          <w:sz w:val="32"/>
          <w:szCs w:val="32"/>
        </w:rPr>
        <w:t>万元，完成预算100%。</w:t>
      </w:r>
    </w:p>
    <w:p w14:paraId="42B224C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.社会保障和就业支出（208）行政事业单位养老支出（20805）机关事业单位基本养老保险缴费支出（2080505）支出决算</w:t>
      </w:r>
      <w:r>
        <w:rPr>
          <w:rFonts w:hint="eastAsia" w:eastAsia="仿宋_GB2312" w:cs="仿宋_GB2312"/>
          <w:color w:val="auto"/>
          <w:kern w:val="2"/>
          <w:sz w:val="32"/>
          <w:szCs w:val="32"/>
          <w:highlight w:val="none"/>
          <w:lang w:val="en-US" w:eastAsia="zh-CN" w:bidi="ar-SA"/>
        </w:rPr>
        <w:t>27.33</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5AC060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ab/>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.社会保障和就业支出（208）行政事业单位养老支出（20805）机关事业单位职业年金缴费支出（2080506）支出决算</w:t>
      </w:r>
      <w:r>
        <w:rPr>
          <w:rFonts w:hint="eastAsia" w:eastAsia="仿宋_GB2312" w:cs="仿宋_GB2312"/>
          <w:color w:val="auto"/>
          <w:kern w:val="2"/>
          <w:sz w:val="32"/>
          <w:szCs w:val="32"/>
          <w:highlight w:val="none"/>
          <w:lang w:val="en-US" w:eastAsia="zh-CN" w:bidi="ar-SA"/>
        </w:rPr>
        <w:t>19.02</w:t>
      </w:r>
      <w:r>
        <w:rPr>
          <w:rFonts w:hint="eastAsia" w:ascii="Times New Roman" w:hAnsi="Times New Roman" w:eastAsia="仿宋_GB2312" w:cs="仿宋_GB2312"/>
          <w:color w:val="auto"/>
          <w:kern w:val="2"/>
          <w:sz w:val="32"/>
          <w:szCs w:val="32"/>
          <w:highlight w:val="none"/>
          <w:lang w:val="en-US" w:eastAsia="zh-CN" w:bidi="ar-SA"/>
        </w:rPr>
        <w:t>万元，完成预算100%。</w:t>
      </w:r>
    </w:p>
    <w:p w14:paraId="4553E7F7">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4</w:t>
      </w:r>
      <w:r>
        <w:rPr>
          <w:rFonts w:hint="eastAsia" w:ascii="仿宋" w:hAnsi="仿宋" w:eastAsia="仿宋"/>
          <w:color w:val="000000"/>
          <w:sz w:val="32"/>
          <w:szCs w:val="32"/>
        </w:rPr>
        <w:t>.卫生健康支出（210）行政事业单位医疗（21011）</w:t>
      </w:r>
      <w:r>
        <w:rPr>
          <w:rFonts w:hint="eastAsia" w:ascii="仿宋" w:hAnsi="仿宋" w:eastAsia="仿宋"/>
          <w:color w:val="000000"/>
          <w:sz w:val="32"/>
          <w:szCs w:val="32"/>
          <w:lang w:val="en-US" w:eastAsia="zh-CN"/>
        </w:rPr>
        <w:t>事业</w:t>
      </w:r>
      <w:r>
        <w:rPr>
          <w:rFonts w:hint="eastAsia" w:ascii="仿宋" w:hAnsi="仿宋" w:eastAsia="仿宋"/>
          <w:color w:val="000000"/>
          <w:sz w:val="32"/>
          <w:szCs w:val="32"/>
        </w:rPr>
        <w:t>单位医疗（210110</w:t>
      </w:r>
      <w:r>
        <w:rPr>
          <w:rFonts w:hint="eastAsia" w:ascii="仿宋" w:hAnsi="仿宋" w:eastAsia="仿宋"/>
          <w:color w:val="000000"/>
          <w:sz w:val="32"/>
          <w:szCs w:val="32"/>
          <w:lang w:val="en-US" w:eastAsia="zh-CN"/>
        </w:rPr>
        <w:t>2</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11.85</w:t>
      </w:r>
      <w:r>
        <w:rPr>
          <w:rFonts w:hint="eastAsia" w:ascii="仿宋" w:hAnsi="仿宋" w:eastAsia="仿宋"/>
          <w:color w:val="000000"/>
          <w:sz w:val="32"/>
          <w:szCs w:val="32"/>
        </w:rPr>
        <w:t>万元，完成预算100%。</w:t>
      </w:r>
    </w:p>
    <w:p w14:paraId="02E9E1F7">
      <w:pPr>
        <w:spacing w:line="600" w:lineRule="exact"/>
        <w:ind w:firstLine="640"/>
        <w:rPr>
          <w:rFonts w:hint="eastAsia" w:ascii="仿宋" w:hAnsi="仿宋" w:eastAsia="仿宋"/>
          <w:color w:val="000000"/>
          <w:sz w:val="32"/>
          <w:szCs w:val="32"/>
          <w:lang w:eastAsia="zh-CN"/>
        </w:rPr>
      </w:pPr>
      <w:r>
        <w:rPr>
          <w:rFonts w:hint="eastAsia" w:ascii="仿宋" w:hAnsi="仿宋" w:eastAsia="仿宋"/>
          <w:color w:val="000000"/>
          <w:sz w:val="32"/>
          <w:szCs w:val="32"/>
          <w:lang w:val="en-US" w:eastAsia="zh-CN"/>
        </w:rPr>
        <w:t>5</w:t>
      </w:r>
      <w:r>
        <w:rPr>
          <w:rFonts w:hint="eastAsia" w:ascii="仿宋" w:hAnsi="仿宋" w:eastAsia="仿宋"/>
          <w:color w:val="000000"/>
          <w:sz w:val="32"/>
          <w:szCs w:val="32"/>
        </w:rPr>
        <w:t>.卫生健康支出（210）行政事业单位医疗（21011）</w:t>
      </w:r>
      <w:r>
        <w:rPr>
          <w:rFonts w:hint="eastAsia" w:ascii="仿宋" w:hAnsi="仿宋" w:eastAsia="仿宋"/>
          <w:color w:val="000000"/>
          <w:sz w:val="32"/>
          <w:szCs w:val="32"/>
          <w:lang w:val="en-US" w:eastAsia="zh-CN"/>
        </w:rPr>
        <w:t>其他行政事业单位医疗支出</w:t>
      </w:r>
      <w:r>
        <w:rPr>
          <w:rFonts w:hint="eastAsia" w:ascii="仿宋" w:hAnsi="仿宋" w:eastAsia="仿宋"/>
          <w:color w:val="000000"/>
          <w:sz w:val="32"/>
          <w:szCs w:val="32"/>
        </w:rPr>
        <w:t>（2101</w:t>
      </w:r>
      <w:r>
        <w:rPr>
          <w:rFonts w:hint="eastAsia" w:ascii="仿宋" w:hAnsi="仿宋" w:eastAsia="仿宋"/>
          <w:color w:val="000000"/>
          <w:sz w:val="32"/>
          <w:szCs w:val="32"/>
          <w:lang w:val="en-US" w:eastAsia="zh-CN"/>
        </w:rPr>
        <w:t>199</w:t>
      </w:r>
      <w:r>
        <w:rPr>
          <w:rFonts w:hint="eastAsia" w:ascii="仿宋" w:hAnsi="仿宋" w:eastAsia="仿宋"/>
          <w:color w:val="000000"/>
          <w:sz w:val="32"/>
          <w:szCs w:val="32"/>
        </w:rPr>
        <w:t>）支出决算</w:t>
      </w:r>
      <w:r>
        <w:rPr>
          <w:rFonts w:hint="eastAsia" w:ascii="仿宋" w:hAnsi="仿宋" w:eastAsia="仿宋"/>
          <w:color w:val="000000"/>
          <w:sz w:val="32"/>
          <w:szCs w:val="32"/>
          <w:lang w:val="en-US" w:eastAsia="zh-CN"/>
        </w:rPr>
        <w:t>2.32</w:t>
      </w:r>
      <w:r>
        <w:rPr>
          <w:rFonts w:hint="eastAsia" w:ascii="仿宋" w:hAnsi="仿宋" w:eastAsia="仿宋"/>
          <w:color w:val="000000"/>
          <w:sz w:val="32"/>
          <w:szCs w:val="32"/>
        </w:rPr>
        <w:t>万元，完成预算100%。</w:t>
      </w:r>
    </w:p>
    <w:p w14:paraId="0CE50C9E">
      <w:pPr>
        <w:spacing w:line="600" w:lineRule="exact"/>
        <w:ind w:firstLine="640"/>
        <w:rPr>
          <w:rFonts w:hint="eastAsia" w:ascii="仿宋" w:hAnsi="仿宋" w:eastAsia="仿宋"/>
          <w:color w:val="000000"/>
          <w:sz w:val="32"/>
          <w:szCs w:val="32"/>
          <w:lang w:val="en-US" w:eastAsia="zh-CN"/>
        </w:rPr>
      </w:pPr>
      <w:r>
        <w:rPr>
          <w:rFonts w:hint="eastAsia" w:ascii="仿宋" w:hAnsi="仿宋" w:eastAsia="仿宋"/>
          <w:color w:val="000000"/>
          <w:sz w:val="32"/>
          <w:szCs w:val="32"/>
          <w:lang w:val="en-US" w:eastAsia="zh-CN"/>
        </w:rPr>
        <w:t>6</w:t>
      </w:r>
      <w:r>
        <w:rPr>
          <w:rFonts w:hint="eastAsia" w:ascii="仿宋" w:hAnsi="仿宋" w:eastAsia="仿宋"/>
          <w:color w:val="000000"/>
          <w:sz w:val="32"/>
          <w:szCs w:val="32"/>
        </w:rPr>
        <w:t>.住房保障支出（221）住房改革支出（22102）住房公积金（2210201）支出决算</w:t>
      </w:r>
      <w:r>
        <w:rPr>
          <w:rFonts w:hint="eastAsia" w:ascii="仿宋" w:hAnsi="仿宋" w:eastAsia="仿宋"/>
          <w:color w:val="000000"/>
          <w:sz w:val="32"/>
          <w:szCs w:val="32"/>
          <w:lang w:val="en-US" w:eastAsia="zh-CN"/>
        </w:rPr>
        <w:t>22.33</w:t>
      </w:r>
      <w:r>
        <w:rPr>
          <w:rFonts w:hint="eastAsia" w:ascii="仿宋" w:hAnsi="仿宋" w:eastAsia="仿宋"/>
          <w:color w:val="000000"/>
          <w:sz w:val="32"/>
          <w:szCs w:val="32"/>
        </w:rPr>
        <w:t>万元，完成预算100%。</w:t>
      </w:r>
    </w:p>
    <w:p w14:paraId="50FC128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4647D3F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81A80FF">
      <w:pPr>
        <w:tabs>
          <w:tab w:val="right" w:pos="8306"/>
        </w:tabs>
        <w:spacing w:line="600" w:lineRule="exact"/>
        <w:ind w:firstLine="640"/>
        <w:outlineLvl w:val="1"/>
        <w:rPr>
          <w:rStyle w:val="29"/>
          <w:rFonts w:ascii="Times New Roman" w:hAnsi="Times New Roman"/>
          <w:color w:val="auto"/>
          <w:highlight w:val="none"/>
        </w:rPr>
      </w:pPr>
      <w:bookmarkStart w:id="26" w:name="_Toc15396608"/>
      <w:bookmarkStart w:id="27"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6"/>
      <w:bookmarkEnd w:id="27"/>
      <w:r>
        <w:rPr>
          <w:rStyle w:val="29"/>
          <w:rFonts w:ascii="Times New Roman" w:hAnsi="Times New Roman" w:eastAsia="黑体"/>
          <w:b w:val="0"/>
          <w:color w:val="auto"/>
          <w:highlight w:val="none"/>
        </w:rPr>
        <w:tab/>
      </w:r>
    </w:p>
    <w:p w14:paraId="0F7EDA8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317.93</w:t>
      </w:r>
      <w:r>
        <w:rPr>
          <w:rFonts w:hint="eastAsia" w:ascii="Times New Roman" w:hAnsi="Times New Roman" w:eastAsia="仿宋_GB2312" w:cs="仿宋_GB2312"/>
          <w:color w:val="auto"/>
          <w:kern w:val="2"/>
          <w:sz w:val="32"/>
          <w:szCs w:val="32"/>
          <w:highlight w:val="none"/>
          <w:lang w:val="en-US" w:eastAsia="zh-CN" w:bidi="ar-SA"/>
        </w:rPr>
        <w:t>万元，其中：</w:t>
      </w:r>
    </w:p>
    <w:p w14:paraId="0610314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306.90</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11.03</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4946DE94">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3704B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5F8E462">
      <w:pPr>
        <w:spacing w:line="600" w:lineRule="exact"/>
        <w:ind w:firstLine="640"/>
        <w:outlineLvl w:val="1"/>
        <w:rPr>
          <w:rStyle w:val="29"/>
          <w:rFonts w:ascii="Times New Roman" w:hAnsi="Times New Roman" w:eastAsia="黑体"/>
          <w:b w:val="0"/>
          <w:color w:val="auto"/>
          <w:highlight w:val="none"/>
        </w:rPr>
      </w:pPr>
      <w:bookmarkStart w:id="28" w:name="_Toc15396609"/>
      <w:bookmarkStart w:id="29"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28"/>
      <w:bookmarkEnd w:id="29"/>
    </w:p>
    <w:p w14:paraId="3D024534">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0"/>
    </w:p>
    <w:p w14:paraId="4B4F497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p>
    <w:p w14:paraId="221861C8">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2085D4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1"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1"/>
    </w:p>
    <w:p w14:paraId="46B387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14DB7E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（图7：财政拨款“三公”经费支出结构）（饼状图）</w:t>
      </w:r>
    </w:p>
    <w:p w14:paraId="59C19B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2336" behindDoc="1" locked="0" layoutInCell="1" allowOverlap="1">
            <wp:simplePos x="0" y="0"/>
            <wp:positionH relativeFrom="column">
              <wp:posOffset>411480</wp:posOffset>
            </wp:positionH>
            <wp:positionV relativeFrom="paragraph">
              <wp:posOffset>-2700655</wp:posOffset>
            </wp:positionV>
            <wp:extent cx="5256530" cy="2270125"/>
            <wp:effectExtent l="4445" t="4445" r="15875" b="11430"/>
            <wp:wrapTight wrapText="bothSides">
              <wp:wrapPolygon>
                <wp:start x="-18" y="-42"/>
                <wp:lineTo x="-18" y="21527"/>
                <wp:lineTo x="21509" y="21527"/>
                <wp:lineTo x="21509" y="-42"/>
                <wp:lineTo x="-18" y="-42"/>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3C2AE4BC">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112C21C6">
      <w:pPr>
        <w:numPr>
          <w:ilvl w:val="0"/>
          <w:numId w:val="2"/>
        </w:num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06563F0E">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535650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9DC29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0.06</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接待增加</w:t>
      </w:r>
      <w:r>
        <w:rPr>
          <w:rFonts w:hint="eastAsia" w:ascii="Times New Roman" w:hAnsi="Times New Roman" w:eastAsia="仿宋_GB2312" w:cs="仿宋_GB2312"/>
          <w:color w:val="auto"/>
          <w:kern w:val="2"/>
          <w:sz w:val="32"/>
          <w:szCs w:val="32"/>
          <w:highlight w:val="none"/>
          <w:lang w:val="en-US" w:eastAsia="zh-CN" w:bidi="ar-SA"/>
        </w:rPr>
        <w:t>。其中：</w:t>
      </w:r>
    </w:p>
    <w:p w14:paraId="181A33B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万元，主要用于开展业务活动开支的用餐费。国内公务接待</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0.06</w:t>
      </w:r>
      <w:r>
        <w:rPr>
          <w:rFonts w:hint="eastAsia" w:ascii="Times New Roman" w:hAnsi="Times New Roman" w:eastAsia="仿宋_GB2312" w:cs="仿宋_GB2312"/>
          <w:color w:val="auto"/>
          <w:kern w:val="2"/>
          <w:sz w:val="32"/>
          <w:szCs w:val="32"/>
          <w:highlight w:val="none"/>
          <w:lang w:val="en-US" w:eastAsia="zh-CN" w:bidi="ar-SA"/>
        </w:rPr>
        <w:t>万元，具体内容包括：接待</w:t>
      </w:r>
      <w:r>
        <w:rPr>
          <w:rFonts w:hint="eastAsia" w:eastAsia="仿宋_GB2312" w:cs="仿宋_GB2312"/>
          <w:color w:val="auto"/>
          <w:kern w:val="2"/>
          <w:sz w:val="32"/>
          <w:szCs w:val="32"/>
          <w:highlight w:val="none"/>
          <w:lang w:val="en-US" w:eastAsia="zh-CN" w:bidi="ar-SA"/>
        </w:rPr>
        <w:t>州委党校调研人员4人，餐费0.06万元</w:t>
      </w:r>
      <w:r>
        <w:rPr>
          <w:rFonts w:hint="eastAsia" w:ascii="Times New Roman" w:hAnsi="Times New Roman" w:eastAsia="仿宋_GB2312" w:cs="仿宋_GB2312"/>
          <w:color w:val="auto"/>
          <w:kern w:val="2"/>
          <w:sz w:val="32"/>
          <w:szCs w:val="32"/>
          <w:highlight w:val="none"/>
          <w:lang w:val="en-US" w:eastAsia="zh-CN" w:bidi="ar-SA"/>
        </w:rPr>
        <w:t>。</w:t>
      </w:r>
    </w:p>
    <w:p w14:paraId="564243B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万元。外事接待</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bookmarkStart w:id="32" w:name="_Toc15377218"/>
      <w:bookmarkStart w:id="33" w:name="_Toc15396610"/>
    </w:p>
    <w:p w14:paraId="6F9E1414">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2"/>
      <w:bookmarkEnd w:id="33"/>
    </w:p>
    <w:p w14:paraId="70225A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2923FD2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4" w:name="_Toc15377219"/>
      <w:bookmarkStart w:id="35"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4"/>
      <w:bookmarkEnd w:id="35"/>
    </w:p>
    <w:p w14:paraId="13D210D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4415A51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AA6DDEB">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6" w:name="_Toc15396612"/>
      <w:bookmarkStart w:id="37"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6"/>
      <w:bookmarkEnd w:id="37"/>
    </w:p>
    <w:p w14:paraId="254443A8">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22"/>
      <w:r>
        <w:rPr>
          <w:rFonts w:hint="eastAsia" w:ascii="Times New Roman" w:hAnsi="Times New Roman" w:eastAsia="楷体_GB2312" w:cs="楷体_GB2312"/>
          <w:b/>
          <w:color w:val="auto"/>
          <w:sz w:val="32"/>
          <w:szCs w:val="32"/>
          <w:highlight w:val="none"/>
        </w:rPr>
        <w:t>（一）机关运行经费支出情况</w:t>
      </w:r>
      <w:bookmarkEnd w:id="38"/>
    </w:p>
    <w:p w14:paraId="08E29B1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FD89F3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23"/>
      <w:r>
        <w:rPr>
          <w:rFonts w:hint="eastAsia" w:ascii="Times New Roman" w:hAnsi="Times New Roman" w:eastAsia="楷体_GB2312" w:cs="楷体_GB2312"/>
          <w:b/>
          <w:color w:val="auto"/>
          <w:sz w:val="32"/>
          <w:szCs w:val="32"/>
          <w:highlight w:val="none"/>
        </w:rPr>
        <w:t>（二）政府采购支出情况</w:t>
      </w:r>
      <w:bookmarkEnd w:id="39"/>
    </w:p>
    <w:p w14:paraId="5C9325B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万元。授予中小企业合同金额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386B865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06EB06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4"/>
      <w:r>
        <w:rPr>
          <w:rFonts w:hint="eastAsia" w:ascii="Times New Roman" w:hAnsi="Times New Roman" w:eastAsia="楷体_GB2312" w:cs="楷体_GB2312"/>
          <w:b/>
          <w:color w:val="auto"/>
          <w:sz w:val="32"/>
          <w:szCs w:val="32"/>
          <w:highlight w:val="none"/>
        </w:rPr>
        <w:t>（三）国有资产占有使用情况</w:t>
      </w:r>
      <w:bookmarkEnd w:id="40"/>
    </w:p>
    <w:p w14:paraId="54D7A1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单位用车。</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台（套）。</w:t>
      </w:r>
    </w:p>
    <w:p w14:paraId="5E5DA7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B4B8C2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6A055C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，本单位</w:t>
      </w:r>
      <w:r>
        <w:rPr>
          <w:rFonts w:hint="eastAsia" w:ascii="Times New Roman" w:hAnsi="Times New Roman" w:eastAsia="仿宋_GB2312" w:cs="仿宋_GB2312"/>
          <w:color w:val="auto"/>
          <w:kern w:val="2"/>
          <w:sz w:val="32"/>
          <w:szCs w:val="32"/>
          <w:highlight w:val="none"/>
          <w:lang w:val="en-US" w:eastAsia="zh-CN" w:bidi="ar-SA"/>
        </w:rPr>
        <w:t>在2025年度，组织对2025年度一般公共预算、政府性基金预算、国有资本经营预算、社会保险基金预算以及资本资产、债券资金等全面开展绩效自评，</w:t>
      </w:r>
      <w:r>
        <w:rPr>
          <w:rFonts w:hint="eastAsia" w:eastAsia="仿宋_GB2312" w:cs="仿宋_GB2312"/>
          <w:color w:val="auto"/>
          <w:kern w:val="2"/>
          <w:sz w:val="32"/>
          <w:szCs w:val="32"/>
          <w:highlight w:val="none"/>
          <w:lang w:val="en-US" w:eastAsia="zh-CN" w:bidi="ar-SA"/>
        </w:rPr>
        <w:t>形成</w:t>
      </w:r>
      <w:r>
        <w:rPr>
          <w:rFonts w:hint="eastAsia" w:ascii="Times New Roman" w:hAnsi="Times New Roman" w:eastAsia="仿宋_GB2312" w:cs="仿宋_GB2312"/>
          <w:color w:val="auto"/>
          <w:kern w:val="2"/>
          <w:sz w:val="32"/>
          <w:szCs w:val="32"/>
          <w:highlight w:val="none"/>
          <w:lang w:val="en-US" w:eastAsia="zh-CN" w:bidi="ar-SA"/>
        </w:rPr>
        <w:t>中共松潘县委党校部门整体绩效自评报告，中共松潘县委党校部门整体（含部门预算项目）绩效自评得分为94分，绩效自评综述：整体绩效评价工作规范了财政资金的管理，强化财政支出绩效理念，提</w:t>
      </w:r>
      <w:r>
        <w:rPr>
          <w:rFonts w:hint="eastAsia" w:eastAsia="仿宋_GB2312" w:cs="仿宋_GB2312"/>
          <w:color w:val="auto"/>
          <w:kern w:val="2"/>
          <w:sz w:val="32"/>
          <w:szCs w:val="32"/>
          <w:highlight w:val="none"/>
          <w:lang w:val="en-US" w:eastAsia="zh-CN" w:bidi="ar-SA"/>
        </w:rPr>
        <w:t>升责</w:t>
      </w:r>
      <w:r>
        <w:rPr>
          <w:rFonts w:hint="eastAsia" w:ascii="Times New Roman" w:hAnsi="Times New Roman" w:eastAsia="仿宋_GB2312" w:cs="仿宋_GB2312"/>
          <w:color w:val="auto"/>
          <w:kern w:val="2"/>
          <w:sz w:val="32"/>
          <w:szCs w:val="32"/>
          <w:highlight w:val="none"/>
          <w:lang w:val="en-US" w:eastAsia="zh-CN" w:bidi="ar-SA"/>
        </w:rPr>
        <w:t>任意识，提高资金使用效益。</w:t>
      </w:r>
    </w:p>
    <w:p w14:paraId="31C012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绩效自评报告详见附件。</w:t>
      </w:r>
    </w:p>
    <w:p w14:paraId="096C3EB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919A0C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31DBC7A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A51EE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7D498D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092E87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2D9D19CC">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601E93FF">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1" w:name="_Toc15377225"/>
      <w:bookmarkStart w:id="42"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1"/>
      <w:bookmarkEnd w:id="42"/>
    </w:p>
    <w:p w14:paraId="0C359775">
      <w:pPr>
        <w:spacing w:line="600" w:lineRule="exact"/>
        <w:jc w:val="left"/>
        <w:rPr>
          <w:rFonts w:ascii="Times New Roman" w:hAnsi="Times New Roman"/>
          <w:b/>
          <w:color w:val="auto"/>
          <w:sz w:val="44"/>
          <w:szCs w:val="44"/>
          <w:highlight w:val="none"/>
        </w:rPr>
      </w:pPr>
    </w:p>
    <w:p w14:paraId="2C2822E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53E07B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641A62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1528BA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378CC1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019CAA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43C1F5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51177D9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738236E4">
      <w:pPr>
        <w:spacing w:line="600" w:lineRule="exact"/>
        <w:ind w:firstLine="640"/>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pP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9.一般公共服务（类）</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发展和改革事务</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（款）</w:t>
      </w:r>
      <w:r>
        <w:rPr>
          <w:rFonts w:hint="eastAsia" w:eastAsia="仿宋_GB2312" w:cs="仿宋_GB2312"/>
          <w:color w:val="000000" w:themeColor="text1"/>
          <w:kern w:val="2"/>
          <w:sz w:val="32"/>
          <w:szCs w:val="32"/>
          <w:highlight w:val="none"/>
          <w:lang w:val="en-US" w:eastAsia="zh-CN" w:bidi="ar-SA"/>
          <w14:textFill>
            <w14:solidFill>
              <w14:schemeClr w14:val="tx1"/>
            </w14:solidFill>
          </w14:textFill>
        </w:rPr>
        <w:t>其他发展与改革事务支出</w:t>
      </w:r>
      <w:r>
        <w:rPr>
          <w:rFonts w:hint="eastAsia" w:ascii="Times New Roman" w:hAnsi="Times New Roman" w:eastAsia="仿宋_GB2312" w:cs="仿宋_GB2312"/>
          <w:color w:val="000000" w:themeColor="text1"/>
          <w:kern w:val="2"/>
          <w:sz w:val="32"/>
          <w:szCs w:val="32"/>
          <w:highlight w:val="none"/>
          <w:lang w:val="en-US" w:eastAsia="zh-CN" w:bidi="ar-SA"/>
          <w14:textFill>
            <w14:solidFill>
              <w14:schemeClr w14:val="tx1"/>
            </w14:solidFill>
          </w14:textFill>
        </w:rPr>
        <w:t>（项）：指……</w:t>
      </w:r>
    </w:p>
    <w:p w14:paraId="57BBE1D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33147FC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59D7A0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2BF914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38BD7119">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D4478F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25386C6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1E66A25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2A841FF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652F77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601C160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51A34AB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5FE96BC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7357B03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20C3D8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1BD2B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546AED5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0A672A9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24CBD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4B0F0E1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E0945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191D9E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1A835A0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B3D916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42CD6D8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5958725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69432332">
      <w:pPr>
        <w:keepNext w:val="0"/>
        <w:keepLines w:val="0"/>
        <w:widowControl w:val="0"/>
        <w:suppressLineNumbers w:val="0"/>
        <w:spacing w:before="0" w:beforeAutospacing="0" w:after="0" w:afterAutospacing="0" w:line="600" w:lineRule="exact"/>
        <w:ind w:left="0" w:right="0"/>
        <w:jc w:val="center"/>
        <w:outlineLvl w:val="0"/>
        <w:rPr>
          <w:rFonts w:hint="eastAsia" w:ascii="黑体" w:hAnsi="宋体" w:eastAsia="黑体" w:cs="Times New Roman"/>
          <w:b w:val="0"/>
          <w:bCs/>
          <w:kern w:val="44"/>
          <w:sz w:val="44"/>
          <w:szCs w:val="44"/>
        </w:rPr>
      </w:pPr>
      <w:bookmarkStart w:id="43"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44" w:name="_Toc15396618"/>
      <w:r>
        <w:rPr>
          <w:rFonts w:hint="eastAsia" w:ascii="黑体" w:hAnsi="宋体" w:eastAsia="黑体" w:cs="黑体"/>
          <w:kern w:val="2"/>
          <w:sz w:val="44"/>
          <w:szCs w:val="44"/>
          <w:lang w:val="en-US" w:eastAsia="zh-CN" w:bidi="ar"/>
        </w:rPr>
        <w:t>第</w:t>
      </w:r>
      <w:r>
        <w:rPr>
          <w:rStyle w:val="36"/>
          <w:rFonts w:hint="eastAsia" w:ascii="黑体" w:hAnsi="宋体" w:eastAsia="黑体" w:cs="黑体"/>
          <w:b w:val="0"/>
          <w:bCs/>
          <w:kern w:val="44"/>
          <w:sz w:val="44"/>
          <w:szCs w:val="44"/>
          <w:lang w:val="en-US" w:eastAsia="zh-CN" w:bidi="ar"/>
        </w:rPr>
        <w:t>四部分</w:t>
      </w:r>
      <w:r>
        <w:rPr>
          <w:rStyle w:val="36"/>
          <w:rFonts w:hint="eastAsia" w:ascii="黑体" w:hAnsi="宋体" w:eastAsia="黑体" w:cs="Times New Roman"/>
          <w:b w:val="0"/>
          <w:bCs/>
          <w:kern w:val="44"/>
          <w:sz w:val="44"/>
          <w:szCs w:val="44"/>
          <w:lang w:val="en-US" w:eastAsia="zh-CN" w:bidi="ar"/>
        </w:rPr>
        <w:t xml:space="preserve"> </w:t>
      </w:r>
      <w:r>
        <w:rPr>
          <w:rStyle w:val="36"/>
          <w:rFonts w:hint="eastAsia" w:ascii="黑体" w:hAnsi="宋体" w:eastAsia="黑体" w:cs="黑体"/>
          <w:b w:val="0"/>
          <w:bCs/>
          <w:kern w:val="44"/>
          <w:sz w:val="44"/>
          <w:szCs w:val="44"/>
          <w:lang w:val="en-US" w:eastAsia="zh-CN" w:bidi="ar"/>
        </w:rPr>
        <w:t>附件</w:t>
      </w:r>
    </w:p>
    <w:p w14:paraId="47ED82E3">
      <w:pPr>
        <w:keepNext w:val="0"/>
        <w:keepLines w:val="0"/>
        <w:pageBreakBefore w:val="0"/>
        <w:kinsoku/>
        <w:wordWrap/>
        <w:overflowPunct/>
        <w:topLinePunct w:val="0"/>
        <w:autoSpaceDE/>
        <w:autoSpaceDN/>
        <w:bidi w:val="0"/>
        <w:spacing w:line="572" w:lineRule="exact"/>
        <w:jc w:val="left"/>
        <w:textAlignment w:val="auto"/>
        <w:outlineLvl w:val="0"/>
        <w:rPr>
          <w:rFonts w:hint="eastAsia" w:ascii="微软雅黑" w:hAnsi="微软雅黑" w:eastAsia="黑体" w:cs="微软雅黑"/>
          <w:color w:val="auto"/>
          <w:sz w:val="44"/>
          <w:szCs w:val="44"/>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1</w:t>
      </w:r>
    </w:p>
    <w:p w14:paraId="63544125">
      <w:pPr>
        <w:spacing w:line="578" w:lineRule="exact"/>
        <w:rPr>
          <w:rFonts w:hint="default" w:ascii="Times New Roman" w:hAnsi="Times New Roman" w:eastAsia="黑体" w:cs="Times New Roman"/>
          <w:b/>
          <w:bCs/>
          <w:sz w:val="32"/>
          <w:szCs w:val="32"/>
        </w:rPr>
      </w:pPr>
    </w:p>
    <w:p w14:paraId="30412767">
      <w:pPr>
        <w:spacing w:line="578" w:lineRule="exact"/>
        <w:rPr>
          <w:rFonts w:hint="default" w:ascii="Times New Roman" w:hAnsi="Times New Roman" w:eastAsia="黑体" w:cs="Times New Roman"/>
          <w:b/>
          <w:bCs/>
          <w:sz w:val="32"/>
          <w:szCs w:val="32"/>
        </w:rPr>
      </w:pPr>
    </w:p>
    <w:p w14:paraId="27C4FE43">
      <w:pPr>
        <w:spacing w:line="578" w:lineRule="exact"/>
        <w:rPr>
          <w:rFonts w:hint="default" w:ascii="Times New Roman" w:hAnsi="Times New Roman" w:eastAsia="黑体" w:cs="Times New Roman"/>
          <w:b/>
          <w:bCs/>
          <w:sz w:val="32"/>
          <w:szCs w:val="32"/>
        </w:rPr>
      </w:pPr>
      <w:r>
        <w:rPr>
          <w:rFonts w:hint="default" w:ascii="Times New Roman" w:hAnsi="Times New Roman" w:cs="Times New Roman"/>
          <w:b/>
          <w:bCs/>
        </w:rPr>
        <mc:AlternateContent>
          <mc:Choice Requires="wps">
            <w:drawing>
              <wp:anchor distT="0" distB="0" distL="114300" distR="114300" simplePos="0" relativeHeight="251666432" behindDoc="0" locked="0" layoutInCell="1" allowOverlap="1">
                <wp:simplePos x="0" y="0"/>
                <wp:positionH relativeFrom="column">
                  <wp:posOffset>102870</wp:posOffset>
                </wp:positionH>
                <wp:positionV relativeFrom="paragraph">
                  <wp:posOffset>303530</wp:posOffset>
                </wp:positionV>
                <wp:extent cx="5401310" cy="1022985"/>
                <wp:effectExtent l="0" t="0" r="8890" b="5715"/>
                <wp:wrapNone/>
                <wp:docPr id="13" name="文本框 13"/>
                <wp:cNvGraphicFramePr/>
                <a:graphic xmlns:a="http://schemas.openxmlformats.org/drawingml/2006/main">
                  <a:graphicData uri="http://schemas.microsoft.com/office/word/2010/wordprocessingShape">
                    <wps:wsp>
                      <wps:cNvSpPr txBox="1"/>
                      <wps:spPr>
                        <a:xfrm>
                          <a:off x="0" y="0"/>
                          <a:ext cx="5401310" cy="1022985"/>
                        </a:xfrm>
                        <a:prstGeom prst="rect">
                          <a:avLst/>
                        </a:prstGeom>
                        <a:solidFill>
                          <a:srgbClr val="FFFFFF"/>
                        </a:solidFill>
                        <a:ln>
                          <a:noFill/>
                        </a:ln>
                      </wps:spPr>
                      <wps:txbx>
                        <w:txbxContent>
                          <w:p w14:paraId="7F90E218">
                            <w:pPr>
                              <w:snapToGrid w:val="0"/>
                              <w:spacing w:line="1340" w:lineRule="exact"/>
                              <w:jc w:val="center"/>
                              <w:rPr>
                                <w:rFonts w:hint="eastAsia" w:ascii="方正小标宋_GBK" w:eastAsia="方正小标宋_GBK" w:cs="方正小标宋_GBK"/>
                                <w:b/>
                                <w:bCs/>
                                <w:color w:val="FF0000"/>
                                <w:w w:val="75"/>
                                <w:sz w:val="112"/>
                                <w:szCs w:val="112"/>
                                <w:lang w:bidi="ar-SA"/>
                              </w:rPr>
                            </w:pPr>
                            <w:r>
                              <w:rPr>
                                <w:rFonts w:hint="eastAsia" w:ascii="微软雅黑" w:eastAsia="微软雅黑" w:cs="微软雅黑"/>
                                <w:b/>
                                <w:bCs/>
                                <w:color w:val="FF0000"/>
                                <w:spacing w:val="-12"/>
                                <w:w w:val="75"/>
                                <w:sz w:val="112"/>
                                <w:szCs w:val="112"/>
                                <w:lang w:bidi="ar-SA"/>
                              </w:rPr>
                              <w:t>中共松潘县委党校文</w:t>
                            </w:r>
                            <w:r>
                              <w:rPr>
                                <w:rFonts w:hint="eastAsia" w:ascii="微软雅黑" w:eastAsia="微软雅黑" w:cs="微软雅黑"/>
                                <w:b/>
                                <w:bCs/>
                                <w:color w:val="FF0000"/>
                                <w:w w:val="75"/>
                                <w:sz w:val="112"/>
                                <w:szCs w:val="112"/>
                                <w:lang w:bidi="ar-SA"/>
                              </w:rPr>
                              <w:t>件</w:t>
                            </w:r>
                          </w:p>
                        </w:txbxContent>
                      </wps:txbx>
                      <wps:bodyPr lIns="0" tIns="45720" rIns="0" bIns="45720" upright="1"/>
                    </wps:wsp>
                  </a:graphicData>
                </a:graphic>
              </wp:anchor>
            </w:drawing>
          </mc:Choice>
          <mc:Fallback>
            <w:pict>
              <v:shape id="_x0000_s1026" o:spid="_x0000_s1026" o:spt="202" type="#_x0000_t202" style="position:absolute;left:0pt;margin-left:8.1pt;margin-top:23.9pt;height:80.55pt;width:425.3pt;z-index:251666432;mso-width-relative:page;mso-height-relative:page;" fillcolor="#FFFFFF" filled="t" stroked="f" coordsize="21600,21600" o:gfxdata="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KJaUWTXAAAACQEAAA8AAAAAAAAAAQAgAAAA&#10;IgAAAGRycy9kb3ducmV2LnhtbFBLAQIUABQAAAAIAIdO4kBIvN6P0wEAAKYDAAAOAAAAAAAAAAEA&#10;IAAAACYBAABkcnMvZTJvRG9jLnhtbFBLBQYAAAAABgAGAFkBAABrBQAAAAA=&#10;">
                <v:fill on="t" focussize="0,0"/>
                <v:stroke on="f"/>
                <v:imagedata o:title=""/>
                <o:lock v:ext="edit" aspectratio="f"/>
                <v:textbox inset="0mm,1.27mm,0mm,1.27mm">
                  <w:txbxContent>
                    <w:p w14:paraId="7F90E218">
                      <w:pPr>
                        <w:snapToGrid w:val="0"/>
                        <w:spacing w:line="1340" w:lineRule="exact"/>
                        <w:jc w:val="center"/>
                        <w:rPr>
                          <w:rFonts w:hint="eastAsia" w:ascii="方正小标宋_GBK" w:eastAsia="方正小标宋_GBK" w:cs="方正小标宋_GBK"/>
                          <w:b/>
                          <w:bCs/>
                          <w:color w:val="FF0000"/>
                          <w:w w:val="75"/>
                          <w:sz w:val="112"/>
                          <w:szCs w:val="112"/>
                          <w:lang w:bidi="ar-SA"/>
                        </w:rPr>
                      </w:pPr>
                      <w:r>
                        <w:rPr>
                          <w:rFonts w:hint="eastAsia" w:ascii="微软雅黑" w:eastAsia="微软雅黑" w:cs="微软雅黑"/>
                          <w:b/>
                          <w:bCs/>
                          <w:color w:val="FF0000"/>
                          <w:spacing w:val="-12"/>
                          <w:w w:val="75"/>
                          <w:sz w:val="112"/>
                          <w:szCs w:val="112"/>
                          <w:lang w:bidi="ar-SA"/>
                        </w:rPr>
                        <w:t>中共松潘县委党校文</w:t>
                      </w:r>
                      <w:r>
                        <w:rPr>
                          <w:rFonts w:hint="eastAsia" w:ascii="微软雅黑" w:eastAsia="微软雅黑" w:cs="微软雅黑"/>
                          <w:b/>
                          <w:bCs/>
                          <w:color w:val="FF0000"/>
                          <w:w w:val="75"/>
                          <w:sz w:val="112"/>
                          <w:szCs w:val="112"/>
                          <w:lang w:bidi="ar-SA"/>
                        </w:rPr>
                        <w:t>件</w:t>
                      </w:r>
                    </w:p>
                  </w:txbxContent>
                </v:textbox>
              </v:shape>
            </w:pict>
          </mc:Fallback>
        </mc:AlternateContent>
      </w:r>
    </w:p>
    <w:p w14:paraId="50320530">
      <w:pPr>
        <w:spacing w:line="578" w:lineRule="exact"/>
        <w:jc w:val="center"/>
        <w:rPr>
          <w:rFonts w:hint="default" w:ascii="Times New Roman" w:hAnsi="Times New Roman" w:eastAsia="方正大标宋简体" w:cs="Times New Roman"/>
          <w:b/>
          <w:bCs/>
          <w:color w:val="FF0000"/>
          <w:w w:val="50"/>
          <w:sz w:val="140"/>
          <w:szCs w:val="140"/>
        </w:rPr>
      </w:pPr>
    </w:p>
    <w:p w14:paraId="1BF103F4">
      <w:pPr>
        <w:spacing w:line="578" w:lineRule="exact"/>
        <w:jc w:val="center"/>
        <w:rPr>
          <w:rFonts w:hint="default" w:ascii="Times New Roman" w:hAnsi="Times New Roman" w:eastAsia="方正大标宋简体" w:cs="Times New Roman"/>
          <w:b/>
          <w:bCs/>
          <w:color w:val="FF0000"/>
          <w:w w:val="50"/>
          <w:sz w:val="140"/>
          <w:szCs w:val="140"/>
        </w:rPr>
      </w:pPr>
    </w:p>
    <w:p w14:paraId="6658D7B4">
      <w:pPr>
        <w:spacing w:line="578" w:lineRule="exact"/>
        <w:jc w:val="both"/>
        <w:rPr>
          <w:rFonts w:hint="default" w:ascii="Times New Roman" w:hAnsi="Times New Roman" w:eastAsia="方正大标宋简体" w:cs="Times New Roman"/>
          <w:b/>
          <w:bCs/>
          <w:color w:val="FF0000"/>
          <w:w w:val="50"/>
          <w:sz w:val="140"/>
          <w:szCs w:val="140"/>
        </w:rPr>
      </w:pPr>
    </w:p>
    <w:p w14:paraId="165215A0">
      <w:pPr>
        <w:spacing w:line="578" w:lineRule="exact"/>
        <w:jc w:val="both"/>
        <w:rPr>
          <w:rFonts w:hint="default" w:ascii="Times New Roman" w:hAnsi="Times New Roman" w:eastAsia="方正大标宋简体" w:cs="Times New Roman"/>
          <w:b/>
          <w:bCs/>
          <w:color w:val="FF0000"/>
          <w:w w:val="50"/>
          <w:sz w:val="140"/>
          <w:szCs w:val="140"/>
        </w:rPr>
      </w:pPr>
    </w:p>
    <w:p w14:paraId="4FBDBD7F">
      <w:pPr>
        <w:spacing w:line="578" w:lineRule="exact"/>
        <w:jc w:val="center"/>
        <w:rPr>
          <w:rFonts w:hint="eastAsia"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 xml:space="preserve"> </w:t>
      </w:r>
      <w:r>
        <w:rPr>
          <w:rFonts w:hint="default" w:ascii="Times New Roman" w:hAnsi="Times New Roman" w:eastAsia="仿宋_GB2312" w:cs="Times New Roman"/>
          <w:b/>
          <w:bCs/>
          <w:sz w:val="32"/>
          <w:szCs w:val="32"/>
        </w:rPr>
        <w:t>松委校办〔202</w:t>
      </w:r>
      <w:r>
        <w:rPr>
          <w:rFonts w:hint="eastAsia" w:cs="Times New Roman"/>
          <w:b/>
          <w:bCs/>
          <w:sz w:val="32"/>
          <w:szCs w:val="32"/>
          <w:lang w:val="en-US" w:eastAsia="zh-CN"/>
        </w:rPr>
        <w:t>6</w:t>
      </w:r>
      <w:r>
        <w:rPr>
          <w:rFonts w:hint="default" w:ascii="Times New Roman" w:hAnsi="Times New Roman" w:eastAsia="仿宋_GB2312" w:cs="Times New Roman"/>
          <w:b/>
          <w:bCs/>
          <w:sz w:val="32"/>
          <w:szCs w:val="32"/>
        </w:rPr>
        <w:t>〕</w:t>
      </w:r>
      <w:r>
        <w:rPr>
          <w:rFonts w:hint="eastAsia" w:cs="Times New Roman"/>
          <w:b/>
          <w:bCs/>
          <w:sz w:val="32"/>
          <w:szCs w:val="32"/>
          <w:lang w:val="en-US" w:eastAsia="zh-CN"/>
        </w:rPr>
        <w:t>19</w:t>
      </w:r>
      <w:r>
        <w:rPr>
          <w:rFonts w:hint="default" w:ascii="Times New Roman" w:hAnsi="Times New Roman" w:eastAsia="仿宋_GB2312" w:cs="Times New Roman"/>
          <w:b/>
          <w:bCs/>
          <w:sz w:val="32"/>
          <w:szCs w:val="32"/>
        </w:rPr>
        <w:t>号                签发人：</w:t>
      </w:r>
      <w:r>
        <w:rPr>
          <w:rFonts w:hint="eastAsia" w:eastAsia="楷体_GB2312" w:cs="Times New Roman"/>
          <w:b/>
          <w:bCs/>
          <w:sz w:val="32"/>
          <w:szCs w:val="32"/>
          <w:lang w:eastAsia="zh-CN" w:bidi="ar-SA"/>
        </w:rPr>
        <w:t>徐增艳</w:t>
      </w:r>
    </w:p>
    <w:p w14:paraId="52635ABF">
      <w:pPr>
        <w:spacing w:line="700" w:lineRule="exact"/>
        <w:jc w:val="center"/>
        <w:rPr>
          <w:rFonts w:hint="default" w:ascii="Times New Roman" w:hAnsi="Times New Roman" w:eastAsia="方正大标宋简体" w:cs="Times New Roman"/>
          <w:b w:val="0"/>
          <w:bCs w:val="0"/>
          <w:color w:val="FF0000"/>
          <w:w w:val="50"/>
          <w:sz w:val="140"/>
          <w:szCs w:val="140"/>
        </w:rPr>
      </w:pPr>
      <w:r>
        <w:rPr>
          <w:rFonts w:hint="default" w:ascii="Times New Roman" w:hAnsi="Times New Roman" w:eastAsia="方正大标宋简体" w:cs="Times New Roman"/>
          <w:b/>
          <w:bCs/>
          <w:color w:val="FF0000"/>
          <w:sz w:val="140"/>
          <w:szCs w:val="140"/>
        </w:rPr>
        <mc:AlternateContent>
          <mc:Choice Requires="wps">
            <w:drawing>
              <wp:anchor distT="0" distB="0" distL="114300" distR="114300" simplePos="0" relativeHeight="251665408" behindDoc="0" locked="0" layoutInCell="1" allowOverlap="1">
                <wp:simplePos x="0" y="0"/>
                <wp:positionH relativeFrom="column">
                  <wp:align>center</wp:align>
                </wp:positionH>
                <wp:positionV relativeFrom="paragraph">
                  <wp:posOffset>41910</wp:posOffset>
                </wp:positionV>
                <wp:extent cx="215900" cy="215900"/>
                <wp:effectExtent l="0" t="0" r="12700" b="12700"/>
                <wp:wrapNone/>
                <wp:docPr id="14" name="任意多边形 1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15900" cy="215900"/>
                        </a:xfrm>
                        <a:custGeom>
                          <a:avLst/>
                          <a:gdLst/>
                          <a:ahLst/>
                          <a:cxnLst/>
                          <a:pathLst>
                            <a:path w="340" h="340">
                              <a:moveTo>
                                <a:pt x="0" y="129"/>
                              </a:moveTo>
                              <a:lnTo>
                                <a:pt x="129" y="129"/>
                              </a:lnTo>
                              <a:lnTo>
                                <a:pt x="170" y="0"/>
                              </a:lnTo>
                              <a:lnTo>
                                <a:pt x="210" y="129"/>
                              </a:lnTo>
                              <a:lnTo>
                                <a:pt x="340" y="129"/>
                              </a:lnTo>
                              <a:lnTo>
                                <a:pt x="234" y="210"/>
                              </a:lnTo>
                              <a:lnTo>
                                <a:pt x="275" y="340"/>
                              </a:lnTo>
                              <a:lnTo>
                                <a:pt x="170" y="259"/>
                              </a:lnTo>
                              <a:lnTo>
                                <a:pt x="64" y="340"/>
                              </a:lnTo>
                              <a:lnTo>
                                <a:pt x="105" y="210"/>
                              </a:lnTo>
                              <a:lnTo>
                                <a:pt x="0" y="129"/>
                              </a:lnTo>
                              <a:close/>
                            </a:path>
                          </a:pathLst>
                        </a:custGeom>
                        <a:solidFill>
                          <a:srgbClr val="FF0000"/>
                        </a:solidFill>
                        <a:ln>
                          <a:noFill/>
                        </a:ln>
                      </wps:spPr>
                      <wps:bodyPr upright="1"/>
                    </wps:wsp>
                  </a:graphicData>
                </a:graphic>
              </wp:anchor>
            </w:drawing>
          </mc:Choice>
          <mc:Fallback>
            <w:pict>
              <v:shape id="_x0000_s1026" o:spid="_x0000_s1026" o:spt="100" style="position:absolute;left:0pt;margin-top:3.3pt;height:17pt;width:17pt;mso-position-horizontal:center;z-index:251665408;mso-width-relative:page;mso-height-relative:page;" fillcolor="#FF0000" filled="t" stroked="f" coordsize="340,340" o:gfxdata="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XO3DFtQAAAAE&#10;AQAADwAAAAAAAAABACAAAAAiAAAAZHJzL2Rvd25yZXYueG1sUEsBAhQAFAAAAAgAh07iQIwSdyNZ&#10;AgAAnwUAAA4AAAAAAAAAAQAgAAAAIwEAAGRycy9lMm9Eb2MueG1sUEsFBgAAAAAGAAYAWQEAAO4F&#10;AAAAAA==&#10;" path="m0,129l129,129,170,0,210,129,340,129,234,210,275,340,170,259,64,340,105,210,0,129xe">
                <v:fill on="t" focussize="0,0"/>
                <v:stroke on="f"/>
                <v:imagedata o:title=""/>
                <o:lock v:ext="edit" aspectratio="t"/>
              </v:shape>
            </w:pict>
          </mc:Fallback>
        </mc:AlternateContent>
      </w:r>
      <w:r>
        <w:rPr>
          <w:rFonts w:hint="default" w:ascii="Times New Roman" w:hAnsi="Times New Roman" w:eastAsia="方正大标宋简体" w:cs="Times New Roman"/>
          <w:b/>
          <w:bCs/>
          <w:color w:val="FF0000"/>
          <w:sz w:val="140"/>
          <w:szCs w:val="140"/>
        </w:rPr>
        <mc:AlternateContent>
          <mc:Choice Requires="wps">
            <w:drawing>
              <wp:anchor distT="0" distB="0" distL="114300" distR="114300" simplePos="0" relativeHeight="251664384" behindDoc="0" locked="0" layoutInCell="1" allowOverlap="1">
                <wp:simplePos x="0" y="0"/>
                <wp:positionH relativeFrom="column">
                  <wp:align>right</wp:align>
                </wp:positionH>
                <wp:positionV relativeFrom="paragraph">
                  <wp:posOffset>158750</wp:posOffset>
                </wp:positionV>
                <wp:extent cx="2555875" cy="0"/>
                <wp:effectExtent l="0" t="9525" r="15875" b="9525"/>
                <wp:wrapNone/>
                <wp:docPr id="16" name="直接连接符 16"/>
                <wp:cNvGraphicFramePr/>
                <a:graphic xmlns:a="http://schemas.openxmlformats.org/drawingml/2006/main">
                  <a:graphicData uri="http://schemas.microsoft.com/office/word/2010/wordprocessingShape">
                    <wps:wsp>
                      <wps:cNvCnPr/>
                      <wps:spPr>
                        <a:xfrm>
                          <a:off x="0" y="0"/>
                          <a:ext cx="2555875"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top:12.5pt;height:0pt;width:201.25pt;mso-position-horizontal:right;z-index:251664384;mso-width-relative:page;mso-height-relative:page;" filled="f" stroked="t" coordsize="21600,21600" o:gfxdata="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Dq1591gAAAAYBAAAPAAAAAAAAAAEAIAAAACIAAABkcnMvZG93bnJldi54bWxQ&#10;SwECFAAUAAAACACHTuJAQ1PT/PkBAADnAwAADgAAAAAAAAABACAAAAAlAQAAZHJzL2Uyb0RvYy54&#10;bWxQSwUGAAAAAAYABgBZAQAAkAUAAAAA&#10;">
                <v:fill on="f" focussize="0,0"/>
                <v:stroke weight="1.5pt" color="#FF0000" joinstyle="round"/>
                <v:imagedata o:title=""/>
                <o:lock v:ext="edit" aspectratio="f"/>
              </v:line>
            </w:pict>
          </mc:Fallback>
        </mc:AlternateContent>
      </w:r>
      <w:r>
        <w:rPr>
          <w:rFonts w:hint="default" w:ascii="Times New Roman" w:hAnsi="Times New Roman" w:eastAsia="方正大标宋简体" w:cs="Times New Roman"/>
          <w:b/>
          <w:bCs/>
          <w:color w:val="FF0000"/>
          <w:sz w:val="140"/>
          <w:szCs w:val="140"/>
        </w:rPr>
        <mc:AlternateContent>
          <mc:Choice Requires="wps">
            <w:drawing>
              <wp:anchor distT="0" distB="0" distL="114300" distR="114300" simplePos="0" relativeHeight="251663360" behindDoc="0" locked="0" layoutInCell="1" allowOverlap="1">
                <wp:simplePos x="0" y="0"/>
                <wp:positionH relativeFrom="column">
                  <wp:posOffset>0</wp:posOffset>
                </wp:positionH>
                <wp:positionV relativeFrom="paragraph">
                  <wp:posOffset>168275</wp:posOffset>
                </wp:positionV>
                <wp:extent cx="2555875" cy="0"/>
                <wp:effectExtent l="0" t="9525" r="15875" b="9525"/>
                <wp:wrapNone/>
                <wp:docPr id="17" name="直接连接符 17"/>
                <wp:cNvGraphicFramePr/>
                <a:graphic xmlns:a="http://schemas.openxmlformats.org/drawingml/2006/main">
                  <a:graphicData uri="http://schemas.microsoft.com/office/word/2010/wordprocessingShape">
                    <wps:wsp>
                      <wps:cNvCnPr/>
                      <wps:spPr>
                        <a:xfrm>
                          <a:off x="0" y="0"/>
                          <a:ext cx="2555875"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13.25pt;height:0pt;width:201.25pt;z-index:251663360;mso-width-relative:page;mso-height-relative:page;" filled="f" stroked="t" coordsize="21600,21600" o:gfxdata="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R2Dwb1gAAAAYBAAAPAAAAAAAAAAEAIAAAACIAAABkcnMvZG93bnJldi54bWxQ&#10;SwECFAAUAAAACACHTuJA2vitcvkBAADnAwAADgAAAAAAAAABACAAAAAlAQAAZHJzL2Uyb0RvYy54&#10;bWxQSwUGAAAAAAYABgBZAQAAkAUAAAAA&#10;">
                <v:fill on="f" focussize="0,0"/>
                <v:stroke weight="1.5pt" color="#FF0000" joinstyle="round"/>
                <v:imagedata o:title=""/>
                <o:lock v:ext="edit" aspectratio="f"/>
              </v:line>
            </w:pict>
          </mc:Fallback>
        </mc:AlternateContent>
      </w:r>
    </w:p>
    <w:p w14:paraId="5318F887">
      <w:pPr>
        <w:keepNext w:val="0"/>
        <w:keepLines w:val="0"/>
        <w:pageBreakBefore w:val="0"/>
        <w:widowControl w:val="0"/>
        <w:kinsoku/>
        <w:wordWrap w:val="0"/>
        <w:overflowPunct/>
        <w:topLinePunct w:val="0"/>
        <w:autoSpaceDE/>
        <w:autoSpaceDN/>
        <w:bidi w:val="0"/>
        <w:adjustRightInd/>
        <w:snapToGrid w:val="0"/>
        <w:spacing w:line="578" w:lineRule="exact"/>
        <w:jc w:val="both"/>
        <w:textAlignment w:val="auto"/>
        <w:rPr>
          <w:rFonts w:hint="default" w:ascii="Times New Roman" w:hAnsi="Times New Roman" w:eastAsia="仿宋_GB2312" w:cs="Times New Roman"/>
          <w:b w:val="0"/>
          <w:bCs w:val="0"/>
          <w:color w:val="auto"/>
          <w:sz w:val="32"/>
          <w:szCs w:val="32"/>
          <w:u w:val="none"/>
          <w:lang w:val="en-US" w:eastAsia="zh-CN"/>
        </w:rPr>
      </w:pPr>
    </w:p>
    <w:p w14:paraId="03DC2054">
      <w:pPr>
        <w:keepNext w:val="0"/>
        <w:keepLines w:val="0"/>
        <w:widowControl/>
        <w:suppressLineNumbers w:val="0"/>
        <w:autoSpaceDE w:val="0"/>
        <w:autoSpaceDN/>
        <w:spacing w:before="0" w:beforeAutospacing="0" w:after="0" w:afterAutospacing="0" w:line="578" w:lineRule="exact"/>
        <w:ind w:left="0" w:right="0"/>
        <w:contextualSpacing/>
        <w:jc w:val="center"/>
        <w:rPr>
          <w:rFonts w:hint="default" w:ascii="Times New Roman" w:hAnsi="Times New Roman" w:eastAsia="微软雅黑" w:cs="Times New Roman"/>
          <w:b w:val="0"/>
          <w:bCs/>
          <w:kern w:val="2"/>
          <w:sz w:val="44"/>
          <w:szCs w:val="44"/>
          <w:shd w:val="clear" w:fill="FFFFFF"/>
        </w:rPr>
      </w:pPr>
      <w:r>
        <w:rPr>
          <w:rFonts w:hint="eastAsia" w:ascii="微软雅黑" w:hAnsi="微软雅黑" w:eastAsia="微软雅黑" w:cs="微软雅黑"/>
          <w:b w:val="0"/>
          <w:bCs/>
          <w:kern w:val="2"/>
          <w:sz w:val="44"/>
          <w:szCs w:val="44"/>
          <w:shd w:val="clear" w:fill="FFFFFF"/>
          <w:lang w:val="en-US" w:eastAsia="zh-CN" w:bidi="ar"/>
        </w:rPr>
        <w:t>中共松潘县委党校</w:t>
      </w:r>
    </w:p>
    <w:p w14:paraId="70864C86">
      <w:pPr>
        <w:keepNext w:val="0"/>
        <w:keepLines w:val="0"/>
        <w:widowControl/>
        <w:suppressLineNumbers w:val="0"/>
        <w:autoSpaceDE w:val="0"/>
        <w:autoSpaceDN/>
        <w:spacing w:before="0" w:beforeAutospacing="0" w:after="0" w:afterAutospacing="0" w:line="578" w:lineRule="exact"/>
        <w:ind w:left="0" w:right="0"/>
        <w:contextualSpacing/>
        <w:jc w:val="center"/>
        <w:rPr>
          <w:rFonts w:hint="default" w:ascii="Times New Roman" w:hAnsi="Times New Roman" w:eastAsia="微软雅黑" w:cs="Times New Roman"/>
          <w:b w:val="0"/>
          <w:bCs/>
          <w:kern w:val="2"/>
          <w:sz w:val="44"/>
          <w:szCs w:val="44"/>
          <w:shd w:val="clear" w:fill="FFFFFF"/>
        </w:rPr>
      </w:pPr>
      <w:r>
        <w:rPr>
          <w:rFonts w:hint="default" w:ascii="Times New Roman" w:hAnsi="Times New Roman" w:eastAsia="微软雅黑" w:cs="Times New Roman"/>
          <w:b w:val="0"/>
          <w:bCs/>
          <w:kern w:val="2"/>
          <w:sz w:val="44"/>
          <w:szCs w:val="44"/>
          <w:shd w:val="clear" w:fill="FFFFFF"/>
          <w:lang w:val="en-US" w:eastAsia="zh-CN" w:bidi="ar"/>
        </w:rPr>
        <w:t>2025</w:t>
      </w:r>
      <w:r>
        <w:rPr>
          <w:rFonts w:hint="eastAsia" w:ascii="微软雅黑" w:hAnsi="微软雅黑" w:eastAsia="微软雅黑" w:cs="微软雅黑"/>
          <w:b w:val="0"/>
          <w:bCs/>
          <w:kern w:val="2"/>
          <w:sz w:val="44"/>
          <w:szCs w:val="44"/>
          <w:shd w:val="clear" w:fill="FFFFFF"/>
          <w:lang w:val="en-US" w:eastAsia="zh-CN" w:bidi="ar"/>
        </w:rPr>
        <w:t>年部门预算绩效评价报告</w:t>
      </w:r>
    </w:p>
    <w:p w14:paraId="17CDA00D">
      <w:pPr>
        <w:keepNext w:val="0"/>
        <w:keepLines w:val="0"/>
        <w:widowControl/>
        <w:suppressLineNumbers w:val="0"/>
        <w:autoSpaceDE w:val="0"/>
        <w:autoSpaceDN/>
        <w:spacing w:before="0" w:beforeAutospacing="0" w:after="0" w:afterAutospacing="0" w:line="578" w:lineRule="exact"/>
        <w:ind w:left="0" w:right="0"/>
        <w:contextualSpacing/>
        <w:jc w:val="center"/>
        <w:rPr>
          <w:rFonts w:hint="default" w:ascii="Times New Roman" w:hAnsi="Times New Roman" w:eastAsia="微软雅黑" w:cs="Times New Roman"/>
          <w:b w:val="0"/>
          <w:bCs/>
          <w:kern w:val="2"/>
          <w:sz w:val="44"/>
          <w:szCs w:val="44"/>
          <w:shd w:val="clear" w:fill="FFFFFF"/>
        </w:rPr>
      </w:pPr>
      <w:r>
        <w:rPr>
          <w:rFonts w:hint="default" w:ascii="Times New Roman" w:hAnsi="Times New Roman" w:eastAsia="微软雅黑" w:cs="Times New Roman"/>
          <w:b w:val="0"/>
          <w:bCs/>
          <w:kern w:val="2"/>
          <w:sz w:val="44"/>
          <w:szCs w:val="44"/>
          <w:shd w:val="clear" w:fill="FFFFFF"/>
          <w:lang w:val="en-US" w:eastAsia="zh-CN" w:bidi="ar"/>
        </w:rPr>
        <w:t xml:space="preserve"> </w:t>
      </w:r>
    </w:p>
    <w:p w14:paraId="0FE46874">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kern w:val="2"/>
          <w:sz w:val="32"/>
          <w:szCs w:val="32"/>
        </w:rPr>
      </w:pPr>
      <w:r>
        <w:rPr>
          <w:rFonts w:hint="eastAsia" w:ascii="黑体" w:hAnsi="宋体" w:eastAsia="黑体" w:cs="黑体"/>
          <w:color w:val="000000"/>
          <w:kern w:val="0"/>
          <w:sz w:val="32"/>
          <w:szCs w:val="32"/>
          <w:shd w:val="clear" w:fill="FFFFFF"/>
          <w:lang w:val="en-US" w:eastAsia="zh-CN" w:bidi="ar"/>
        </w:rPr>
        <w:t>一、部门（单位）基本情况</w:t>
      </w:r>
    </w:p>
    <w:p w14:paraId="137D27F2">
      <w:pPr>
        <w:keepNext w:val="0"/>
        <w:keepLines w:val="0"/>
        <w:widowControl w:val="0"/>
        <w:suppressLineNumbers w:val="0"/>
        <w:spacing w:before="0" w:beforeAutospacing="0" w:after="0" w:afterAutospacing="0"/>
        <w:ind w:left="0" w:right="0" w:firstLine="643" w:firstLineChars="200"/>
        <w:jc w:val="both"/>
        <w:rPr>
          <w:rFonts w:hint="eastAsia" w:ascii="Times New Roman" w:hAnsi="Times New Roman"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（一）机构组成。</w:t>
      </w:r>
      <w:r>
        <w:rPr>
          <w:rFonts w:hint="eastAsia" w:ascii="仿宋_GB2312" w:hAnsi="Times New Roman" w:eastAsia="仿宋_GB2312" w:cs="仿宋_GB2312"/>
          <w:kern w:val="2"/>
          <w:sz w:val="32"/>
          <w:szCs w:val="32"/>
          <w:lang w:val="en-US" w:eastAsia="zh-CN" w:bidi="ar"/>
        </w:rPr>
        <w:t>中共松潘县委党校为全额事业</w:t>
      </w:r>
      <w:r>
        <w:rPr>
          <w:rFonts w:hint="eastAsia" w:ascii="仿宋_GB2312" w:eastAsia="仿宋_GB2312" w:cs="仿宋_GB2312"/>
          <w:kern w:val="2"/>
          <w:sz w:val="32"/>
          <w:szCs w:val="32"/>
          <w:lang w:val="en-US" w:eastAsia="zh-CN" w:bidi="ar"/>
        </w:rPr>
        <w:t>拨款</w:t>
      </w:r>
      <w:r>
        <w:rPr>
          <w:rFonts w:hint="eastAsia" w:ascii="仿宋_GB2312" w:hAnsi="Times New Roman" w:eastAsia="仿宋_GB2312" w:cs="仿宋_GB2312"/>
          <w:kern w:val="2"/>
          <w:sz w:val="32"/>
          <w:szCs w:val="32"/>
          <w:lang w:val="en-US" w:eastAsia="zh-CN" w:bidi="ar"/>
        </w:rPr>
        <w:t>单位（参公），编制数为</w:t>
      </w:r>
      <w:r>
        <w:rPr>
          <w:rFonts w:hint="default" w:ascii="Times New Roman" w:hAnsi="Times New Roman" w:eastAsia="仿宋_GB2312" w:cs="Times New Roman"/>
          <w:kern w:val="2"/>
          <w:sz w:val="32"/>
          <w:szCs w:val="32"/>
          <w:lang w:val="en-US" w:eastAsia="zh-CN" w:bidi="ar"/>
        </w:rPr>
        <w:t>1</w:t>
      </w:r>
      <w:r>
        <w:rPr>
          <w:rFonts w:hint="eastAsia" w:ascii="Times New Roman" w:hAnsi="Times New Roman" w:eastAsia="仿宋_GB2312" w:cs="Times New Roman"/>
          <w:kern w:val="2"/>
          <w:sz w:val="32"/>
          <w:szCs w:val="32"/>
          <w:lang w:val="en-US" w:eastAsia="zh-CN" w:bidi="ar"/>
        </w:rPr>
        <w:t>4</w:t>
      </w:r>
      <w:r>
        <w:rPr>
          <w:rFonts w:hint="eastAsia" w:ascii="仿宋_GB2312" w:hAnsi="Times New Roman" w:eastAsia="仿宋_GB2312" w:cs="仿宋_GB2312"/>
          <w:kern w:val="2"/>
          <w:sz w:val="32"/>
          <w:szCs w:val="32"/>
          <w:lang w:val="en-US" w:eastAsia="zh-CN" w:bidi="ar"/>
        </w:rPr>
        <w:t>人，下设</w:t>
      </w:r>
      <w:r>
        <w:rPr>
          <w:rFonts w:hint="eastAsia" w:ascii="仿宋_GB2312" w:hAnsi="仿宋" w:eastAsia="仿宋_GB2312" w:cs="仿宋_GB2312"/>
          <w:color w:val="000000"/>
          <w:kern w:val="2"/>
          <w:sz w:val="32"/>
          <w:szCs w:val="32"/>
          <w:lang w:val="en-US" w:eastAsia="zh-CN" w:bidi="ar"/>
        </w:rPr>
        <w:t>综合管理</w:t>
      </w:r>
      <w:r>
        <w:rPr>
          <w:rFonts w:hint="eastAsia" w:ascii="仿宋_GB2312" w:hAnsi="Times New Roman" w:eastAsia="仿宋_GB2312" w:cs="仿宋_GB2312"/>
          <w:kern w:val="2"/>
          <w:sz w:val="32"/>
          <w:szCs w:val="32"/>
          <w:lang w:val="en-US" w:eastAsia="zh-CN" w:bidi="ar"/>
        </w:rPr>
        <w:t>办公室、教研室、长征精神教研室三个股室。</w:t>
      </w:r>
    </w:p>
    <w:p w14:paraId="6BDC5305">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Times New Roman" w:hAnsi="Times New Roman"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（二）机构职能。</w:t>
      </w:r>
      <w:r>
        <w:rPr>
          <w:rFonts w:hint="eastAsia" w:ascii="仿宋_GB2312" w:hAnsi="Times New Roman" w:eastAsia="仿宋_GB2312" w:cs="仿宋_GB2312"/>
          <w:kern w:val="2"/>
          <w:sz w:val="32"/>
          <w:szCs w:val="32"/>
          <w:lang w:val="en-US" w:eastAsia="zh-CN" w:bidi="ar"/>
        </w:rPr>
        <w:t>党校坚持党的基本路线，以学习、宣传马列主义、毛泽东思想、邓小平理论、“三个代表”重要思想、科学发展观为己任，联系国际国内形势，结合党和国家召开的重大会议精神，结合全县各级党组织和党员实际，在抓好基础设施建设和教学手段建设的同时，努力办好主体班和函授教育，紧紧围绕</w:t>
      </w:r>
      <w:r>
        <w:rPr>
          <w:rFonts w:hint="eastAsia" w:ascii="仿宋_GB2312" w:eastAsia="仿宋_GB2312" w:cs="仿宋_GB2312"/>
          <w:kern w:val="2"/>
          <w:sz w:val="32"/>
          <w:szCs w:val="32"/>
          <w:lang w:val="en-US" w:eastAsia="zh-CN" w:bidi="ar"/>
        </w:rPr>
        <w:t>增强培训效果</w:t>
      </w:r>
      <w:r>
        <w:rPr>
          <w:rFonts w:hint="eastAsia" w:ascii="仿宋_GB2312" w:hAnsi="Times New Roman" w:eastAsia="仿宋_GB2312" w:cs="仿宋_GB2312"/>
          <w:kern w:val="2"/>
          <w:sz w:val="32"/>
          <w:szCs w:val="32"/>
          <w:lang w:val="en-US" w:eastAsia="zh-CN" w:bidi="ar"/>
        </w:rPr>
        <w:t>和教育教学质量、培养</w:t>
      </w:r>
      <w:r>
        <w:rPr>
          <w:rFonts w:hint="eastAsia" w:ascii="仿宋_GB2312" w:eastAsia="仿宋_GB2312" w:cs="仿宋_GB2312"/>
          <w:kern w:val="2"/>
          <w:sz w:val="32"/>
          <w:szCs w:val="32"/>
          <w:lang w:val="en-US" w:eastAsia="zh-CN" w:bidi="ar"/>
        </w:rPr>
        <w:t>高素质干部队伍</w:t>
      </w:r>
      <w:r>
        <w:rPr>
          <w:rFonts w:hint="eastAsia" w:ascii="仿宋_GB2312" w:hAnsi="Times New Roman" w:eastAsia="仿宋_GB2312" w:cs="仿宋_GB2312"/>
          <w:kern w:val="2"/>
          <w:sz w:val="32"/>
          <w:szCs w:val="32"/>
          <w:lang w:val="en-US" w:eastAsia="zh-CN" w:bidi="ar"/>
        </w:rPr>
        <w:t>为目标，以教学为中心，科研为基础</w:t>
      </w:r>
      <w:r>
        <w:rPr>
          <w:rFonts w:hint="eastAsia" w:ascii="仿宋_GB2312" w:eastAsia="仿宋_GB2312" w:cs="仿宋_GB2312"/>
          <w:kern w:val="2"/>
          <w:sz w:val="32"/>
          <w:szCs w:val="32"/>
          <w:lang w:val="en-US" w:eastAsia="zh-CN" w:bidi="ar"/>
        </w:rPr>
        <w:t>，以</w:t>
      </w:r>
      <w:r>
        <w:rPr>
          <w:rFonts w:hint="eastAsia" w:ascii="仿宋_GB2312" w:hAnsi="Times New Roman" w:eastAsia="仿宋_GB2312" w:cs="仿宋_GB2312"/>
          <w:kern w:val="2"/>
          <w:sz w:val="32"/>
          <w:szCs w:val="32"/>
          <w:lang w:val="en-US" w:eastAsia="zh-CN" w:bidi="ar"/>
        </w:rPr>
        <w:t>改革为动力，充分发挥“熔炉”和“阵地”的作用，加强党的理论学习、研究和宣传，搞好县、乡、村党员干部的培训，切实提高全县干部素质。</w:t>
      </w:r>
    </w:p>
    <w:p w14:paraId="42897CFA">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楷体_GB2312" w:cs="Times New Roman"/>
          <w:b/>
          <w:bCs/>
          <w:color w:val="000000"/>
          <w:kern w:val="0"/>
          <w:sz w:val="32"/>
          <w:szCs w:val="32"/>
          <w:shd w:val="clear" w:fill="FFFFFF"/>
        </w:rPr>
      </w:pPr>
      <w:r>
        <w:rPr>
          <w:rFonts w:hint="eastAsia" w:ascii="仿宋_GB2312" w:hAnsi="Times New Roman" w:eastAsia="仿宋_GB2312" w:cs="仿宋_GB2312"/>
          <w:kern w:val="2"/>
          <w:sz w:val="32"/>
          <w:szCs w:val="32"/>
          <w:lang w:val="en-US" w:eastAsia="zh-CN" w:bidi="ar"/>
        </w:rPr>
        <w:t>培训轮训科级党员领导干部、后备干部、乡镇一般干部、行政村</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社区</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党组织负责人、村民委主任等，培养理论干部</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承办县委、县政府和县有关部门举办的专题研讨班</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围绕党的中心工作，积极开展科学研究，承担县委、县政府下达的调研任务，推进理论创新</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针对改革开放和社会主义现代化建设进程中的重大理论问题和现实问题，开展马克思主义中国化最新成果的理论宣传，开展党的路线、方针、政策的宣传</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开展形式多样的干部继续教育和培训</w:t>
      </w:r>
      <w:r>
        <w:rPr>
          <w:rFonts w:hint="eastAsia" w:ascii="仿宋_GB2312" w:eastAsia="仿宋_GB2312" w:cs="仿宋_GB2312"/>
          <w:kern w:val="2"/>
          <w:sz w:val="32"/>
          <w:szCs w:val="32"/>
          <w:lang w:val="en-US" w:eastAsia="zh-CN" w:bidi="ar"/>
        </w:rPr>
        <w:t>；</w:t>
      </w:r>
      <w:r>
        <w:rPr>
          <w:rFonts w:hint="eastAsia" w:ascii="仿宋_GB2312" w:hAnsi="Times New Roman" w:eastAsia="仿宋_GB2312" w:cs="仿宋_GB2312"/>
          <w:kern w:val="2"/>
          <w:sz w:val="32"/>
          <w:szCs w:val="32"/>
          <w:lang w:val="en-US" w:eastAsia="zh-CN" w:bidi="ar"/>
        </w:rPr>
        <w:t>完成县委交办的其他任务。</w:t>
      </w:r>
    </w:p>
    <w:p w14:paraId="606B04A4">
      <w:pPr>
        <w:keepNext w:val="0"/>
        <w:keepLines w:val="0"/>
        <w:widowControl w:val="0"/>
        <w:suppressLineNumbers w:val="0"/>
        <w:autoSpaceDE w:val="0"/>
        <w:autoSpaceDN/>
        <w:spacing w:before="0" w:beforeAutospacing="0" w:after="0" w:afterAutospacing="0" w:line="600" w:lineRule="exact"/>
        <w:ind w:left="0" w:right="0" w:firstLine="643" w:firstLineChars="200"/>
        <w:jc w:val="both"/>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（三）人员概况。</w:t>
      </w:r>
      <w:r>
        <w:rPr>
          <w:rFonts w:hint="eastAsia" w:ascii="仿宋_GB2312" w:hAnsi="Times New Roman" w:eastAsia="仿宋_GB2312" w:cs="仿宋_GB2312"/>
          <w:kern w:val="2"/>
          <w:sz w:val="32"/>
          <w:szCs w:val="32"/>
          <w:lang w:val="en-US" w:eastAsia="zh-CN" w:bidi="ar"/>
        </w:rPr>
        <w:t>中共松潘县委党校为一级预算单位，独立编制机构数</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个，独立核算机构数</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个，财政供养人员编制</w:t>
      </w:r>
      <w:r>
        <w:rPr>
          <w:rFonts w:hint="default" w:ascii="Times New Roman" w:hAnsi="Times New Roman" w:eastAsia="仿宋_GB2312" w:cs="Times New Roman"/>
          <w:kern w:val="2"/>
          <w:sz w:val="32"/>
          <w:szCs w:val="32"/>
          <w:lang w:val="en-US" w:eastAsia="zh-CN" w:bidi="ar"/>
        </w:rPr>
        <w:t>13</w:t>
      </w:r>
      <w:r>
        <w:rPr>
          <w:rFonts w:hint="eastAsia" w:ascii="仿宋_GB2312" w:hAnsi="Times New Roman" w:eastAsia="仿宋_GB2312" w:cs="仿宋_GB2312"/>
          <w:kern w:val="2"/>
          <w:sz w:val="32"/>
          <w:szCs w:val="32"/>
          <w:lang w:val="en-US" w:eastAsia="zh-CN" w:bidi="ar"/>
        </w:rPr>
        <w:t>名，其中：参照公务员管理</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人，事业编制</w:t>
      </w:r>
      <w:r>
        <w:rPr>
          <w:rFonts w:hint="default" w:ascii="Times New Roman" w:hAnsi="Times New Roman" w:eastAsia="仿宋_GB2312" w:cs="Times New Roman"/>
          <w:kern w:val="2"/>
          <w:sz w:val="32"/>
          <w:szCs w:val="32"/>
          <w:lang w:val="en-US" w:eastAsia="zh-CN" w:bidi="ar"/>
        </w:rPr>
        <w:t>12</w:t>
      </w:r>
      <w:r>
        <w:rPr>
          <w:rFonts w:hint="eastAsia" w:ascii="仿宋_GB2312" w:hAnsi="Times New Roman" w:eastAsia="仿宋_GB2312" w:cs="仿宋_GB2312"/>
          <w:kern w:val="2"/>
          <w:sz w:val="32"/>
          <w:szCs w:val="32"/>
          <w:lang w:val="en-US" w:eastAsia="zh-CN" w:bidi="ar"/>
        </w:rPr>
        <w:t>名。截至</w:t>
      </w:r>
      <w:r>
        <w:rPr>
          <w:rFonts w:hint="default" w:ascii="Times New Roman" w:hAnsi="Times New Roman" w:eastAsia="仿宋_GB2312" w:cs="Times New Roman"/>
          <w:kern w:val="2"/>
          <w:sz w:val="32"/>
          <w:szCs w:val="32"/>
          <w:lang w:val="en-US" w:eastAsia="zh-CN" w:bidi="ar"/>
        </w:rPr>
        <w:t>2024</w:t>
      </w:r>
      <w:r>
        <w:rPr>
          <w:rFonts w:hint="eastAsia" w:ascii="仿宋_GB2312" w:hAnsi="Times New Roman" w:eastAsia="仿宋_GB2312" w:cs="仿宋_GB2312"/>
          <w:kern w:val="2"/>
          <w:sz w:val="32"/>
          <w:szCs w:val="32"/>
          <w:lang w:val="en-US" w:eastAsia="zh-CN" w:bidi="ar"/>
        </w:rPr>
        <w:t>年末，在编人数</w:t>
      </w:r>
      <w:r>
        <w:rPr>
          <w:rFonts w:hint="default" w:ascii="Times New Roman" w:hAnsi="Times New Roman" w:eastAsia="仿宋_GB2312" w:cs="Times New Roman"/>
          <w:kern w:val="2"/>
          <w:sz w:val="32"/>
          <w:szCs w:val="32"/>
          <w:lang w:val="en-US" w:eastAsia="zh-CN" w:bidi="ar"/>
        </w:rPr>
        <w:t>11</w:t>
      </w:r>
      <w:r>
        <w:rPr>
          <w:rFonts w:hint="eastAsia" w:ascii="仿宋_GB2312" w:hAnsi="Times New Roman" w:eastAsia="仿宋_GB2312" w:cs="仿宋_GB2312"/>
          <w:kern w:val="2"/>
          <w:sz w:val="32"/>
          <w:szCs w:val="32"/>
          <w:lang w:val="en-US" w:eastAsia="zh-CN" w:bidi="ar"/>
        </w:rPr>
        <w:t>人。</w:t>
      </w:r>
    </w:p>
    <w:p w14:paraId="0097845B">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二、部门资金收支情况</w:t>
      </w:r>
    </w:p>
    <w:p w14:paraId="4CD97133">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（一）收入情况。</w:t>
      </w:r>
      <w:r>
        <w:rPr>
          <w:rFonts w:hint="eastAsia" w:ascii="仿宋_GB2312" w:hAnsi="Times New Roman" w:eastAsia="仿宋_GB2312" w:cs="仿宋_GB2312"/>
          <w:kern w:val="2"/>
          <w:sz w:val="32"/>
          <w:szCs w:val="32"/>
          <w:lang w:val="en-US" w:eastAsia="zh-CN" w:bidi="ar"/>
        </w:rPr>
        <w:t>中共松潘县委党校</w:t>
      </w: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年年初预算收入</w:t>
      </w:r>
      <w:r>
        <w:rPr>
          <w:rFonts w:hint="default" w:ascii="Times New Roman" w:hAnsi="Times New Roman" w:eastAsia="仿宋_GB2312" w:cs="Times New Roman"/>
          <w:kern w:val="2"/>
          <w:sz w:val="32"/>
          <w:szCs w:val="32"/>
          <w:lang w:val="en-US" w:eastAsia="zh-CN" w:bidi="ar"/>
        </w:rPr>
        <w:t>334.53</w:t>
      </w:r>
      <w:r>
        <w:rPr>
          <w:rFonts w:hint="eastAsia" w:ascii="仿宋_GB2312" w:hAnsi="Times New Roman" w:eastAsia="仿宋_GB2312" w:cs="仿宋_GB2312"/>
          <w:kern w:val="2"/>
          <w:sz w:val="32"/>
          <w:szCs w:val="32"/>
          <w:lang w:val="en-US" w:eastAsia="zh-CN" w:bidi="ar"/>
        </w:rPr>
        <w:t>万元、决算报表收入</w:t>
      </w:r>
      <w:r>
        <w:rPr>
          <w:rFonts w:hint="default" w:ascii="Times New Roman" w:hAnsi="Times New Roman" w:eastAsia="仿宋_GB2312" w:cs="Times New Roman"/>
          <w:kern w:val="2"/>
          <w:sz w:val="32"/>
          <w:szCs w:val="32"/>
          <w:lang w:val="en-US" w:eastAsia="zh-CN" w:bidi="ar"/>
        </w:rPr>
        <w:t>334.53</w:t>
      </w:r>
      <w:r>
        <w:rPr>
          <w:rFonts w:hint="eastAsia" w:ascii="仿宋_GB2312" w:hAnsi="Times New Roman" w:eastAsia="仿宋_GB2312" w:cs="仿宋_GB2312"/>
          <w:kern w:val="2"/>
          <w:sz w:val="32"/>
          <w:szCs w:val="32"/>
          <w:lang w:val="en-US" w:eastAsia="zh-CN" w:bidi="ar"/>
        </w:rPr>
        <w:t>万元。</w:t>
      </w:r>
    </w:p>
    <w:p w14:paraId="48B1FEC5">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（二）支出情况。</w:t>
      </w:r>
      <w:r>
        <w:rPr>
          <w:rFonts w:hint="eastAsia" w:ascii="仿宋_GB2312" w:hAnsi="Times New Roman" w:eastAsia="仿宋_GB2312" w:cs="仿宋_GB2312"/>
          <w:kern w:val="2"/>
          <w:sz w:val="32"/>
          <w:szCs w:val="32"/>
          <w:lang w:val="en-US" w:eastAsia="zh-CN" w:bidi="ar"/>
        </w:rPr>
        <w:t>中共松潘县委党校</w:t>
      </w:r>
      <w:r>
        <w:rPr>
          <w:rFonts w:hint="default" w:ascii="Times New Roman" w:hAnsi="Times New Roman" w:eastAsia="仿宋_GB2312" w:cs="Times New Roman"/>
          <w:kern w:val="2"/>
          <w:sz w:val="32"/>
          <w:szCs w:val="32"/>
          <w:lang w:val="en-US" w:eastAsia="zh-CN" w:bidi="ar"/>
        </w:rPr>
        <w:t>2024</w:t>
      </w:r>
      <w:r>
        <w:rPr>
          <w:rFonts w:hint="eastAsia" w:ascii="仿宋_GB2312" w:hAnsi="Times New Roman" w:eastAsia="仿宋_GB2312" w:cs="仿宋_GB2312"/>
          <w:kern w:val="2"/>
          <w:sz w:val="32"/>
          <w:szCs w:val="32"/>
          <w:lang w:val="en-US" w:eastAsia="zh-CN" w:bidi="ar"/>
        </w:rPr>
        <w:t>年年初预算支出</w:t>
      </w:r>
      <w:r>
        <w:rPr>
          <w:rFonts w:hint="default" w:ascii="Times New Roman" w:hAnsi="Times New Roman" w:eastAsia="仿宋_GB2312" w:cs="Times New Roman"/>
          <w:kern w:val="2"/>
          <w:sz w:val="32"/>
          <w:szCs w:val="32"/>
          <w:lang w:val="en-US" w:eastAsia="zh-CN" w:bidi="ar"/>
        </w:rPr>
        <w:t>334.53</w:t>
      </w:r>
      <w:r>
        <w:rPr>
          <w:rFonts w:hint="eastAsia" w:ascii="仿宋_GB2312" w:hAnsi="Times New Roman" w:eastAsia="仿宋_GB2312" w:cs="仿宋_GB2312"/>
          <w:kern w:val="2"/>
          <w:sz w:val="32"/>
          <w:szCs w:val="32"/>
          <w:lang w:val="en-US" w:eastAsia="zh-CN" w:bidi="ar"/>
        </w:rPr>
        <w:t>万元、决算报表支出</w:t>
      </w:r>
      <w:r>
        <w:rPr>
          <w:rFonts w:hint="default" w:ascii="Times New Roman" w:hAnsi="Times New Roman" w:eastAsia="仿宋_GB2312" w:cs="Times New Roman"/>
          <w:kern w:val="2"/>
          <w:sz w:val="32"/>
          <w:szCs w:val="32"/>
          <w:lang w:val="en-US" w:eastAsia="zh-CN" w:bidi="ar"/>
        </w:rPr>
        <w:t>333.53</w:t>
      </w:r>
      <w:r>
        <w:rPr>
          <w:rFonts w:hint="eastAsia" w:ascii="仿宋_GB2312" w:hAnsi="Times New Roman" w:eastAsia="仿宋_GB2312" w:cs="仿宋_GB2312"/>
          <w:kern w:val="2"/>
          <w:sz w:val="32"/>
          <w:szCs w:val="32"/>
          <w:lang w:val="en-US" w:eastAsia="zh-CN" w:bidi="ar"/>
        </w:rPr>
        <w:t>万元。</w:t>
      </w:r>
    </w:p>
    <w:p w14:paraId="7D5D2084">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Times New Roman" w:hAnsi="Times New Roman" w:eastAsia="楷体_GB2312" w:cs="Times New Roman"/>
          <w:b/>
          <w:bCs w:val="0"/>
          <w:kern w:val="2"/>
          <w:sz w:val="32"/>
          <w:szCs w:val="32"/>
        </w:rPr>
      </w:pPr>
      <w:r>
        <w:rPr>
          <w:rFonts w:hint="eastAsia" w:ascii="楷体_GB2312" w:hAnsi="Times New Roman" w:eastAsia="楷体_GB2312" w:cs="楷体_GB2312"/>
          <w:b/>
          <w:bCs/>
          <w:color w:val="000000"/>
          <w:kern w:val="0"/>
          <w:sz w:val="32"/>
          <w:szCs w:val="32"/>
          <w:shd w:val="clear" w:fill="FFFFFF"/>
          <w:lang w:val="en-US" w:eastAsia="zh-CN" w:bidi="ar"/>
        </w:rPr>
        <w:t>（三）</w:t>
      </w:r>
      <w:r>
        <w:rPr>
          <w:rFonts w:hint="eastAsia" w:ascii="楷体_GB2312" w:hAnsi="Times New Roman" w:eastAsia="楷体_GB2312" w:cs="楷体_GB2312"/>
          <w:b/>
          <w:bCs w:val="0"/>
          <w:kern w:val="2"/>
          <w:sz w:val="32"/>
          <w:szCs w:val="32"/>
          <w:lang w:val="en-US" w:eastAsia="zh-CN" w:bidi="ar"/>
        </w:rPr>
        <w:t>结余分配和结转结余情况。</w:t>
      </w:r>
    </w:p>
    <w:p w14:paraId="340359A1">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仿宋_GB2312" w:cs="Times New Roman"/>
          <w:b w:val="0"/>
          <w:bCs w:val="0"/>
          <w:color w:val="000000"/>
          <w:kern w:val="0"/>
          <w:sz w:val="32"/>
          <w:szCs w:val="32"/>
          <w:shd w:val="clear" w:fill="FFFFFF"/>
        </w:rPr>
      </w:pPr>
      <w:r>
        <w:rPr>
          <w:rFonts w:hint="default" w:ascii="Times New Roman" w:hAnsi="Times New Roman" w:eastAsia="仿宋_GB2312" w:cs="Times New Roman"/>
          <w:kern w:val="2"/>
          <w:sz w:val="32"/>
          <w:szCs w:val="32"/>
          <w:lang w:val="en-US" w:eastAsia="zh-CN" w:bidi="ar"/>
        </w:rPr>
        <w:t>2025</w:t>
      </w:r>
      <w:r>
        <w:rPr>
          <w:rFonts w:hint="eastAsia" w:ascii="仿宋_GB2312" w:hAnsi="Times New Roman" w:eastAsia="仿宋_GB2312" w:cs="仿宋_GB2312"/>
          <w:kern w:val="2"/>
          <w:sz w:val="32"/>
          <w:szCs w:val="32"/>
          <w:lang w:val="en-US" w:eastAsia="zh-CN" w:bidi="ar"/>
        </w:rPr>
        <w:t>年结转结余</w:t>
      </w:r>
      <w:r>
        <w:rPr>
          <w:rFonts w:hint="default" w:ascii="Times New Roman" w:hAnsi="Times New Roman" w:eastAsia="仿宋_GB2312" w:cs="Times New Roman"/>
          <w:kern w:val="2"/>
          <w:sz w:val="32"/>
          <w:szCs w:val="32"/>
          <w:lang w:val="en-US" w:eastAsia="zh-CN" w:bidi="ar"/>
        </w:rPr>
        <w:t>1</w:t>
      </w:r>
      <w:r>
        <w:rPr>
          <w:rFonts w:hint="eastAsia" w:ascii="仿宋_GB2312" w:hAnsi="Times New Roman" w:eastAsia="仿宋_GB2312" w:cs="仿宋_GB2312"/>
          <w:kern w:val="2"/>
          <w:sz w:val="32"/>
          <w:szCs w:val="32"/>
          <w:lang w:val="en-US" w:eastAsia="zh-CN" w:bidi="ar"/>
        </w:rPr>
        <w:t>万元。</w:t>
      </w:r>
    </w:p>
    <w:p w14:paraId="79A53977">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三、部门预算绩效分析</w:t>
      </w:r>
    </w:p>
    <w:p w14:paraId="608C6B29">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（一）部门预算总体绩效分析。</w:t>
      </w:r>
    </w:p>
    <w:p w14:paraId="14D9DDAC">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1.履职效能。</w:t>
      </w:r>
    </w:p>
    <w:p w14:paraId="32E3204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一是</w:t>
      </w:r>
      <w:r>
        <w:rPr>
          <w:rFonts w:hint="eastAsia" w:ascii="仿宋_GB2312" w:hAnsi="Times New Roman" w:eastAsia="仿宋_GB2312" w:cs="仿宋_GB2312"/>
          <w:b w:val="0"/>
          <w:bCs w:val="0"/>
          <w:color w:val="000000"/>
          <w:kern w:val="0"/>
          <w:sz w:val="32"/>
          <w:szCs w:val="32"/>
          <w:shd w:val="clear" w:fill="FFFFFF"/>
          <w:lang w:val="en-US" w:eastAsia="zh-CN" w:bidi="ar"/>
        </w:rPr>
        <w:t>完成培训班情况：</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年累计完成县级领导干部和科级主要负责同志读书班、</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年松潘县中青年干部培训班、</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年松潘县初任公务员培训班等</w:t>
      </w:r>
      <w:r>
        <w:rPr>
          <w:rFonts w:hint="default" w:ascii="Times New Roman" w:hAnsi="Times New Roman" w:eastAsia="仿宋_GB2312" w:cs="Times New Roman"/>
          <w:color w:val="000000"/>
          <w:kern w:val="0"/>
          <w:sz w:val="32"/>
          <w:szCs w:val="32"/>
          <w:shd w:val="clear" w:fill="FFFFFF"/>
          <w:lang w:val="en-US" w:eastAsia="zh-CN" w:bidi="ar"/>
        </w:rPr>
        <w:t>14</w:t>
      </w:r>
      <w:r>
        <w:rPr>
          <w:rFonts w:hint="eastAsia" w:ascii="仿宋_GB2312" w:hAnsi="Times New Roman" w:eastAsia="仿宋_GB2312" w:cs="仿宋_GB2312"/>
          <w:color w:val="000000"/>
          <w:kern w:val="0"/>
          <w:sz w:val="32"/>
          <w:szCs w:val="32"/>
          <w:shd w:val="clear" w:fill="FFFFFF"/>
          <w:lang w:val="en-US" w:eastAsia="zh-CN" w:bidi="ar"/>
        </w:rPr>
        <w:t>期主体班次培训班，共计培训</w:t>
      </w:r>
      <w:r>
        <w:rPr>
          <w:rFonts w:hint="default" w:ascii="Times New Roman" w:hAnsi="Times New Roman" w:eastAsia="仿宋_GB2312" w:cs="Times New Roman"/>
          <w:color w:val="000000"/>
          <w:kern w:val="0"/>
          <w:sz w:val="32"/>
          <w:szCs w:val="32"/>
          <w:shd w:val="clear" w:fill="FFFFFF"/>
          <w:lang w:val="en-US" w:eastAsia="zh-CN" w:bidi="ar"/>
        </w:rPr>
        <w:t>994</w:t>
      </w:r>
      <w:r>
        <w:rPr>
          <w:rFonts w:hint="eastAsia" w:ascii="仿宋_GB2312" w:hAnsi="Times New Roman" w:eastAsia="仿宋_GB2312" w:cs="仿宋_GB2312"/>
          <w:color w:val="000000"/>
          <w:kern w:val="0"/>
          <w:sz w:val="32"/>
          <w:szCs w:val="32"/>
          <w:shd w:val="clear" w:fill="FFFFFF"/>
          <w:lang w:val="en-US" w:eastAsia="zh-CN" w:bidi="ar"/>
        </w:rPr>
        <w:t>人次。完成松潘县</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年后备干部农牧民群众党员示范培训班，松潘县</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年村（社区）后备干部、大规模农牧民党员提级调训班第二期等</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期培训班，累计培训</w:t>
      </w:r>
      <w:r>
        <w:rPr>
          <w:rFonts w:hint="default" w:ascii="Times New Roman" w:hAnsi="Times New Roman" w:eastAsia="仿宋_GB2312" w:cs="Times New Roman"/>
          <w:color w:val="000000"/>
          <w:kern w:val="0"/>
          <w:sz w:val="32"/>
          <w:szCs w:val="32"/>
          <w:shd w:val="clear" w:fill="FFFFFF"/>
          <w:lang w:val="en-US" w:eastAsia="zh-CN" w:bidi="ar"/>
        </w:rPr>
        <w:t>337</w:t>
      </w:r>
      <w:r>
        <w:rPr>
          <w:rFonts w:hint="eastAsia" w:ascii="仿宋_GB2312" w:hAnsi="Times New Roman" w:eastAsia="仿宋_GB2312" w:cs="仿宋_GB2312"/>
          <w:color w:val="000000"/>
          <w:kern w:val="0"/>
          <w:sz w:val="32"/>
          <w:szCs w:val="32"/>
          <w:shd w:val="clear" w:fill="FFFFFF"/>
          <w:lang w:val="en-US" w:eastAsia="zh-CN" w:bidi="ar"/>
        </w:rPr>
        <w:t>人次；</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年协助完成全省党员教育师资示范培训班、全省乡镇党委书记培训班（松九黑）、全国村（社区）“两委”换届工作业务视频培训班等</w:t>
      </w:r>
      <w:r>
        <w:rPr>
          <w:rFonts w:hint="default" w:ascii="Times New Roman" w:hAnsi="Times New Roman" w:eastAsia="仿宋_GB2312" w:cs="Times New Roman"/>
          <w:color w:val="000000"/>
          <w:kern w:val="0"/>
          <w:sz w:val="32"/>
          <w:szCs w:val="32"/>
          <w:shd w:val="clear" w:fill="FFFFFF"/>
          <w:lang w:val="en-US" w:eastAsia="zh-CN" w:bidi="ar"/>
        </w:rPr>
        <w:t>7</w:t>
      </w:r>
      <w:r>
        <w:rPr>
          <w:rFonts w:hint="eastAsia" w:ascii="仿宋_GB2312" w:hAnsi="Times New Roman" w:eastAsia="仿宋_GB2312" w:cs="仿宋_GB2312"/>
          <w:color w:val="000000"/>
          <w:kern w:val="0"/>
          <w:sz w:val="32"/>
          <w:szCs w:val="32"/>
          <w:shd w:val="clear" w:fill="FFFFFF"/>
          <w:lang w:val="en-US" w:eastAsia="zh-CN" w:bidi="ar"/>
        </w:rPr>
        <w:t>期业务班，累计培训</w:t>
      </w:r>
      <w:r>
        <w:rPr>
          <w:rFonts w:hint="default" w:ascii="Times New Roman" w:hAnsi="Times New Roman" w:eastAsia="仿宋_GB2312" w:cs="Times New Roman"/>
          <w:color w:val="000000"/>
          <w:kern w:val="0"/>
          <w:sz w:val="32"/>
          <w:szCs w:val="32"/>
          <w:shd w:val="clear" w:fill="FFFFFF"/>
          <w:lang w:val="en-US" w:eastAsia="zh-CN" w:bidi="ar"/>
        </w:rPr>
        <w:t>487</w:t>
      </w:r>
      <w:r>
        <w:rPr>
          <w:rFonts w:hint="eastAsia" w:ascii="仿宋_GB2312" w:hAnsi="Times New Roman" w:eastAsia="仿宋_GB2312" w:cs="仿宋_GB2312"/>
          <w:color w:val="000000"/>
          <w:kern w:val="0"/>
          <w:sz w:val="32"/>
          <w:szCs w:val="32"/>
          <w:shd w:val="clear" w:fill="FFFFFF"/>
          <w:lang w:val="en-US" w:eastAsia="zh-CN" w:bidi="ar"/>
        </w:rPr>
        <w:t>人次；</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年协助完成第</w:t>
      </w:r>
      <w:r>
        <w:rPr>
          <w:rFonts w:hint="default" w:ascii="Times New Roman" w:hAnsi="Times New Roman" w:eastAsia="仿宋_GB2312" w:cs="Times New Roman"/>
          <w:color w:val="000000"/>
          <w:kern w:val="0"/>
          <w:sz w:val="32"/>
          <w:szCs w:val="32"/>
          <w:shd w:val="clear" w:fill="FFFFFF"/>
          <w:lang w:val="en-US" w:eastAsia="zh-CN" w:bidi="ar"/>
        </w:rPr>
        <w:t>62</w:t>
      </w:r>
      <w:r>
        <w:rPr>
          <w:rFonts w:hint="eastAsia" w:ascii="仿宋_GB2312" w:hAnsi="Times New Roman" w:eastAsia="仿宋_GB2312" w:cs="仿宋_GB2312"/>
          <w:color w:val="000000"/>
          <w:kern w:val="0"/>
          <w:sz w:val="32"/>
          <w:szCs w:val="32"/>
          <w:shd w:val="clear" w:fill="FFFFFF"/>
          <w:lang w:val="en-US" w:eastAsia="zh-CN" w:bidi="ar"/>
        </w:rPr>
        <w:t>期省直单位中青年干部培训班、第</w:t>
      </w:r>
      <w:r>
        <w:rPr>
          <w:rFonts w:hint="default" w:ascii="Times New Roman" w:hAnsi="Times New Roman" w:eastAsia="仿宋_GB2312" w:cs="Times New Roman"/>
          <w:color w:val="000000"/>
          <w:kern w:val="0"/>
          <w:sz w:val="32"/>
          <w:szCs w:val="32"/>
          <w:shd w:val="clear" w:fill="FFFFFF"/>
          <w:lang w:val="en-US" w:eastAsia="zh-CN" w:bidi="ar"/>
        </w:rPr>
        <w:t>55</w:t>
      </w:r>
      <w:r>
        <w:rPr>
          <w:rFonts w:hint="eastAsia" w:ascii="仿宋_GB2312" w:hAnsi="Times New Roman" w:eastAsia="仿宋_GB2312" w:cs="仿宋_GB2312"/>
          <w:color w:val="000000"/>
          <w:kern w:val="0"/>
          <w:sz w:val="32"/>
          <w:szCs w:val="32"/>
          <w:shd w:val="clear" w:fill="FFFFFF"/>
          <w:lang w:val="en-US" w:eastAsia="zh-CN" w:bidi="ar"/>
        </w:rPr>
        <w:t>期县处级领导干部进修班、眉山市</w:t>
      </w:r>
      <w:r>
        <w:rPr>
          <w:rFonts w:hint="default" w:ascii="Times New Roman" w:hAnsi="Times New Roman" w:eastAsia="仿宋_GB2312" w:cs="Times New Roman"/>
          <w:color w:val="000000"/>
          <w:kern w:val="0"/>
          <w:sz w:val="32"/>
          <w:szCs w:val="32"/>
          <w:shd w:val="clear" w:fill="FFFFFF"/>
          <w:lang w:val="en-US" w:eastAsia="zh-CN" w:bidi="ar"/>
        </w:rPr>
        <w:t>2025</w:t>
      </w:r>
      <w:r>
        <w:rPr>
          <w:rFonts w:hint="eastAsia" w:ascii="仿宋_GB2312" w:hAnsi="Times New Roman" w:eastAsia="仿宋_GB2312" w:cs="仿宋_GB2312"/>
          <w:color w:val="000000"/>
          <w:kern w:val="0"/>
          <w:sz w:val="32"/>
          <w:szCs w:val="32"/>
          <w:shd w:val="clear" w:fill="FFFFFF"/>
          <w:lang w:val="en-US" w:eastAsia="zh-CN" w:bidi="ar"/>
        </w:rPr>
        <w:t>年中青年干部培训班等</w:t>
      </w:r>
      <w:r>
        <w:rPr>
          <w:rFonts w:hint="default" w:ascii="Times New Roman" w:hAnsi="Times New Roman" w:eastAsia="仿宋_GB2312" w:cs="Times New Roman"/>
          <w:color w:val="000000"/>
          <w:kern w:val="0"/>
          <w:sz w:val="32"/>
          <w:szCs w:val="32"/>
          <w:shd w:val="clear" w:fill="FFFFFF"/>
          <w:lang w:val="en-US" w:eastAsia="zh-CN" w:bidi="ar"/>
        </w:rPr>
        <w:t>25</w:t>
      </w:r>
      <w:r>
        <w:rPr>
          <w:rFonts w:hint="eastAsia" w:ascii="仿宋_GB2312" w:hAnsi="Times New Roman" w:eastAsia="仿宋_GB2312" w:cs="仿宋_GB2312"/>
          <w:color w:val="000000"/>
          <w:kern w:val="0"/>
          <w:sz w:val="32"/>
          <w:szCs w:val="32"/>
          <w:shd w:val="clear" w:fill="FFFFFF"/>
          <w:lang w:val="en-US" w:eastAsia="zh-CN" w:bidi="ar"/>
        </w:rPr>
        <w:t>期四川长征干部学院阿坝雪山草地分院党性教育培训班，累计培训</w:t>
      </w:r>
      <w:r>
        <w:rPr>
          <w:rFonts w:hint="default" w:ascii="Times New Roman" w:hAnsi="Times New Roman" w:eastAsia="仿宋_GB2312" w:cs="Times New Roman"/>
          <w:color w:val="000000"/>
          <w:kern w:val="0"/>
          <w:sz w:val="32"/>
          <w:szCs w:val="32"/>
          <w:shd w:val="clear" w:fill="FFFFFF"/>
          <w:lang w:val="en-US" w:eastAsia="zh-CN" w:bidi="ar"/>
        </w:rPr>
        <w:t>1221</w:t>
      </w:r>
      <w:r>
        <w:rPr>
          <w:rFonts w:hint="eastAsia" w:ascii="仿宋_GB2312" w:hAnsi="Times New Roman" w:eastAsia="仿宋_GB2312" w:cs="仿宋_GB2312"/>
          <w:color w:val="000000"/>
          <w:kern w:val="0"/>
          <w:sz w:val="32"/>
          <w:szCs w:val="32"/>
          <w:shd w:val="clear" w:fill="FFFFFF"/>
          <w:lang w:val="en-US" w:eastAsia="zh-CN" w:bidi="ar"/>
        </w:rPr>
        <w:t>人次。实现县管干部、年轻干部、基层干部培训全覆盖。</w:t>
      </w:r>
    </w:p>
    <w:p w14:paraId="39F2FAA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both"/>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二是完成课程情况：创新培训方式，采用“理论授课</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现场教学</w:t>
      </w:r>
      <w:r>
        <w:rPr>
          <w:rFonts w:hint="default" w:ascii="Times New Roman" w:hAnsi="Times New Roman" w:eastAsia="仿宋_GB2312" w:cs="Times New Roman"/>
          <w:color w:val="000000"/>
          <w:kern w:val="0"/>
          <w:sz w:val="32"/>
          <w:szCs w:val="32"/>
          <w:shd w:val="clear" w:fill="FFFFFF"/>
          <w:lang w:val="en-US" w:eastAsia="zh-CN" w:bidi="ar"/>
        </w:rPr>
        <w:t>+</w:t>
      </w:r>
      <w:r>
        <w:rPr>
          <w:rFonts w:hint="eastAsia" w:ascii="仿宋_GB2312" w:hAnsi="Times New Roman" w:eastAsia="仿宋_GB2312" w:cs="仿宋_GB2312"/>
          <w:color w:val="000000"/>
          <w:kern w:val="0"/>
          <w:sz w:val="32"/>
          <w:szCs w:val="32"/>
          <w:shd w:val="clear" w:fill="FFFFFF"/>
          <w:lang w:val="en-US" w:eastAsia="zh-CN" w:bidi="ar"/>
        </w:rPr>
        <w:t>情景模拟”模式，组织学员赴红色教育基地开展党性教育</w:t>
      </w:r>
      <w:r>
        <w:rPr>
          <w:rFonts w:hint="default" w:ascii="Times New Roman" w:hAnsi="Times New Roman" w:eastAsia="仿宋_GB2312" w:cs="Times New Roman"/>
          <w:color w:val="000000"/>
          <w:kern w:val="0"/>
          <w:sz w:val="32"/>
          <w:szCs w:val="32"/>
          <w:shd w:val="clear" w:fill="FFFFFF"/>
          <w:lang w:val="en-US" w:eastAsia="zh-CN" w:bidi="ar"/>
        </w:rPr>
        <w:t>36</w:t>
      </w:r>
      <w:r>
        <w:rPr>
          <w:rFonts w:hint="eastAsia" w:ascii="仿宋_GB2312" w:hAnsi="Times New Roman" w:eastAsia="仿宋_GB2312" w:cs="仿宋_GB2312"/>
          <w:color w:val="000000"/>
          <w:kern w:val="0"/>
          <w:sz w:val="32"/>
          <w:szCs w:val="32"/>
          <w:shd w:val="clear" w:fill="FFFFFF"/>
          <w:lang w:val="en-US" w:eastAsia="zh-CN" w:bidi="ar"/>
        </w:rPr>
        <w:t>场次，走进产业园区、乡村振兴示范点进行实地调研</w:t>
      </w:r>
      <w:r>
        <w:rPr>
          <w:rFonts w:hint="default" w:ascii="Times New Roman" w:hAnsi="Times New Roman" w:eastAsia="仿宋_GB2312" w:cs="Times New Roman"/>
          <w:color w:val="000000"/>
          <w:kern w:val="0"/>
          <w:sz w:val="32"/>
          <w:szCs w:val="32"/>
          <w:shd w:val="clear" w:fill="FFFFFF"/>
          <w:lang w:val="en-US" w:eastAsia="zh-CN" w:bidi="ar"/>
        </w:rPr>
        <w:t>6</w:t>
      </w:r>
      <w:r>
        <w:rPr>
          <w:rFonts w:hint="eastAsia" w:ascii="仿宋_GB2312" w:hAnsi="Times New Roman" w:eastAsia="仿宋_GB2312" w:cs="仿宋_GB2312"/>
          <w:color w:val="000000"/>
          <w:kern w:val="0"/>
          <w:sz w:val="32"/>
          <w:szCs w:val="32"/>
          <w:shd w:val="clear" w:fill="FFFFFF"/>
          <w:lang w:val="en-US" w:eastAsia="zh-CN" w:bidi="ar"/>
        </w:rPr>
        <w:t>场次，打造完成红色主题微党课</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堂，增强培训的鲜活性和实效性。落实领导干部上讲台制度，邀请省市专家、县级领导、行业专家授课</w:t>
      </w:r>
      <w:r>
        <w:rPr>
          <w:rFonts w:hint="default" w:ascii="Times New Roman" w:hAnsi="Times New Roman" w:eastAsia="仿宋_GB2312" w:cs="Times New Roman"/>
          <w:color w:val="000000"/>
          <w:kern w:val="0"/>
          <w:sz w:val="32"/>
          <w:szCs w:val="32"/>
          <w:shd w:val="clear" w:fill="FFFFFF"/>
          <w:lang w:val="en-US" w:eastAsia="zh-CN" w:bidi="ar"/>
        </w:rPr>
        <w:t>10</w:t>
      </w:r>
      <w:r>
        <w:rPr>
          <w:rFonts w:hint="eastAsia" w:ascii="仿宋_GB2312" w:hAnsi="Times New Roman" w:eastAsia="仿宋_GB2312" w:cs="仿宋_GB2312"/>
          <w:color w:val="000000"/>
          <w:kern w:val="0"/>
          <w:sz w:val="32"/>
          <w:szCs w:val="32"/>
          <w:shd w:val="clear" w:fill="FFFFFF"/>
          <w:lang w:val="en-US" w:eastAsia="zh-CN" w:bidi="ar"/>
        </w:rPr>
        <w:t>场次，其中县级领导授课</w:t>
      </w:r>
      <w:r>
        <w:rPr>
          <w:rFonts w:hint="default" w:ascii="Times New Roman" w:hAnsi="Times New Roman" w:eastAsia="仿宋_GB2312" w:cs="Times New Roman"/>
          <w:color w:val="000000"/>
          <w:kern w:val="0"/>
          <w:sz w:val="32"/>
          <w:szCs w:val="32"/>
          <w:shd w:val="clear" w:fill="FFFFFF"/>
          <w:lang w:val="en-US" w:eastAsia="zh-CN" w:bidi="ar"/>
        </w:rPr>
        <w:t>18</w:t>
      </w:r>
      <w:r>
        <w:rPr>
          <w:rFonts w:hint="eastAsia" w:ascii="仿宋_GB2312" w:hAnsi="Times New Roman" w:eastAsia="仿宋_GB2312" w:cs="仿宋_GB2312"/>
          <w:color w:val="000000"/>
          <w:kern w:val="0"/>
          <w:sz w:val="32"/>
          <w:szCs w:val="32"/>
          <w:shd w:val="clear" w:fill="FFFFFF"/>
          <w:lang w:val="en-US" w:eastAsia="zh-CN" w:bidi="ar"/>
        </w:rPr>
        <w:t>场次，有效提升课程实践指导性。</w:t>
      </w:r>
    </w:p>
    <w:p w14:paraId="39C08ADF">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三是科研资政有力。紧紧围绕全县中心工作，坚持“教研咨一体化”发展思路，推动科研成果向决策建议和教学内容转化。</w:t>
      </w:r>
      <w:r>
        <w:rPr>
          <w:rFonts w:hint="default" w:ascii="Times New Roman" w:hAnsi="Times New Roman" w:eastAsia="仿宋_GB2312" w:cs="Times New Roman"/>
          <w:color w:val="000000"/>
          <w:kern w:val="0"/>
          <w:sz w:val="32"/>
          <w:szCs w:val="32"/>
          <w:shd w:val="clear" w:fill="FFFFFF"/>
          <w:lang w:val="en-US" w:eastAsia="zh-CN" w:bidi="ar"/>
        </w:rPr>
        <w:t>2024</w:t>
      </w:r>
      <w:r>
        <w:rPr>
          <w:rFonts w:hint="eastAsia" w:ascii="仿宋_GB2312" w:hAnsi="Times New Roman" w:eastAsia="仿宋_GB2312" w:cs="仿宋_GB2312"/>
          <w:color w:val="000000"/>
          <w:kern w:val="0"/>
          <w:sz w:val="32"/>
          <w:szCs w:val="32"/>
          <w:shd w:val="clear" w:fill="FFFFFF"/>
          <w:lang w:val="en-US" w:eastAsia="zh-CN" w:bidi="ar"/>
        </w:rPr>
        <w:t>年共立项</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个课题，其中省级课题</w:t>
      </w:r>
      <w:r>
        <w:rPr>
          <w:rFonts w:hint="default" w:ascii="Times New Roman" w:hAnsi="Times New Roman" w:eastAsia="仿宋_GB2312" w:cs="Times New Roman"/>
          <w:color w:val="000000"/>
          <w:kern w:val="0"/>
          <w:sz w:val="32"/>
          <w:szCs w:val="32"/>
          <w:shd w:val="clear" w:fill="FFFFFF"/>
          <w:lang w:val="en-US" w:eastAsia="zh-CN" w:bidi="ar"/>
        </w:rPr>
        <w:t>1</w:t>
      </w:r>
      <w:r>
        <w:rPr>
          <w:rFonts w:hint="eastAsia" w:ascii="仿宋_GB2312" w:hAnsi="Times New Roman" w:eastAsia="仿宋_GB2312" w:cs="仿宋_GB2312"/>
          <w:color w:val="000000"/>
          <w:kern w:val="0"/>
          <w:sz w:val="32"/>
          <w:szCs w:val="32"/>
          <w:shd w:val="clear" w:fill="FFFFFF"/>
          <w:lang w:val="en-US" w:eastAsia="zh-CN" w:bidi="ar"/>
        </w:rPr>
        <w:t>个，州级课题</w:t>
      </w:r>
      <w:r>
        <w:rPr>
          <w:rFonts w:hint="default" w:ascii="Times New Roman" w:hAnsi="Times New Roman" w:eastAsia="仿宋_GB2312" w:cs="Times New Roman"/>
          <w:color w:val="000000"/>
          <w:kern w:val="0"/>
          <w:sz w:val="32"/>
          <w:szCs w:val="32"/>
          <w:shd w:val="clear" w:fill="FFFFFF"/>
          <w:lang w:val="en-US" w:eastAsia="zh-CN" w:bidi="ar"/>
        </w:rPr>
        <w:t>3</w:t>
      </w:r>
      <w:r>
        <w:rPr>
          <w:rFonts w:hint="eastAsia" w:ascii="仿宋_GB2312" w:hAnsi="Times New Roman" w:eastAsia="仿宋_GB2312" w:cs="仿宋_GB2312"/>
          <w:color w:val="000000"/>
          <w:kern w:val="0"/>
          <w:sz w:val="32"/>
          <w:szCs w:val="32"/>
          <w:shd w:val="clear" w:fill="FFFFFF"/>
          <w:lang w:val="en-US" w:eastAsia="zh-CN" w:bidi="ar"/>
        </w:rPr>
        <w:t>个。县委党校各课题组成员围绕</w:t>
      </w:r>
      <w:r>
        <w:rPr>
          <w:rFonts w:hint="default" w:ascii="Times New Roman" w:hAnsi="Times New Roman" w:eastAsia="仿宋_GB2312" w:cs="Times New Roman"/>
          <w:color w:val="000000"/>
          <w:kern w:val="0"/>
          <w:sz w:val="32"/>
          <w:szCs w:val="32"/>
          <w:shd w:val="clear" w:fill="FFFFFF"/>
          <w:lang w:val="en-US" w:eastAsia="zh-CN" w:bidi="ar"/>
        </w:rPr>
        <w:t>4</w:t>
      </w:r>
      <w:r>
        <w:rPr>
          <w:rFonts w:hint="eastAsia" w:ascii="仿宋_GB2312" w:hAnsi="Times New Roman" w:eastAsia="仿宋_GB2312" w:cs="仿宋_GB2312"/>
          <w:color w:val="000000"/>
          <w:kern w:val="0"/>
          <w:sz w:val="32"/>
          <w:szCs w:val="32"/>
          <w:shd w:val="clear" w:fill="FFFFFF"/>
          <w:lang w:val="en-US" w:eastAsia="zh-CN" w:bidi="ar"/>
        </w:rPr>
        <w:t>项立项调研课题和县级课题深入川主寺镇、镇坪乡、黄龙等乡（镇）开展专题调研，累计调研</w:t>
      </w:r>
      <w:r>
        <w:rPr>
          <w:rFonts w:hint="default" w:ascii="Times New Roman" w:hAnsi="Times New Roman" w:eastAsia="仿宋_GB2312" w:cs="Times New Roman"/>
          <w:color w:val="000000"/>
          <w:kern w:val="0"/>
          <w:sz w:val="32"/>
          <w:szCs w:val="32"/>
          <w:shd w:val="clear" w:fill="FFFFFF"/>
          <w:lang w:val="en-US" w:eastAsia="zh-CN" w:bidi="ar"/>
        </w:rPr>
        <w:t>30</w:t>
      </w:r>
      <w:r>
        <w:rPr>
          <w:rFonts w:hint="eastAsia" w:ascii="仿宋_GB2312" w:hAnsi="Times New Roman" w:eastAsia="仿宋_GB2312" w:cs="仿宋_GB2312"/>
          <w:color w:val="000000"/>
          <w:kern w:val="0"/>
          <w:sz w:val="32"/>
          <w:szCs w:val="32"/>
          <w:shd w:val="clear" w:fill="FFFFFF"/>
          <w:lang w:val="en-US" w:eastAsia="zh-CN" w:bidi="ar"/>
        </w:rPr>
        <w:t>余次。目前，正竭力推动省、州级课题的顺利结项工作。</w:t>
      </w:r>
    </w:p>
    <w:p w14:paraId="34113471">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default" w:ascii="Times New Roman" w:hAnsi="Times New Roman" w:eastAsia="楷体_GB2312" w:cs="Times New Roman"/>
          <w:color w:val="000000"/>
          <w:kern w:val="0"/>
          <w:sz w:val="32"/>
          <w:szCs w:val="32"/>
          <w:shd w:val="clear" w:fill="FFFFFF"/>
          <w:lang w:val="en-US" w:eastAsia="zh-CN" w:bidi="ar"/>
        </w:rPr>
        <w:t>2.</w:t>
      </w:r>
      <w:r>
        <w:rPr>
          <w:rFonts w:hint="eastAsia" w:ascii="楷体_GB2312" w:hAnsi="Times New Roman" w:eastAsia="楷体_GB2312" w:cs="楷体_GB2312"/>
          <w:color w:val="000000"/>
          <w:kern w:val="0"/>
          <w:sz w:val="32"/>
          <w:szCs w:val="32"/>
          <w:shd w:val="clear" w:fill="FFFFFF"/>
          <w:lang w:val="en-US" w:eastAsia="zh-CN" w:bidi="ar"/>
        </w:rPr>
        <w:t>预算管理。</w:t>
      </w:r>
    </w:p>
    <w:p w14:paraId="4A321CF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我单位预算编制基于充分的数据分析、历史经验和未来预测，采用科学合理的编制方法，确保预算的准确性和可行性；覆盖所有必要的支出和收入项目，避免遗漏或重复，确保预算的完整性；符合国家法律法规、政策要求以及单位内部的财务管理制度，确保预算的合法性和规范性；预算编制过程应公开透明，接受内外部监督，确保预算的公正性和可信度。本单位实现了资金的集中管理和统一调度，提高了资金的使用效率。资金集中管理有助于减少资金闲置和浪费；支出执行进度方面，进度完成情况良好，资金能及时支付。在预算执行过程中，我单位严格按照预算安排各项支出，确保预算执行的严肃性和规范性。同时，应加强对预算执行情况的监督和检查，及时发现和纠正问题。</w:t>
      </w:r>
    </w:p>
    <w:p w14:paraId="34A5E9A0">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3.财务管理。</w:t>
      </w:r>
    </w:p>
    <w:p w14:paraId="5D488B20">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both"/>
        <w:rPr>
          <w:rFonts w:hint="eastAsia" w:ascii="楷体_GB2312" w:eastAsia="楷体_GB2312" w:cs="楷体_GB2312"/>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我单位财务管理制度建设完善，建立健全财务管理制度，包括预算管理、收支管理、资产管理、内部控制等方面的规定。这些制度应明确各项财务活动的流程、标准和责任，确保财务管理的规范性和有效性。在</w:t>
      </w:r>
      <w:r>
        <w:rPr>
          <w:rFonts w:hint="eastAsia" w:ascii="仿宋_GB2312" w:eastAsia="仿宋_GB2312" w:cs="仿宋_GB2312"/>
          <w:kern w:val="0"/>
          <w:sz w:val="32"/>
          <w:szCs w:val="32"/>
          <w:shd w:val="clear" w:fill="FFFFFF"/>
          <w:lang w:val="en-US" w:eastAsia="zh-CN" w:bidi="ar"/>
        </w:rPr>
        <w:t>财务</w:t>
      </w:r>
      <w:r>
        <w:rPr>
          <w:rFonts w:hint="eastAsia" w:ascii="仿宋_GB2312" w:hAnsi="Times New Roman" w:eastAsia="仿宋_GB2312" w:cs="仿宋_GB2312"/>
          <w:kern w:val="0"/>
          <w:sz w:val="32"/>
          <w:szCs w:val="32"/>
          <w:shd w:val="clear" w:fill="FFFFFF"/>
          <w:lang w:val="en-US" w:eastAsia="zh-CN" w:bidi="ar"/>
        </w:rPr>
        <w:t>岗位设置方面，我单位设置了会计出纳岗位，专人专岗。在资金使用方面，我单</w:t>
      </w:r>
      <w:r>
        <w:rPr>
          <w:rFonts w:hint="eastAsia" w:ascii="仿宋_GB2312" w:eastAsia="仿宋_GB2312" w:cs="仿宋_GB2312"/>
          <w:kern w:val="0"/>
          <w:sz w:val="32"/>
          <w:szCs w:val="32"/>
          <w:shd w:val="clear" w:fill="FFFFFF"/>
          <w:lang w:val="en-US" w:eastAsia="zh-CN" w:bidi="ar"/>
        </w:rPr>
        <w:t>位加</w:t>
      </w:r>
      <w:r>
        <w:rPr>
          <w:rFonts w:hint="eastAsia" w:ascii="仿宋_GB2312" w:hAnsi="Times New Roman" w:eastAsia="仿宋_GB2312" w:cs="仿宋_GB2312"/>
          <w:kern w:val="0"/>
          <w:sz w:val="32"/>
          <w:szCs w:val="32"/>
          <w:shd w:val="clear" w:fill="FFFFFF"/>
          <w:lang w:val="en-US" w:eastAsia="zh-CN" w:bidi="ar"/>
        </w:rPr>
        <w:t>强对各项支出的管理，确保支出的合规性和效益性。应建立健全支出管理制度，明确各项支出的范围、标准和审批程序，防止支出浪费和违规支出现象的发生。</w:t>
      </w:r>
    </w:p>
    <w:p w14:paraId="16102550">
      <w:pPr>
        <w:keepNext w:val="0"/>
        <w:keepLines w:val="0"/>
        <w:widowControl w:val="0"/>
        <w:suppressLineNumbers w:val="0"/>
        <w:autoSpaceDE w:val="0"/>
        <w:autoSpaceDN/>
        <w:adjustRightInd w:val="0"/>
        <w:snapToGrid w:val="0"/>
        <w:spacing w:before="0" w:beforeAutospacing="0" w:after="0" w:afterAutospacing="0" w:line="578" w:lineRule="exact"/>
        <w:ind w:left="420" w:leftChars="200" w:right="0"/>
        <w:contextualSpacing/>
        <w:jc w:val="left"/>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4.资产管理。</w:t>
      </w:r>
    </w:p>
    <w:p w14:paraId="39A2F06B">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在资产管理规范性方面：我单</w:t>
      </w:r>
      <w:r>
        <w:rPr>
          <w:rFonts w:hint="eastAsia" w:ascii="仿宋_GB2312" w:eastAsia="仿宋_GB2312" w:cs="仿宋_GB2312"/>
          <w:color w:val="000000"/>
          <w:kern w:val="0"/>
          <w:sz w:val="32"/>
          <w:szCs w:val="32"/>
          <w:shd w:val="clear" w:fill="FFFFFF"/>
          <w:lang w:val="en-US" w:eastAsia="zh-CN" w:bidi="ar"/>
        </w:rPr>
        <w:t>位加</w:t>
      </w:r>
      <w:r>
        <w:rPr>
          <w:rFonts w:hint="eastAsia" w:ascii="仿宋_GB2312" w:hAnsi="Times New Roman" w:eastAsia="仿宋_GB2312" w:cs="仿宋_GB2312"/>
          <w:color w:val="000000"/>
          <w:kern w:val="0"/>
          <w:sz w:val="32"/>
          <w:szCs w:val="32"/>
          <w:shd w:val="clear" w:fill="FFFFFF"/>
          <w:lang w:val="en-US" w:eastAsia="zh-CN" w:bidi="ar"/>
        </w:rPr>
        <w:t>强对固定资产和流动资产的管理，确保资产的完整性和安全性。应建立健全资产管理制度，明确资产的采购、验收、使用、处置等环节的流程和责任，防止资产流失和浪费现象的发生。资产清查与盘点方面：我单位定期对资产进行清查和盘点，确保资产账实相符。对于盘盈或盘亏的资产，应及时查明原因并按照规定进行处理。</w:t>
      </w:r>
    </w:p>
    <w:p w14:paraId="3C669E0E">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楷体_GB2312" w:hAnsi="Times New Roman" w:eastAsia="楷体_GB2312" w:cs="楷体_GB2312"/>
          <w:color w:val="000000"/>
          <w:kern w:val="0"/>
          <w:sz w:val="32"/>
          <w:szCs w:val="32"/>
          <w:shd w:val="clear" w:fill="FFFFFF"/>
          <w:lang w:val="en-US" w:eastAsia="zh-CN" w:bidi="ar"/>
        </w:rPr>
        <w:t>5.采购管理。</w:t>
      </w:r>
    </w:p>
    <w:p w14:paraId="69B83FB7">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楷体_GB2312" w:eastAsia="楷体_GB2312" w:cs="楷体_GB2312"/>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我单位采购项目全力支持中小企业发展，优先向中小企业发放；采购管理系统的自动化和信息化程度高。采用先进的采购管理系统能够减少人工操作，提高数据处理速度和准确性，从而提升采购效率。采购活动符合国家法律法规、单位内部规章制度以及采购政策的要求。加强内部控制和风险管理，降低采购风险，保障采购活动的顺利进行。建立全面的采购管理绩效指标体系，包括采购效率、采购成本、采购质量、合规性等多个方面的指标。通过定期收集和分析数据，全面评估采购管理的绩效水平。针对存在的问题和不足，制定具体的改进措施并跟踪实施效果，不断提升采购管理的绩效水平。</w:t>
      </w:r>
    </w:p>
    <w:p w14:paraId="196E7680">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仿宋_GB2312" w:cs="Times New Roman"/>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（二）部门预算项目绩效分析。</w:t>
      </w:r>
    </w:p>
    <w:p w14:paraId="11016C84">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eastAsia" w:ascii="Times New Roman" w:hAnsi="Times New Roman" w:eastAsia="仿宋_GB2312" w:cs="Times New Roman"/>
          <w:color w:val="000000"/>
          <w:kern w:val="0"/>
          <w:sz w:val="32"/>
          <w:szCs w:val="32"/>
          <w:shd w:val="clear" w:fill="FFFFFF"/>
        </w:rPr>
      </w:pPr>
      <w:r>
        <w:rPr>
          <w:rFonts w:hint="eastAsia" w:ascii="仿宋_GB2312" w:hAnsi="Times New Roman" w:eastAsia="仿宋_GB2312" w:cs="仿宋_GB2312"/>
          <w:color w:val="000000"/>
          <w:kern w:val="0"/>
          <w:sz w:val="32"/>
          <w:szCs w:val="32"/>
          <w:shd w:val="clear" w:fill="FFFFFF"/>
          <w:lang w:val="en-US" w:eastAsia="zh-CN" w:bidi="ar"/>
        </w:rPr>
        <w:t>阶段（一次性）项目绩效分析。该类项目总数</w:t>
      </w:r>
      <w:r>
        <w:rPr>
          <w:rFonts w:hint="default" w:ascii="Times New Roman" w:hAnsi="Times New Roman" w:eastAsia="仿宋_GB2312" w:cs="Times New Roman"/>
          <w:color w:val="000000"/>
          <w:kern w:val="0"/>
          <w:sz w:val="32"/>
          <w:szCs w:val="32"/>
          <w:shd w:val="clear" w:fill="FFFFFF"/>
          <w:lang w:val="en-US" w:eastAsia="zh-CN" w:bidi="ar"/>
        </w:rPr>
        <w:t>0</w:t>
      </w:r>
      <w:r>
        <w:rPr>
          <w:rFonts w:hint="eastAsia" w:ascii="仿宋_GB2312" w:hAnsi="Times New Roman" w:eastAsia="仿宋_GB2312" w:cs="仿宋_GB2312"/>
          <w:color w:val="000000"/>
          <w:kern w:val="0"/>
          <w:sz w:val="32"/>
          <w:szCs w:val="32"/>
          <w:shd w:val="clear" w:fill="FFFFFF"/>
          <w:lang w:val="en-US" w:eastAsia="zh-CN" w:bidi="ar"/>
        </w:rPr>
        <w:t>个。</w:t>
      </w:r>
    </w:p>
    <w:p w14:paraId="7690FECA">
      <w:pPr>
        <w:keepNext w:val="0"/>
        <w:keepLines w:val="0"/>
        <w:widowControl w:val="0"/>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eastAsia" w:ascii="仿宋_GB2312" w:eastAsia="仿宋_GB2312" w:cs="仿宋_GB2312"/>
          <w:b/>
          <w:bCs w:val="0"/>
          <w:kern w:val="2"/>
          <w:sz w:val="32"/>
          <w:szCs w:val="32"/>
        </w:rPr>
      </w:pPr>
      <w:r>
        <w:rPr>
          <w:rFonts w:hint="eastAsia" w:ascii="楷体_GB2312" w:hAnsi="Times New Roman" w:eastAsia="楷体_GB2312" w:cs="楷体_GB2312"/>
          <w:b/>
          <w:bCs/>
          <w:kern w:val="2"/>
          <w:sz w:val="32"/>
          <w:szCs w:val="32"/>
          <w:lang w:val="en-US" w:eastAsia="zh-CN" w:bidi="ar"/>
        </w:rPr>
        <w:t>（三）绩效结果应用情况。</w:t>
      </w:r>
      <w:r>
        <w:rPr>
          <w:rFonts w:hint="eastAsia" w:ascii="仿宋_GB2312" w:hAnsi="Times New Roman" w:eastAsia="仿宋_GB2312" w:cs="仿宋_GB2312"/>
          <w:color w:val="000000"/>
          <w:kern w:val="0"/>
          <w:sz w:val="32"/>
          <w:szCs w:val="32"/>
          <w:shd w:val="clear" w:fill="FFFFFF"/>
          <w:lang w:val="en-US" w:eastAsia="zh-CN" w:bidi="ar"/>
        </w:rPr>
        <w:t>围绕内部应用情况、信息公开情况、整改反馈情况进行分析。</w:t>
      </w:r>
    </w:p>
    <w:p w14:paraId="02D6EA89">
      <w:pPr>
        <w:keepNext w:val="0"/>
        <w:keepLines w:val="0"/>
        <w:widowControl/>
        <w:suppressLineNumbers w:val="0"/>
        <w:autoSpaceDE w:val="0"/>
        <w:autoSpaceDN/>
        <w:adjustRightInd w:val="0"/>
        <w:snapToGrid w:val="0"/>
        <w:spacing w:before="0" w:beforeAutospacing="0" w:after="0" w:afterAutospacing="0" w:line="578" w:lineRule="exact"/>
        <w:ind w:left="0" w:right="0" w:firstLine="640" w:firstLineChars="200"/>
        <w:contextualSpacing/>
        <w:jc w:val="left"/>
        <w:rPr>
          <w:rFonts w:hint="default" w:ascii="Times New Roman" w:hAnsi="Times New Roman" w:eastAsia="黑体" w:cs="Times New Roman"/>
          <w:color w:val="000000"/>
          <w:kern w:val="0"/>
          <w:sz w:val="32"/>
          <w:szCs w:val="32"/>
          <w:shd w:val="clear" w:fill="FFFFFF"/>
        </w:rPr>
      </w:pPr>
      <w:r>
        <w:rPr>
          <w:rFonts w:hint="eastAsia" w:ascii="黑体" w:hAnsi="宋体" w:eastAsia="黑体" w:cs="黑体"/>
          <w:color w:val="000000"/>
          <w:kern w:val="0"/>
          <w:sz w:val="32"/>
          <w:szCs w:val="32"/>
          <w:shd w:val="clear" w:fill="FFFFFF"/>
          <w:lang w:val="en-US" w:eastAsia="zh-CN" w:bidi="ar"/>
        </w:rPr>
        <w:t>四、评价结论及建议</w:t>
      </w:r>
    </w:p>
    <w:p w14:paraId="76747C11">
      <w:pPr>
        <w:keepNext w:val="0"/>
        <w:keepLines w:val="0"/>
        <w:widowControl/>
        <w:suppressLineNumbers w:val="0"/>
        <w:autoSpaceDE w:val="0"/>
        <w:autoSpaceDN/>
        <w:adjustRightInd w:val="0"/>
        <w:snapToGrid w:val="0"/>
        <w:spacing w:before="0" w:beforeAutospacing="0" w:after="0" w:afterAutospacing="0" w:line="576" w:lineRule="exact"/>
        <w:ind w:left="0" w:right="0" w:firstLine="643" w:firstLineChars="200"/>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（一）评价结论。</w:t>
      </w:r>
    </w:p>
    <w:p w14:paraId="3639643A">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eastAsia" w:ascii="仿宋_GB2312" w:hAnsi="Times New Roman" w:eastAsia="仿宋_GB2312" w:cs="宋体"/>
          <w:kern w:val="0"/>
          <w:sz w:val="32"/>
          <w:szCs w:val="32"/>
          <w:shd w:val="clear" w:fill="FFFFFF"/>
        </w:rPr>
      </w:pPr>
      <w:r>
        <w:rPr>
          <w:rFonts w:hint="eastAsia" w:ascii="仿宋_GB2312" w:eastAsia="仿宋_GB2312" w:cs="仿宋_GB2312"/>
          <w:b w:val="0"/>
          <w:bCs w:val="0"/>
          <w:kern w:val="0"/>
          <w:sz w:val="32"/>
          <w:szCs w:val="32"/>
          <w:lang w:val="en-US" w:eastAsia="zh-CN" w:bidi="ar"/>
        </w:rPr>
        <w:t>截至</w:t>
      </w:r>
      <w:r>
        <w:rPr>
          <w:rFonts w:hint="eastAsia" w:ascii="仿宋_GB2312" w:hAnsi="Times New Roman" w:eastAsia="仿宋_GB2312" w:cs="仿宋_GB2312"/>
          <w:kern w:val="0"/>
          <w:sz w:val="32"/>
          <w:szCs w:val="32"/>
          <w:shd w:val="clear" w:fill="FFFFFF"/>
          <w:lang w:val="en-US" w:eastAsia="zh-CN" w:bidi="ar"/>
        </w:rPr>
        <w:t>2025年，我单位认真落实县委、县政府决策部署，按照保进度、重质量、求实效的要求，全面推进各项重点工作，较好地完成了各项目标任务。整体支出绩效评价指标体系自评得分94分，部门整体支出绩效为“优秀”。</w:t>
      </w:r>
    </w:p>
    <w:p w14:paraId="5BDA0A44">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default" w:ascii="Times New Roman" w:hAnsi="Times New Roman" w:eastAsia="楷体_GB2312" w:cs="Times New Roman"/>
          <w:b/>
          <w:bCs/>
          <w:color w:val="0000FF"/>
          <w:kern w:val="0"/>
          <w:sz w:val="32"/>
          <w:szCs w:val="32"/>
          <w:shd w:val="clear" w:fill="FFFFFF"/>
        </w:rPr>
      </w:pPr>
      <w:r>
        <w:rPr>
          <w:rFonts w:hint="eastAsia" w:ascii="仿宋_GB2312" w:hAnsi="Times New Roman" w:eastAsia="仿宋_GB2312" w:cs="仿宋_GB2312"/>
          <w:kern w:val="0"/>
          <w:sz w:val="32"/>
          <w:szCs w:val="32"/>
          <w:shd w:val="clear" w:fill="FFFFFF"/>
          <w:lang w:val="en-US" w:eastAsia="zh-CN" w:bidi="ar"/>
        </w:rPr>
        <w:t>我单位2025年部门支出与年初预算基本一致，达到预期绩效目标。但预算编制还需进一步细化，针对我单位预算存在的问题。</w:t>
      </w:r>
    </w:p>
    <w:p w14:paraId="6E07B98F">
      <w:pPr>
        <w:keepNext w:val="0"/>
        <w:keepLines w:val="0"/>
        <w:widowControl/>
        <w:numPr>
          <w:ilvl w:val="0"/>
          <w:numId w:val="3"/>
        </w:numPr>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存在问题。</w:t>
      </w:r>
    </w:p>
    <w:p w14:paraId="024608D5">
      <w:pPr>
        <w:keepNext w:val="0"/>
        <w:keepLines w:val="0"/>
        <w:widowControl/>
        <w:suppressLineNumbers w:val="0"/>
        <w:autoSpaceDE w:val="0"/>
        <w:autoSpaceDN/>
        <w:adjustRightInd w:val="0"/>
        <w:snapToGrid w:val="0"/>
        <w:spacing w:before="0" w:beforeAutospacing="0" w:after="0" w:afterAutospacing="0" w:line="576" w:lineRule="exact"/>
        <w:ind w:left="0" w:right="0" w:firstLine="608" w:firstLineChars="200"/>
        <w:jc w:val="left"/>
        <w:rPr>
          <w:rFonts w:hint="eastAsia" w:ascii="仿宋_GB2312" w:hAnsi="Times New Roman" w:eastAsia="仿宋_GB2312" w:cs="宋体"/>
          <w:kern w:val="0"/>
          <w:sz w:val="32"/>
          <w:szCs w:val="32"/>
          <w:shd w:val="clear" w:fill="FFFFFF"/>
        </w:rPr>
      </w:pPr>
      <w:r>
        <w:rPr>
          <w:rFonts w:hint="eastAsia" w:ascii="Times New Roman" w:hAnsi="Times New Roman" w:eastAsia="仿宋_GB2312" w:cs="仿宋_GB2312"/>
          <w:b w:val="0"/>
          <w:bCs w:val="0"/>
          <w:w w:val="95"/>
          <w:kern w:val="0"/>
          <w:sz w:val="32"/>
          <w:szCs w:val="32"/>
          <w:lang w:val="en-US" w:eastAsia="zh-CN" w:bidi="ar"/>
        </w:rPr>
        <w:t xml:space="preserve"> </w:t>
      </w:r>
      <w:r>
        <w:rPr>
          <w:rFonts w:hint="eastAsia" w:eastAsia="仿宋_GB2312" w:cs="仿宋_GB2312"/>
          <w:b w:val="0"/>
          <w:bCs w:val="0"/>
          <w:w w:val="95"/>
          <w:kern w:val="0"/>
          <w:sz w:val="32"/>
          <w:szCs w:val="32"/>
          <w:lang w:val="en-US" w:eastAsia="zh-CN" w:bidi="ar"/>
        </w:rPr>
        <w:t>1.</w:t>
      </w:r>
      <w:r>
        <w:rPr>
          <w:rFonts w:hint="eastAsia" w:ascii="仿宋_GB2312" w:hAnsi="Times New Roman" w:eastAsia="仿宋_GB2312" w:cs="仿宋_GB2312"/>
          <w:kern w:val="0"/>
          <w:sz w:val="32"/>
          <w:szCs w:val="32"/>
          <w:shd w:val="clear" w:fill="FFFFFF"/>
          <w:lang w:val="en-US" w:eastAsia="zh-CN" w:bidi="ar"/>
        </w:rPr>
        <w:t>预算编制有待</w:t>
      </w:r>
      <w:r>
        <w:rPr>
          <w:rFonts w:hint="eastAsia" w:ascii="仿宋_GB2312" w:eastAsia="仿宋_GB2312" w:cs="仿宋_GB2312"/>
          <w:kern w:val="0"/>
          <w:sz w:val="32"/>
          <w:szCs w:val="32"/>
          <w:shd w:val="clear" w:fill="FFFFFF"/>
          <w:lang w:val="en-US" w:eastAsia="zh-CN" w:bidi="ar"/>
        </w:rPr>
        <w:t>更加</w:t>
      </w:r>
      <w:r>
        <w:rPr>
          <w:rFonts w:hint="eastAsia" w:ascii="仿宋_GB2312" w:hAnsi="Times New Roman" w:eastAsia="仿宋_GB2312" w:cs="仿宋_GB2312"/>
          <w:kern w:val="0"/>
          <w:sz w:val="32"/>
          <w:szCs w:val="32"/>
          <w:shd w:val="clear" w:fill="FFFFFF"/>
          <w:lang w:val="en-US" w:eastAsia="zh-CN" w:bidi="ar"/>
        </w:rPr>
        <w:t>严格执行，预算编制与实际支出项目有的存在差异。</w:t>
      </w:r>
    </w:p>
    <w:p w14:paraId="7BA4A7D4">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default" w:ascii="Times New Roman" w:hAnsi="Times New Roman" w:eastAsia="仿宋_GB2312" w:cs="Times New Roman"/>
          <w:kern w:val="2"/>
          <w:sz w:val="32"/>
          <w:szCs w:val="32"/>
        </w:rPr>
      </w:pPr>
      <w:r>
        <w:rPr>
          <w:rFonts w:hint="eastAsia" w:ascii="仿宋_GB2312" w:eastAsia="仿宋_GB2312" w:cs="仿宋_GB2312"/>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制度执行力度有待加强。</w:t>
      </w:r>
    </w:p>
    <w:p w14:paraId="07BD320E">
      <w:pPr>
        <w:keepNext w:val="0"/>
        <w:keepLines w:val="0"/>
        <w:widowControl/>
        <w:suppressLineNumbers w:val="0"/>
        <w:autoSpaceDE w:val="0"/>
        <w:autoSpaceDN/>
        <w:adjustRightInd w:val="0"/>
        <w:snapToGrid w:val="0"/>
        <w:spacing w:before="0" w:beforeAutospacing="0" w:after="0" w:afterAutospacing="0" w:line="578" w:lineRule="exact"/>
        <w:ind w:left="0" w:right="0" w:firstLine="643" w:firstLineChars="200"/>
        <w:contextualSpacing/>
        <w:jc w:val="left"/>
        <w:rPr>
          <w:rFonts w:hint="default" w:ascii="Times New Roman" w:hAnsi="Times New Roman" w:eastAsia="楷体_GB2312" w:cs="Times New Roman"/>
          <w:b/>
          <w:bCs/>
          <w:color w:val="000000"/>
          <w:kern w:val="0"/>
          <w:sz w:val="32"/>
          <w:szCs w:val="32"/>
          <w:shd w:val="clear" w:fill="FFFFFF"/>
        </w:rPr>
      </w:pPr>
      <w:r>
        <w:rPr>
          <w:rFonts w:hint="eastAsia" w:ascii="楷体_GB2312" w:hAnsi="Times New Roman" w:eastAsia="楷体_GB2312" w:cs="楷体_GB2312"/>
          <w:b/>
          <w:bCs/>
          <w:color w:val="000000"/>
          <w:kern w:val="0"/>
          <w:sz w:val="32"/>
          <w:szCs w:val="32"/>
          <w:shd w:val="clear" w:fill="FFFFFF"/>
          <w:lang w:val="en-US" w:eastAsia="zh-CN" w:bidi="ar"/>
        </w:rPr>
        <w:t>（三）改进建议。</w:t>
      </w:r>
    </w:p>
    <w:p w14:paraId="599D64D1">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eastAsia" w:ascii="仿宋_GB2312" w:hAnsi="Times New Roman" w:eastAsia="仿宋_GB2312" w:cs="宋体"/>
          <w:kern w:val="0"/>
          <w:sz w:val="32"/>
          <w:szCs w:val="32"/>
          <w:shd w:val="clear" w:fill="FFFFFF"/>
        </w:rPr>
      </w:pPr>
      <w:r>
        <w:rPr>
          <w:rFonts w:hint="eastAsia" w:ascii="仿宋_GB2312" w:eastAsia="仿宋_GB2312" w:cs="仿宋_GB2312"/>
          <w:kern w:val="0"/>
          <w:sz w:val="32"/>
          <w:szCs w:val="32"/>
          <w:shd w:val="clear" w:fill="FFFFFF"/>
          <w:lang w:val="en-US" w:eastAsia="zh-CN" w:bidi="ar"/>
        </w:rPr>
        <w:t>1.</w:t>
      </w:r>
      <w:r>
        <w:rPr>
          <w:rFonts w:hint="eastAsia" w:ascii="仿宋_GB2312" w:hAnsi="Times New Roman" w:eastAsia="仿宋_GB2312" w:cs="仿宋_GB2312"/>
          <w:kern w:val="0"/>
          <w:sz w:val="32"/>
          <w:szCs w:val="32"/>
          <w:shd w:val="clear" w:fill="FFFFFF"/>
          <w:lang w:val="en-US" w:eastAsia="zh-CN" w:bidi="ar"/>
        </w:rPr>
        <w:t>按照预算规定的项目和用途严格财务审核，经费支出严格按预算规定项目的财务支出内容进行财务核算，在预算金额内严格控制费用的支出。</w:t>
      </w:r>
    </w:p>
    <w:p w14:paraId="5F96AF02">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eastAsia" w:ascii="仿宋_GB2312" w:hAnsi="Times New Roman" w:eastAsia="仿宋_GB2312" w:cs="宋体"/>
          <w:kern w:val="0"/>
          <w:sz w:val="32"/>
          <w:szCs w:val="32"/>
          <w:shd w:val="clear" w:fill="FFFFFF"/>
        </w:rPr>
      </w:pPr>
      <w:r>
        <w:rPr>
          <w:rFonts w:hint="eastAsia" w:ascii="仿宋_GB2312" w:eastAsia="仿宋_GB2312" w:cs="仿宋_GB2312"/>
          <w:kern w:val="0"/>
          <w:sz w:val="32"/>
          <w:szCs w:val="32"/>
          <w:shd w:val="clear" w:fill="FFFFFF"/>
          <w:lang w:val="en-US" w:eastAsia="zh-CN" w:bidi="ar"/>
        </w:rPr>
        <w:t>2.</w:t>
      </w:r>
      <w:r>
        <w:rPr>
          <w:rFonts w:hint="eastAsia" w:ascii="仿宋_GB2312" w:hAnsi="Times New Roman" w:eastAsia="仿宋_GB2312" w:cs="仿宋_GB2312"/>
          <w:kern w:val="0"/>
          <w:sz w:val="32"/>
          <w:szCs w:val="32"/>
          <w:shd w:val="clear" w:fill="FFFFFF"/>
          <w:lang w:val="en-US" w:eastAsia="zh-CN" w:bidi="ar"/>
        </w:rPr>
        <w:t>预算财务分析常态化，定期做好预算支出财务分析，做好部门整体支出预算评价工作，完善各项</w:t>
      </w:r>
      <w:r>
        <w:rPr>
          <w:rFonts w:hint="eastAsia" w:ascii="仿宋_GB2312" w:eastAsia="仿宋_GB2312" w:cs="仿宋_GB2312"/>
          <w:kern w:val="0"/>
          <w:sz w:val="32"/>
          <w:szCs w:val="32"/>
          <w:shd w:val="clear" w:fill="FFFFFF"/>
          <w:lang w:val="en-US" w:eastAsia="zh-CN" w:bidi="ar"/>
        </w:rPr>
        <w:t>制度</w:t>
      </w:r>
      <w:r>
        <w:rPr>
          <w:rFonts w:hint="eastAsia" w:ascii="仿宋_GB2312" w:hAnsi="Times New Roman" w:eastAsia="仿宋_GB2312" w:cs="仿宋_GB2312"/>
          <w:kern w:val="0"/>
          <w:sz w:val="32"/>
          <w:szCs w:val="32"/>
          <w:shd w:val="clear" w:fill="FFFFFF"/>
          <w:lang w:val="en-US" w:eastAsia="zh-CN" w:bidi="ar"/>
        </w:rPr>
        <w:t>，提升执行力。</w:t>
      </w:r>
    </w:p>
    <w:p w14:paraId="083CF223">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eastAsia" w:ascii="仿宋_GB2312" w:hAnsi="Times New Roman" w:eastAsia="仿宋_GB2312" w:cs="宋体"/>
          <w:kern w:val="0"/>
          <w:sz w:val="32"/>
          <w:szCs w:val="32"/>
          <w:shd w:val="clear" w:fill="FFFFFF"/>
        </w:rPr>
      </w:pPr>
      <w:r>
        <w:rPr>
          <w:rFonts w:hint="eastAsia" w:ascii="仿宋_GB2312" w:hAnsi="Times New Roman" w:eastAsia="仿宋_GB2312" w:cs="宋体"/>
          <w:kern w:val="0"/>
          <w:sz w:val="32"/>
          <w:szCs w:val="32"/>
          <w:shd w:val="clear" w:fill="FFFFFF"/>
          <w:lang w:val="en-US" w:eastAsia="zh-CN" w:bidi="ar"/>
        </w:rPr>
        <w:t xml:space="preserve"> </w:t>
      </w:r>
    </w:p>
    <w:p w14:paraId="7DF758BB">
      <w:pPr>
        <w:keepNext w:val="0"/>
        <w:keepLines w:val="0"/>
        <w:widowControl/>
        <w:suppressLineNumbers w:val="0"/>
        <w:autoSpaceDE w:val="0"/>
        <w:autoSpaceDN/>
        <w:adjustRightInd w:val="0"/>
        <w:snapToGrid w:val="0"/>
        <w:spacing w:before="0" w:beforeAutospacing="0" w:after="0" w:afterAutospacing="0" w:line="576" w:lineRule="exact"/>
        <w:ind w:left="0" w:right="0" w:firstLine="640" w:firstLineChars="200"/>
        <w:jc w:val="left"/>
        <w:rPr>
          <w:rFonts w:hint="eastAsia" w:ascii="仿宋_GB2312" w:hAnsi="Times New Roman" w:eastAsia="仿宋_GB2312" w:cs="宋体"/>
          <w:kern w:val="0"/>
          <w:sz w:val="32"/>
          <w:szCs w:val="32"/>
          <w:shd w:val="clear" w:fill="FFFFFF"/>
        </w:rPr>
      </w:pPr>
      <w:r>
        <w:rPr>
          <w:rFonts w:hint="eastAsia" w:ascii="仿宋_GB2312" w:hAnsi="Times New Roman" w:eastAsia="仿宋_GB2312" w:cs="宋体"/>
          <w:kern w:val="0"/>
          <w:sz w:val="32"/>
          <w:szCs w:val="32"/>
          <w:shd w:val="clear" w:fill="FFFFFF"/>
          <w:lang w:val="en-US" w:eastAsia="zh-CN" w:bidi="ar"/>
        </w:rPr>
        <w:t xml:space="preserve"> </w:t>
      </w:r>
    </w:p>
    <w:p w14:paraId="225439E8">
      <w:pPr>
        <w:keepNext w:val="0"/>
        <w:keepLines w:val="0"/>
        <w:widowControl w:val="0"/>
        <w:suppressLineNumbers w:val="0"/>
        <w:autoSpaceDE w:val="0"/>
        <w:autoSpaceDN/>
        <w:adjustRightInd w:val="0"/>
        <w:snapToGrid w:val="0"/>
        <w:spacing w:before="0" w:beforeAutospacing="0" w:after="0" w:afterAutospacing="0" w:line="578" w:lineRule="exact"/>
        <w:ind w:left="0" w:right="0" w:firstLine="680" w:firstLineChars="200"/>
        <w:jc w:val="both"/>
        <w:rPr>
          <w:rFonts w:hint="default" w:ascii="Times New Roman" w:hAnsi="Times New Roman" w:eastAsia="仿宋_GB2312" w:cs="Times New Roman"/>
          <w:color w:val="000000"/>
          <w:kern w:val="2"/>
          <w:sz w:val="32"/>
          <w:szCs w:val="32"/>
        </w:rPr>
      </w:pPr>
      <w:r>
        <w:rPr>
          <w:rFonts w:hint="default" w:ascii="Times New Roman" w:hAnsi="Times New Roman" w:eastAsia="方正仿宋简体" w:cs="Times New Roman"/>
          <w:kern w:val="2"/>
          <w:sz w:val="34"/>
          <w:szCs w:val="34"/>
          <w:lang w:val="en-US" w:eastAsia="zh-CN" w:bidi="ar"/>
        </w:rPr>
        <w:t xml:space="preserve">                       </w:t>
      </w:r>
      <w:r>
        <w:rPr>
          <w:rFonts w:hint="default" w:ascii="Times New Roman" w:hAnsi="Times New Roman" w:eastAsia="仿宋_GB2312" w:cs="Times New Roman"/>
          <w:color w:val="000000"/>
          <w:kern w:val="2"/>
          <w:sz w:val="32"/>
          <w:szCs w:val="32"/>
          <w:lang w:val="en-US" w:eastAsia="zh-CN" w:bidi="ar"/>
        </w:rPr>
        <w:t xml:space="preserve">   </w:t>
      </w:r>
      <w:r>
        <w:rPr>
          <w:rFonts w:hint="eastAsia" w:ascii="仿宋_GB2312" w:hAnsi="Times New Roman" w:eastAsia="仿宋_GB2312" w:cs="仿宋_GB2312"/>
          <w:color w:val="000000"/>
          <w:kern w:val="2"/>
          <w:sz w:val="32"/>
          <w:szCs w:val="32"/>
          <w:lang w:val="en-US" w:eastAsia="zh-CN" w:bidi="ar"/>
        </w:rPr>
        <w:t>中共松潘县委党校</w:t>
      </w:r>
    </w:p>
    <w:p w14:paraId="14E1E7BD">
      <w:pPr>
        <w:keepNext w:val="0"/>
        <w:keepLines w:val="0"/>
        <w:widowControl w:val="0"/>
        <w:suppressLineNumbers w:val="0"/>
        <w:autoSpaceDE w:val="0"/>
        <w:autoSpaceDN/>
        <w:adjustRightInd w:val="0"/>
        <w:snapToGrid w:val="0"/>
        <w:spacing w:before="0" w:beforeAutospacing="0" w:after="0" w:afterAutospacing="0" w:line="578" w:lineRule="exact"/>
        <w:ind w:left="0" w:right="0" w:firstLine="640" w:firstLineChars="200"/>
        <w:jc w:val="both"/>
        <w:rPr>
          <w:rFonts w:hint="default" w:ascii="Times New Roman" w:hAnsi="Times New Roman" w:eastAsia="方正仿宋简体" w:cs="Times New Roman"/>
          <w:kern w:val="2"/>
          <w:sz w:val="34"/>
          <w:szCs w:val="34"/>
        </w:rPr>
      </w:pPr>
      <w:r>
        <w:rPr>
          <w:rFonts w:hint="default" w:ascii="Times New Roman" w:hAnsi="Times New Roman" w:eastAsia="仿宋_GB2312" w:cs="Times New Roman"/>
          <w:color w:val="000000"/>
          <w:kern w:val="2"/>
          <w:sz w:val="32"/>
          <w:szCs w:val="32"/>
          <w:lang w:val="en-US" w:eastAsia="zh-CN" w:bidi="ar"/>
        </w:rPr>
        <w:t xml:space="preserve">                            202</w:t>
      </w:r>
      <w:r>
        <w:rPr>
          <w:rFonts w:hint="eastAsia" w:ascii="Times New Roman" w:hAnsi="Times New Roman" w:eastAsia="仿宋_GB2312" w:cs="Times New Roman"/>
          <w:color w:val="000000"/>
          <w:kern w:val="2"/>
          <w:sz w:val="32"/>
          <w:szCs w:val="32"/>
          <w:lang w:val="en-US" w:eastAsia="zh-CN" w:bidi="ar"/>
        </w:rPr>
        <w:t>6</w:t>
      </w:r>
      <w:r>
        <w:rPr>
          <w:rFonts w:hint="eastAsia" w:ascii="仿宋_GB2312" w:hAnsi="Times New Roman" w:eastAsia="仿宋_GB2312" w:cs="仿宋_GB2312"/>
          <w:color w:val="000000"/>
          <w:kern w:val="2"/>
          <w:sz w:val="32"/>
          <w:szCs w:val="32"/>
          <w:lang w:val="en-US" w:eastAsia="zh-CN" w:bidi="ar"/>
        </w:rPr>
        <w:t>年</w:t>
      </w:r>
      <w:r>
        <w:rPr>
          <w:rFonts w:hint="default" w:ascii="Times New Roman" w:hAnsi="Times New Roman" w:eastAsia="仿宋_GB2312" w:cs="Times New Roman"/>
          <w:color w:val="000000"/>
          <w:kern w:val="2"/>
          <w:sz w:val="32"/>
          <w:szCs w:val="32"/>
          <w:lang w:val="en-US" w:eastAsia="zh-CN" w:bidi="ar"/>
        </w:rPr>
        <w:t>1</w:t>
      </w:r>
      <w:r>
        <w:rPr>
          <w:rFonts w:hint="eastAsia" w:ascii="Times New Roman" w:hAnsi="Times New Roman" w:eastAsia="仿宋_GB2312" w:cs="Times New Roman"/>
          <w:color w:val="000000"/>
          <w:kern w:val="2"/>
          <w:sz w:val="32"/>
          <w:szCs w:val="32"/>
          <w:lang w:val="en-US" w:eastAsia="zh-CN" w:bidi="ar"/>
        </w:rPr>
        <w:t>0</w:t>
      </w:r>
      <w:r>
        <w:rPr>
          <w:rFonts w:hint="eastAsia" w:ascii="仿宋_GB2312" w:hAnsi="Times New Roman" w:eastAsia="仿宋_GB2312" w:cs="仿宋_GB2312"/>
          <w:color w:val="000000"/>
          <w:kern w:val="2"/>
          <w:sz w:val="32"/>
          <w:szCs w:val="32"/>
          <w:lang w:val="en-US" w:eastAsia="zh-CN" w:bidi="ar"/>
        </w:rPr>
        <w:t>月</w:t>
      </w:r>
      <w:r>
        <w:rPr>
          <w:rFonts w:hint="default" w:ascii="Times New Roman" w:hAnsi="Times New Roman" w:eastAsia="仿宋_GB2312" w:cs="Times New Roman"/>
          <w:color w:val="000000"/>
          <w:kern w:val="2"/>
          <w:sz w:val="32"/>
          <w:szCs w:val="32"/>
          <w:lang w:val="en-US" w:eastAsia="zh-CN" w:bidi="ar"/>
        </w:rPr>
        <w:t>10</w:t>
      </w:r>
      <w:r>
        <w:rPr>
          <w:rFonts w:hint="eastAsia" w:ascii="仿宋_GB2312" w:hAnsi="Times New Roman" w:eastAsia="仿宋_GB2312" w:cs="仿宋_GB2312"/>
          <w:color w:val="000000"/>
          <w:kern w:val="2"/>
          <w:sz w:val="32"/>
          <w:szCs w:val="32"/>
          <w:lang w:val="en-US" w:eastAsia="zh-CN" w:bidi="ar"/>
        </w:rPr>
        <w:t>日</w:t>
      </w:r>
    </w:p>
    <w:p w14:paraId="22EE0B47">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3B17AF9">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66208D86">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7545609">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043184F">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216F5EAD">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BA5476E">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BFA2679">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67429B35">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266DB665">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3045DE83">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35839716">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387CC44F">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62857146">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566B3EA">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05E0A8E">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C5B82DA">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223C8DD6">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5B88AC0">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C1C4D1A">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20432326">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77E80CEE">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1DE15D7">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727FF55">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9DCAA21">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93541B2">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64CF3371">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3567C001">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926F46F">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24BF1939">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22DD377">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1746FA47">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79CC5B81">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0544C6E1">
      <w:pPr>
        <w:keepNext w:val="0"/>
        <w:keepLines w:val="0"/>
        <w:widowControl w:val="0"/>
        <w:suppressLineNumbers w:val="0"/>
        <w:spacing w:before="0" w:beforeAutospacing="0" w:after="0" w:afterAutospacing="0"/>
        <w:ind w:left="0" w:right="0"/>
        <w:jc w:val="both"/>
        <w:rPr>
          <w:rFonts w:hint="default" w:ascii="Times New Roman" w:hAnsi="Times New Roman" w:eastAsia="仿宋_GB2312" w:cs="Times New Roman"/>
          <w:kern w:val="2"/>
          <w:sz w:val="32"/>
          <w:szCs w:val="32"/>
        </w:rPr>
      </w:pPr>
      <w:r>
        <w:rPr>
          <w:rFonts w:hint="default" w:ascii="Times New Roman" w:hAnsi="Times New Roman" w:eastAsia="仿宋_GB2312" w:cs="Times New Roman"/>
          <w:kern w:val="2"/>
          <w:sz w:val="32"/>
          <w:szCs w:val="32"/>
          <w:lang w:val="en-US" w:eastAsia="zh-CN" w:bidi="ar"/>
        </w:rPr>
        <w:t xml:space="preserve"> </w:t>
      </w:r>
    </w:p>
    <w:p w14:paraId="5DC7C039">
      <w:pPr>
        <w:keepNext w:val="0"/>
        <w:keepLines w:val="0"/>
        <w:widowControl w:val="0"/>
        <w:suppressLineNumbers w:val="0"/>
        <w:pBdr>
          <w:top w:val="single" w:color="auto" w:sz="4" w:space="1"/>
          <w:left w:val="none" w:color="auto" w:sz="0" w:space="0"/>
          <w:bottom w:val="single" w:color="auto" w:sz="4" w:space="1"/>
          <w:right w:val="none" w:color="auto" w:sz="0" w:space="0"/>
        </w:pBdr>
        <w:spacing w:before="0" w:beforeAutospacing="0" w:after="0" w:afterAutospacing="0" w:line="600" w:lineRule="exact"/>
        <w:ind w:left="0" w:right="0" w:firstLine="140" w:firstLineChars="50"/>
        <w:jc w:val="left"/>
        <w:rPr>
          <w:rFonts w:hint="default" w:ascii="Times New Roman" w:hAnsi="Times New Roman" w:eastAsia="微软雅黑" w:cs="Times New Roman"/>
          <w:b w:val="0"/>
          <w:bCs w:val="0"/>
          <w:kern w:val="2"/>
          <w:sz w:val="32"/>
          <w:szCs w:val="32"/>
        </w:rPr>
      </w:pPr>
      <w:r>
        <w:rPr>
          <w:rFonts w:hint="eastAsia" w:ascii="仿宋_GB2312" w:hAnsi="Times New Roman" w:eastAsia="仿宋_GB2312" w:cs="仿宋_GB2312"/>
          <w:b w:val="0"/>
          <w:bCs w:val="0"/>
          <w:kern w:val="2"/>
          <w:sz w:val="28"/>
          <w:szCs w:val="28"/>
          <w:lang w:val="en-US" w:eastAsia="zh-CN" w:bidi="ar"/>
        </w:rPr>
        <w:t>中共松潘县委党校办公室</w:t>
      </w:r>
      <w:r>
        <w:rPr>
          <w:rFonts w:hint="default" w:ascii="Times New Roman" w:hAnsi="Times New Roman" w:eastAsia="仿宋_GB2312" w:cs="Times New Roman"/>
          <w:b w:val="0"/>
          <w:bCs w:val="0"/>
          <w:kern w:val="2"/>
          <w:sz w:val="28"/>
          <w:szCs w:val="28"/>
          <w:lang w:val="en-US" w:eastAsia="zh-CN" w:bidi="ar"/>
        </w:rPr>
        <w:t xml:space="preserve">                2026</w:t>
      </w:r>
      <w:r>
        <w:rPr>
          <w:rFonts w:hint="eastAsia" w:ascii="仿宋_GB2312" w:hAnsi="Times New Roman" w:eastAsia="仿宋_GB2312" w:cs="仿宋_GB2312"/>
          <w:b w:val="0"/>
          <w:bCs w:val="0"/>
          <w:kern w:val="2"/>
          <w:sz w:val="28"/>
          <w:szCs w:val="28"/>
          <w:lang w:val="en-US" w:eastAsia="zh-CN" w:bidi="ar"/>
        </w:rPr>
        <w:t>年</w:t>
      </w:r>
      <w:r>
        <w:rPr>
          <w:rFonts w:hint="default" w:ascii="Times New Roman" w:hAnsi="Times New Roman" w:eastAsia="仿宋_GB2312" w:cs="Times New Roman"/>
          <w:b w:val="0"/>
          <w:bCs w:val="0"/>
          <w:kern w:val="2"/>
          <w:sz w:val="28"/>
          <w:szCs w:val="28"/>
          <w:lang w:val="en-US" w:eastAsia="zh-CN" w:bidi="ar"/>
        </w:rPr>
        <w:t>10</w:t>
      </w:r>
      <w:r>
        <w:rPr>
          <w:rFonts w:hint="eastAsia" w:ascii="仿宋_GB2312" w:hAnsi="Times New Roman" w:eastAsia="仿宋_GB2312" w:cs="仿宋_GB2312"/>
          <w:b w:val="0"/>
          <w:bCs w:val="0"/>
          <w:kern w:val="2"/>
          <w:sz w:val="28"/>
          <w:szCs w:val="28"/>
          <w:lang w:val="en-US" w:eastAsia="zh-CN" w:bidi="ar"/>
        </w:rPr>
        <w:t>月</w:t>
      </w:r>
      <w:r>
        <w:rPr>
          <w:rFonts w:hint="default" w:ascii="Times New Roman" w:hAnsi="Times New Roman" w:eastAsia="仿宋_GB2312" w:cs="Times New Roman"/>
          <w:b w:val="0"/>
          <w:bCs w:val="0"/>
          <w:kern w:val="2"/>
          <w:sz w:val="28"/>
          <w:szCs w:val="28"/>
          <w:lang w:val="en-US" w:eastAsia="zh-CN" w:bidi="ar"/>
        </w:rPr>
        <w:t>10</w:t>
      </w:r>
      <w:r>
        <w:rPr>
          <w:rFonts w:hint="eastAsia" w:ascii="仿宋_GB2312" w:hAnsi="Times New Roman" w:eastAsia="仿宋_GB2312" w:cs="仿宋_GB2312"/>
          <w:b w:val="0"/>
          <w:bCs w:val="0"/>
          <w:kern w:val="2"/>
          <w:sz w:val="28"/>
          <w:szCs w:val="28"/>
          <w:lang w:val="en-US" w:eastAsia="zh-CN" w:bidi="ar"/>
        </w:rPr>
        <w:t>日印发</w:t>
      </w:r>
    </w:p>
    <w:p w14:paraId="422DA8B7">
      <w:pPr>
        <w:keepNext w:val="0"/>
        <w:keepLines w:val="0"/>
        <w:widowControl w:val="0"/>
        <w:suppressLineNumbers w:val="0"/>
        <w:autoSpaceDE w:val="0"/>
        <w:autoSpaceDN/>
        <w:spacing w:before="0" w:beforeAutospacing="0" w:after="0" w:afterAutospacing="0" w:line="578" w:lineRule="exact"/>
        <w:ind w:left="0" w:right="0" w:firstLine="640" w:firstLineChars="200"/>
        <w:jc w:val="both"/>
        <w:rPr>
          <w:rFonts w:hint="default" w:ascii="Times New Roman" w:hAnsi="Times New Roman" w:eastAsia="仿宋_GB2312" w:cs="Times New Roman"/>
          <w:kern w:val="2"/>
          <w:sz w:val="32"/>
          <w:szCs w:val="32"/>
        </w:rPr>
      </w:pPr>
      <w:r>
        <w:rPr>
          <w:rFonts w:hint="eastAsia" w:ascii="仿宋_GB2312" w:hAnsi="Times New Roman" w:eastAsia="仿宋_GB2312" w:cs="仿宋_GB2312"/>
          <w:color w:val="000000"/>
          <w:kern w:val="0"/>
          <w:sz w:val="32"/>
          <w:szCs w:val="32"/>
          <w:shd w:val="clear" w:fill="FFFFFF"/>
          <w:lang w:val="en-US" w:eastAsia="zh-CN" w:bidi="ar"/>
        </w:rPr>
        <w:t>附表：部门整体支出绩效目标完成情况自评表</w:t>
      </w:r>
    </w:p>
    <w:tbl>
      <w:tblPr>
        <w:tblStyle w:val="15"/>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02"/>
        <w:gridCol w:w="1340"/>
        <w:gridCol w:w="1266"/>
        <w:gridCol w:w="1094"/>
        <w:gridCol w:w="1139"/>
        <w:gridCol w:w="1282"/>
        <w:gridCol w:w="1052"/>
        <w:gridCol w:w="921"/>
        <w:gridCol w:w="1108"/>
        <w:gridCol w:w="49"/>
      </w:tblGrid>
      <w:tr w14:paraId="197E7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atLeast"/>
          <w:jc w:val="center"/>
        </w:trPr>
        <w:tc>
          <w:tcPr>
            <w:tcW w:w="10560" w:type="dxa"/>
            <w:gridSpan w:val="10"/>
            <w:tcBorders>
              <w:top w:val="nil"/>
              <w:left w:val="nil"/>
              <w:bottom w:val="nil"/>
              <w:right w:val="nil"/>
            </w:tcBorders>
            <w:shd w:val="clear" w:color="auto" w:fill="auto"/>
            <w:vAlign w:val="center"/>
          </w:tcPr>
          <w:p w14:paraId="48628DD9">
            <w:pPr>
              <w:keepNext w:val="0"/>
              <w:keepLines w:val="0"/>
              <w:widowControl/>
              <w:suppressLineNumbers w:val="0"/>
              <w:autoSpaceDE w:val="0"/>
              <w:autoSpaceDN/>
              <w:spacing w:before="0" w:beforeAutospacing="0" w:after="0" w:afterAutospacing="0" w:line="600" w:lineRule="exact"/>
              <w:ind w:left="0" w:right="0"/>
              <w:jc w:val="center"/>
              <w:textAlignment w:val="center"/>
              <w:rPr>
                <w:rFonts w:hint="default" w:ascii="Times New Roman" w:hAnsi="Times New Roman" w:eastAsia="黑体" w:cs="Times New Roman"/>
                <w:i w:val="0"/>
                <w:color w:val="000000"/>
                <w:kern w:val="2"/>
                <w:sz w:val="28"/>
                <w:szCs w:val="28"/>
              </w:rPr>
            </w:pPr>
            <w:r>
              <w:rPr>
                <w:rFonts w:hint="eastAsia" w:ascii="微软雅黑" w:hAnsi="微软雅黑" w:eastAsia="微软雅黑" w:cs="微软雅黑"/>
                <w:i w:val="0"/>
                <w:color w:val="000000"/>
                <w:kern w:val="0"/>
                <w:sz w:val="44"/>
                <w:szCs w:val="44"/>
                <w:lang w:val="en-US" w:eastAsia="zh-CN" w:bidi="ar"/>
              </w:rPr>
              <w:t>部门整体支出绩效目标完成情况自评表</w:t>
            </w:r>
          </w:p>
        </w:tc>
      </w:tr>
      <w:tr w14:paraId="63302B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vAlign w:val="center"/>
          </w:tcPr>
          <w:p w14:paraId="2B9AD04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8"/>
                <w:szCs w:val="28"/>
              </w:rPr>
            </w:pPr>
            <w:r>
              <w:rPr>
                <w:rFonts w:hint="eastAsia" w:ascii="宋体" w:hAnsi="宋体" w:eastAsia="宋体" w:cs="宋体"/>
                <w:i w:val="0"/>
                <w:color w:val="000000"/>
                <w:kern w:val="0"/>
                <w:sz w:val="28"/>
                <w:szCs w:val="28"/>
                <w:lang w:val="en-US" w:eastAsia="zh-CN" w:bidi="ar"/>
              </w:rPr>
              <w:t>（</w:t>
            </w:r>
            <w:r>
              <w:rPr>
                <w:rFonts w:hint="default" w:ascii="Times New Roman" w:hAnsi="Times New Roman" w:eastAsia="宋体" w:cs="Times New Roman"/>
                <w:i w:val="0"/>
                <w:color w:val="000000"/>
                <w:kern w:val="0"/>
                <w:sz w:val="28"/>
                <w:szCs w:val="28"/>
                <w:lang w:val="en-US" w:eastAsia="zh-CN" w:bidi="ar"/>
              </w:rPr>
              <w:t>2025</w:t>
            </w:r>
            <w:r>
              <w:rPr>
                <w:rFonts w:hint="eastAsia" w:ascii="宋体" w:hAnsi="宋体" w:eastAsia="宋体" w:cs="宋体"/>
                <w:i w:val="0"/>
                <w:color w:val="000000"/>
                <w:kern w:val="0"/>
                <w:sz w:val="28"/>
                <w:szCs w:val="28"/>
                <w:lang w:val="en-US" w:eastAsia="zh-CN" w:bidi="ar"/>
              </w:rPr>
              <w:t>年度）</w:t>
            </w:r>
          </w:p>
        </w:tc>
      </w:tr>
      <w:tr w14:paraId="75710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vAlign w:val="center"/>
          </w:tcPr>
          <w:p w14:paraId="3DDE1927">
            <w:pPr>
              <w:keepNext w:val="0"/>
              <w:keepLines w:val="0"/>
              <w:widowControl/>
              <w:suppressLineNumbers w:val="0"/>
              <w:autoSpaceDE w:val="0"/>
              <w:autoSpaceDN/>
              <w:spacing w:before="0" w:beforeAutospacing="0" w:after="0" w:afterAutospacing="0" w:line="300" w:lineRule="exact"/>
              <w:ind w:left="0" w:right="0"/>
              <w:jc w:val="right"/>
              <w:textAlignment w:val="center"/>
              <w:rPr>
                <w:rFonts w:hint="default" w:ascii="Times New Roman" w:hAnsi="Times New Roman" w:eastAsia="宋体" w:cs="Times New Roman"/>
                <w:i w:val="0"/>
                <w:color w:val="000000"/>
                <w:kern w:val="2"/>
                <w:sz w:val="21"/>
                <w:szCs w:val="21"/>
              </w:rPr>
            </w:pPr>
            <w:r>
              <w:rPr>
                <w:rFonts w:hint="eastAsia" w:ascii="宋体" w:hAnsi="宋体" w:eastAsia="宋体" w:cs="宋体"/>
                <w:i w:val="0"/>
                <w:color w:val="000000"/>
                <w:kern w:val="0"/>
                <w:sz w:val="21"/>
                <w:szCs w:val="21"/>
                <w:lang w:val="en-US" w:eastAsia="zh-CN" w:bidi="ar"/>
              </w:rPr>
              <w:t>单位：万元</w:t>
            </w:r>
          </w:p>
        </w:tc>
      </w:tr>
      <w:tr w14:paraId="36A6E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39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E2200B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部门名称</w:t>
            </w:r>
          </w:p>
        </w:tc>
        <w:tc>
          <w:tcPr>
            <w:tcW w:w="6631" w:type="dxa"/>
            <w:gridSpan w:val="7"/>
            <w:tcBorders>
              <w:top w:val="single" w:color="000000" w:sz="4" w:space="0"/>
              <w:left w:val="nil"/>
              <w:bottom w:val="single" w:color="000000" w:sz="4" w:space="0"/>
              <w:right w:val="single" w:color="000000" w:sz="4" w:space="0"/>
            </w:tcBorders>
            <w:shd w:val="clear" w:color="auto" w:fill="auto"/>
            <w:vAlign w:val="center"/>
          </w:tcPr>
          <w:p w14:paraId="4D726F86">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中共松潘县委党校本级</w:t>
            </w:r>
          </w:p>
        </w:tc>
      </w:tr>
      <w:tr w14:paraId="461FC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nil"/>
              <w:left w:val="single" w:color="000000" w:sz="4" w:space="0"/>
              <w:bottom w:val="single" w:color="000000" w:sz="4" w:space="0"/>
              <w:right w:val="single" w:color="000000" w:sz="4" w:space="0"/>
            </w:tcBorders>
            <w:shd w:val="clear" w:color="auto" w:fill="auto"/>
            <w:vAlign w:val="center"/>
          </w:tcPr>
          <w:p w14:paraId="23D683DD">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年度部门整体支出预算</w:t>
            </w: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0D744DE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资金总额</w:t>
            </w:r>
          </w:p>
        </w:tc>
        <w:tc>
          <w:tcPr>
            <w:tcW w:w="2244" w:type="dxa"/>
            <w:gridSpan w:val="2"/>
            <w:tcBorders>
              <w:top w:val="single" w:color="000000" w:sz="4" w:space="0"/>
              <w:left w:val="nil"/>
              <w:bottom w:val="single" w:color="000000" w:sz="4" w:space="0"/>
              <w:right w:val="single" w:color="000000" w:sz="4" w:space="0"/>
            </w:tcBorders>
            <w:shd w:val="clear" w:color="auto" w:fill="auto"/>
            <w:vAlign w:val="center"/>
          </w:tcPr>
          <w:p w14:paraId="3991A02D">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财政拨款</w:t>
            </w:r>
          </w:p>
        </w:tc>
        <w:tc>
          <w:tcPr>
            <w:tcW w:w="4387" w:type="dxa"/>
            <w:gridSpan w:val="4"/>
            <w:tcBorders>
              <w:top w:val="single" w:color="000000" w:sz="4" w:space="0"/>
              <w:left w:val="nil"/>
              <w:bottom w:val="single" w:color="000000" w:sz="4" w:space="0"/>
              <w:right w:val="single" w:color="000000" w:sz="4" w:space="0"/>
            </w:tcBorders>
            <w:shd w:val="clear" w:color="auto" w:fill="auto"/>
            <w:vAlign w:val="center"/>
          </w:tcPr>
          <w:p w14:paraId="2A9AC1C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其他资金</w:t>
            </w:r>
          </w:p>
        </w:tc>
        <w:tc>
          <w:tcPr>
            <w:tcW w:w="0" w:type="auto"/>
            <w:shd w:val="clear" w:color="auto" w:fill="auto"/>
            <w:vAlign w:val="center"/>
          </w:tcPr>
          <w:p w14:paraId="0C66671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47D17D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000000" w:sz="4" w:space="0"/>
              <w:right w:val="single" w:color="000000" w:sz="4" w:space="0"/>
            </w:tcBorders>
            <w:shd w:val="clear" w:color="auto" w:fill="auto"/>
            <w:vAlign w:val="center"/>
          </w:tcPr>
          <w:p w14:paraId="1422D1A8">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4AC1C92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0"/>
                <w:sz w:val="24"/>
                <w:szCs w:val="24"/>
                <w:lang w:val="en-US" w:eastAsia="zh-CN" w:bidi="ar"/>
              </w:rPr>
              <w:t>334.53</w:t>
            </w:r>
          </w:p>
        </w:tc>
        <w:tc>
          <w:tcPr>
            <w:tcW w:w="2244" w:type="dxa"/>
            <w:gridSpan w:val="2"/>
            <w:tcBorders>
              <w:top w:val="single" w:color="000000" w:sz="4" w:space="0"/>
              <w:left w:val="nil"/>
              <w:bottom w:val="single" w:color="000000" w:sz="4" w:space="0"/>
              <w:right w:val="single" w:color="000000" w:sz="4" w:space="0"/>
            </w:tcBorders>
            <w:shd w:val="clear" w:color="auto" w:fill="auto"/>
            <w:vAlign w:val="center"/>
          </w:tcPr>
          <w:p w14:paraId="68E21C5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0"/>
                <w:sz w:val="24"/>
                <w:szCs w:val="24"/>
                <w:lang w:val="en-US" w:eastAsia="zh-CN" w:bidi="ar"/>
              </w:rPr>
              <w:t>324</w:t>
            </w:r>
          </w:p>
        </w:tc>
        <w:tc>
          <w:tcPr>
            <w:tcW w:w="4387" w:type="dxa"/>
            <w:gridSpan w:val="4"/>
            <w:tcBorders>
              <w:top w:val="single" w:color="000000" w:sz="4" w:space="0"/>
              <w:left w:val="nil"/>
              <w:bottom w:val="single" w:color="000000" w:sz="4" w:space="0"/>
              <w:right w:val="single" w:color="000000" w:sz="4" w:space="0"/>
            </w:tcBorders>
            <w:shd w:val="clear" w:color="auto" w:fill="auto"/>
            <w:vAlign w:val="center"/>
          </w:tcPr>
          <w:p w14:paraId="4B997F1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default" w:ascii="Times New Roman" w:hAnsi="Times New Roman" w:eastAsia="宋体" w:cs="Times New Roman"/>
                <w:i w:val="0"/>
                <w:color w:val="000000"/>
                <w:kern w:val="0"/>
                <w:sz w:val="24"/>
                <w:szCs w:val="24"/>
                <w:lang w:val="en-US" w:eastAsia="zh-CN" w:bidi="ar"/>
              </w:rPr>
              <w:t>10.53</w:t>
            </w:r>
          </w:p>
        </w:tc>
        <w:tc>
          <w:tcPr>
            <w:tcW w:w="0" w:type="auto"/>
            <w:shd w:val="clear" w:color="auto" w:fill="auto"/>
            <w:vAlign w:val="center"/>
          </w:tcPr>
          <w:p w14:paraId="20C301A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18613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single" w:color="000000" w:sz="4" w:space="0"/>
              <w:left w:val="single" w:color="000000" w:sz="4" w:space="0"/>
              <w:bottom w:val="single" w:color="auto" w:sz="4" w:space="0"/>
              <w:right w:val="single" w:color="000000" w:sz="4" w:space="0"/>
            </w:tcBorders>
            <w:shd w:val="clear" w:color="auto" w:fill="auto"/>
            <w:vAlign w:val="center"/>
          </w:tcPr>
          <w:p w14:paraId="70E3C0B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年度总体</w:t>
            </w:r>
          </w:p>
          <w:p w14:paraId="3CED9A4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目标</w:t>
            </w:r>
          </w:p>
        </w:tc>
        <w:tc>
          <w:tcPr>
            <w:tcW w:w="9251" w:type="dxa"/>
            <w:gridSpan w:val="9"/>
            <w:tcBorders>
              <w:top w:val="single" w:color="000000" w:sz="4" w:space="0"/>
              <w:left w:val="nil"/>
              <w:bottom w:val="single" w:color="000000" w:sz="4" w:space="0"/>
              <w:right w:val="single" w:color="000000" w:sz="4" w:space="0"/>
            </w:tcBorders>
            <w:shd w:val="clear" w:color="auto" w:fill="auto"/>
            <w:vAlign w:val="center"/>
          </w:tcPr>
          <w:p w14:paraId="5CD150DA">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用严实的培训强化党员干部党性修养和理论素养，努力提升办学能力，做好宣讲教学科研工作。严格按照财经纪律及资金使用管理办法使用</w:t>
            </w:r>
            <w:r>
              <w:rPr>
                <w:rFonts w:hint="eastAsia" w:ascii="宋体" w:hAnsi="宋体" w:cs="宋体"/>
                <w:i w:val="0"/>
                <w:color w:val="000000"/>
                <w:kern w:val="0"/>
                <w:sz w:val="24"/>
                <w:szCs w:val="24"/>
                <w:lang w:val="en-US" w:eastAsia="zh-CN" w:bidi="ar"/>
              </w:rPr>
              <w:t>，</w:t>
            </w:r>
            <w:r>
              <w:rPr>
                <w:rFonts w:hint="eastAsia" w:ascii="宋体" w:hAnsi="宋体" w:eastAsia="宋体" w:cs="宋体"/>
                <w:i w:val="0"/>
                <w:color w:val="000000"/>
                <w:kern w:val="0"/>
                <w:sz w:val="24"/>
                <w:szCs w:val="24"/>
                <w:lang w:val="en-US" w:eastAsia="zh-CN" w:bidi="ar"/>
              </w:rPr>
              <w:t>确保专款专用</w:t>
            </w:r>
            <w:r>
              <w:rPr>
                <w:rFonts w:hint="eastAsia" w:ascii="宋体" w:hAnsi="宋体" w:cs="宋体"/>
                <w:i w:val="0"/>
                <w:color w:val="000000"/>
                <w:kern w:val="0"/>
                <w:sz w:val="24"/>
                <w:szCs w:val="24"/>
                <w:lang w:val="en-US" w:eastAsia="zh-CN" w:bidi="ar"/>
              </w:rPr>
              <w:t>，</w:t>
            </w:r>
            <w:r>
              <w:rPr>
                <w:rFonts w:hint="eastAsia" w:ascii="宋体" w:hAnsi="宋体" w:eastAsia="宋体" w:cs="宋体"/>
                <w:i w:val="0"/>
                <w:color w:val="000000"/>
                <w:kern w:val="0"/>
                <w:sz w:val="24"/>
                <w:szCs w:val="24"/>
                <w:lang w:val="en-US" w:eastAsia="zh-CN" w:bidi="ar"/>
              </w:rPr>
              <w:t>保证资金使用率达到</w:t>
            </w:r>
            <w:r>
              <w:rPr>
                <w:rFonts w:hint="default" w:ascii="Times New Roman" w:hAnsi="Times New Roman" w:eastAsia="宋体" w:cs="Times New Roman"/>
                <w:i w:val="0"/>
                <w:color w:val="000000"/>
                <w:kern w:val="0"/>
                <w:sz w:val="24"/>
                <w:szCs w:val="24"/>
                <w:lang w:val="en-US" w:eastAsia="zh-CN" w:bidi="ar"/>
              </w:rPr>
              <w:t>100%</w:t>
            </w:r>
            <w:r>
              <w:rPr>
                <w:rFonts w:hint="eastAsia" w:cs="Times New Roman"/>
                <w:i w:val="0"/>
                <w:color w:val="000000"/>
                <w:kern w:val="0"/>
                <w:sz w:val="24"/>
                <w:szCs w:val="24"/>
                <w:lang w:val="en-US" w:eastAsia="zh-CN" w:bidi="ar"/>
              </w:rPr>
              <w:t>，</w:t>
            </w:r>
            <w:r>
              <w:rPr>
                <w:rFonts w:hint="eastAsia" w:ascii="宋体" w:hAnsi="宋体" w:eastAsia="宋体" w:cs="宋体"/>
                <w:i w:val="0"/>
                <w:color w:val="000000"/>
                <w:kern w:val="0"/>
                <w:sz w:val="24"/>
                <w:szCs w:val="24"/>
                <w:lang w:val="en-US" w:eastAsia="zh-CN" w:bidi="ar"/>
              </w:rPr>
              <w:t>圆满完成本单位各项年度预算绩效目标任务。</w:t>
            </w:r>
          </w:p>
        </w:tc>
      </w:tr>
      <w:tr w14:paraId="365BC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nil"/>
              <w:left w:val="single" w:color="auto" w:sz="4" w:space="0"/>
              <w:bottom w:val="nil"/>
              <w:right w:val="single" w:color="auto" w:sz="4" w:space="0"/>
            </w:tcBorders>
            <w:shd w:val="clear" w:color="auto" w:fill="auto"/>
            <w:vAlign w:val="center"/>
          </w:tcPr>
          <w:p w14:paraId="51FEC7F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年度主要</w:t>
            </w:r>
          </w:p>
          <w:p w14:paraId="0BBBDD8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任务</w:t>
            </w: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394B214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任务名称</w:t>
            </w:r>
          </w:p>
        </w:tc>
        <w:tc>
          <w:tcPr>
            <w:tcW w:w="6631" w:type="dxa"/>
            <w:gridSpan w:val="7"/>
            <w:tcBorders>
              <w:top w:val="single" w:color="000000" w:sz="4" w:space="0"/>
              <w:left w:val="nil"/>
              <w:bottom w:val="single" w:color="000000" w:sz="4" w:space="0"/>
              <w:right w:val="single" w:color="000000" w:sz="4" w:space="0"/>
            </w:tcBorders>
            <w:shd w:val="clear" w:color="auto" w:fill="auto"/>
            <w:vAlign w:val="center"/>
          </w:tcPr>
          <w:p w14:paraId="326B008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主要内容</w:t>
            </w:r>
          </w:p>
        </w:tc>
      </w:tr>
      <w:tr w14:paraId="73A2FE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auto" w:sz="4" w:space="0"/>
              <w:bottom w:val="nil"/>
              <w:right w:val="single" w:color="auto" w:sz="4" w:space="0"/>
            </w:tcBorders>
            <w:shd w:val="clear" w:color="auto" w:fill="auto"/>
            <w:vAlign w:val="center"/>
          </w:tcPr>
          <w:p w14:paraId="0C46C3C4">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2DF0BA90">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全年度主体班培训</w:t>
            </w:r>
          </w:p>
        </w:tc>
        <w:tc>
          <w:tcPr>
            <w:tcW w:w="6631" w:type="dxa"/>
            <w:gridSpan w:val="7"/>
            <w:tcBorders>
              <w:top w:val="single" w:color="000000" w:sz="4" w:space="0"/>
              <w:left w:val="nil"/>
              <w:bottom w:val="single" w:color="000000" w:sz="4" w:space="0"/>
              <w:right w:val="single" w:color="000000" w:sz="4" w:space="0"/>
            </w:tcBorders>
            <w:shd w:val="clear" w:color="auto" w:fill="auto"/>
            <w:vAlign w:val="center"/>
          </w:tcPr>
          <w:p w14:paraId="081ACBAB">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村、社</w:t>
            </w:r>
            <w:r>
              <w:rPr>
                <w:rFonts w:hint="eastAsia" w:ascii="宋体" w:hAnsi="宋体" w:cs="宋体"/>
                <w:i w:val="0"/>
                <w:color w:val="000000"/>
                <w:kern w:val="0"/>
                <w:sz w:val="24"/>
                <w:szCs w:val="24"/>
                <w:lang w:val="en-US" w:eastAsia="zh-CN" w:bidi="ar"/>
              </w:rPr>
              <w:t>区党</w:t>
            </w:r>
            <w:r>
              <w:rPr>
                <w:rFonts w:hint="eastAsia" w:ascii="宋体" w:hAnsi="宋体" w:eastAsia="宋体" w:cs="宋体"/>
                <w:i w:val="0"/>
                <w:color w:val="000000"/>
                <w:kern w:val="0"/>
                <w:sz w:val="24"/>
                <w:szCs w:val="24"/>
                <w:lang w:val="en-US" w:eastAsia="zh-CN" w:bidi="ar"/>
              </w:rPr>
              <w:t>支部书记、党务干部、入党积极分子等主体班培训</w:t>
            </w:r>
          </w:p>
        </w:tc>
      </w:tr>
      <w:tr w14:paraId="0A4F4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auto" w:sz="4" w:space="0"/>
              <w:bottom w:val="nil"/>
              <w:right w:val="single" w:color="auto" w:sz="4" w:space="0"/>
            </w:tcBorders>
            <w:shd w:val="clear" w:color="auto" w:fill="auto"/>
            <w:vAlign w:val="center"/>
          </w:tcPr>
          <w:p w14:paraId="6000254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13E76E83">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科研资政及课题调研</w:t>
            </w:r>
          </w:p>
        </w:tc>
        <w:tc>
          <w:tcPr>
            <w:tcW w:w="6631" w:type="dxa"/>
            <w:gridSpan w:val="7"/>
            <w:tcBorders>
              <w:top w:val="single" w:color="000000" w:sz="4" w:space="0"/>
              <w:left w:val="nil"/>
              <w:bottom w:val="single" w:color="000000" w:sz="4" w:space="0"/>
              <w:right w:val="single" w:color="000000" w:sz="4" w:space="0"/>
            </w:tcBorders>
            <w:shd w:val="clear" w:color="auto" w:fill="auto"/>
            <w:vAlign w:val="center"/>
          </w:tcPr>
          <w:p w14:paraId="2A178DEC">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省、州、县科研资政及课题调研</w:t>
            </w:r>
          </w:p>
        </w:tc>
      </w:tr>
      <w:tr w14:paraId="0ED1C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tcBorders>
              <w:top w:val="nil"/>
              <w:left w:val="single" w:color="auto" w:sz="4" w:space="0"/>
              <w:bottom w:val="single" w:color="auto" w:sz="4" w:space="0"/>
              <w:right w:val="single" w:color="auto" w:sz="4" w:space="0"/>
            </w:tcBorders>
            <w:shd w:val="clear" w:color="auto" w:fill="auto"/>
            <w:vAlign w:val="center"/>
          </w:tcPr>
          <w:p w14:paraId="30D9C23B">
            <w:pPr>
              <w:keepNext w:val="0"/>
              <w:keepLines w:val="0"/>
              <w:widowControl/>
              <w:suppressLineNumbers w:val="0"/>
              <w:autoSpaceDE w:val="0"/>
              <w:autoSpaceDN/>
              <w:spacing w:before="0" w:beforeAutospacing="0" w:after="0" w:afterAutospacing="0" w:line="300" w:lineRule="exact"/>
              <w:ind w:left="0" w:right="0"/>
              <w:jc w:val="center"/>
              <w:rPr>
                <w:rFonts w:hint="default" w:ascii="Times New Roman" w:hAnsi="Times New Roman" w:eastAsia="宋体" w:cs="Times New Roman"/>
                <w:i w:val="0"/>
                <w:color w:val="000000"/>
                <w:kern w:val="2"/>
                <w:sz w:val="24"/>
                <w:szCs w:val="24"/>
              </w:rPr>
            </w:pPr>
          </w:p>
        </w:tc>
        <w:tc>
          <w:tcPr>
            <w:tcW w:w="2620" w:type="dxa"/>
            <w:gridSpan w:val="2"/>
            <w:tcBorders>
              <w:top w:val="single" w:color="000000" w:sz="4" w:space="0"/>
              <w:left w:val="nil"/>
              <w:bottom w:val="single" w:color="000000" w:sz="4" w:space="0"/>
              <w:right w:val="single" w:color="000000" w:sz="4" w:space="0"/>
            </w:tcBorders>
            <w:shd w:val="clear" w:color="auto" w:fill="auto"/>
            <w:vAlign w:val="center"/>
          </w:tcPr>
          <w:p w14:paraId="383906C8">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宣讲</w:t>
            </w:r>
          </w:p>
        </w:tc>
        <w:tc>
          <w:tcPr>
            <w:tcW w:w="6631" w:type="dxa"/>
            <w:gridSpan w:val="7"/>
            <w:tcBorders>
              <w:top w:val="single" w:color="000000" w:sz="4" w:space="0"/>
              <w:left w:val="nil"/>
              <w:bottom w:val="single" w:color="000000" w:sz="4" w:space="0"/>
              <w:right w:val="single" w:color="000000" w:sz="4" w:space="0"/>
            </w:tcBorders>
            <w:shd w:val="clear" w:color="auto" w:fill="auto"/>
            <w:vAlign w:val="center"/>
          </w:tcPr>
          <w:p w14:paraId="67FE4242">
            <w:pPr>
              <w:keepNext w:val="0"/>
              <w:keepLines w:val="0"/>
              <w:widowControl/>
              <w:suppressLineNumbers w:val="0"/>
              <w:autoSpaceDE w:val="0"/>
              <w:autoSpaceDN/>
              <w:spacing w:before="0" w:beforeAutospacing="0" w:after="0" w:afterAutospacing="0" w:line="300" w:lineRule="exact"/>
              <w:ind w:left="0" w:right="0"/>
              <w:jc w:val="left"/>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中央、省、州、县全会精神及其他重要会议精神宣讲</w:t>
            </w:r>
          </w:p>
        </w:tc>
      </w:tr>
      <w:tr w14:paraId="7CFB3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restart"/>
            <w:tcBorders>
              <w:top w:val="nil"/>
              <w:left w:val="single" w:color="000000" w:sz="4" w:space="0"/>
              <w:bottom w:val="single" w:color="auto" w:sz="4" w:space="0"/>
              <w:right w:val="single" w:color="000000" w:sz="4" w:space="0"/>
            </w:tcBorders>
            <w:shd w:val="clear" w:color="auto" w:fill="auto"/>
            <w:vAlign w:val="center"/>
          </w:tcPr>
          <w:p w14:paraId="675327B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年度绩效</w:t>
            </w:r>
          </w:p>
          <w:p w14:paraId="5A8FBFF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指标</w:t>
            </w:r>
          </w:p>
        </w:tc>
        <w:tc>
          <w:tcPr>
            <w:tcW w:w="1347" w:type="dxa"/>
            <w:tcBorders>
              <w:top w:val="single" w:color="000000" w:sz="4" w:space="0"/>
              <w:left w:val="nil"/>
              <w:bottom w:val="single" w:color="000000" w:sz="4" w:space="0"/>
              <w:right w:val="single" w:color="000000" w:sz="4" w:space="0"/>
            </w:tcBorders>
            <w:shd w:val="clear" w:color="auto" w:fill="auto"/>
            <w:vAlign w:val="center"/>
          </w:tcPr>
          <w:p w14:paraId="5568E81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一级指标</w:t>
            </w:r>
          </w:p>
        </w:tc>
        <w:tc>
          <w:tcPr>
            <w:tcW w:w="1273" w:type="dxa"/>
            <w:tcBorders>
              <w:top w:val="single" w:color="000000" w:sz="4" w:space="0"/>
              <w:left w:val="nil"/>
              <w:bottom w:val="single" w:color="000000" w:sz="4" w:space="0"/>
              <w:right w:val="single" w:color="000000" w:sz="4" w:space="0"/>
            </w:tcBorders>
            <w:shd w:val="clear" w:color="auto" w:fill="auto"/>
            <w:vAlign w:val="center"/>
          </w:tcPr>
          <w:p w14:paraId="2E09346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二级指标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4EC1BE2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三级指标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23ECC8B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绩效指标</w:t>
            </w:r>
          </w:p>
          <w:p w14:paraId="1D282EAE">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性质</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11C6565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绩效指标值</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78C0B6F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绩效度量单位</w:t>
            </w:r>
          </w:p>
        </w:tc>
        <w:tc>
          <w:tcPr>
            <w:tcW w:w="926" w:type="dxa"/>
            <w:tcBorders>
              <w:top w:val="single" w:color="000000" w:sz="4" w:space="0"/>
              <w:left w:val="nil"/>
              <w:bottom w:val="single" w:color="000000" w:sz="4" w:space="0"/>
              <w:right w:val="nil"/>
            </w:tcBorders>
            <w:shd w:val="clear" w:color="auto" w:fill="auto"/>
            <w:vAlign w:val="center"/>
          </w:tcPr>
          <w:p w14:paraId="07E2D14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8EC1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实际完成</w:t>
            </w:r>
          </w:p>
          <w:p w14:paraId="7761CDF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指标值</w:t>
            </w:r>
          </w:p>
        </w:tc>
        <w:tc>
          <w:tcPr>
            <w:tcW w:w="0" w:type="auto"/>
            <w:shd w:val="clear" w:color="auto" w:fill="auto"/>
            <w:vAlign w:val="center"/>
          </w:tcPr>
          <w:p w14:paraId="41C7C6C2">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7D798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auto" w:sz="4" w:space="0"/>
              <w:right w:val="single" w:color="000000" w:sz="4" w:space="0"/>
            </w:tcBorders>
            <w:shd w:val="clear" w:color="auto" w:fill="auto"/>
            <w:vAlign w:val="center"/>
          </w:tcPr>
          <w:p w14:paraId="372F703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restart"/>
            <w:tcBorders>
              <w:top w:val="nil"/>
              <w:left w:val="nil"/>
              <w:bottom w:val="single" w:color="000000" w:sz="4" w:space="0"/>
              <w:right w:val="single" w:color="000000" w:sz="4" w:space="0"/>
            </w:tcBorders>
            <w:shd w:val="clear" w:color="auto" w:fill="auto"/>
            <w:vAlign w:val="center"/>
          </w:tcPr>
          <w:p w14:paraId="1D2563D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产出指标</w:t>
            </w:r>
          </w:p>
        </w:tc>
        <w:tc>
          <w:tcPr>
            <w:tcW w:w="1273" w:type="dxa"/>
            <w:tcBorders>
              <w:top w:val="single" w:color="000000" w:sz="4" w:space="0"/>
              <w:left w:val="nil"/>
              <w:bottom w:val="single" w:color="000000" w:sz="4" w:space="0"/>
              <w:right w:val="single" w:color="000000" w:sz="4" w:space="0"/>
            </w:tcBorders>
            <w:shd w:val="clear" w:color="auto" w:fill="auto"/>
            <w:vAlign w:val="center"/>
          </w:tcPr>
          <w:p w14:paraId="1CDFB24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数量指标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11A76B7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课题调研结果有效篇数</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223D5F6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02FAF0C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4</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78262D5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篇</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3B7A260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20</w:t>
            </w:r>
          </w:p>
        </w:tc>
        <w:tc>
          <w:tcPr>
            <w:tcW w:w="1113" w:type="dxa"/>
            <w:tcBorders>
              <w:top w:val="nil"/>
              <w:left w:val="nil"/>
              <w:bottom w:val="single" w:color="000000" w:sz="4" w:space="0"/>
              <w:right w:val="single" w:color="000000" w:sz="4" w:space="0"/>
            </w:tcBorders>
            <w:shd w:val="clear" w:color="auto" w:fill="auto"/>
            <w:vAlign w:val="center"/>
          </w:tcPr>
          <w:p w14:paraId="697FE578">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4</w:t>
            </w:r>
          </w:p>
        </w:tc>
        <w:tc>
          <w:tcPr>
            <w:tcW w:w="0" w:type="auto"/>
            <w:shd w:val="clear" w:color="auto" w:fill="auto"/>
            <w:vAlign w:val="center"/>
          </w:tcPr>
          <w:p w14:paraId="4C36BC0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1D605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auto" w:sz="4" w:space="0"/>
              <w:right w:val="single" w:color="000000" w:sz="4" w:space="0"/>
            </w:tcBorders>
            <w:shd w:val="clear" w:color="auto" w:fill="auto"/>
            <w:vAlign w:val="center"/>
          </w:tcPr>
          <w:p w14:paraId="4033AD4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continue"/>
            <w:tcBorders>
              <w:top w:val="nil"/>
              <w:left w:val="nil"/>
              <w:bottom w:val="single" w:color="000000" w:sz="4" w:space="0"/>
              <w:right w:val="single" w:color="000000" w:sz="4" w:space="0"/>
            </w:tcBorders>
            <w:shd w:val="clear" w:color="auto" w:fill="auto"/>
            <w:vAlign w:val="center"/>
          </w:tcPr>
          <w:p w14:paraId="3D67B4C1">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73" w:type="dxa"/>
            <w:tcBorders>
              <w:top w:val="single" w:color="000000" w:sz="4" w:space="0"/>
              <w:left w:val="nil"/>
              <w:bottom w:val="single" w:color="000000" w:sz="4" w:space="0"/>
              <w:right w:val="single" w:color="000000" w:sz="4" w:space="0"/>
            </w:tcBorders>
            <w:shd w:val="clear" w:color="auto" w:fill="auto"/>
            <w:vAlign w:val="center"/>
          </w:tcPr>
          <w:p w14:paraId="19E4E1D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质量指标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602DAFD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培训通过率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505D61D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3AA4256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90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08604A57">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5AFD564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20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44ED80E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90</w:t>
            </w:r>
          </w:p>
        </w:tc>
        <w:tc>
          <w:tcPr>
            <w:tcW w:w="0" w:type="auto"/>
            <w:shd w:val="clear" w:color="auto" w:fill="auto"/>
            <w:vAlign w:val="center"/>
          </w:tcPr>
          <w:p w14:paraId="6C67DA5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429C0B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auto" w:sz="4" w:space="0"/>
              <w:right w:val="single" w:color="000000" w:sz="4" w:space="0"/>
            </w:tcBorders>
            <w:shd w:val="clear" w:color="auto" w:fill="auto"/>
            <w:vAlign w:val="center"/>
          </w:tcPr>
          <w:p w14:paraId="338DA459">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vMerge w:val="continue"/>
            <w:tcBorders>
              <w:top w:val="nil"/>
              <w:left w:val="nil"/>
              <w:bottom w:val="single" w:color="000000" w:sz="4" w:space="0"/>
              <w:right w:val="single" w:color="000000" w:sz="4" w:space="0"/>
            </w:tcBorders>
            <w:shd w:val="clear" w:color="auto" w:fill="auto"/>
            <w:vAlign w:val="center"/>
          </w:tcPr>
          <w:p w14:paraId="6533270E">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273" w:type="dxa"/>
            <w:tcBorders>
              <w:top w:val="single" w:color="000000" w:sz="4" w:space="0"/>
              <w:left w:val="nil"/>
              <w:bottom w:val="single" w:color="000000" w:sz="4" w:space="0"/>
              <w:right w:val="single" w:color="000000" w:sz="4" w:space="0"/>
            </w:tcBorders>
            <w:shd w:val="clear" w:color="auto" w:fill="auto"/>
            <w:vAlign w:val="center"/>
          </w:tcPr>
          <w:p w14:paraId="6620219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时效指标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4198FE9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服务对象资金拨付率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3A9038F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0B1006B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7FE5CC5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648FB28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1A64C97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0" w:type="auto"/>
            <w:shd w:val="clear" w:color="auto" w:fill="auto"/>
            <w:vAlign w:val="center"/>
          </w:tcPr>
          <w:p w14:paraId="065A4B70">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1E265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auto" w:sz="4" w:space="0"/>
              <w:right w:val="single" w:color="000000" w:sz="4" w:space="0"/>
            </w:tcBorders>
            <w:shd w:val="clear" w:color="auto" w:fill="auto"/>
            <w:vAlign w:val="center"/>
          </w:tcPr>
          <w:p w14:paraId="502290F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tcBorders>
              <w:top w:val="single" w:color="000000" w:sz="4" w:space="0"/>
              <w:left w:val="nil"/>
              <w:bottom w:val="single" w:color="000000" w:sz="4" w:space="0"/>
              <w:right w:val="single" w:color="000000" w:sz="4" w:space="0"/>
            </w:tcBorders>
            <w:shd w:val="clear" w:color="auto" w:fill="auto"/>
            <w:vAlign w:val="center"/>
          </w:tcPr>
          <w:p w14:paraId="5AE4061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效益指标</w:t>
            </w:r>
          </w:p>
        </w:tc>
        <w:tc>
          <w:tcPr>
            <w:tcW w:w="1273" w:type="dxa"/>
            <w:tcBorders>
              <w:top w:val="single" w:color="000000" w:sz="4" w:space="0"/>
              <w:left w:val="nil"/>
              <w:bottom w:val="nil"/>
              <w:right w:val="single" w:color="000000" w:sz="4" w:space="0"/>
            </w:tcBorders>
            <w:shd w:val="clear" w:color="auto" w:fill="auto"/>
            <w:vAlign w:val="center"/>
          </w:tcPr>
          <w:p w14:paraId="48A6D26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社会效益</w:t>
            </w:r>
          </w:p>
          <w:p w14:paraId="58DEB8E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018C1B09">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各级干部能力提升</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72A2951E">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定性</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19247D63">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7392DFA5">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45BEB73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25</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4DF8E4D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0" w:type="auto"/>
            <w:shd w:val="clear" w:color="auto" w:fill="auto"/>
            <w:vAlign w:val="center"/>
          </w:tcPr>
          <w:p w14:paraId="572F2E6F">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r w14:paraId="0E7A0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309" w:type="dxa"/>
            <w:vMerge w:val="continue"/>
            <w:tcBorders>
              <w:top w:val="nil"/>
              <w:left w:val="single" w:color="000000" w:sz="4" w:space="0"/>
              <w:bottom w:val="single" w:color="auto" w:sz="4" w:space="0"/>
              <w:right w:val="single" w:color="000000" w:sz="4" w:space="0"/>
            </w:tcBorders>
            <w:shd w:val="clear" w:color="auto" w:fill="auto"/>
            <w:vAlign w:val="center"/>
          </w:tcPr>
          <w:p w14:paraId="48261663">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c>
          <w:tcPr>
            <w:tcW w:w="1347" w:type="dxa"/>
            <w:tcBorders>
              <w:top w:val="single" w:color="000000" w:sz="4" w:space="0"/>
              <w:left w:val="nil"/>
              <w:bottom w:val="single" w:color="000000" w:sz="4" w:space="0"/>
              <w:right w:val="single" w:color="000000" w:sz="4" w:space="0"/>
            </w:tcBorders>
            <w:shd w:val="clear" w:color="auto" w:fill="auto"/>
            <w:vAlign w:val="center"/>
          </w:tcPr>
          <w:p w14:paraId="3A70731C">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满意度指标</w:t>
            </w:r>
          </w:p>
        </w:tc>
        <w:tc>
          <w:tcPr>
            <w:tcW w:w="1273" w:type="dxa"/>
            <w:tcBorders>
              <w:top w:val="single" w:color="000000" w:sz="4" w:space="0"/>
              <w:left w:val="nil"/>
              <w:bottom w:val="single" w:color="000000" w:sz="4" w:space="0"/>
              <w:right w:val="single" w:color="000000" w:sz="4" w:space="0"/>
            </w:tcBorders>
            <w:shd w:val="clear" w:color="auto" w:fill="auto"/>
            <w:vAlign w:val="center"/>
          </w:tcPr>
          <w:p w14:paraId="35173FC2">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2"/>
                <w:sz w:val="24"/>
                <w:szCs w:val="24"/>
              </w:rPr>
            </w:pPr>
            <w:r>
              <w:rPr>
                <w:rFonts w:hint="eastAsia" w:ascii="宋体" w:hAnsi="宋体" w:eastAsia="宋体" w:cs="宋体"/>
                <w:i w:val="0"/>
                <w:color w:val="000000"/>
                <w:kern w:val="0"/>
                <w:sz w:val="24"/>
                <w:szCs w:val="24"/>
                <w:lang w:val="en-US" w:eastAsia="zh-CN" w:bidi="ar"/>
              </w:rPr>
              <w:t>满意度指标</w:t>
            </w:r>
          </w:p>
        </w:tc>
        <w:tc>
          <w:tcPr>
            <w:tcW w:w="1100" w:type="dxa"/>
            <w:tcBorders>
              <w:top w:val="single" w:color="000000" w:sz="4" w:space="0"/>
              <w:left w:val="nil"/>
              <w:bottom w:val="single" w:color="000000" w:sz="4" w:space="0"/>
              <w:right w:val="single" w:color="000000" w:sz="4" w:space="0"/>
            </w:tcBorders>
            <w:shd w:val="clear" w:color="auto" w:fill="auto"/>
            <w:vAlign w:val="center"/>
          </w:tcPr>
          <w:p w14:paraId="5C1691DE">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服务对象满意度</w:t>
            </w:r>
          </w:p>
        </w:tc>
        <w:tc>
          <w:tcPr>
            <w:tcW w:w="1145" w:type="dxa"/>
            <w:tcBorders>
              <w:top w:val="single" w:color="000000" w:sz="4" w:space="0"/>
              <w:left w:val="nil"/>
              <w:bottom w:val="single" w:color="000000" w:sz="4" w:space="0"/>
              <w:right w:val="single" w:color="000000" w:sz="4" w:space="0"/>
            </w:tcBorders>
            <w:shd w:val="clear" w:color="auto" w:fill="auto"/>
            <w:vAlign w:val="center"/>
          </w:tcPr>
          <w:p w14:paraId="536E903A">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eastAsia" w:ascii="宋体" w:hAnsi="宋体" w:eastAsia="宋体" w:cs="宋体"/>
                <w:i w:val="0"/>
                <w:color w:val="000000"/>
                <w:kern w:val="0"/>
                <w:sz w:val="24"/>
                <w:szCs w:val="24"/>
                <w:lang w:val="en-US" w:eastAsia="zh-CN" w:bidi="ar"/>
              </w:rPr>
              <w:t>＝</w:t>
            </w:r>
          </w:p>
        </w:tc>
        <w:tc>
          <w:tcPr>
            <w:tcW w:w="1289" w:type="dxa"/>
            <w:tcBorders>
              <w:top w:val="single" w:color="000000" w:sz="4" w:space="0"/>
              <w:left w:val="nil"/>
              <w:bottom w:val="single" w:color="000000" w:sz="4" w:space="0"/>
              <w:right w:val="single" w:color="000000" w:sz="4" w:space="0"/>
            </w:tcBorders>
            <w:shd w:val="clear" w:color="auto" w:fill="auto"/>
            <w:vAlign w:val="center"/>
          </w:tcPr>
          <w:p w14:paraId="259EFDB1">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1058" w:type="dxa"/>
            <w:tcBorders>
              <w:top w:val="single" w:color="000000" w:sz="4" w:space="0"/>
              <w:left w:val="nil"/>
              <w:bottom w:val="single" w:color="000000" w:sz="4" w:space="0"/>
              <w:right w:val="single" w:color="000000" w:sz="4" w:space="0"/>
            </w:tcBorders>
            <w:shd w:val="clear" w:color="auto" w:fill="auto"/>
            <w:vAlign w:val="center"/>
          </w:tcPr>
          <w:p w14:paraId="61014D3B">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w:t>
            </w:r>
          </w:p>
        </w:tc>
        <w:tc>
          <w:tcPr>
            <w:tcW w:w="926" w:type="dxa"/>
            <w:tcBorders>
              <w:top w:val="single" w:color="000000" w:sz="4" w:space="0"/>
              <w:left w:val="nil"/>
              <w:bottom w:val="single" w:color="000000" w:sz="4" w:space="0"/>
              <w:right w:val="single" w:color="000000" w:sz="4" w:space="0"/>
            </w:tcBorders>
            <w:shd w:val="clear" w:color="auto" w:fill="auto"/>
            <w:vAlign w:val="center"/>
          </w:tcPr>
          <w:p w14:paraId="51DFDEEF">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w:t>
            </w:r>
          </w:p>
        </w:tc>
        <w:tc>
          <w:tcPr>
            <w:tcW w:w="1113" w:type="dxa"/>
            <w:tcBorders>
              <w:top w:val="single" w:color="000000" w:sz="4" w:space="0"/>
              <w:left w:val="nil"/>
              <w:bottom w:val="single" w:color="000000" w:sz="4" w:space="0"/>
              <w:right w:val="single" w:color="000000" w:sz="4" w:space="0"/>
            </w:tcBorders>
            <w:shd w:val="clear" w:color="auto" w:fill="auto"/>
            <w:vAlign w:val="center"/>
          </w:tcPr>
          <w:p w14:paraId="09EAAB90">
            <w:pPr>
              <w:keepNext w:val="0"/>
              <w:keepLines w:val="0"/>
              <w:widowControl/>
              <w:suppressLineNumbers w:val="0"/>
              <w:autoSpaceDE w:val="0"/>
              <w:autoSpaceDN/>
              <w:spacing w:before="0" w:beforeAutospacing="0" w:after="0" w:afterAutospacing="0" w:line="300" w:lineRule="exact"/>
              <w:ind w:left="0" w:right="0"/>
              <w:jc w:val="center"/>
              <w:textAlignment w:val="center"/>
              <w:rPr>
                <w:rFonts w:hint="default" w:ascii="Times New Roman" w:hAnsi="Times New Roman" w:eastAsia="宋体" w:cs="Times New Roman"/>
                <w:i w:val="0"/>
                <w:color w:val="000000"/>
                <w:kern w:val="0"/>
                <w:sz w:val="24"/>
                <w:szCs w:val="24"/>
              </w:rPr>
            </w:pPr>
            <w:r>
              <w:rPr>
                <w:rFonts w:hint="default" w:ascii="Times New Roman" w:hAnsi="Times New Roman" w:eastAsia="宋体" w:cs="Times New Roman"/>
                <w:i w:val="0"/>
                <w:color w:val="000000"/>
                <w:kern w:val="0"/>
                <w:sz w:val="24"/>
                <w:szCs w:val="24"/>
                <w:lang w:val="en-US" w:eastAsia="zh-CN" w:bidi="ar"/>
              </w:rPr>
              <w:t>100</w:t>
            </w:r>
          </w:p>
        </w:tc>
        <w:tc>
          <w:tcPr>
            <w:tcW w:w="0" w:type="auto"/>
            <w:shd w:val="clear" w:color="auto" w:fill="auto"/>
            <w:vAlign w:val="center"/>
          </w:tcPr>
          <w:p w14:paraId="2A7CCC9C">
            <w:pPr>
              <w:keepNext w:val="0"/>
              <w:keepLines w:val="0"/>
              <w:suppressLineNumbers w:val="0"/>
              <w:spacing w:before="0" w:beforeAutospacing="0" w:after="0" w:afterAutospacing="0"/>
              <w:ind w:left="0" w:right="0"/>
              <w:rPr>
                <w:rFonts w:hint="default" w:ascii="Times New Roman" w:hAnsi="Times New Roman" w:cs="Times New Roman"/>
                <w:sz w:val="20"/>
                <w:szCs w:val="20"/>
              </w:rPr>
            </w:pPr>
          </w:p>
        </w:tc>
      </w:tr>
    </w:tbl>
    <w:p w14:paraId="14B4A4F1">
      <w:pPr>
        <w:keepNext w:val="0"/>
        <w:keepLines w:val="0"/>
        <w:widowControl w:val="0"/>
        <w:suppressLineNumbers w:val="0"/>
        <w:spacing w:before="0" w:beforeAutospacing="0" w:after="120" w:afterAutospacing="0"/>
        <w:ind w:left="0" w:leftChars="0" w:right="0" w:firstLine="0" w:firstLineChars="0"/>
        <w:jc w:val="both"/>
        <w:rPr>
          <w:rFonts w:hint="default" w:ascii="Times New Roman" w:hAnsi="Times New Roman" w:eastAsia="黑体" w:cs="Times New Roman"/>
          <w:kern w:val="2"/>
          <w:sz w:val="24"/>
          <w:szCs w:val="24"/>
        </w:rPr>
      </w:pPr>
      <w:r>
        <w:rPr>
          <w:rFonts w:hint="default" w:ascii="Times New Roman" w:hAnsi="Times New Roman" w:eastAsia="黑体" w:cs="Times New Roman"/>
          <w:kern w:val="2"/>
          <w:sz w:val="24"/>
          <w:szCs w:val="24"/>
          <w:lang w:val="en-US" w:eastAsia="zh-CN" w:bidi="ar"/>
        </w:rPr>
        <w:t xml:space="preserve"> </w:t>
      </w:r>
    </w:p>
    <w:p w14:paraId="6929E5EE">
      <w:pPr>
        <w:keepNext w:val="0"/>
        <w:keepLines w:val="0"/>
        <w:widowControl w:val="0"/>
        <w:suppressLineNumbers w:val="0"/>
        <w:autoSpaceDE w:val="0"/>
        <w:autoSpaceDN/>
        <w:spacing w:before="0" w:beforeAutospacing="0" w:after="0" w:afterAutospacing="0" w:line="576" w:lineRule="exact"/>
        <w:ind w:left="0" w:right="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 xml:space="preserve"> </w:t>
      </w:r>
    </w:p>
    <w:p w14:paraId="3B9C0ADE">
      <w:pPr>
        <w:keepNext w:val="0"/>
        <w:keepLines w:val="0"/>
        <w:widowControl w:val="0"/>
        <w:suppressLineNumbers w:val="0"/>
        <w:autoSpaceDE w:val="0"/>
        <w:autoSpaceDN/>
        <w:spacing w:before="0" w:beforeAutospacing="0" w:after="0" w:afterAutospacing="0" w:line="576" w:lineRule="exact"/>
        <w:ind w:left="0" w:right="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 xml:space="preserve"> </w:t>
      </w:r>
    </w:p>
    <w:p w14:paraId="111FC5C1">
      <w:pPr>
        <w:keepNext w:val="0"/>
        <w:keepLines w:val="0"/>
        <w:widowControl w:val="0"/>
        <w:suppressLineNumbers w:val="0"/>
        <w:autoSpaceDE w:val="0"/>
        <w:autoSpaceDN/>
        <w:spacing w:before="0" w:beforeAutospacing="0" w:after="0" w:afterAutospacing="0" w:line="576" w:lineRule="exact"/>
        <w:ind w:left="0" w:right="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 xml:space="preserve"> </w:t>
      </w:r>
    </w:p>
    <w:p w14:paraId="1BCE75ED">
      <w:pPr>
        <w:keepNext w:val="0"/>
        <w:keepLines w:val="0"/>
        <w:widowControl w:val="0"/>
        <w:suppressLineNumbers w:val="0"/>
        <w:autoSpaceDE w:val="0"/>
        <w:autoSpaceDN/>
        <w:spacing w:before="0" w:beforeAutospacing="0" w:after="0" w:afterAutospacing="0" w:line="576" w:lineRule="exact"/>
        <w:ind w:left="0" w:right="0"/>
        <w:jc w:val="both"/>
        <w:rPr>
          <w:rFonts w:hint="eastAsia" w:ascii="黑体" w:hAnsi="宋体" w:eastAsia="黑体" w:cs="黑体"/>
          <w:kern w:val="2"/>
          <w:sz w:val="32"/>
          <w:szCs w:val="32"/>
        </w:rPr>
      </w:pPr>
      <w:r>
        <w:rPr>
          <w:rFonts w:hint="eastAsia" w:ascii="黑体" w:hAnsi="宋体" w:eastAsia="黑体" w:cs="黑体"/>
          <w:kern w:val="2"/>
          <w:sz w:val="32"/>
          <w:szCs w:val="32"/>
          <w:lang w:val="en-US" w:eastAsia="zh-CN" w:bidi="ar"/>
        </w:rPr>
        <w:t xml:space="preserve"> </w:t>
      </w:r>
    </w:p>
    <w:p w14:paraId="4B0C9B2E">
      <w:pPr>
        <w:keepNext w:val="0"/>
        <w:keepLines w:val="0"/>
        <w:widowControl w:val="0"/>
        <w:suppressLineNumbers w:val="0"/>
        <w:autoSpaceDE w:val="0"/>
        <w:autoSpaceDN/>
        <w:spacing w:before="0" w:beforeAutospacing="0" w:after="0" w:afterAutospacing="0" w:line="576" w:lineRule="exact"/>
        <w:ind w:left="0" w:right="0"/>
        <w:jc w:val="both"/>
        <w:rPr>
          <w:rFonts w:hint="eastAsia" w:ascii="黑体" w:hAnsi="宋体" w:eastAsia="黑体" w:cs="黑体"/>
          <w:kern w:val="2"/>
          <w:sz w:val="32"/>
          <w:szCs w:val="32"/>
        </w:rPr>
      </w:pPr>
    </w:p>
    <w:p w14:paraId="537547D6">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649A3BD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3"/>
      <w:bookmarkEnd w:id="44"/>
      <w:bookmarkStart w:id="45" w:name="_Toc15396619"/>
    </w:p>
    <w:p w14:paraId="333B7E6C">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0317F80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5"/>
    </w:p>
    <w:p w14:paraId="6B7554F5">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6" w:name="_Toc15396620"/>
      <w:r>
        <w:rPr>
          <w:rFonts w:hint="eastAsia" w:ascii="Times New Roman" w:hAnsi="Times New Roman" w:eastAsia="仿宋_GB2312" w:cs="仿宋_GB2312"/>
          <w:color w:val="auto"/>
          <w:sz w:val="32"/>
          <w:szCs w:val="32"/>
          <w:highlight w:val="none"/>
        </w:rPr>
        <w:t>二、收入决算表</w:t>
      </w:r>
      <w:bookmarkEnd w:id="46"/>
    </w:p>
    <w:p w14:paraId="26A8A9B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7" w:name="_Toc15396621"/>
      <w:r>
        <w:rPr>
          <w:rFonts w:hint="eastAsia" w:ascii="Times New Roman" w:hAnsi="Times New Roman" w:eastAsia="仿宋_GB2312" w:cs="仿宋_GB2312"/>
          <w:color w:val="auto"/>
          <w:sz w:val="32"/>
          <w:szCs w:val="32"/>
          <w:highlight w:val="none"/>
        </w:rPr>
        <w:t>三、支出决算表</w:t>
      </w:r>
      <w:bookmarkEnd w:id="47"/>
    </w:p>
    <w:p w14:paraId="6268851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8" w:name="_Toc15396622"/>
      <w:r>
        <w:rPr>
          <w:rFonts w:hint="eastAsia" w:ascii="Times New Roman" w:hAnsi="Times New Roman" w:eastAsia="仿宋_GB2312" w:cs="仿宋_GB2312"/>
          <w:color w:val="auto"/>
          <w:sz w:val="32"/>
          <w:szCs w:val="32"/>
          <w:highlight w:val="none"/>
        </w:rPr>
        <w:t>四、财政拨款收入支出决算总表</w:t>
      </w:r>
      <w:bookmarkEnd w:id="48"/>
    </w:p>
    <w:p w14:paraId="06D9E52B">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3"/>
      <w:r>
        <w:rPr>
          <w:rFonts w:hint="eastAsia" w:ascii="Times New Roman" w:hAnsi="Times New Roman" w:eastAsia="仿宋_GB2312" w:cs="仿宋_GB2312"/>
          <w:color w:val="auto"/>
          <w:sz w:val="32"/>
          <w:szCs w:val="32"/>
          <w:highlight w:val="none"/>
        </w:rPr>
        <w:t>五、财政拨款支出决算明细表</w:t>
      </w:r>
      <w:bookmarkEnd w:id="49"/>
      <w:bookmarkStart w:id="50" w:name="_Toc15396624"/>
    </w:p>
    <w:p w14:paraId="174D8951">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0"/>
    </w:p>
    <w:p w14:paraId="6D6A8917">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5"/>
      <w:r>
        <w:rPr>
          <w:rFonts w:hint="eastAsia" w:ascii="Times New Roman" w:hAnsi="Times New Roman" w:eastAsia="仿宋_GB2312" w:cs="仿宋_GB2312"/>
          <w:color w:val="auto"/>
          <w:sz w:val="32"/>
          <w:szCs w:val="32"/>
          <w:highlight w:val="none"/>
        </w:rPr>
        <w:t>七、一般公共预算财政拨款支出决算明细表</w:t>
      </w:r>
      <w:bookmarkEnd w:id="51"/>
    </w:p>
    <w:p w14:paraId="1657BE10">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6"/>
      <w:r>
        <w:rPr>
          <w:rFonts w:hint="eastAsia" w:ascii="Times New Roman" w:hAnsi="Times New Roman" w:eastAsia="仿宋_GB2312" w:cs="仿宋_GB2312"/>
          <w:color w:val="auto"/>
          <w:sz w:val="32"/>
          <w:szCs w:val="32"/>
          <w:highlight w:val="none"/>
        </w:rPr>
        <w:t>八、一般公共预算财政拨款基本支出决算表</w:t>
      </w:r>
      <w:bookmarkEnd w:id="52"/>
    </w:p>
    <w:p w14:paraId="7F89FCDF">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3" w:name="_Toc15396627"/>
      <w:r>
        <w:rPr>
          <w:rFonts w:hint="eastAsia" w:ascii="Times New Roman" w:hAnsi="Times New Roman" w:eastAsia="仿宋_GB2312" w:cs="仿宋_GB2312"/>
          <w:color w:val="auto"/>
          <w:sz w:val="32"/>
          <w:szCs w:val="32"/>
          <w:highlight w:val="none"/>
        </w:rPr>
        <w:t>九、一般公共预算财政拨款项目支出决算表</w:t>
      </w:r>
      <w:bookmarkEnd w:id="53"/>
    </w:p>
    <w:p w14:paraId="3B94238E">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8"/>
      <w:r>
        <w:rPr>
          <w:rFonts w:hint="eastAsia" w:ascii="Times New Roman" w:hAnsi="Times New Roman" w:eastAsia="仿宋_GB2312" w:cs="仿宋_GB2312"/>
          <w:color w:val="auto"/>
          <w:sz w:val="32"/>
          <w:szCs w:val="32"/>
          <w:highlight w:val="none"/>
        </w:rPr>
        <w:t>十、</w:t>
      </w:r>
      <w:bookmarkEnd w:id="54"/>
      <w:r>
        <w:rPr>
          <w:rFonts w:hint="eastAsia" w:ascii="Times New Roman" w:hAnsi="Times New Roman" w:eastAsia="仿宋_GB2312" w:cs="仿宋_GB2312"/>
          <w:color w:val="auto"/>
          <w:sz w:val="32"/>
          <w:szCs w:val="32"/>
          <w:highlight w:val="none"/>
        </w:rPr>
        <w:t>政府性基金预算财政拨款收入支出决算表</w:t>
      </w:r>
    </w:p>
    <w:p w14:paraId="207A2E4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9"/>
      <w:r>
        <w:rPr>
          <w:rFonts w:hint="eastAsia" w:ascii="Times New Roman" w:hAnsi="Times New Roman" w:eastAsia="仿宋_GB2312" w:cs="仿宋_GB2312"/>
          <w:color w:val="auto"/>
          <w:sz w:val="32"/>
          <w:szCs w:val="32"/>
          <w:highlight w:val="none"/>
        </w:rPr>
        <w:t>十一、</w:t>
      </w:r>
      <w:bookmarkEnd w:id="5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27523102">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30"/>
      <w:r>
        <w:rPr>
          <w:rFonts w:hint="eastAsia" w:ascii="Times New Roman" w:hAnsi="Times New Roman" w:eastAsia="仿宋_GB2312" w:cs="仿宋_GB2312"/>
          <w:color w:val="auto"/>
          <w:sz w:val="32"/>
          <w:szCs w:val="32"/>
          <w:highlight w:val="none"/>
        </w:rPr>
        <w:t>十二、</w:t>
      </w:r>
      <w:bookmarkEnd w:id="56"/>
      <w:r>
        <w:rPr>
          <w:rFonts w:hint="eastAsia" w:ascii="Times New Roman" w:hAnsi="Times New Roman" w:eastAsia="仿宋_GB2312" w:cs="仿宋_GB2312"/>
          <w:color w:val="auto"/>
          <w:sz w:val="32"/>
          <w:szCs w:val="32"/>
          <w:highlight w:val="none"/>
          <w:lang w:eastAsia="zh-CN"/>
        </w:rPr>
        <w:t>国有资本经营预算财政拨款支出决算表</w:t>
      </w:r>
    </w:p>
    <w:p w14:paraId="2632A963">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57" w:name="_Toc15396631"/>
      <w:r>
        <w:rPr>
          <w:rFonts w:hint="eastAsia" w:ascii="Times New Roman" w:hAnsi="Times New Roman" w:eastAsia="仿宋_GB2312" w:cs="仿宋_GB2312"/>
          <w:color w:val="auto"/>
          <w:sz w:val="32"/>
          <w:szCs w:val="32"/>
          <w:highlight w:val="none"/>
        </w:rPr>
        <w:t>十三、</w:t>
      </w:r>
      <w:bookmarkEnd w:id="57"/>
      <w:r>
        <w:rPr>
          <w:rFonts w:hint="eastAsia" w:ascii="Times New Roman" w:hAnsi="Times New Roman" w:eastAsia="仿宋_GB2312" w:cs="仿宋_GB2312"/>
          <w:color w:val="auto"/>
          <w:sz w:val="32"/>
          <w:szCs w:val="32"/>
          <w:highlight w:val="none"/>
          <w:lang w:eastAsia="zh-CN"/>
        </w:rPr>
        <w:t>财政拨款“三公”经费支出决算表</w:t>
      </w:r>
    </w:p>
    <w:p w14:paraId="1C0CF3E5">
      <w:pPr>
        <w:rPr>
          <w:rFonts w:hint="eastAsia" w:ascii="Times New Roman" w:hAnsi="Times New Roman"/>
          <w:lang w:eastAsia="zh-CN"/>
        </w:rPr>
      </w:pPr>
    </w:p>
    <w:sectPr>
      <w:footerReference r:id="rId7" w:type="first"/>
      <w:headerReference r:id="rId3" w:type="default"/>
      <w:footerReference r:id="rId5" w:type="default"/>
      <w:headerReference r:id="rId4" w:type="even"/>
      <w:footerReference r:id="rId6" w:type="even"/>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257E4A6-5C81-4518-9DC4-0ACAEEABA82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E13F01FB-3528-4D3E-9ED6-C68382176995}"/>
  </w:font>
  <w:font w:name="仿宋">
    <w:panose1 w:val="02010609060101010101"/>
    <w:charset w:val="86"/>
    <w:family w:val="modern"/>
    <w:pitch w:val="default"/>
    <w:sig w:usb0="800002BF" w:usb1="38CF7CFA" w:usb2="00000016" w:usb3="00000000" w:csb0="00040001" w:csb1="00000000"/>
    <w:embedRegular r:id="rId3" w:fontKey="{51AD17BA-8914-47C6-B1E4-45E8FFAF120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390A02DE-0477-4034-B1F9-4D62CD0FA9ED}"/>
  </w:font>
  <w:font w:name="微软雅黑">
    <w:panose1 w:val="020B0503020204020204"/>
    <w:charset w:val="86"/>
    <w:family w:val="swiss"/>
    <w:pitch w:val="variable"/>
    <w:sig w:usb0="80000287" w:usb1="2ACF3C50" w:usb2="00000016" w:usb3="00000000" w:csb0="0004001F" w:csb1="00000000"/>
    <w:embedRegular r:id="rId5" w:fontKey="{21A9E34B-32E5-45ED-B1D0-B59618825817}"/>
  </w:font>
  <w:font w:name="楷体_GB2312">
    <w:panose1 w:val="02010609030101010101"/>
    <w:charset w:val="86"/>
    <w:family w:val="auto"/>
    <w:pitch w:val="default"/>
    <w:sig w:usb0="00000001" w:usb1="080E0000" w:usb2="00000000" w:usb3="00000000" w:csb0="00040000" w:csb1="00000000"/>
    <w:embedRegular r:id="rId6" w:fontKey="{604F96F0-4FFD-4931-9A4B-6C2D43BC466E}"/>
  </w:font>
  <w:font w:name="方正小标宋_GBK">
    <w:panose1 w:val="03000509000000000000"/>
    <w:charset w:val="86"/>
    <w:family w:val="auto"/>
    <w:pitch w:val="default"/>
    <w:sig w:usb0="00000001" w:usb1="080E0000" w:usb2="00000000" w:usb3="00000000" w:csb0="00040000" w:csb1="00000000"/>
    <w:embedRegular r:id="rId7" w:fontKey="{0E8C6A64-CA2E-481A-ABD2-EC9C7DC10649}"/>
  </w:font>
  <w:font w:name="方正大标宋简体">
    <w:panose1 w:val="02000000000000000000"/>
    <w:charset w:val="86"/>
    <w:family w:val="auto"/>
    <w:pitch w:val="default"/>
    <w:sig w:usb0="A00002BF" w:usb1="184F6CFA" w:usb2="00000012" w:usb3="00000000" w:csb0="00040001" w:csb1="00000000"/>
    <w:embedRegular r:id="rId8" w:fontKey="{BE0EC1FD-BAA7-4938-8226-5C4E900545B3}"/>
  </w:font>
  <w:font w:name="方正仿宋简体">
    <w:altName w:val="微软雅黑"/>
    <w:panose1 w:val="03000509000000000000"/>
    <w:charset w:val="86"/>
    <w:family w:val="auto"/>
    <w:pitch w:val="default"/>
    <w:sig w:usb0="00000000" w:usb1="00000000" w:usb2="00000000" w:usb3="00000000" w:csb0="00040000" w:csb1="00000000"/>
    <w:embedRegular r:id="rId9" w:fontKey="{2514D721-3498-4B6A-A0A0-C2B44C68B42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677164">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BD37B6">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9BD37B6">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14:paraId="667E39E5">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59E48">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5864D">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032431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4020">
    <w:pPr>
      <w:pStyle w:val="11"/>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2AC2C">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DE209AD"/>
    <w:multiLevelType w:val="singleLevel"/>
    <w:tmpl w:val="2DE209AD"/>
    <w:lvl w:ilvl="0" w:tentative="0">
      <w:start w:val="1"/>
      <w:numFmt w:val="decimal"/>
      <w:lvlText w:val="%1."/>
      <w:lvlJc w:val="left"/>
      <w:pPr>
        <w:tabs>
          <w:tab w:val="left" w:pos="312"/>
        </w:tabs>
      </w:pPr>
    </w:lvl>
  </w:abstractNum>
  <w:abstractNum w:abstractNumId="1">
    <w:nsid w:val="3EA6E848"/>
    <w:multiLevelType w:val="singleLevel"/>
    <w:tmpl w:val="3EA6E848"/>
    <w:lvl w:ilvl="0" w:tentative="0">
      <w:start w:val="1"/>
      <w:numFmt w:val="chineseCounting"/>
      <w:suff w:val="nothing"/>
      <w:lvlText w:val="%1、"/>
      <w:lvlJc w:val="left"/>
      <w:rPr>
        <w:rFonts w:hint="eastAsia"/>
      </w:rPr>
    </w:lvl>
  </w:abstractNum>
  <w:abstractNum w:abstractNumId="2">
    <w:nsid w:val="692D01AC"/>
    <w:multiLevelType w:val="multilevel"/>
    <w:tmpl w:val="692D01AC"/>
    <w:lvl w:ilvl="0" w:tentative="0">
      <w:start w:val="2"/>
      <w:numFmt w:val="chineseCounting"/>
      <w:suff w:val="nothing"/>
      <w:lvlText w:val="（%1）"/>
      <w:lvlJc w:val="left"/>
      <w:pPr>
        <w:ind w:left="0" w:firstLine="0"/>
      </w:p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2MDJlYWFjMDUwOThmZTc2OGJmYWExYTI1NWQyZGY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072A78"/>
    <w:rsid w:val="02317B1B"/>
    <w:rsid w:val="02FEBE30"/>
    <w:rsid w:val="049802FF"/>
    <w:rsid w:val="061E35DE"/>
    <w:rsid w:val="066E0107"/>
    <w:rsid w:val="07996F6E"/>
    <w:rsid w:val="07DFD8BA"/>
    <w:rsid w:val="08DB07E4"/>
    <w:rsid w:val="09867E8F"/>
    <w:rsid w:val="0A2032A3"/>
    <w:rsid w:val="0C6C4794"/>
    <w:rsid w:val="0CA8290A"/>
    <w:rsid w:val="0D35B1ED"/>
    <w:rsid w:val="0DE07E2B"/>
    <w:rsid w:val="0F98263C"/>
    <w:rsid w:val="101860EC"/>
    <w:rsid w:val="1033571A"/>
    <w:rsid w:val="10C055FF"/>
    <w:rsid w:val="11772AA4"/>
    <w:rsid w:val="118107EC"/>
    <w:rsid w:val="13643D2E"/>
    <w:rsid w:val="13873A19"/>
    <w:rsid w:val="13D50BC4"/>
    <w:rsid w:val="14022904"/>
    <w:rsid w:val="152F2A07"/>
    <w:rsid w:val="165E0673"/>
    <w:rsid w:val="16BB723D"/>
    <w:rsid w:val="186504BB"/>
    <w:rsid w:val="1938089F"/>
    <w:rsid w:val="19A445FC"/>
    <w:rsid w:val="1B7D550C"/>
    <w:rsid w:val="1BE8440E"/>
    <w:rsid w:val="1D155CEE"/>
    <w:rsid w:val="1E740ACF"/>
    <w:rsid w:val="1FF35744"/>
    <w:rsid w:val="1FF6BC77"/>
    <w:rsid w:val="206A094A"/>
    <w:rsid w:val="21962A9E"/>
    <w:rsid w:val="21AE7C77"/>
    <w:rsid w:val="22BC3C41"/>
    <w:rsid w:val="23860B96"/>
    <w:rsid w:val="240371BF"/>
    <w:rsid w:val="260F557C"/>
    <w:rsid w:val="27C85817"/>
    <w:rsid w:val="281408E2"/>
    <w:rsid w:val="29FD04D3"/>
    <w:rsid w:val="2BFF7BC6"/>
    <w:rsid w:val="2C8A61B5"/>
    <w:rsid w:val="2D2E01CF"/>
    <w:rsid w:val="2DF04E50"/>
    <w:rsid w:val="2E9545B0"/>
    <w:rsid w:val="2F040D46"/>
    <w:rsid w:val="2FAE5751"/>
    <w:rsid w:val="2FB1A395"/>
    <w:rsid w:val="2FD9A7D8"/>
    <w:rsid w:val="3143321D"/>
    <w:rsid w:val="319F7F4E"/>
    <w:rsid w:val="321B2544"/>
    <w:rsid w:val="32674CE9"/>
    <w:rsid w:val="32C4213C"/>
    <w:rsid w:val="3304709D"/>
    <w:rsid w:val="34281836"/>
    <w:rsid w:val="349D6851"/>
    <w:rsid w:val="35700359"/>
    <w:rsid w:val="35BA6CAF"/>
    <w:rsid w:val="364D14C1"/>
    <w:rsid w:val="36AA5135"/>
    <w:rsid w:val="36BE0DA7"/>
    <w:rsid w:val="376B6AA6"/>
    <w:rsid w:val="376D39B2"/>
    <w:rsid w:val="37E16F03"/>
    <w:rsid w:val="37F53A3B"/>
    <w:rsid w:val="389B6C89"/>
    <w:rsid w:val="38D469F0"/>
    <w:rsid w:val="393873DF"/>
    <w:rsid w:val="39627CCD"/>
    <w:rsid w:val="397BAF1F"/>
    <w:rsid w:val="39AF00C1"/>
    <w:rsid w:val="3AB79AF3"/>
    <w:rsid w:val="3B7EF35A"/>
    <w:rsid w:val="3B9FDB6C"/>
    <w:rsid w:val="3BF5BC2F"/>
    <w:rsid w:val="3C8D7A42"/>
    <w:rsid w:val="3CEBA265"/>
    <w:rsid w:val="3D98207C"/>
    <w:rsid w:val="3D9B0D99"/>
    <w:rsid w:val="3DEE7CF3"/>
    <w:rsid w:val="3DF02244"/>
    <w:rsid w:val="3E78745D"/>
    <w:rsid w:val="3FF4CAE0"/>
    <w:rsid w:val="3FF7B227"/>
    <w:rsid w:val="40E54C45"/>
    <w:rsid w:val="43171E14"/>
    <w:rsid w:val="43A407DF"/>
    <w:rsid w:val="44515BEA"/>
    <w:rsid w:val="44E268DA"/>
    <w:rsid w:val="44F436E5"/>
    <w:rsid w:val="453F7E5B"/>
    <w:rsid w:val="47FC538A"/>
    <w:rsid w:val="486A6C7A"/>
    <w:rsid w:val="48AA54D8"/>
    <w:rsid w:val="49176D9B"/>
    <w:rsid w:val="4A627F82"/>
    <w:rsid w:val="4B0E749A"/>
    <w:rsid w:val="4B4F25DA"/>
    <w:rsid w:val="4BC468B1"/>
    <w:rsid w:val="4BDA0CFB"/>
    <w:rsid w:val="4BE068DB"/>
    <w:rsid w:val="4C20442F"/>
    <w:rsid w:val="4D3C0CCC"/>
    <w:rsid w:val="4D577224"/>
    <w:rsid w:val="4DBF1CEB"/>
    <w:rsid w:val="4DCC0A8B"/>
    <w:rsid w:val="4EAB630A"/>
    <w:rsid w:val="4ECE2238"/>
    <w:rsid w:val="4F833267"/>
    <w:rsid w:val="4FE9BD67"/>
    <w:rsid w:val="4FFB052F"/>
    <w:rsid w:val="53083A92"/>
    <w:rsid w:val="537E6D0A"/>
    <w:rsid w:val="53AF27A2"/>
    <w:rsid w:val="53B611D5"/>
    <w:rsid w:val="53F74C96"/>
    <w:rsid w:val="56E47B74"/>
    <w:rsid w:val="57BD3DD4"/>
    <w:rsid w:val="59A57D21"/>
    <w:rsid w:val="5AF92295"/>
    <w:rsid w:val="5BDD79E6"/>
    <w:rsid w:val="5BF561CA"/>
    <w:rsid w:val="5BFF5DFC"/>
    <w:rsid w:val="5C1178F0"/>
    <w:rsid w:val="5CD71FC4"/>
    <w:rsid w:val="5D1F11B5"/>
    <w:rsid w:val="5DAE1B18"/>
    <w:rsid w:val="5DE747C2"/>
    <w:rsid w:val="5DE7D9E5"/>
    <w:rsid w:val="5ECEC941"/>
    <w:rsid w:val="5F493CB7"/>
    <w:rsid w:val="5FBF9FF3"/>
    <w:rsid w:val="5FCD4E2C"/>
    <w:rsid w:val="5FD15F49"/>
    <w:rsid w:val="5FEF394A"/>
    <w:rsid w:val="5FF67715"/>
    <w:rsid w:val="62BF3928"/>
    <w:rsid w:val="647F5392"/>
    <w:rsid w:val="64F93617"/>
    <w:rsid w:val="65B8702E"/>
    <w:rsid w:val="664B1D71"/>
    <w:rsid w:val="674548F2"/>
    <w:rsid w:val="67AA3209"/>
    <w:rsid w:val="681C4F0D"/>
    <w:rsid w:val="688B0A2A"/>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BC771B"/>
    <w:rsid w:val="6FCE6052"/>
    <w:rsid w:val="6FD57C00"/>
    <w:rsid w:val="6FEFFFD8"/>
    <w:rsid w:val="6FF5CC65"/>
    <w:rsid w:val="6FFB47EC"/>
    <w:rsid w:val="6FFF034A"/>
    <w:rsid w:val="70496804"/>
    <w:rsid w:val="704A4D27"/>
    <w:rsid w:val="712A28F1"/>
    <w:rsid w:val="715C0E4B"/>
    <w:rsid w:val="72233669"/>
    <w:rsid w:val="72734D90"/>
    <w:rsid w:val="7332FE48"/>
    <w:rsid w:val="73AB61DA"/>
    <w:rsid w:val="73AD73D5"/>
    <w:rsid w:val="73B6EB34"/>
    <w:rsid w:val="73FA497D"/>
    <w:rsid w:val="744731E5"/>
    <w:rsid w:val="74485A21"/>
    <w:rsid w:val="74527205"/>
    <w:rsid w:val="74BBD01D"/>
    <w:rsid w:val="74ED5379"/>
    <w:rsid w:val="74FC2395"/>
    <w:rsid w:val="75DEEEC2"/>
    <w:rsid w:val="76654669"/>
    <w:rsid w:val="76E3355F"/>
    <w:rsid w:val="76FF5125"/>
    <w:rsid w:val="776F6FFA"/>
    <w:rsid w:val="778769C8"/>
    <w:rsid w:val="77DC22F5"/>
    <w:rsid w:val="79086DAD"/>
    <w:rsid w:val="79974F09"/>
    <w:rsid w:val="79D401C8"/>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5">
    <w:name w:val="10"/>
    <w:basedOn w:val="16"/>
    <w:uiPriority w:val="0"/>
    <w:rPr>
      <w:rFonts w:hint="default" w:ascii="Times New Roman" w:hAnsi="Times New Roman" w:cs="Times New Roman"/>
    </w:rPr>
  </w:style>
  <w:style w:type="character" w:customStyle="1" w:styleId="36">
    <w:name w:val="15"/>
    <w:basedOn w:val="16"/>
    <w:uiPriority w:val="0"/>
    <w:rPr>
      <w:rFonts w:hint="default" w:ascii="Times New Roman" w:hAnsi="Times New Roman"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4" Type="http://schemas.microsoft.com/office/2011/relationships/chartColorStyle" Target="colors7.xml"/><Relationship Id="rId3" Type="http://schemas.microsoft.com/office/2011/relationships/chartStyle" Target="style7.xml"/><Relationship Id="rId2" Type="http://schemas.openxmlformats.org/officeDocument/2006/relationships/themeOverride" Target="../theme/themeOverride1.xml"/><Relationship Id="rId1" Type="http://schemas.openxmlformats.org/officeDocument/2006/relationships/package" Target="../embeddings/Workbook7.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7.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收入、支出决算总计变动情况图</a:t>
            </a:r>
          </a:p>
        </c:rich>
      </c:tx>
      <c:layout>
        <c:manualLayout>
          <c:xMode val="edge"/>
          <c:yMode val="edge"/>
          <c:x val="0.277361681565596"/>
          <c:y val="0.0314492137696558"/>
        </c:manualLayout>
      </c:layout>
      <c:overlay val="0"/>
      <c:spPr>
        <a:noFill/>
        <a:ln>
          <a:noFill/>
        </a:ln>
        <a:effectLst/>
      </c:spPr>
    </c:title>
    <c:autoTitleDeleted val="0"/>
    <c:plotArea>
      <c:layout>
        <c:manualLayout>
          <c:layoutTarget val="inner"/>
          <c:xMode val="edge"/>
          <c:yMode val="edge"/>
          <c:x val="0.0446484658129983"/>
          <c:y val="0.16489587760306"/>
          <c:w val="0.930345494080696"/>
          <c:h val="0.638631534211645"/>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收入</c:v>
                </c:pt>
                <c:pt idx="1">
                  <c:v>支出</c:v>
                </c:pt>
              </c:strCache>
            </c:strRef>
          </c:cat>
          <c:val>
            <c:numRef>
              <c:extLst>
                <c:ext xmlns:c15="http://schemas.microsoft.com/office/drawing/2012/chart" uri="{02D57815-91ED-43cb-92C2-25804820EDAC}">
                  <c15:fullRef>
                    <c15:sqref>Sheet1!$B$2:$B$5</c15:sqref>
                  </c15:fullRef>
                </c:ext>
              </c:extLst>
              <c:f>Sheet1!$B$2:$B$4</c:f>
              <c:numCache>
                <c:formatCode>General</c:formatCode>
                <c:ptCount val="3"/>
                <c:pt idx="0">
                  <c:v>273.78</c:v>
                </c:pt>
                <c:pt idx="1">
                  <c:v>273.78</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Sheet1!$A$2:$A$4</c:f>
              <c:strCache>
                <c:ptCount val="3"/>
                <c:pt idx="0">
                  <c:v>收入</c:v>
                </c:pt>
                <c:pt idx="1">
                  <c:v>支出</c:v>
                </c:pt>
              </c:strCache>
            </c:strRef>
          </c:cat>
          <c:val>
            <c:numRef>
              <c:extLst>
                <c:ext xmlns:c15="http://schemas.microsoft.com/office/drawing/2012/chart" uri="{02D57815-91ED-43cb-92C2-25804820EDAC}">
                  <c15:fullRef>
                    <c15:sqref>Sheet1!$C$2:$C$5</c15:sqref>
                  </c15:fullRef>
                </c:ext>
              </c:extLst>
              <c:f>Sheet1!$C$2:$C$4</c:f>
              <c:numCache>
                <c:formatCode>General</c:formatCode>
                <c:ptCount val="3"/>
                <c:pt idx="0">
                  <c:v>334.53</c:v>
                </c:pt>
                <c:pt idx="1">
                  <c:v>333.53</c:v>
                </c:pt>
              </c:numCache>
            </c:numRef>
          </c:val>
        </c:ser>
        <c:dLbls>
          <c:showLegendKey val="0"/>
          <c:showVal val="1"/>
          <c:showCatName val="0"/>
          <c:showSerName val="0"/>
          <c:showPercent val="0"/>
          <c:showBubbleSize val="0"/>
        </c:dLbls>
        <c:gapWidth val="260"/>
        <c:overlap val="-32"/>
        <c:axId val="69949459"/>
        <c:axId val="374025453"/>
        <c:extLst>
          <c:ext xmlns:c15="http://schemas.microsoft.com/office/drawing/2012/chart" uri="{02D57815-91ED-43cb-92C2-25804820EDAC}">
            <c15:filteredBarSeries>
              <c15:ser>
                <c:idx val="2"/>
                <c:order val="2"/>
                <c:tx>
                  <c:strRef>
                    <c:extLst>
                      <c:ext uri="{02D57815-91ED-43cb-92C2-25804820EDAC}">
                        <c15:formulaRef>
                          <c15:sqref>Sheet1!$D$1</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Sheet1!$A$2:$A$4</c15:sqref>
                        </c15:formulaRef>
                      </c:ext>
                    </c:extLst>
                    <c:strCache>
                      <c:ptCount val="3"/>
                      <c:pt idx="0">
                        <c:v>收入</c:v>
                      </c:pt>
                      <c:pt idx="1">
                        <c:v>支出</c:v>
                      </c:pt>
                    </c:strCache>
                  </c:strRef>
                </c:cat>
                <c:val>
                  <c:numRef>
                    <c:extLst>
                      <c:ext uri="{02D57815-91ED-43cb-92C2-25804820EDAC}">
                        <c15:fullRef>
                          <c15:sqref>Sheet1!$D$2:$D$5</c15:sqref>
                        </c15:fullRef>
                        <c15:formulaRef>
                          <c15:sqref>Sheet1!$D$2:$D$4</c15:sqref>
                        </c15:formulaRef>
                      </c:ext>
                    </c:extLst>
                    <c:numCache>
                      <c:formatCode>General</c:formatCode>
                      <c:ptCount val="3"/>
                    </c:numCache>
                  </c:numRef>
                </c:val>
              </c15:ser>
            </c15:filteredBarSeries>
          </c:ext>
        </c:extLst>
      </c:barChart>
      <c:catAx>
        <c:axId val="69949459"/>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374025453"/>
        <c:crosses val="autoZero"/>
        <c:auto val="1"/>
        <c:lblAlgn val="ctr"/>
        <c:lblOffset val="100"/>
        <c:noMultiLvlLbl val="0"/>
      </c:catAx>
      <c:valAx>
        <c:axId val="374025453"/>
        <c:scaling>
          <c:orientation val="minMax"/>
        </c:scaling>
        <c:delete val="1"/>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949459"/>
        <c:crosses val="autoZero"/>
        <c:crossBetween val="between"/>
      </c:valAx>
      <c:spPr>
        <a:noFill/>
        <a:ln>
          <a:noFill/>
        </a:ln>
        <a:effectLst/>
      </c:spPr>
    </c:plotArea>
    <c:legend>
      <c:legendPos val="t"/>
      <c:layout>
        <c:manualLayout>
          <c:xMode val="edge"/>
          <c:yMode val="edge"/>
          <c:x val="0.370198115486833"/>
          <c:y val="0.88206544836379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d7d9e04-c16d-449e-a378-769751b0b8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elete val="1"/>
          </c:dLbls>
          <c:cat>
            <c:strRef>
              <c:extLst>
                <c:ext xmlns:c15="http://schemas.microsoft.com/office/drawing/2012/chart" uri="{02D57815-91ED-43cb-92C2-25804820EDAC}">
                  <c15:fullRef>
                    <c15:sqref>Sheet1!$A$2:$A$5</c15:sqref>
                  </c15:fullRef>
                </c:ext>
              </c:extLst>
              <c:f>Sheet1!$A$2:$A$3</c:f>
              <c:strCache>
                <c:ptCount val="2"/>
                <c:pt idx="0">
                  <c:v>一般公共预算财政拨款收入</c:v>
                </c:pt>
                <c:pt idx="1">
                  <c:v>其他收入</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324</c:v>
                </c:pt>
                <c:pt idx="1">
                  <c:v>10.53</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527f6a7-3072-472e-aa1a-c1dca00fd68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forceAA="0"/>
          <a:lstStyle/>
          <a:p>
            <a:pPr defTabSz="914400">
              <a:defRPr lang="zh-CN" sz="14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r>
              <a:t>销售额</a:t>
            </a:r>
          </a:p>
        </c:rich>
      </c:tx>
      <c:layout/>
      <c:overlay val="0"/>
      <c:spPr>
        <a:noFill/>
        <a:ln>
          <a:noFill/>
        </a:ln>
        <a:effectLst/>
      </c:spPr>
    </c:title>
    <c:autoTitleDeleted val="0"/>
    <c:plotArea>
      <c:layout/>
      <c:pieChart>
        <c:varyColors val="1"/>
        <c:ser>
          <c:idx val="1"/>
          <c:order val="0"/>
          <c:tx>
            <c:strRef>
              <c:f>Sheet1!$B$1</c:f>
              <c:strCache>
                <c:ptCount val="1"/>
                <c:pt idx="0">
                  <c:v>支出决算结构图</c:v>
                </c:pt>
              </c:strCache>
            </c:strRef>
          </c:tx>
          <c:spPr/>
          <c:explosion val="0"/>
          <c:dPt>
            <c:idx val="0"/>
            <c:bubble3D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dPt>
          <c:dPt>
            <c:idx val="1"/>
            <c:bubble3D val="0"/>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dPt>
          <c:dLbls>
            <c:numFmt formatCode="General" sourceLinked="1"/>
            <c:spPr>
              <a:noFill/>
              <a:ln>
                <a:noFill/>
              </a:ln>
              <a:effectLst/>
            </c:spPr>
            <c:txPr>
              <a:bodyPr rot="0" spcFirstLastPara="0" vertOverflow="ellipsis" vert="horz" wrap="square" lIns="38100" tIns="19050" rIns="38100" bIns="19050" anchor="ctr" anchorCtr="1" forceAA="0"/>
              <a:lstStyle/>
              <a:p>
                <a:pPr>
                  <a:defRPr lang="zh-CN" sz="1000" b="0" i="0" u="none" strike="noStrike" kern="1200" baseline="0">
                    <a:solidFill>
                      <a:schemeClr val="tx1">
                        <a:lumMod val="75000"/>
                        <a:lumOff val="25000"/>
                      </a:schemeClr>
                    </a:solidFill>
                    <a:latin typeface="+mn-lt"/>
                    <a:ea typeface="+mn-ea"/>
                    <a:cs typeface="+mn-cs"/>
                  </a:defRPr>
                </a:pPr>
              </a:p>
            </c:txPr>
            <c:dLblPos val="inEnd"/>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基本支出</c:v>
                </c:pt>
                <c:pt idx="1">
                  <c:v>项目支出</c:v>
                </c:pt>
              </c:strCache>
            </c:strRef>
          </c:cat>
          <c:val>
            <c:numRef>
              <c:extLst>
                <c:ext xmlns:c15="http://schemas.microsoft.com/office/drawing/2012/chart" uri="{02D57815-91ED-43cb-92C2-25804820EDAC}">
                  <c15:fullRef>
                    <c15:sqref>Sheet1!$B$2:$B$5</c15:sqref>
                  </c15:fullRef>
                </c:ext>
              </c:extLst>
              <c:f>Sheet1!$B$2:$B$3</c:f>
              <c:numCache>
                <c:formatCode>0.00%</c:formatCode>
                <c:ptCount val="2"/>
                <c:pt idx="0">
                  <c:v>0.9532</c:v>
                </c:pt>
                <c:pt idx="1">
                  <c:v>0.0468</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forceAA="0"/>
        <a:lstStyle/>
        <a:p>
          <a:pPr>
            <a:defRPr lang="zh-CN" sz="900" b="0" i="0" u="none" strike="noStrike" kern="1200" baseline="0">
              <a:solidFill>
                <a:schemeClr val="tx1">
                  <a:lumMod val="75000"/>
                  <a:lumOff val="25000"/>
                </a:schemeClr>
              </a:solidFill>
              <a:latin typeface="微软雅黑" panose="020B0503020204020204" pitchFamily="34" charset="-122"/>
              <a:ea typeface="微软雅黑" panose="020B0503020204020204" pitchFamily="34" charset="-122"/>
              <a:cs typeface="微软雅黑" panose="020B0503020204020204" pitchFamily="34" charset="-122"/>
              <a:sym typeface="微软雅黑" panose="020B0503020204020204" pitchFamily="34" charset="-122"/>
            </a:defRPr>
          </a:pPr>
        </a:p>
      </c:txPr>
    </c:legend>
    <c:plotVisOnly val="1"/>
    <c:dispBlanksAs val="gap"/>
    <c:showDLblsOverMax val="0"/>
    <c:extLst>
      <c:ext uri="{0b15fc19-7d7d-44ad-8c2d-2c3a37ce22c3}">
        <chartProps xmlns="https://web.wps.cn/et/2018/main" chartId="{89b339a4-0e79-4754-8f60-42f2667a359f}"/>
      </c:ext>
    </c:extLst>
  </c:chart>
  <c:spPr>
    <a:solidFill>
      <a:schemeClr val="bg1"/>
    </a:solidFill>
    <a:ln w="6350" cap="flat" cmpd="sng" algn="ctr">
      <a:solidFill>
        <a:schemeClr val="tx1">
          <a:lumMod val="50000"/>
          <a:lumOff val="50000"/>
          <a:alpha val="2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财政拨款收、支决算总计变动情况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Sheet1!$B$2:$B$5</c15:sqref>
                  </c15:fullRef>
                </c:ext>
              </c:extLst>
              <c:f>Sheet1!$B$2:$B$3</c:f>
              <c:numCache>
                <c:formatCode>General</c:formatCode>
                <c:ptCount val="2"/>
                <c:pt idx="0">
                  <c:v>273.78</c:v>
                </c:pt>
                <c:pt idx="1">
                  <c:v>273.78</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Sheet1!$A$2:$A$5</c15:sqref>
                  </c15:fullRef>
                </c:ext>
              </c:extLst>
              <c:f>Sheet1!$A$2:$A$3</c:f>
              <c:strCache>
                <c:ptCount val="2"/>
                <c:pt idx="0">
                  <c:v>收入</c:v>
                </c:pt>
                <c:pt idx="1">
                  <c:v>支出</c:v>
                </c:pt>
              </c:strCache>
            </c:strRef>
          </c:cat>
          <c:val>
            <c:numRef>
              <c:extLst>
                <c:ext xmlns:c15="http://schemas.microsoft.com/office/drawing/2012/chart" uri="{02D57815-91ED-43cb-92C2-25804820EDAC}">
                  <c15:fullRef>
                    <c15:sqref>Sheet1!$C$2:$C$5</c15:sqref>
                  </c15:fullRef>
                </c:ext>
              </c:extLst>
              <c:f>Sheet1!$C$2:$C$3</c:f>
              <c:numCache>
                <c:formatCode>General</c:formatCode>
                <c:ptCount val="2"/>
                <c:pt idx="0">
                  <c:v>324</c:v>
                </c:pt>
                <c:pt idx="1">
                  <c:v>324</c:v>
                </c:pt>
              </c:numCache>
            </c:numRef>
          </c:val>
        </c:ser>
        <c:dLbls>
          <c:showLegendKey val="0"/>
          <c:showVal val="1"/>
          <c:showCatName val="0"/>
          <c:showSerName val="0"/>
          <c:showPercent val="0"/>
          <c:showBubbleSize val="0"/>
        </c:dLbls>
        <c:gapWidth val="260"/>
        <c:overlap val="-32"/>
        <c:axId val="691145838"/>
        <c:axId val="723376028"/>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Sheet1!$A$2:$A$5</c15:sqref>
                        </c15:fullRef>
                        <c15:formulaRef>
                          <c15:sqref>Sheet1!$A$2:$A$3</c15:sqref>
                        </c15:formulaRef>
                      </c:ext>
                    </c:extLst>
                    <c:strCache>
                      <c:ptCount val="2"/>
                      <c:pt idx="0">
                        <c:v>收入</c:v>
                      </c:pt>
                      <c:pt idx="1">
                        <c:v>支出</c:v>
                      </c:pt>
                    </c:strCache>
                  </c:strRef>
                </c:cat>
              </c15:ser>
            </c15:filteredBarSeries>
          </c:ext>
        </c:extLst>
      </c:barChart>
      <c:catAx>
        <c:axId val="69114583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23376028"/>
        <c:crosses val="autoZero"/>
        <c:auto val="1"/>
        <c:lblAlgn val="ctr"/>
        <c:lblOffset val="100"/>
        <c:noMultiLvlLbl val="0"/>
      </c:catAx>
      <c:valAx>
        <c:axId val="723376028"/>
        <c:scaling>
          <c:orientation val="minMax"/>
        </c:scaling>
        <c:delete val="1"/>
        <c:axPos val="l"/>
        <c:title>
          <c:tx>
            <c:rich>
              <a:bodyPr rot="-540000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overlay val="0"/>
          <c:spPr>
            <a:noFill/>
            <a:ln>
              <a:noFill/>
            </a:ln>
            <a:effectLst/>
          </c:spPr>
        </c:title>
        <c:numFmt formatCode="General" sourceLinked="1"/>
        <c:majorTickMark val="none"/>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91145838"/>
        <c:crosses val="autoZero"/>
        <c:crossBetween val="between"/>
      </c:valAx>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94b1abd-1c21-4cac-a09f-a510e1540a3f}"/>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manualLayout>
          <c:layoutTarget val="inner"/>
          <c:xMode val="edge"/>
          <c:yMode val="edge"/>
          <c:x val="0.041386808407828"/>
          <c:y val="0.161920951976201"/>
          <c:w val="0.930345494080696"/>
          <c:h val="0.638631534211645"/>
        </c:manualLayout>
      </c:layout>
      <c:barChart>
        <c:barDir val="col"/>
        <c:grouping val="clustered"/>
        <c:varyColors val="0"/>
        <c:ser>
          <c:idx val="0"/>
          <c:order val="0"/>
          <c:tx>
            <c:strRef>
              <c:f>Sheet1!$B$1</c:f>
              <c:strCache>
                <c:ptCount val="1"/>
                <c:pt idx="0">
                  <c:v>2024年度</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c15:sqref>
                  </c15:fullRef>
                </c:ext>
              </c:extLst>
              <c:f>Sheet1!$A$2</c:f>
              <c:strCache>
                <c:ptCount val="1"/>
                <c:pt idx="0">
                  <c:v>支出</c:v>
                </c:pt>
              </c:strCache>
            </c:strRef>
          </c:cat>
          <c:val>
            <c:numRef>
              <c:extLst>
                <c:ext xmlns:c15="http://schemas.microsoft.com/office/drawing/2012/chart" uri="{02D57815-91ED-43cb-92C2-25804820EDAC}">
                  <c15:fullRef>
                    <c15:sqref>Sheet1!$B$2</c15:sqref>
                  </c15:fullRef>
                </c:ext>
              </c:extLst>
              <c:f>Sheet1!$B$2</c:f>
              <c:numCache>
                <c:formatCode>General</c:formatCode>
                <c:ptCount val="1"/>
                <c:pt idx="0">
                  <c:v>273.78</c:v>
                </c:pt>
              </c:numCache>
            </c:numRef>
          </c:val>
        </c:ser>
        <c:ser>
          <c:idx val="1"/>
          <c:order val="1"/>
          <c:tx>
            <c:strRef>
              <c:f>Sheet1!$C$1</c:f>
              <c:strCache>
                <c:ptCount val="1"/>
                <c:pt idx="0">
                  <c:v>2025年度</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xmlns:c15="http://schemas.microsoft.com/office/drawing/2012/chart" uri="{02D57815-91ED-43cb-92C2-25804820EDAC}">
                  <c15:fullRef>
                    <c15:sqref>Sheet1!$A$2</c15:sqref>
                  </c15:fullRef>
                </c:ext>
              </c:extLst>
              <c:f>Sheet1!$A$2</c:f>
              <c:strCache>
                <c:ptCount val="1"/>
                <c:pt idx="0">
                  <c:v>支出</c:v>
                </c:pt>
              </c:strCache>
            </c:strRef>
          </c:cat>
          <c:val>
            <c:numRef>
              <c:extLst>
                <c:ext xmlns:c15="http://schemas.microsoft.com/office/drawing/2012/chart" uri="{02D57815-91ED-43cb-92C2-25804820EDAC}">
                  <c15:fullRef>
                    <c15:sqref>Sheet1!$C$2</c15:sqref>
                  </c15:fullRef>
                </c:ext>
              </c:extLst>
              <c:f>Sheet1!$C$2</c:f>
              <c:numCache>
                <c:formatCode>General</c:formatCode>
                <c:ptCount val="1"/>
                <c:pt idx="0">
                  <c:v>324</c:v>
                </c:pt>
              </c:numCache>
            </c:numRef>
          </c:val>
        </c:ser>
        <c:dLbls>
          <c:showLegendKey val="0"/>
          <c:showVal val="1"/>
          <c:showCatName val="0"/>
          <c:showSerName val="0"/>
          <c:showPercent val="0"/>
          <c:showBubbleSize val="0"/>
        </c:dLbls>
        <c:gapWidth val="246"/>
        <c:overlap val="-28"/>
        <c:axId val="862615232"/>
        <c:axId val="195964373"/>
        <c:extLst>
          <c:ext xmlns:c15="http://schemas.microsoft.com/office/drawing/2012/chart" uri="{02D57815-91ED-43cb-92C2-25804820EDAC}">
            <c15:filteredBarSeries>
              <c15:ser>
                <c:idx val="2"/>
                <c:order val="2"/>
                <c:tx>
                  <c:strRef>
                    <c:extLst>
                      <c:ext uri="{02D57815-91ED-43cb-92C2-25804820EDAC}">
                        <c15:formulaRef>
                          <c15:sqref>Sheet1!#REF!</c15:sqref>
                        </c15:formulaRef>
                      </c:ext>
                    </c:extLst>
                    <c:strCache>
                      <c:ptCount val="1"/>
                      <c:pt idx="0">
                        <c:v/>
                      </c:pt>
                    </c:strCache>
                  </c:strRef>
                </c:tx>
                <c:spPr>
                  <a:solidFill>
                    <a:schemeClr val="accent3"/>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Sheet1!$A$2</c15:sqref>
                        </c15:fullRef>
                        <c15:formulaRef>
                          <c15:sqref>Sheet1!$A$2</c15:sqref>
                        </c15:formulaRef>
                      </c:ext>
                    </c:extLst>
                    <c:strCache>
                      <c:ptCount val="1"/>
                      <c:pt idx="0">
                        <c:v>支出</c:v>
                      </c:pt>
                    </c:strCache>
                  </c:strRef>
                </c:cat>
              </c15:ser>
            </c15:filteredBarSeries>
          </c:ext>
        </c:extLst>
      </c:barChart>
      <c:catAx>
        <c:axId val="862615232"/>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chemeClr val="tx1">
                        <a:lumMod val="65000"/>
                        <a:lumOff val="35000"/>
                      </a:schemeClr>
                    </a:solidFill>
                    <a:latin typeface="+mn-lt"/>
                    <a:ea typeface="+mn-ea"/>
                    <a:cs typeface="+mn-cs"/>
                  </a:defRPr>
                </a:pPr>
                <a:r>
                  <a:t>单位：万元</a:t>
                </a:r>
              </a:p>
            </c:rich>
          </c:tx>
          <c:layout>
            <c:manualLayout>
              <c:xMode val="edge"/>
              <c:yMode val="edge"/>
              <c:x val="0.849879197873883"/>
              <c:y val="0.0905227369315767"/>
            </c:manualLayout>
          </c:layout>
          <c:overlay val="0"/>
          <c:spPr>
            <a:noFill/>
            <a:ln>
              <a:noFill/>
            </a:ln>
            <a:effectLst/>
          </c:spPr>
        </c:title>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95964373"/>
        <c:crosses val="autoZero"/>
        <c:auto val="1"/>
        <c:lblAlgn val="ctr"/>
        <c:lblOffset val="100"/>
        <c:noMultiLvlLbl val="0"/>
      </c:catAx>
      <c:valAx>
        <c:axId val="1959643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261523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792c1b-19a8-4542-939e-072dd6889b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plotArea>
      <c:layout/>
      <c:pieChart>
        <c:varyColors val="1"/>
        <c:ser>
          <c:idx val="1"/>
          <c:order val="0"/>
          <c:tx>
            <c:strRef>
              <c:f>Sheet1!$B$1</c:f>
              <c:strCache>
                <c:ptCount val="1"/>
                <c:pt idx="0">
                  <c:v>一般公共预算拨款支出决算结构</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1"/>
                        </a:solidFill>
                        <a:latin typeface="+mn-lt"/>
                        <a:ea typeface="+mn-ea"/>
                        <a:cs typeface="+mn-cs"/>
                      </a:defRPr>
                    </a:pPr>
                    <a:r>
                      <a:t>教育支出</a:t>
                    </a:r>
                  </a:p>
                  <a:p>
                    <a:pPr defTabSz="914400">
                      <a:defRPr lang="zh-CN" sz="1000" b="1" i="0" u="none" strike="noStrike" kern="1200" spc="0" baseline="0">
                        <a:solidFill>
                          <a:schemeClr val="accent1"/>
                        </a:solidFill>
                        <a:latin typeface="+mn-lt"/>
                        <a:ea typeface="+mn-ea"/>
                        <a:cs typeface="+mn-cs"/>
                      </a:defRPr>
                    </a:pPr>
                    <a:r>
                      <a:rPr lang="en-US" altLang="zh-CN"/>
                      <a:t>74.43</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2"/>
                        </a:solidFill>
                        <a:latin typeface="+mn-lt"/>
                        <a:ea typeface="+mn-ea"/>
                        <a:cs typeface="+mn-cs"/>
                      </a:defRPr>
                    </a:pPr>
                    <a:r>
                      <a:t>卫生健康支出</a:t>
                    </a:r>
                  </a:p>
                  <a:p>
                    <a:pPr defTabSz="914400">
                      <a:defRPr lang="zh-CN" sz="1000" b="1" i="0" u="none" strike="noStrike" kern="1200" spc="0" baseline="0">
                        <a:solidFill>
                          <a:schemeClr val="accent2"/>
                        </a:solidFill>
                        <a:latin typeface="+mn-lt"/>
                        <a:ea typeface="+mn-ea"/>
                        <a:cs typeface="+mn-cs"/>
                      </a:defRPr>
                    </a:pPr>
                    <a:r>
                      <a:rPr lang="en-US" altLang="zh-CN"/>
                      <a:t>4.37</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manualLayout>
                  <c:x val="0.00169122976564393"/>
                  <c:y val="-8.20473343953927e-16"/>
                </c:manualLayout>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3"/>
                        </a:solidFill>
                        <a:latin typeface="+mn-lt"/>
                        <a:ea typeface="+mn-ea"/>
                        <a:cs typeface="+mn-cs"/>
                      </a:defRPr>
                    </a:pPr>
                    <a:r>
                      <a:t>社会保障和就业支出</a:t>
                    </a:r>
                  </a:p>
                  <a:p>
                    <a:pPr defTabSz="914400">
                      <a:defRPr lang="zh-CN" sz="1000" b="1" i="0" u="none" strike="noStrike" kern="1200" spc="0" baseline="0">
                        <a:solidFill>
                          <a:schemeClr val="accent3"/>
                        </a:solidFill>
                        <a:latin typeface="+mn-lt"/>
                        <a:ea typeface="+mn-ea"/>
                        <a:cs typeface="+mn-cs"/>
                      </a:defRPr>
                    </a:pPr>
                    <a:r>
                      <a:rPr lang="en-US" altLang="zh-CN"/>
                      <a:t>14.31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3"/>
              <c:layout/>
              <c:tx>
                <c:rich>
                  <a:bodyPr rot="0" spcFirstLastPara="0" vertOverflow="ellipsis" vert="horz" wrap="square" lIns="38100" tIns="19050" rIns="38100" bIns="19050" anchor="ctr" anchorCtr="1"/>
                  <a:lstStyle/>
                  <a:p>
                    <a:pPr defTabSz="914400">
                      <a:defRPr lang="zh-CN" sz="1000" b="1" i="0" u="none" strike="noStrike" kern="1200" spc="0" baseline="0">
                        <a:solidFill>
                          <a:schemeClr val="accent4"/>
                        </a:solidFill>
                        <a:latin typeface="+mn-lt"/>
                        <a:ea typeface="+mn-ea"/>
                        <a:cs typeface="+mn-cs"/>
                      </a:defRPr>
                    </a:pPr>
                    <a:r>
                      <a:t>住房保障支出</a:t>
                    </a:r>
                  </a:p>
                  <a:p>
                    <a:pPr defTabSz="914400">
                      <a:defRPr lang="zh-CN" sz="1000" b="1" i="0" u="none" strike="noStrike" kern="1200" spc="0" baseline="0">
                        <a:solidFill>
                          <a:schemeClr val="accent4"/>
                        </a:solidFill>
                        <a:latin typeface="+mn-lt"/>
                        <a:ea typeface="+mn-ea"/>
                        <a:cs typeface="+mn-cs"/>
                      </a:defRPr>
                    </a:pPr>
                    <a:r>
                      <a:rPr lang="en-US" altLang="zh-CN"/>
                      <a:t>6.89</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教育支出</c:v>
                </c:pt>
                <c:pt idx="1">
                  <c:v>卫生健康支出</c:v>
                </c:pt>
                <c:pt idx="2">
                  <c:v>社会保障和就业支出</c:v>
                </c:pt>
                <c:pt idx="3">
                  <c:v>住房保障支出</c:v>
                </c:pt>
              </c:strCache>
            </c:strRef>
          </c:cat>
          <c:val>
            <c:numRef>
              <c:f>Sheet1!$B$2:$B$5</c:f>
              <c:numCache>
                <c:formatCode>0.00%</c:formatCode>
                <c:ptCount val="4"/>
                <c:pt idx="0">
                  <c:v>0.7443</c:v>
                </c:pt>
                <c:pt idx="1">
                  <c:v>0.0437</c:v>
                </c:pt>
                <c:pt idx="2">
                  <c:v>0.4635</c:v>
                </c:pt>
                <c:pt idx="3">
                  <c:v>0.0689</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05c8bd0d-1b14-40d7-b2f3-67883260683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1" i="0" u="none" strike="noStrike" kern="1200" baseline="0">
              <a:solidFill>
                <a:schemeClr val="tx1">
                  <a:lumMod val="75000"/>
                  <a:lumOff val="25000"/>
                </a:schemeClr>
              </a:solidFill>
              <a:latin typeface="+mn-lt"/>
              <a:ea typeface="+mn-ea"/>
              <a:cs typeface="+mn-cs"/>
            </a:defRPr>
          </a:pPr>
        </a:p>
      </c:txPr>
    </c:title>
    <c:autoTitleDeleted val="0"/>
    <c:plotArea>
      <c:layout/>
      <c:pieChart>
        <c:varyColors val="1"/>
        <c:ser>
          <c:idx val="0"/>
          <c:order val="0"/>
          <c:tx>
            <c:strRef>
              <c:f>Sheet1!$B$1</c:f>
              <c:strCache>
                <c:ptCount val="1"/>
                <c:pt idx="0">
                  <c:v>“三公”经费支出结构图</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因公出国经费</c:v>
                </c:pt>
                <c:pt idx="1">
                  <c:v>公务用车购置及运行维护费</c:v>
                </c:pt>
                <c:pt idx="2">
                  <c:v>公务接待费</c:v>
                </c:pt>
              </c:strCache>
            </c:strRef>
          </c:cat>
          <c:val>
            <c:numRef>
              <c:f>Sheet1!$B$2:$B$4</c:f>
              <c:numCache>
                <c:formatCode>General</c:formatCode>
                <c:ptCount val="3"/>
                <c:pt idx="0">
                  <c:v>0</c:v>
                </c:pt>
                <c:pt idx="1">
                  <c:v>0</c:v>
                </c:pt>
                <c:pt idx="2" c:formatCode="0%">
                  <c:v>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36a5ec0-3828-4c5e-909e-13c5ee5ed4e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85">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word/theme/themeOverride1.xml><?xml version="1.0" encoding="utf-8"?>
<a:themeOverride xmlns:a="http://schemas.openxmlformats.org/drawingml/2006/main">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383c80ef-c3c5-40c8-ac94-163c584a45ab</errorID>
      <errorWord>提高培训效果</errorWord>
      <group>L1_Word</group>
      <groupName>字词问题</groupName>
      <ability>L2_Typo</ability>
      <abilityName>字词错误</abilityName>
      <candidateList>
        <item>增强培训效果</item>
      </candidateList>
      <explain/>
      <paraID> C75265C</paraID>
      <start>132</start>
      <end>138</end>
      <status>modified</status>
      <modifiedWord>增强培训效果</modifiedWord>
      <trackRevisions>false</trackRevisions>
    </reviewItem>
    <reviewItem>
      <errorID>89c4fe21-bb90-416e-b671-c0fdf05a8990</errorID>
      <errorWord>高素质的干部队伍</errorWord>
      <group>L1_Political</group>
      <groupName>政治性问题</groupName>
      <ability>L2_Keyword</ability>
      <abilityName>固定表述</abilityName>
      <candidateList>
        <item>高素质干部队伍</item>
      </candidateList>
      <explain>词汇“高素质干部队伍”在特定场景下为固定表述形式，请确认此处的“高素质的干部队伍”是否存在不当。</explain>
      <paraID> C75265C</paraID>
      <start>148</start>
      <end>155</end>
      <status>modified</status>
      <modifiedWord>高素质干部队伍</modifiedWord>
      <trackRevisions>false</trackRevisions>
    </reviewItem>
    <reviewItem>
      <errorID>e1d14bc7-ad9e-41f7-8ca3-cbb3f55d00c5</errorID>
      <errorWord>，</errorWord>
      <group>L1_Word</group>
      <groupName>字词问题</groupName>
      <ability>L2_Typo</ability>
      <abilityName>字词错误</abilityName>
      <candidateList>
        <item>，以</item>
      </candidateList>
      <explain/>
      <paraID> C75265C</paraID>
      <start>171</start>
      <end>173</end>
      <status>modified</status>
      <modifiedWord>，以</modifiedWord>
      <trackRevisions>false</trackRevisions>
    </reviewItem>
    <reviewItem>
      <errorID>24394c57-46e1-4c03-a298-6d757cc72631</errorID>
      <errorWord>(</errorWord>
      <group>L1_Format</group>
      <groupName>格式问题</groupName>
      <ability>L2_HalfPunc_CN</ability>
      <abilityName>全半角问题</abilityName>
      <candidateList>
        <item>（</item>
      </candidateList>
      <explain>文本全半角错误。</explain>
      <paraID>42D200D0</paraID>
      <start>28</start>
      <end>29</end>
      <status>modified</status>
      <modifiedWord>（</modifiedWord>
      <trackRevisions>false</trackRevisions>
    </reviewItem>
    <reviewItem>
      <errorID>07003c29-10f2-4580-8e5a-3a6c6e0001ee</errorID>
      <errorWord>)</errorWord>
      <group>L1_Format</group>
      <groupName>格式问题</groupName>
      <ability>L2_HalfPunc_CN</ability>
      <abilityName>全半角问题</abilityName>
      <candidateList>
        <item>）</item>
      </candidateList>
      <explain>文本全半角错误。</explain>
      <paraID>42D200D0</paraID>
      <start>31</start>
      <end>32</end>
      <status>modified</status>
      <modifiedWord>）</modifiedWord>
      <trackRevisions>false</trackRevisions>
    </reviewItem>
    <reviewItem>
      <errorID>284dde40-6171-4ab1-b990-fbc5a06c9ee0</errorID>
      <errorWord>;</errorWord>
      <group>L1_Format</group>
      <groupName>格式问题</groupName>
      <ability>L2_HalfPunc_CN</ability>
      <abilityName>全半角问题</abilityName>
      <candidateList>
        <item>；</item>
      </candidateList>
      <explain>文本全半角错误。</explain>
      <paraID>42D200D0</paraID>
      <start>52</start>
      <end>53</end>
      <status>modified</status>
      <modifiedWord>；</modifiedWord>
      <trackRevisions>false</trackRevisions>
    </reviewItem>
    <reviewItem>
      <errorID>b5ef323b-5eee-4af3-8dc5-527f5d942576</errorID>
      <errorWord>;</errorWord>
      <group>L1_Format</group>
      <groupName>格式问题</groupName>
      <ability>L2_HalfPunc_CN</ability>
      <abilityName>全半角问题</abilityName>
      <candidateList>
        <item>；</item>
      </candidateList>
      <explain>文本全半角错误。</explain>
      <paraID>42D200D0</paraID>
      <start>75</start>
      <end>76</end>
      <status>modified</status>
      <modifiedWord>；</modifiedWord>
      <trackRevisions>false</trackRevisions>
    </reviewItem>
    <reviewItem>
      <errorID>814ea218-af87-46cb-96f2-509ea3895a63</errorID>
      <errorWord>;</errorWord>
      <group>L1_Format</group>
      <groupName>格式问题</groupName>
      <ability>L2_HalfPunc_CN</ability>
      <abilityName>全半角问题</abilityName>
      <candidateList>
        <item>；</item>
      </candidateList>
      <explain>文本全半角错误。</explain>
      <paraID>42D200D0</paraID>
      <start>116</start>
      <end>117</end>
      <status>modified</status>
      <modifiedWord>；</modifiedWord>
      <trackRevisions>false</trackRevisions>
    </reviewItem>
    <reviewItem>
      <errorID>58d89079-c11a-4bfb-8d27-88c377a9dae5</errorID>
      <errorWord>;</errorWord>
      <group>L1_Format</group>
      <groupName>格式问题</groupName>
      <ability>L2_HalfPunc_CN</ability>
      <abilityName>全半角问题</abilityName>
      <candidateList>
        <item>；</item>
      </candidateList>
      <explain>文本全半角错误。</explain>
      <paraID>42D200D0</paraID>
      <start>184</start>
      <end>185</end>
      <status>modified</status>
      <modifiedWord>；</modifiedWord>
      <trackRevisions>false</trackRevisions>
    </reviewItem>
    <reviewItem>
      <errorID>510e1eac-abcb-4bd3-b2c3-e60eae9e6a49</errorID>
      <errorWord>;</errorWord>
      <group>L1_Format</group>
      <groupName>格式问题</groupName>
      <ability>L2_HalfPunc_CN</ability>
      <abilityName>全半角问题</abilityName>
      <candidateList>
        <item>；</item>
      </candidateList>
      <explain>文本全半角错误。</explain>
      <paraID>42D200D0</paraID>
      <start>201</start>
      <end>202</end>
      <status>modified</status>
      <modifiedWord>；</modifiedWord>
      <trackRevisions>false</trackRevisions>
    </reviewItem>
    <reviewItem>
      <errorID>e9d6cedc-485a-4e10-9898-6feeaff315be</errorID>
      <errorWord>&lt;</errorWord>
      <group>L1_Format</group>
      <groupName>格式问题</groupName>
      <ability>L2_HalfPunc_CN</ability>
      <abilityName>全半角问题</abilityName>
      <candidateList>
        <item>〈</item>
      </candidateList>
      <explain>文本全半角错误。</explain>
      <paraID>50FC1288</paraID>
      <start>50</start>
      <end>51</end>
      <status>modified</status>
      <modifiedWord>〈</modifiedWord>
      <trackRevisions>false</trackRevisions>
    </reviewItem>
    <reviewItem>
      <errorID>d9504bfa-6cda-46c3-93fe-31c859a09642</errorID>
      <errorWord>&gt;</errorWord>
      <group>L1_Format</group>
      <groupName>格式问题</groupName>
      <ability>L2_HalfPunc_CN</ability>
      <abilityName>全半角问题</abilityName>
      <candidateList>
        <item>〉</item>
      </candidateList>
      <explain>文本全半角错误。</explain>
      <paraID>50FC1288</paraID>
      <start>53</start>
      <end>54</end>
      <status>modified</status>
      <modifiedWord>〉</modifiedWord>
      <trackRevisions>false</trackRevisions>
    </reviewItem>
    <reviewItem>
      <errorID>16dd754e-799c-470d-af12-77bb95a09ab1</errorID>
      <errorWord>&lt;</errorWord>
      <group>L1_Format</group>
      <groupName>格式问题</groupName>
      <ability>L2_HalfPunc_CN</ability>
      <abilityName>全半角问题</abilityName>
      <candidateList>
        <item>〈</item>
      </candidateList>
      <explain>文本全半角错误。</explain>
      <paraID>50FC1288</paraID>
      <start>60</start>
      <end>61</end>
      <status>modified</status>
      <modifiedWord>〈</modifiedWord>
      <trackRevisions>false</trackRevisions>
    </reviewItem>
    <reviewItem>
      <errorID>7e705712-0bc3-460d-8ea2-444b87708935</errorID>
      <errorWord>&gt;</errorWord>
      <group>L1_Format</group>
      <groupName>格式问题</groupName>
      <ability>L2_HalfPunc_CN</ability>
      <abilityName>全半角问题</abilityName>
      <candidateList>
        <item>〉</item>
      </candidateList>
      <explain>文本全半角错误。</explain>
      <paraID>50FC1288</paraID>
      <start>63</start>
      <end>64</end>
      <status>modified</status>
      <modifiedWord>〉</modifiedWord>
      <trackRevisions>false</trackRevisions>
    </reviewItem>
    <reviewItem>
      <errorID>2ca54325-ff40-44e6-9a50-5cd9171cca91</errorID>
      <errorWord>形成形成</errorWord>
      <group>L1_Word</group>
      <groupName>字词问题</groupName>
      <ability>L2_Typo</ability>
      <abilityName>字词错误</abilityName>
      <candidateList>
        <item>形成</item>
      </candidateList>
      <explain/>
      <paraID>6A055C4A</paraID>
      <start>84</start>
      <end>86</end>
      <status>modified</status>
      <modifiedWord>形成</modifiedWord>
      <trackRevisions>false</trackRevisions>
    </reviewItem>
    <reviewItem>
      <errorID>c7c93c29-67a1-4a68-a1c7-9217e9586337</errorID>
      <errorWord>升</errorWord>
      <group>L1_Word</group>
      <groupName>字词问题</groupName>
      <ability>L2_Typo</ability>
      <abilityName>字词错误</abilityName>
      <candidateList>
        <item>升责</item>
      </candidateList>
      <explain/>
      <paraID>6A055C4A</paraID>
      <start>175</start>
      <end>177</end>
      <status>modified</status>
      <modifiedWord>升责</modifiedWord>
      <trackRevisions>false</trackRevisions>
    </reviewItem>
    <reviewItem>
      <errorID>c7667f03-aa46-439a-8fff-373d690d5e15</errorID>
      <errorWord>拔款</errorWord>
      <group>L1_Word</group>
      <groupName>字词问题</groupName>
      <ability>L2_Typo</ability>
      <abilityName>字词错误</abilityName>
      <candidateList>
        <item>拨款</item>
      </candidateList>
      <explain/>
      <paraID>137D27F2</paraID>
      <start>21</start>
      <end>23</end>
      <status>modified</status>
      <modifiedWord>拨款</modifiedWord>
      <trackRevisions>false</trackRevisions>
    </reviewItem>
    <reviewItem>
      <errorID>1a08f534-7b34-400f-adfd-30c814466760</errorID>
      <errorWord>提高培训效果</errorWord>
      <group>L1_Word</group>
      <groupName>字词问题</groupName>
      <ability>L2_Typo</ability>
      <abilityName>字词错误</abilityName>
      <candidateList>
        <item>增强培训效果</item>
      </candidateList>
      <explain/>
      <paraID>6BDC5305</paraID>
      <start>139</start>
      <end>145</end>
      <status>modified</status>
      <modifiedWord>增强培训效果</modifiedWord>
      <trackRevisions>false</trackRevisions>
    </reviewItem>
    <reviewItem>
      <errorID>58baa373-fb7e-4d34-8a75-f32ed4d44727</errorID>
      <errorWord>高素质的干部队伍</errorWord>
      <group>L1_Political</group>
      <groupName>政治性问题</groupName>
      <ability>L2_Keyword</ability>
      <abilityName>固定表述</abilityName>
      <candidateList>
        <item>高素质干部队伍</item>
      </candidateList>
      <explain>词汇“高素质干部队伍”在特定场景下为固定表述形式，请确认此处的“高素质的干部队伍”是否存在不当。</explain>
      <paraID>6BDC5305</paraID>
      <start>155</start>
      <end>162</end>
      <status>modified</status>
      <modifiedWord>高素质干部队伍</modifiedWord>
      <trackRevisions>false</trackRevisions>
    </reviewItem>
    <reviewItem>
      <errorID>25881a30-3703-4bee-bede-becd6f737536</errorID>
      <errorWord>，</errorWord>
      <group>L1_Word</group>
      <groupName>字词问题</groupName>
      <ability>L2_Typo</ability>
      <abilityName>字词错误</abilityName>
      <candidateList>
        <item>，以</item>
      </candidateList>
      <explain/>
      <paraID>6BDC5305</paraID>
      <start>178</start>
      <end>180</end>
      <status>modified</status>
      <modifiedWord>，以</modifiedWord>
      <trackRevisions>false</trackRevisions>
    </reviewItem>
    <reviewItem>
      <errorID>aeabd4cd-2a53-488b-b28f-623ac91111ae</errorID>
      <errorWord>(</errorWord>
      <group>L1_Format</group>
      <groupName>格式问题</groupName>
      <ability>L2_HalfPunc_CN</ability>
      <abilityName>全半角问题</abilityName>
      <candidateList>
        <item>（</item>
      </candidateList>
      <explain>文本全半角错误。</explain>
      <paraID>42897CFA</paraID>
      <start>28</start>
      <end>29</end>
      <status>modified</status>
      <modifiedWord>（</modifiedWord>
      <trackRevisions>false</trackRevisions>
    </reviewItem>
    <reviewItem>
      <errorID>0f13feb9-4de6-4bd6-8bc8-8bb33fa8d4c5</errorID>
      <errorWord>)</errorWord>
      <group>L1_Format</group>
      <groupName>格式问题</groupName>
      <ability>L2_HalfPunc_CN</ability>
      <abilityName>全半角问题</abilityName>
      <candidateList>
        <item>）</item>
      </candidateList>
      <explain>文本全半角错误。</explain>
      <paraID>42897CFA</paraID>
      <start>31</start>
      <end>32</end>
      <status>modified</status>
      <modifiedWord>）</modifiedWord>
      <trackRevisions>false</trackRevisions>
    </reviewItem>
    <reviewItem>
      <errorID>77f88068-5cc7-4d83-aac3-6eaecc4ee7d0</errorID>
      <errorWord>;</errorWord>
      <group>L1_Format</group>
      <groupName>格式问题</groupName>
      <ability>L2_HalfPunc_CN</ability>
      <abilityName>全半角问题</abilityName>
      <candidateList>
        <item>；</item>
      </candidateList>
      <explain>文本全半角错误。</explain>
      <paraID>42897CFA</paraID>
      <start>52</start>
      <end>53</end>
      <status>modified</status>
      <modifiedWord>；</modifiedWord>
      <trackRevisions>false</trackRevisions>
    </reviewItem>
    <reviewItem>
      <errorID>f5980f0d-c47f-4542-8abe-16efbb2b21ce</errorID>
      <errorWord>;</errorWord>
      <group>L1_Format</group>
      <groupName>格式问题</groupName>
      <ability>L2_HalfPunc_CN</ability>
      <abilityName>全半角问题</abilityName>
      <candidateList>
        <item>；</item>
      </candidateList>
      <explain>文本全半角错误。</explain>
      <paraID>42897CFA</paraID>
      <start>75</start>
      <end>76</end>
      <status>modified</status>
      <modifiedWord>；</modifiedWord>
      <trackRevisions>false</trackRevisions>
    </reviewItem>
    <reviewItem>
      <errorID>84b0d9ac-f475-47da-a944-f126533b3477</errorID>
      <errorWord>;</errorWord>
      <group>L1_Format</group>
      <groupName>格式问题</groupName>
      <ability>L2_HalfPunc_CN</ability>
      <abilityName>全半角问题</abilityName>
      <candidateList>
        <item>；</item>
      </candidateList>
      <explain>文本全半角错误。</explain>
      <paraID>42897CFA</paraID>
      <start>116</start>
      <end>117</end>
      <status>modified</status>
      <modifiedWord>；</modifiedWord>
      <trackRevisions>false</trackRevisions>
    </reviewItem>
    <reviewItem>
      <errorID>09797f47-b6ec-48a8-97e8-87c902818e3c</errorID>
      <errorWord>;</errorWord>
      <group>L1_Format</group>
      <groupName>格式问题</groupName>
      <ability>L2_HalfPunc_CN</ability>
      <abilityName>全半角问题</abilityName>
      <candidateList>
        <item>；</item>
      </candidateList>
      <explain>文本全半角错误。</explain>
      <paraID>42897CFA</paraID>
      <start>184</start>
      <end>185</end>
      <status>modified</status>
      <modifiedWord>；</modifiedWord>
      <trackRevisions>false</trackRevisions>
    </reviewItem>
    <reviewItem>
      <errorID>2898a63d-def9-4960-b2c8-87d22268149e</errorID>
      <errorWord>;</errorWord>
      <group>L1_Format</group>
      <groupName>格式问题</groupName>
      <ability>L2_HalfPunc_CN</ability>
      <abilityName>全半角问题</abilityName>
      <candidateList>
        <item>；</item>
      </candidateList>
      <explain>文本全半角错误。</explain>
      <paraID>42897CFA</paraID>
      <start>201</start>
      <end>202</end>
      <status>modified</status>
      <modifiedWord>；</modifiedWord>
      <trackRevisions>false</trackRevisions>
    </reviewItem>
    <reviewItem>
      <errorID>2f405e81-d752-4014-9c03-4d14e0920109</errorID>
      <errorWord>财务财务</errorWord>
      <group>L1_Word</group>
      <groupName>字词问题</groupName>
      <ability>L2_Typo</ability>
      <abilityName>字词错误</abilityName>
      <candidateList>
        <item>财务</item>
      </candidateList>
      <explain/>
      <paraID>5D488B20</paraID>
      <start>92</start>
      <end>94</end>
      <status>modified</status>
      <modifiedWord>财务</modifiedWord>
      <trackRevisions>false</trackRevisions>
    </reviewItem>
    <reviewItem>
      <errorID>574d05e3-0cc8-40ab-9226-6d782e92c32a</errorID>
      <errorWord>位</errorWord>
      <group>L1_Word</group>
      <groupName>字词问题</groupName>
      <ability>L2_Typo</ability>
      <abilityName>字词错误</abilityName>
      <candidateList>
        <item>位加</item>
      </candidateList>
      <explain/>
      <paraID>5D488B20</paraID>
      <start>129</start>
      <end>131</end>
      <status>modified</status>
      <modifiedWord>位加</modifiedWord>
      <trackRevisions>false</trackRevisions>
    </reviewItem>
    <reviewItem>
      <errorID>48f8a19d-ea01-4d75-bda2-dd99be44205c</errorID>
      <errorWord>位</errorWord>
      <group>L1_Word</group>
      <groupName>字词问题</groupName>
      <ability>L2_Typo</ability>
      <abilityName>字词错误</abilityName>
      <candidateList>
        <item>位加</item>
      </candidateList>
      <explain/>
      <paraID>39A2F06B</paraID>
      <start>13</start>
      <end>15</end>
      <status>modified</status>
      <modifiedWord>位加</modifiedWord>
      <trackRevisions>false</trackRevisions>
    </reviewItem>
    <reviewItem>
      <errorID>27e8a723-c670-48c4-8c40-f052d6bb2ad4</errorID>
      <errorWord>截止</errorWord>
      <group>L1_Word</group>
      <groupName>字词问题</groupName>
      <ability>L2_Typo</ability>
      <abilityName>字词错误</abilityName>
      <candidateList>
        <item>截至</item>
      </candidateList>
      <explain>存在发音相同字词的误用。</explain>
      <paraID>3639643A</paraID>
      <start>0</start>
      <end>2</end>
      <status>modified</status>
      <modifiedWord>截至</modifiedWord>
      <trackRevisions>false</trackRevisions>
    </reviewItem>
    <reviewItem>
      <errorID>c2fe7316-4657-4a59-af3b-e0545c634d60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24608D5</paraID>
      <start>1</start>
      <end>3</end>
      <status>modified</status>
      <modifiedWord>1.</modifiedWord>
      <trackRevisions>false</trackRevisions>
    </reviewItem>
    <reviewItem>
      <errorID>be06ac3d-3aa1-4bda-ba8e-547e1186dafb</errorID>
      <errorWord>更</errorWord>
      <group>L1_Word</group>
      <groupName>字词问题</groupName>
      <ability>L2_Typo</ability>
      <abilityName>字词错误</abilityName>
      <candidateList>
        <item>更加</item>
      </candidateList>
      <explain/>
      <paraID> 24608D5</paraID>
      <start>9</start>
      <end>11</end>
      <status>modified</status>
      <modifiedWord>更加</modifiedWord>
      <trackRevisions>false</trackRevisions>
    </reviewItem>
    <reviewItem>
      <errorID>5ceb32cf-4243-4732-b2c7-af7b93688cde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7BA4A7D4</paraID>
      <start>0</start>
      <end>2</end>
      <status>modified</status>
      <modifiedWord>2.</modifiedWord>
      <trackRevisions>false</trackRevisions>
    </reviewItem>
    <reviewItem>
      <errorID>084d8f94-8a4c-4458-ac89-9e18a1839e13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599D64D1</paraID>
      <start>0</start>
      <end>2</end>
      <status>modified</status>
      <modifiedWord>1.</modifiedWord>
      <trackRevisions>false</trackRevisions>
    </reviewItem>
    <reviewItem>
      <errorID>ee0c71fd-d24c-4189-bfd9-53deae05ed6e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5F96AF02</paraID>
      <start>0</start>
      <end>2</end>
      <status>modified</status>
      <modifiedWord>2.</modifiedWord>
      <trackRevisions>false</trackRevisions>
    </reviewItem>
    <reviewItem>
      <errorID>d7779a33-c777-4bdd-a5de-a0f3c6cce1b6</errorID>
      <errorWord>适度</errorWord>
      <group>L1_Word</group>
      <groupName>字词问题</groupName>
      <ability>L2_Typo</ability>
      <abilityName>字词错误</abilityName>
      <candidateList>
        <item>制度</item>
      </candidateList>
      <explain/>
      <paraID>5F96AF02</paraID>
      <start>44</start>
      <end>46</end>
      <status>modified</status>
      <modifiedWord>制度</modifiedWord>
      <trackRevisions>false</trackRevisions>
    </reviewItem>
    <reviewItem>
      <errorID>fa1e7f81-b37a-411f-ab3a-e3cb42277567</errorID>
      <errorWord>,</errorWord>
      <group>L1_Format</group>
      <groupName>格式问题</groupName>
      <ability>L2_HalfPunc_CN</ability>
      <abilityName>全半角问题</abilityName>
      <candidateList>
        <item>，</item>
      </candidateList>
      <explain>文本全半角错误。</explain>
      <paraID>5CD150DA</paraID>
      <start>61</start>
      <end>62</end>
      <status>modified</status>
      <modifiedWord>，</modifiedWord>
      <trackRevisions>false</trackRevisions>
    </reviewItem>
    <reviewItem>
      <errorID>075dfb73-97ec-40c3-8e03-244ae444db42</errorID>
      <errorWord>,</errorWord>
      <group>L1_Format</group>
      <groupName>格式问题</groupName>
      <ability>L2_HalfPunc_CN</ability>
      <abilityName>全半角问题</abilityName>
      <candidateList>
        <item>，</item>
      </candidateList>
      <explain>文本全半角错误。</explain>
      <paraID>5CD150DA</paraID>
      <start>68</start>
      <end>69</end>
      <status>modified</status>
      <modifiedWord>，</modifiedWord>
      <trackRevisions>false</trackRevisions>
    </reviewItem>
    <reviewItem>
      <errorID>84ec9207-c2da-450c-b93b-8bc0faf872a0</errorID>
      <errorWord>,</errorWord>
      <group>L1_Format</group>
      <groupName>格式问题</groupName>
      <ability>L2_HalfPunc_CN</ability>
      <abilityName>全半角问题</abilityName>
      <candidateList>
        <item>，</item>
      </candidateList>
      <explain>文本全半角错误。</explain>
      <paraID>5CD150DA</paraID>
      <start>82</start>
      <end>83</end>
      <status>modified</status>
      <modifiedWord>，</modifiedWord>
      <trackRevisions>false</trackRevisions>
    </reviewItem>
    <reviewItem>
      <errorID>0de605b9-5a16-4f35-a32f-d2f2e8e095de</errorID>
      <errorWord>区</errorWord>
      <group>L1_Word</group>
      <groupName>字词问题</groupName>
      <ability>L2_Typo</ability>
      <abilityName>字词错误</abilityName>
      <candidateList>
        <item>区党</item>
      </candidateList>
      <explain/>
      <paraID> 81ACBAB</paraID>
      <start>3</start>
      <end>5</end>
      <status>modified</status>
      <modifiedWord>区党</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7a1768-451d-46b4-8476-a5375a7705b3}">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28</Pages>
  <Words>8965</Words>
  <Characters>9594</Characters>
  <Lines>1</Lines>
  <Paragraphs>1</Paragraphs>
  <TotalTime>9</TotalTime>
  <ScaleCrop>false</ScaleCrop>
  <LinksUpToDate>false</LinksUpToDate>
  <CharactersWithSpaces>9747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2026-10-13T07:51:00Z</cp:lastPrinted>
  <dcterms:modified xsi:type="dcterms:W3CDTF">2026-10-15T02:13:26Z</dcterms:modified>
  <dc:title>四川省***</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eyJoZGlkIjoiNTU1MWNhN2ZmY2ZhZmY3ODhlYTg0MWU5OGMyY2QwZmUiLCJ1c2VySWQiOiI0MzQ2NTM0NzEifQ==</vt:lpwstr>
  </property>
</Properties>
</file>