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7A582">
      <w:pPr>
        <w:pStyle w:val="6"/>
        <w:rPr>
          <w:rFonts w:hint="eastAsia" w:ascii="黑体" w:hAnsi="黑体" w:eastAsia="黑体" w:cs="黑体"/>
          <w:color w:val="auto"/>
          <w:kern w:val="2"/>
          <w:sz w:val="32"/>
          <w:szCs w:val="32"/>
          <w:highlight w:val="none"/>
          <w:lang w:val="en-US" w:eastAsia="zh-CN" w:bidi="ar-SA"/>
        </w:rPr>
      </w:pPr>
      <w:bookmarkStart w:id="0" w:name="_Toc15396597"/>
      <w:bookmarkStart w:id="1" w:name="_Toc15377425"/>
      <w:bookmarkStart w:id="2" w:name="_Toc15378441"/>
      <w:bookmarkStart w:id="3" w:name="_Toc15396475"/>
      <w:bookmarkStart w:id="4" w:name="_Toc15377193"/>
      <w:bookmarkStart w:id="5" w:name="_Toc15306267"/>
      <w:r>
        <w:rPr>
          <w:rFonts w:hint="eastAsia" w:ascii="黑体" w:hAnsi="黑体" w:eastAsia="黑体" w:cs="黑体"/>
          <w:color w:val="auto"/>
          <w:kern w:val="2"/>
          <w:sz w:val="32"/>
          <w:szCs w:val="32"/>
          <w:highlight w:val="none"/>
          <w:lang w:val="en-US" w:eastAsia="zh-CN" w:bidi="ar-SA"/>
        </w:rPr>
        <w:t>附件4</w:t>
      </w:r>
    </w:p>
    <w:p w14:paraId="21C2E7F3">
      <w:pPr>
        <w:pStyle w:val="6"/>
        <w:rPr>
          <w:rFonts w:hint="eastAsia" w:ascii="Times New Roman" w:hAnsi="Times New Roman" w:eastAsia="方正小标宋简体" w:cs="Times New Roman"/>
          <w:color w:val="auto"/>
          <w:kern w:val="2"/>
          <w:sz w:val="72"/>
          <w:szCs w:val="72"/>
          <w:highlight w:val="none"/>
          <w:lang w:val="en-US" w:eastAsia="zh-CN" w:bidi="ar-SA"/>
        </w:rPr>
      </w:pPr>
    </w:p>
    <w:p w14:paraId="1D1D2C0F">
      <w:pPr>
        <w:pStyle w:val="6"/>
        <w:rPr>
          <w:rFonts w:hint="eastAsia" w:ascii="Times New Roman" w:hAnsi="Times New Roman" w:eastAsia="方正小标宋简体" w:cs="Times New Roman"/>
          <w:color w:val="auto"/>
          <w:kern w:val="2"/>
          <w:sz w:val="72"/>
          <w:szCs w:val="72"/>
          <w:highlight w:val="none"/>
          <w:lang w:val="en-US" w:eastAsia="zh-CN" w:bidi="ar-SA"/>
        </w:rPr>
      </w:pPr>
    </w:p>
    <w:p w14:paraId="5EE31F6D">
      <w:pPr>
        <w:pStyle w:val="6"/>
        <w:rPr>
          <w:rFonts w:hint="eastAsia" w:ascii="Times New Roman" w:hAnsi="Times New Roman" w:eastAsia="方正小标宋简体" w:cs="Times New Roman"/>
          <w:color w:val="auto"/>
          <w:kern w:val="2"/>
          <w:sz w:val="72"/>
          <w:szCs w:val="72"/>
          <w:highlight w:val="none"/>
          <w:lang w:val="en-US" w:eastAsia="zh-CN" w:bidi="ar-SA"/>
        </w:rPr>
      </w:pPr>
    </w:p>
    <w:p w14:paraId="21946702">
      <w:pPr>
        <w:pStyle w:val="6"/>
        <w:rPr>
          <w:rFonts w:hint="eastAsia" w:ascii="Times New Roman" w:hAnsi="Times New Roman" w:eastAsia="方正小标宋简体" w:cs="Times New Roman"/>
          <w:color w:val="auto"/>
          <w:kern w:val="2"/>
          <w:sz w:val="72"/>
          <w:szCs w:val="72"/>
          <w:highlight w:val="none"/>
          <w:lang w:val="en-US" w:eastAsia="zh-CN" w:bidi="ar-SA"/>
        </w:rPr>
      </w:pPr>
    </w:p>
    <w:p w14:paraId="1FE3DFBC">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2025年度四川省松潘县党史和地方志编纂中心</w:t>
      </w:r>
      <w:r>
        <w:rPr>
          <w:rFonts w:hint="eastAsia" w:ascii="Times New Roman" w:hAnsi="Times New Roman" w:eastAsia="方正小标宋简体" w:cs="Times New Roman"/>
          <w:color w:val="auto"/>
          <w:kern w:val="2"/>
          <w:sz w:val="44"/>
          <w:szCs w:val="44"/>
          <w:highlight w:val="none"/>
          <w:lang w:val="en-US" w:eastAsia="zh-CN" w:bidi="ar-SA"/>
        </w:rPr>
        <w:t>决算公开</w:t>
      </w:r>
    </w:p>
    <w:p w14:paraId="3401DAC9">
      <w:pPr>
        <w:spacing w:line="600" w:lineRule="exact"/>
        <w:jc w:val="center"/>
        <w:outlineLvl w:val="0"/>
        <w:rPr>
          <w:rFonts w:ascii="Times New Roman" w:hAnsi="Times New Roman" w:eastAsia="方正小标宋简体"/>
          <w:color w:val="auto"/>
          <w:sz w:val="72"/>
          <w:szCs w:val="72"/>
          <w:highlight w:val="none"/>
        </w:rPr>
      </w:pPr>
    </w:p>
    <w:p w14:paraId="2B23D979">
      <w:pPr>
        <w:pStyle w:val="2"/>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1D98DC4C">
      <w:pPr>
        <w:rPr>
          <w:rFonts w:ascii="Times New Roman" w:hAnsi="Times New Roman"/>
        </w:rPr>
      </w:pPr>
    </w:p>
    <w:p w14:paraId="08ACAB26">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19EA622D">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1E2D1189">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E172CFF">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735E1E69">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476"/>
      <w:bookmarkStart w:id="7" w:name="_Toc15377194"/>
      <w:bookmarkStart w:id="8" w:name="_Toc15377426"/>
      <w:bookmarkStart w:id="9" w:name="_Toc15378442"/>
      <w:bookmarkStart w:id="10" w:name="_Toc15396598"/>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松潘县党史和地方志编纂中心</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6EB24B10">
      <w:pPr>
        <w:widowControl/>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711363FE">
      <w:pPr>
        <w:rPr>
          <w:rFonts w:hint="eastAsia" w:ascii="Times New Roman" w:hAnsi="Times New Roman" w:eastAsia="黑体"/>
          <w:color w:val="auto"/>
          <w:sz w:val="48"/>
          <w:szCs w:val="48"/>
          <w:highlight w:val="none"/>
        </w:rPr>
      </w:pPr>
    </w:p>
    <w:p w14:paraId="6BF00765">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8C589CA">
      <w:pPr>
        <w:widowControl/>
        <w:jc w:val="center"/>
        <w:rPr>
          <w:rFonts w:ascii="Times New Roman" w:hAnsi="Times New Roman" w:eastAsia="黑体" w:cstheme="minorBidi"/>
          <w:color w:val="auto"/>
          <w:sz w:val="28"/>
          <w:szCs w:val="28"/>
          <w:highlight w:val="none"/>
        </w:rPr>
      </w:pPr>
    </w:p>
    <w:p w14:paraId="3990151A">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rPr>
        <w:t>日</w:t>
      </w:r>
    </w:p>
    <w:p w14:paraId="7E1112C4">
      <w:pPr>
        <w:pStyle w:val="2"/>
      </w:pPr>
    </w:p>
    <w:p w14:paraId="03BEE60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_Toc25531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p>
    <w:p w14:paraId="711E3A1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_Toc6939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p>
    <w:p w14:paraId="64A933F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_Toc3534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fldChar w:fldCharType="end"/>
      </w:r>
    </w:p>
    <w:p w14:paraId="0D31DF46">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_Toc2415 \h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p>
    <w:p w14:paraId="5030928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_Toc204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3</w:t>
      </w:r>
      <w:r>
        <w:rPr>
          <w:rFonts w:hint="eastAsia" w:ascii="方正仿宋_GBK" w:hAnsi="方正仿宋_GBK" w:eastAsia="方正仿宋_GBK" w:cs="方正仿宋_GBK"/>
          <w:sz w:val="32"/>
          <w:szCs w:val="32"/>
        </w:rPr>
        <w:fldChar w:fldCharType="end"/>
      </w:r>
    </w:p>
    <w:p w14:paraId="6E654AE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_Toc25426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3</w:t>
      </w:r>
      <w:r>
        <w:rPr>
          <w:rFonts w:hint="eastAsia" w:ascii="方正仿宋_GBK" w:hAnsi="方正仿宋_GBK" w:eastAsia="方正仿宋_GBK" w:cs="方正仿宋_GBK"/>
          <w:sz w:val="32"/>
          <w:szCs w:val="32"/>
        </w:rPr>
        <w:fldChar w:fldCharType="end"/>
      </w:r>
    </w:p>
    <w:p w14:paraId="7015B41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_Toc19150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4</w:t>
      </w:r>
      <w:r>
        <w:rPr>
          <w:rFonts w:hint="eastAsia" w:ascii="方正仿宋_GBK" w:hAnsi="方正仿宋_GBK" w:eastAsia="方正仿宋_GBK" w:cs="方正仿宋_GBK"/>
          <w:sz w:val="32"/>
          <w:szCs w:val="32"/>
        </w:rPr>
        <w:fldChar w:fldCharType="end"/>
      </w:r>
    </w:p>
    <w:p w14:paraId="059C736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_Toc31015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fldChar w:fldCharType="end"/>
      </w:r>
    </w:p>
    <w:p w14:paraId="5FC7DFD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_Toc18320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fldChar w:fldCharType="end"/>
      </w:r>
    </w:p>
    <w:p w14:paraId="1661FA8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_Toc13475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7</w:t>
      </w:r>
      <w:r>
        <w:rPr>
          <w:rFonts w:hint="eastAsia" w:ascii="方正仿宋_GBK" w:hAnsi="方正仿宋_GBK" w:eastAsia="方正仿宋_GBK" w:cs="方正仿宋_GBK"/>
          <w:sz w:val="32"/>
          <w:szCs w:val="32"/>
        </w:rPr>
        <w:fldChar w:fldCharType="end"/>
      </w:r>
    </w:p>
    <w:p w14:paraId="33D5EE0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_Toc14643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8</w:t>
      </w:r>
      <w:r>
        <w:rPr>
          <w:rFonts w:hint="eastAsia" w:ascii="方正仿宋_GBK" w:hAnsi="方正仿宋_GBK" w:eastAsia="方正仿宋_GBK" w:cs="方正仿宋_GBK"/>
          <w:sz w:val="32"/>
          <w:szCs w:val="32"/>
        </w:rPr>
        <w:fldChar w:fldCharType="end"/>
      </w:r>
    </w:p>
    <w:p w14:paraId="2321C24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_Toc2587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10</w:t>
      </w:r>
      <w:r>
        <w:rPr>
          <w:rFonts w:hint="eastAsia" w:ascii="方正仿宋_GBK" w:hAnsi="方正仿宋_GBK" w:eastAsia="方正仿宋_GBK" w:cs="方正仿宋_GBK"/>
          <w:sz w:val="32"/>
          <w:szCs w:val="32"/>
        </w:rPr>
        <w:fldChar w:fldCharType="end"/>
      </w:r>
    </w:p>
    <w:p w14:paraId="456887C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_Toc30153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10</w:t>
      </w:r>
      <w:r>
        <w:rPr>
          <w:rFonts w:hint="eastAsia" w:ascii="方正仿宋_GBK" w:hAnsi="方正仿宋_GBK" w:eastAsia="方正仿宋_GBK" w:cs="方正仿宋_GBK"/>
          <w:sz w:val="32"/>
          <w:szCs w:val="32"/>
        </w:rPr>
        <w:fldChar w:fldCharType="end"/>
      </w:r>
    </w:p>
    <w:p w14:paraId="3F12B95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_Toc26877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11</w:t>
      </w:r>
      <w:r>
        <w:rPr>
          <w:rFonts w:hint="eastAsia" w:ascii="方正仿宋_GBK" w:hAnsi="方正仿宋_GBK" w:eastAsia="方正仿宋_GBK" w:cs="方正仿宋_GBK"/>
          <w:sz w:val="32"/>
          <w:szCs w:val="32"/>
        </w:rPr>
        <w:fldChar w:fldCharType="end"/>
      </w:r>
    </w:p>
    <w:p w14:paraId="6761A6A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_Toc14419 \h </w:instrText>
      </w:r>
      <w:r>
        <w:rPr>
          <w:rFonts w:hint="eastAsia" w:ascii="黑体" w:hAnsi="黑体" w:eastAsia="黑体" w:cs="黑体"/>
          <w:sz w:val="32"/>
          <w:szCs w:val="32"/>
        </w:rPr>
        <w:fldChar w:fldCharType="separate"/>
      </w:r>
      <w:r>
        <w:rPr>
          <w:rFonts w:hint="eastAsia" w:ascii="黑体" w:hAnsi="黑体" w:eastAsia="黑体" w:cs="黑体"/>
          <w:sz w:val="32"/>
          <w:szCs w:val="32"/>
        </w:rPr>
        <w:t>12</w:t>
      </w:r>
      <w:r>
        <w:rPr>
          <w:rFonts w:hint="eastAsia" w:ascii="黑体" w:hAnsi="黑体" w:eastAsia="黑体" w:cs="黑体"/>
          <w:sz w:val="32"/>
          <w:szCs w:val="32"/>
        </w:rPr>
        <w:fldChar w:fldCharType="end"/>
      </w:r>
    </w:p>
    <w:p w14:paraId="30EE939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黑体" w:hAnsi="黑体" w:eastAsia="黑体" w:cs="黑体"/>
          <w:sz w:val="32"/>
          <w:szCs w:val="32"/>
        </w:rPr>
        <w:tab/>
      </w:r>
      <w:r>
        <w:rPr>
          <w:rFonts w:hint="eastAsia" w:ascii="黑体" w:hAnsi="黑体" w:eastAsia="黑体" w:cs="黑体"/>
          <w:sz w:val="32"/>
          <w:szCs w:val="32"/>
          <w:lang w:val="en-US" w:eastAsia="zh-CN"/>
        </w:rPr>
        <w:t>16</w:t>
      </w:r>
    </w:p>
    <w:p w14:paraId="6EA93FF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黑体" w:hAnsi="黑体" w:eastAsia="黑体" w:cs="黑体"/>
          <w:sz w:val="32"/>
          <w:szCs w:val="32"/>
        </w:rPr>
        <w:tab/>
      </w:r>
      <w:r>
        <w:rPr>
          <w:rFonts w:hint="eastAsia" w:ascii="黑体" w:hAnsi="黑体" w:eastAsia="黑体" w:cs="黑体"/>
          <w:sz w:val="32"/>
          <w:szCs w:val="32"/>
          <w:lang w:val="en-US" w:eastAsia="zh-CN"/>
        </w:rPr>
        <w:t>29</w:t>
      </w:r>
    </w:p>
    <w:p w14:paraId="23CCDD3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5CD68B2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0ADE5F0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28CA9E3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756971D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183F358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783729A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3A10CC9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0FF3187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5208754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72F101B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4DDA7C7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5BC6F46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29</w:t>
      </w:r>
    </w:p>
    <w:p w14:paraId="3EEB7CB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420" w:firstLineChars="200"/>
        <w:jc w:val="left"/>
        <w:textAlignment w:val="auto"/>
        <w:rPr>
          <w:rFonts w:hint="eastAsia"/>
        </w:rPr>
        <w:sectPr>
          <w:headerReference r:id="rId7" w:type="default"/>
          <w:footerReference r:id="rId8" w:type="default"/>
          <w:pgSz w:w="11906" w:h="16838"/>
          <w:pgMar w:top="1440" w:right="1800" w:bottom="1440" w:left="1800" w:header="851" w:footer="992" w:gutter="0"/>
          <w:pgNumType w:fmt="decimal" w:start="1"/>
          <w:cols w:space="425" w:num="1"/>
          <w:docGrid w:type="lines" w:linePitch="312" w:charSpace="0"/>
        </w:sectPr>
      </w:pPr>
    </w:p>
    <w:p w14:paraId="30267A11">
      <w:pPr>
        <w:pStyle w:val="3"/>
        <w:ind w:firstLine="1760" w:firstLineChars="400"/>
        <w:jc w:val="both"/>
        <w:rPr>
          <w:rStyle w:val="29"/>
          <w:rFonts w:hint="eastAsia" w:ascii="Times New Roman" w:hAnsi="Times New Roman" w:eastAsia="方正小标宋简体" w:cs="方正小标宋简体"/>
          <w:b/>
          <w:bCs w:val="0"/>
          <w:color w:val="auto"/>
          <w:highlight w:val="none"/>
        </w:rPr>
      </w:pPr>
      <w:bookmarkStart w:id="12" w:name="_Toc15396599"/>
      <w:bookmarkStart w:id="13" w:name="_Toc15377196"/>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1FA94F2B">
      <w:pPr>
        <w:widowControl/>
        <w:jc w:val="left"/>
        <w:rPr>
          <w:rFonts w:ascii="Times New Roman" w:hAnsi="Times New Roman" w:eastAsia="黑体"/>
          <w:color w:val="auto"/>
          <w:sz w:val="32"/>
          <w:szCs w:val="32"/>
          <w:highlight w:val="none"/>
        </w:rPr>
      </w:pPr>
    </w:p>
    <w:p w14:paraId="3D32BA7F">
      <w:pPr>
        <w:pStyle w:val="4"/>
        <w:rPr>
          <w:rFonts w:hint="eastAsia" w:ascii="Times New Roman" w:hAnsi="Times New Roman" w:eastAsia="黑体"/>
          <w:b w:val="0"/>
          <w:color w:val="auto"/>
          <w:highlight w:val="none"/>
          <w:lang w:eastAsia="zh-CN"/>
        </w:rPr>
      </w:pPr>
      <w:bookmarkStart w:id="14" w:name="_Toc15396600"/>
      <w:bookmarkStart w:id="15" w:name="_Toc15377197"/>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14:paraId="110C9E09">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县史志中心贯彻执行中央关于党史工作的方针政策和省委、州委、县委关于党史工作的决策部署，在履行职责过程中坚持和加强党对党史和地方志工作的集中统一领导。主要职责是：</w:t>
      </w:r>
    </w:p>
    <w:p w14:paraId="07874012">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（一）贯彻执行党中央、国务院和省、州、县关于党史和地方志工作的方针、政策和</w:t>
      </w:r>
      <w:r>
        <w:rPr>
          <w:rFonts w:hint="eastAsia" w:ascii="仿宋_GB2312" w:hAnsi="仿宋_GB2312" w:eastAsia="仿宋_GB2312" w:cs="仿宋_GB2312"/>
          <w:sz w:val="32"/>
          <w:szCs w:val="40"/>
          <w:lang w:eastAsia="zh-CN"/>
        </w:rPr>
        <w:t>法律法规</w:t>
      </w:r>
      <w:r>
        <w:rPr>
          <w:rFonts w:hint="eastAsia" w:ascii="仿宋_GB2312" w:hAnsi="仿宋_GB2312" w:eastAsia="仿宋_GB2312" w:cs="仿宋_GB2312"/>
          <w:sz w:val="32"/>
          <w:szCs w:val="40"/>
        </w:rPr>
        <w:t>，组织实施协调监督及指导全县党史和地方志工作。拟定全县党史和地方志工作规划和年度计划并组织实施，承担“存史、资治、教化、育人”的重要公共事务管理职能。</w:t>
      </w:r>
    </w:p>
    <w:p w14:paraId="4AC21C20">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组织开展中国共产党松潘县历史研究，编写年度历史大事记，旧志整理，承担《中国共产党松潘县历史》《中国共产党松潘县执政实录》《松潘县志》《松潘年鉴》等史志图书的组稿、总纂、上报审定和编辑出版工作，指导各部门及各乡镇开展</w:t>
      </w:r>
    </w:p>
    <w:p w14:paraId="1EA8658D">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部门志和乡镇志、村志、年鉴的编纂工作。</w:t>
      </w:r>
    </w:p>
    <w:p w14:paraId="77B03851">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（三）推动党史成果转化，进行党史、革命史、地情的宣传教育；负责全县党史系统干部培训工作；组织党史工作及口述历史工作经验交流。</w:t>
      </w:r>
    </w:p>
    <w:p w14:paraId="604C4546">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（四）负责征集、抢救、整理、编纂全县重要党史资料，搜集、保存、研究地方志文献及其他地情资料；组织开发利用党史、地方志信息资源，推动党史、地方志成果转化。</w:t>
      </w:r>
    </w:p>
    <w:p w14:paraId="5EE9E576">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（五）负责全县重大党史题材的展览宣传，运用党史、地方志资料进行宣传教育，为社会各界提供宣传教育服务。</w:t>
      </w:r>
    </w:p>
    <w:p w14:paraId="4CC15597">
      <w:pPr>
        <w:rPr>
          <w:rFonts w:hint="eastAsia"/>
          <w:lang w:eastAsia="zh-CN"/>
        </w:rPr>
      </w:pPr>
      <w:r>
        <w:rPr>
          <w:rFonts w:hint="eastAsia" w:ascii="仿宋_GB2312" w:hAnsi="仿宋_GB2312" w:eastAsia="仿宋_GB2312" w:cs="仿宋_GB2312"/>
          <w:sz w:val="32"/>
          <w:szCs w:val="40"/>
        </w:rPr>
        <w:t>（六）完成县委、县政府交办的其他工作。</w:t>
      </w:r>
    </w:p>
    <w:p w14:paraId="03E825C2">
      <w:pPr>
        <w:pStyle w:val="4"/>
        <w:rPr>
          <w:rStyle w:val="30"/>
          <w:rFonts w:hint="eastAsia" w:ascii="Times New Roman" w:hAnsi="Times New Roman" w:eastAsia="黑体"/>
          <w:b w:val="0"/>
          <w:bCs w:val="0"/>
          <w:color w:val="auto"/>
          <w:highlight w:val="none"/>
          <w:lang w:eastAsia="zh-CN"/>
        </w:rPr>
      </w:pPr>
    </w:p>
    <w:p w14:paraId="49E83E63">
      <w:pPr>
        <w:pStyle w:val="4"/>
        <w:rPr>
          <w:rStyle w:val="30"/>
          <w:rFonts w:ascii="Times New Roman" w:hAnsi="Times New Roman"/>
          <w:b w:val="0"/>
          <w:bCs w:val="0"/>
          <w:color w:val="auto"/>
          <w:highlight w:val="none"/>
        </w:rPr>
      </w:pPr>
      <w:bookmarkStart w:id="16" w:name="_Toc15396601"/>
      <w:bookmarkStart w:id="17"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6"/>
      <w:bookmarkEnd w:id="17"/>
    </w:p>
    <w:p w14:paraId="39389BEA">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松潘县党史和地方志编纂中心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39096BF8">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松潘县党史和地方志编纂中心</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4B01B74D">
      <w:pPr>
        <w:pStyle w:val="6"/>
        <w:numPr>
          <w:ilvl w:val="0"/>
          <w:numId w:val="1"/>
        </w:numPr>
        <w:adjustRightInd w:val="0"/>
        <w:snapToGrid w:val="0"/>
        <w:spacing w:before="93" w:line="600" w:lineRule="exact"/>
        <w:outlineLvl w:val="2"/>
        <w:rPr>
          <w:rFonts w:ascii="Times New Roman" w:hAnsi="Times New Roman" w:eastAsia="仿宋"/>
          <w:color w:val="auto"/>
          <w:kern w:val="0"/>
          <w:sz w:val="32"/>
          <w:szCs w:val="32"/>
          <w:highlight w:val="none"/>
        </w:rPr>
      </w:pPr>
      <w:bookmarkStart w:id="18" w:name="_Toc15377202"/>
      <w:bookmarkStart w:id="19" w:name="_Toc15306276"/>
      <w:bookmarkStart w:id="20" w:name="_Toc15377433"/>
      <w:bookmarkStart w:id="21" w:name="_Toc15378449"/>
      <w:r>
        <w:rPr>
          <w:rFonts w:ascii="Times New Roman" w:eastAsia="宋体"/>
          <w:kern w:val="2"/>
          <w:sz w:val="32"/>
          <w:szCs w:val="32"/>
        </w:rPr>
        <w:t>松潘县党史和地方志编纂中心</w:t>
      </w:r>
      <w:r>
        <w:rPr>
          <w:rFonts w:hint="eastAsia" w:ascii="Times New Roman" w:eastAsia="宋体"/>
          <w:kern w:val="2"/>
          <w:sz w:val="32"/>
          <w:szCs w:val="32"/>
          <w:lang w:eastAsia="zh-CN"/>
        </w:rPr>
        <w:t>。</w:t>
      </w:r>
      <w:bookmarkEnd w:id="18"/>
      <w:bookmarkEnd w:id="19"/>
      <w:bookmarkEnd w:id="20"/>
      <w:bookmarkEnd w:id="21"/>
    </w:p>
    <w:p w14:paraId="0D4F6346">
      <w:pPr>
        <w:pStyle w:val="6"/>
        <w:widowControl w:val="0"/>
        <w:numPr>
          <w:ilvl w:val="0"/>
          <w:numId w:val="0"/>
        </w:numPr>
        <w:adjustRightInd w:val="0"/>
        <w:snapToGrid w:val="0"/>
        <w:spacing w:before="93" w:beforeLines="30" w:line="600" w:lineRule="exact"/>
        <w:jc w:val="both"/>
        <w:outlineLvl w:val="2"/>
        <w:rPr>
          <w:rFonts w:hint="eastAsia" w:ascii="Times New Roman" w:eastAsia="宋体"/>
          <w:kern w:val="2"/>
          <w:sz w:val="32"/>
          <w:szCs w:val="32"/>
          <w:lang w:eastAsia="zh-CN"/>
        </w:rPr>
      </w:pPr>
    </w:p>
    <w:p w14:paraId="6D2B43BF">
      <w:pPr>
        <w:pStyle w:val="6"/>
        <w:widowControl w:val="0"/>
        <w:numPr>
          <w:ilvl w:val="0"/>
          <w:numId w:val="0"/>
        </w:numPr>
        <w:adjustRightInd w:val="0"/>
        <w:snapToGrid w:val="0"/>
        <w:spacing w:before="93" w:beforeLines="30" w:line="600" w:lineRule="exact"/>
        <w:jc w:val="both"/>
        <w:outlineLvl w:val="2"/>
        <w:rPr>
          <w:rFonts w:hint="eastAsia" w:ascii="Times New Roman" w:eastAsia="宋体"/>
          <w:kern w:val="2"/>
          <w:sz w:val="32"/>
          <w:szCs w:val="32"/>
          <w:lang w:eastAsia="zh-CN"/>
        </w:rPr>
      </w:pPr>
    </w:p>
    <w:p w14:paraId="3613C033">
      <w:pPr>
        <w:pStyle w:val="6"/>
        <w:widowControl w:val="0"/>
        <w:numPr>
          <w:ilvl w:val="0"/>
          <w:numId w:val="0"/>
        </w:numPr>
        <w:adjustRightInd w:val="0"/>
        <w:snapToGrid w:val="0"/>
        <w:spacing w:before="93" w:beforeLines="30" w:line="600" w:lineRule="exact"/>
        <w:jc w:val="both"/>
        <w:outlineLvl w:val="2"/>
        <w:rPr>
          <w:rFonts w:hint="eastAsia" w:ascii="Times New Roman" w:eastAsia="宋体"/>
          <w:kern w:val="2"/>
          <w:sz w:val="32"/>
          <w:szCs w:val="32"/>
          <w:lang w:eastAsia="zh-CN"/>
        </w:rPr>
      </w:pPr>
    </w:p>
    <w:p w14:paraId="6DC07B36">
      <w:pPr>
        <w:pStyle w:val="3"/>
        <w:jc w:val="center"/>
        <w:rPr>
          <w:rFonts w:hint="eastAsia" w:ascii="Times New Roman" w:hAnsi="Times New Roman" w:eastAsia="方正小标宋简体" w:cs="方正小标宋简体"/>
          <w:b w:val="0"/>
          <w:color w:val="auto"/>
          <w:highlight w:val="none"/>
        </w:rPr>
      </w:pPr>
      <w:bookmarkStart w:id="22" w:name="_Toc15396602"/>
      <w:bookmarkStart w:id="23"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2"/>
      <w:bookmarkEnd w:id="23"/>
    </w:p>
    <w:p w14:paraId="58BC2CE5">
      <w:pPr>
        <w:rPr>
          <w:rFonts w:ascii="Times New Roman" w:hAnsi="Times New Roman"/>
          <w:color w:val="auto"/>
          <w:highlight w:val="none"/>
        </w:rPr>
      </w:pPr>
    </w:p>
    <w:p w14:paraId="1B82FF9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5396603"/>
      <w:bookmarkStart w:id="25"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4"/>
      <w:bookmarkEnd w:id="25"/>
    </w:p>
    <w:p w14:paraId="4739186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6" w:name="_Toc27559"/>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2.18</w:t>
      </w:r>
      <w:r>
        <w:rPr>
          <w:rFonts w:hint="eastAsia" w:ascii="Times New Roman" w:hAnsi="Times New Roman" w:eastAsia="仿宋_GB2312" w:cs="仿宋_GB2312"/>
          <w:color w:val="auto"/>
          <w:sz w:val="32"/>
          <w:szCs w:val="32"/>
          <w:highlight w:val="none"/>
        </w:rPr>
        <w:t>万元，增长/下降</w:t>
      </w:r>
      <w:r>
        <w:rPr>
          <w:rFonts w:hint="eastAsia" w:eastAsia="仿宋_GB2312" w:cs="仿宋_GB2312"/>
          <w:color w:val="auto"/>
          <w:sz w:val="32"/>
          <w:szCs w:val="32"/>
          <w:highlight w:val="none"/>
          <w:lang w:val="en-US" w:eastAsia="zh-CN"/>
        </w:rPr>
        <w:t>-0.01</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val="en-US" w:eastAsia="zh-CN"/>
        </w:rPr>
        <w:t>1人退休</w:t>
      </w:r>
      <w:r>
        <w:rPr>
          <w:rFonts w:hint="eastAsia" w:eastAsia="仿宋_GB2312" w:cs="仿宋_GB2312"/>
          <w:color w:val="auto"/>
          <w:sz w:val="32"/>
          <w:szCs w:val="32"/>
          <w:highlight w:val="none"/>
          <w:lang w:eastAsia="zh-CN"/>
        </w:rPr>
        <w:t>。</w:t>
      </w:r>
      <w:bookmarkEnd w:id="26"/>
    </w:p>
    <w:p w14:paraId="4482674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27" w:name="_Toc18743"/>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27"/>
    </w:p>
    <w:p w14:paraId="07BC4A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572000" cy="2743200"/>
            <wp:effectExtent l="4445" t="4445" r="14605" b="14605"/>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EC9509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8" w:name="_Toc15377206"/>
      <w:bookmarkStart w:id="29" w:name="_Toc15396604"/>
      <w:r>
        <w:rPr>
          <w:rFonts w:hint="eastAsia" w:ascii="Times New Roman" w:hAnsi="Times New Roman" w:eastAsia="黑体"/>
          <w:color w:val="auto"/>
          <w:sz w:val="32"/>
          <w:szCs w:val="32"/>
          <w:highlight w:val="none"/>
          <w:lang w:eastAsia="zh-CN"/>
        </w:rPr>
        <w:t>二、收入决算情况说明</w:t>
      </w:r>
      <w:bookmarkEnd w:id="28"/>
      <w:bookmarkEnd w:id="29"/>
    </w:p>
    <w:p w14:paraId="1BC61C6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30" w:name="_Toc5391"/>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bookmarkEnd w:id="30"/>
    </w:p>
    <w:p w14:paraId="4CEFC3A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1" w:name="_Toc30302"/>
      <w:r>
        <w:drawing>
          <wp:anchor distT="0" distB="0" distL="114300" distR="114300" simplePos="0" relativeHeight="251659264" behindDoc="0" locked="0" layoutInCell="1" allowOverlap="1">
            <wp:simplePos x="0" y="0"/>
            <wp:positionH relativeFrom="column">
              <wp:posOffset>328295</wp:posOffset>
            </wp:positionH>
            <wp:positionV relativeFrom="paragraph">
              <wp:posOffset>537845</wp:posOffset>
            </wp:positionV>
            <wp:extent cx="4572000" cy="2743200"/>
            <wp:effectExtent l="4445" t="4445" r="14605" b="14605"/>
            <wp:wrapSquare wrapText="bothSides"/>
            <wp:docPr id="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bookmarkEnd w:id="31"/>
    </w:p>
    <w:p w14:paraId="5A24B13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7EB938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4167C0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E63ADC6">
      <w:pPr>
        <w:ind w:firstLine="800" w:firstLineChars="250"/>
        <w:rPr>
          <w:rFonts w:hint="eastAsia" w:ascii="Times New Roman" w:hAnsi="Times New Roman" w:eastAsia="仿宋_GB2312" w:cs="仿宋_GB2312"/>
          <w:color w:val="auto"/>
          <w:sz w:val="32"/>
          <w:szCs w:val="32"/>
          <w:highlight w:val="none"/>
          <w:lang w:eastAsia="zh-CN"/>
        </w:rPr>
      </w:pPr>
    </w:p>
    <w:p w14:paraId="0CC0CD5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32" w:name="_Toc15377207"/>
      <w:bookmarkStart w:id="3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32"/>
      <w:bookmarkEnd w:id="33"/>
    </w:p>
    <w:p w14:paraId="71B297E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34" w:name="_Toc4245"/>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141.88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68.84</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64.22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31.15</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bookmarkEnd w:id="34"/>
    </w:p>
    <w:p w14:paraId="447ED45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328295</wp:posOffset>
            </wp:positionH>
            <wp:positionV relativeFrom="paragraph">
              <wp:posOffset>156845</wp:posOffset>
            </wp:positionV>
            <wp:extent cx="4572000" cy="2743200"/>
            <wp:effectExtent l="4445" t="4445" r="14605" b="14605"/>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F8C9A3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8267DE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477BB8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9BA966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A863A1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594A79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E2741D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DBCCD7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5" w:name="_Toc1578"/>
      <w:r>
        <w:rPr>
          <w:rFonts w:hint="eastAsia" w:ascii="Times New Roman" w:hAnsi="Times New Roman" w:eastAsia="仿宋_GB2312" w:cs="仿宋_GB2312"/>
          <w:color w:val="auto"/>
          <w:sz w:val="32"/>
          <w:szCs w:val="32"/>
          <w:highlight w:val="none"/>
          <w:lang w:eastAsia="zh-CN"/>
        </w:rPr>
        <w:t>图3：支出决算结构图）（饼状图）</w:t>
      </w:r>
      <w:bookmarkEnd w:id="35"/>
    </w:p>
    <w:p w14:paraId="091BC471">
      <w:pPr>
        <w:ind w:firstLine="800" w:firstLineChars="250"/>
        <w:rPr>
          <w:rFonts w:hint="eastAsia" w:ascii="Times New Roman" w:hAnsi="Times New Roman" w:eastAsia="仿宋_GB2312" w:cs="仿宋_GB2312"/>
          <w:color w:val="auto"/>
          <w:sz w:val="32"/>
          <w:szCs w:val="32"/>
          <w:highlight w:val="none"/>
          <w:lang w:eastAsia="zh-CN"/>
        </w:rPr>
      </w:pPr>
    </w:p>
    <w:p w14:paraId="6AAE9B4B">
      <w:pPr>
        <w:spacing w:line="600" w:lineRule="exact"/>
        <w:ind w:firstLine="640" w:firstLineChars="200"/>
        <w:outlineLvl w:val="1"/>
        <w:rPr>
          <w:rStyle w:val="30"/>
          <w:rFonts w:ascii="Times New Roman" w:hAnsi="Times New Roman" w:eastAsia="黑体"/>
          <w:b w:val="0"/>
          <w:color w:val="auto"/>
          <w:highlight w:val="none"/>
        </w:rPr>
      </w:pPr>
      <w:bookmarkStart w:id="36" w:name="_Toc15377208"/>
      <w:bookmarkStart w:id="37"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6"/>
      <w:bookmarkEnd w:id="37"/>
    </w:p>
    <w:p w14:paraId="0290AF7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2.18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0.0104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人员减少</w:t>
      </w:r>
    </w:p>
    <w:p w14:paraId="6415BF22">
      <w:pPr>
        <w:pStyle w:val="2"/>
        <w:rPr>
          <w:rFonts w:hint="eastAsia"/>
          <w:lang w:val="en-US" w:eastAsia="zh-CN"/>
        </w:rPr>
      </w:pPr>
      <w:r>
        <w:drawing>
          <wp:inline distT="0" distB="0" distL="114300" distR="114300">
            <wp:extent cx="4572000" cy="2743200"/>
            <wp:effectExtent l="4445" t="4445" r="14605" b="14605"/>
            <wp:docPr id="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D5811F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B7847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2300FA5">
      <w:pPr>
        <w:spacing w:line="600" w:lineRule="exact"/>
        <w:ind w:firstLine="640" w:firstLineChars="200"/>
        <w:outlineLvl w:val="1"/>
        <w:rPr>
          <w:rStyle w:val="30"/>
          <w:rFonts w:ascii="Times New Roman" w:hAnsi="Times New Roman" w:eastAsia="黑体"/>
          <w:b w:val="0"/>
          <w:color w:val="auto"/>
          <w:highlight w:val="none"/>
        </w:rPr>
      </w:pPr>
      <w:bookmarkStart w:id="38" w:name="_Toc15396607"/>
      <w:bookmarkStart w:id="39"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8"/>
      <w:bookmarkEnd w:id="39"/>
    </w:p>
    <w:p w14:paraId="49B475C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0"/>
    </w:p>
    <w:p w14:paraId="347F680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2.18</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0.0104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人员减少。</w:t>
      </w:r>
    </w:p>
    <w:p w14:paraId="12C71A0B">
      <w:pPr>
        <w:pStyle w:val="2"/>
        <w:rPr>
          <w:rFonts w:hint="eastAsia"/>
          <w:lang w:val="en-US" w:eastAsia="zh-CN"/>
        </w:rPr>
      </w:pPr>
      <w:r>
        <w:drawing>
          <wp:inline distT="0" distB="0" distL="114300" distR="114300">
            <wp:extent cx="4572000" cy="2743200"/>
            <wp:effectExtent l="4445" t="4445" r="14605" b="14605"/>
            <wp:docPr id="10"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9C843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2A74A1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1AC93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1"/>
    </w:p>
    <w:p w14:paraId="2F4381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163.74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79.45</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24.74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6.85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3.32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10.77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5.2</w:t>
      </w:r>
      <w:r>
        <w:rPr>
          <w:rFonts w:hint="eastAsia" w:ascii="Times New Roman" w:hAnsi="Times New Roman" w:eastAsia="仿宋_GB2312" w:cs="仿宋_GB2312"/>
          <w:color w:val="auto"/>
          <w:kern w:val="2"/>
          <w:sz w:val="32"/>
          <w:szCs w:val="32"/>
          <w:highlight w:val="none"/>
          <w:lang w:val="en-US" w:eastAsia="zh-CN" w:bidi="ar-SA"/>
        </w:rPr>
        <w:t>%</w:t>
      </w:r>
    </w:p>
    <w:p w14:paraId="085EA0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201295</wp:posOffset>
            </wp:positionH>
            <wp:positionV relativeFrom="paragraph">
              <wp:posOffset>60960</wp:posOffset>
            </wp:positionV>
            <wp:extent cx="4572000" cy="2743200"/>
            <wp:effectExtent l="4445" t="4445" r="14605" b="14605"/>
            <wp:wrapSquare wrapText="bothSides"/>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506E36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3859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A0250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7344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837D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27464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B4B3D7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2"/>
    </w:p>
    <w:p w14:paraId="59B801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3" w:name="_Toc15377444"/>
      <w:bookmarkStart w:id="44" w:name="_Toc15377213"/>
      <w:bookmarkStart w:id="45"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kern w:val="2"/>
          <w:sz w:val="32"/>
          <w:szCs w:val="32"/>
          <w:highlight w:val="none"/>
          <w:lang w:val="en-US" w:eastAsia="zh-CN" w:bidi="ar-SA"/>
        </w:rPr>
        <w:t>，完成预算**%。其中：</w:t>
      </w:r>
      <w:bookmarkEnd w:id="43"/>
      <w:bookmarkEnd w:id="44"/>
      <w:bookmarkEnd w:id="45"/>
    </w:p>
    <w:p w14:paraId="7BC223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仿宋_GB2312" w:eastAsia="仿宋_GB2312"/>
          <w:sz w:val="32"/>
          <w:szCs w:val="32"/>
        </w:rPr>
        <w:t>科学技术（类）社会科学（款）其他社会科学支出（项）</w:t>
      </w:r>
      <w:r>
        <w:rPr>
          <w:rFonts w:hint="eastAsia" w:ascii="仿宋_GB2312" w:eastAsia="仿宋_GB2312"/>
          <w:sz w:val="32"/>
          <w:szCs w:val="32"/>
          <w:lang w:eastAsia="zh-CN"/>
        </w:rPr>
        <w:t>：</w:t>
      </w:r>
      <w:r>
        <w:rPr>
          <w:rStyle w:val="19"/>
          <w:rFonts w:ascii="仿宋" w:hAnsi="仿宋" w:eastAsia="仿宋"/>
          <w:b w:val="0"/>
          <w:bCs/>
          <w:sz w:val="32"/>
          <w:szCs w:val="32"/>
        </w:rPr>
        <w:t xml:space="preserve"> </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163.74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338C84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社会保障和就业支出（类）行政事业单位养老支出（款）机关事业单位职业年金缴费支出（项）</w:t>
      </w:r>
      <w:r>
        <w:rPr>
          <w:rFonts w:hint="eastAsia" w:ascii="仿宋_GB2312" w:eastAsia="仿宋_GB2312"/>
          <w:sz w:val="32"/>
          <w:szCs w:val="32"/>
          <w:lang w:eastAsia="zh-CN"/>
        </w:rPr>
        <w:t>、</w:t>
      </w:r>
      <w:r>
        <w:rPr>
          <w:rFonts w:hint="eastAsia" w:ascii="仿宋_GB2312" w:eastAsia="仿宋_GB2312"/>
          <w:sz w:val="32"/>
          <w:szCs w:val="32"/>
        </w:rPr>
        <w:t>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24.74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6EF58113">
      <w:pPr>
        <w:spacing w:line="600" w:lineRule="exact"/>
        <w:ind w:firstLine="643" w:firstLineChars="200"/>
        <w:rPr>
          <w:rStyle w:val="19"/>
          <w:rFonts w:hint="eastAsia" w:ascii="仿宋" w:hAnsi="仿宋" w:eastAsia="仿宋"/>
          <w:b w:val="0"/>
          <w:bCs/>
          <w:sz w:val="32"/>
          <w:szCs w:val="32"/>
        </w:rPr>
      </w:pPr>
      <w:r>
        <w:rPr>
          <w:rStyle w:val="19"/>
          <w:rFonts w:hint="eastAsia" w:ascii="仿宋" w:hAnsi="仿宋" w:eastAsia="仿宋"/>
          <w:bCs/>
          <w:sz w:val="32"/>
          <w:szCs w:val="32"/>
          <w:lang w:val="en-US" w:eastAsia="zh-CN"/>
        </w:rPr>
        <w:t>3</w:t>
      </w:r>
      <w:r>
        <w:rPr>
          <w:rStyle w:val="19"/>
          <w:rFonts w:ascii="仿宋" w:hAnsi="仿宋" w:eastAsia="仿宋"/>
          <w:bCs/>
          <w:sz w:val="32"/>
          <w:szCs w:val="32"/>
        </w:rPr>
        <w:t>.</w:t>
      </w:r>
      <w:r>
        <w:rPr>
          <w:rFonts w:hint="eastAsia" w:ascii="仿宋_GB2312" w:eastAsia="仿宋_GB2312"/>
          <w:sz w:val="32"/>
          <w:szCs w:val="32"/>
        </w:rPr>
        <w:t>卫生健康支出（类）行政事业单位医疗（款）行政单位医疗（项）</w:t>
      </w:r>
      <w:r>
        <w:rPr>
          <w:rFonts w:hint="eastAsia" w:ascii="仿宋_GB2312" w:eastAsia="仿宋_GB2312"/>
          <w:sz w:val="32"/>
          <w:szCs w:val="32"/>
          <w:lang w:eastAsia="zh-CN"/>
        </w:rPr>
        <w:t>、</w:t>
      </w:r>
      <w:r>
        <w:rPr>
          <w:rFonts w:hint="eastAsia" w:ascii="仿宋_GB2312" w:eastAsia="仿宋_GB2312"/>
          <w:sz w:val="32"/>
          <w:szCs w:val="32"/>
        </w:rPr>
        <w:t>公务员医疗补助（项）</w:t>
      </w:r>
      <w:r>
        <w:rPr>
          <w:rFonts w:hint="eastAsia" w:ascii="仿宋_GB2312" w:eastAsia="仿宋_GB2312"/>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6.85</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w:t>
      </w:r>
    </w:p>
    <w:p w14:paraId="06C592B2">
      <w:pPr>
        <w:spacing w:line="600" w:lineRule="exact"/>
        <w:ind w:firstLine="643" w:firstLineChars="200"/>
      </w:pPr>
      <w:r>
        <w:rPr>
          <w:rStyle w:val="19"/>
          <w:rFonts w:hint="eastAsia" w:ascii="仿宋" w:hAnsi="仿宋" w:eastAsia="仿宋"/>
          <w:bCs/>
          <w:sz w:val="32"/>
          <w:szCs w:val="32"/>
          <w:lang w:val="en-US" w:eastAsia="zh-CN"/>
        </w:rPr>
        <w:t>4.</w:t>
      </w:r>
      <w:r>
        <w:rPr>
          <w:rFonts w:hint="eastAsia" w:ascii="仿宋_GB2312" w:eastAsia="仿宋_GB2312"/>
          <w:sz w:val="32"/>
          <w:szCs w:val="32"/>
        </w:rPr>
        <w:t>住房保障支出（类）住房改革支出（款）住房公积金（项）</w:t>
      </w:r>
      <w:r>
        <w:rPr>
          <w:rFonts w:hint="eastAsia" w:ascii="仿宋_GB2312" w:eastAsia="仿宋_GB2312"/>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10.77</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w:t>
      </w:r>
    </w:p>
    <w:p w14:paraId="106F53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637204C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49BAF1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378D329">
      <w:pPr>
        <w:tabs>
          <w:tab w:val="right" w:pos="8306"/>
        </w:tabs>
        <w:spacing w:line="600" w:lineRule="exact"/>
        <w:ind w:firstLine="640"/>
        <w:outlineLvl w:val="1"/>
        <w:rPr>
          <w:rStyle w:val="30"/>
          <w:rFonts w:ascii="Times New Roman" w:hAnsi="Times New Roman"/>
          <w:color w:val="auto"/>
          <w:highlight w:val="none"/>
        </w:rPr>
      </w:pPr>
      <w:bookmarkStart w:id="46" w:name="_Toc15377214"/>
      <w:bookmarkStart w:id="4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6"/>
      <w:bookmarkEnd w:id="47"/>
      <w:r>
        <w:rPr>
          <w:rStyle w:val="30"/>
          <w:rFonts w:ascii="Times New Roman" w:hAnsi="Times New Roman" w:eastAsia="黑体"/>
          <w:b w:val="0"/>
          <w:color w:val="auto"/>
          <w:highlight w:val="none"/>
        </w:rPr>
        <w:tab/>
      </w:r>
    </w:p>
    <w:p w14:paraId="4EEE9F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141.88</w:t>
      </w:r>
      <w:r>
        <w:rPr>
          <w:rFonts w:hint="eastAsia" w:ascii="Times New Roman" w:hAnsi="Times New Roman" w:eastAsia="仿宋_GB2312" w:cs="仿宋_GB2312"/>
          <w:color w:val="auto"/>
          <w:kern w:val="2"/>
          <w:sz w:val="32"/>
          <w:szCs w:val="32"/>
          <w:highlight w:val="none"/>
          <w:lang w:val="en-US" w:eastAsia="zh-CN" w:bidi="ar-SA"/>
        </w:rPr>
        <w:t>万元，其中：</w:t>
      </w:r>
    </w:p>
    <w:p w14:paraId="0E9198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135.87</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6.01</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5F8C04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46747D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79BC388">
      <w:pPr>
        <w:spacing w:line="600" w:lineRule="exact"/>
        <w:ind w:firstLine="640"/>
        <w:outlineLvl w:val="1"/>
        <w:rPr>
          <w:rStyle w:val="30"/>
          <w:rFonts w:ascii="Times New Roman" w:hAnsi="Times New Roman" w:eastAsia="黑体"/>
          <w:b w:val="0"/>
          <w:color w:val="auto"/>
          <w:highlight w:val="none"/>
        </w:rPr>
      </w:pPr>
      <w:bookmarkStart w:id="48" w:name="_Toc15396609"/>
      <w:bookmarkStart w:id="49"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8"/>
      <w:bookmarkEnd w:id="49"/>
    </w:p>
    <w:p w14:paraId="05D9972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0"/>
    </w:p>
    <w:p w14:paraId="681B7C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%，较上年度增加/减少**万元，增长/下降**%。决算数小于预算数（或与预算数持平）的主要原因是……</w:t>
      </w:r>
    </w:p>
    <w:p w14:paraId="66D5C38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743981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1"/>
    </w:p>
    <w:p w14:paraId="432BBE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万元，占**%。具体情况如下：</w:t>
      </w:r>
    </w:p>
    <w:p w14:paraId="4FA787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013E95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增加/减少**万元，增长/下降**%。主要原因是……</w:t>
      </w:r>
    </w:p>
    <w:p w14:paraId="175C8C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开支内容包括：……（团组名称、出访地点、取得成效等）</w:t>
      </w:r>
    </w:p>
    <w:p w14:paraId="70C09B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增加/减少**万元，增长/下降**%。主要原因是……</w:t>
      </w:r>
    </w:p>
    <w:p w14:paraId="30E791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万元。全年按规定更新购置公务用车**辆，其中：轿车**辆、金额**万元，越野车**辆、金额**万元，载客汽车**辆、金额**万元，主要用于……。截至202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年12月31日，单位共有公务用车**辆，其中：轿车**辆、越野车**辆、载客汽车**辆。</w:t>
      </w:r>
    </w:p>
    <w:p w14:paraId="16F637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万元。主要用于……（具体工作）所需的公务用车燃料费、维修费、过路过桥费、保险费等支出。</w:t>
      </w:r>
    </w:p>
    <w:p w14:paraId="7EB2BD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年度增加/减少**万元，增长/下降**%。主要原因是……。其中：</w:t>
      </w:r>
    </w:p>
    <w:p w14:paraId="6EF3CC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人次（不包括陪同人员），共计支出**万元，具体内容包括：……（接待具体项目、金额）。</w:t>
      </w:r>
    </w:p>
    <w:p w14:paraId="65BD47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人次（不包括陪同人员），共计支出**万元。</w:t>
      </w:r>
    </w:p>
    <w:p w14:paraId="62BFF5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2" w:name="_Toc15396610"/>
      <w:bookmarkStart w:id="53" w:name="_Toc15377218"/>
    </w:p>
    <w:p w14:paraId="565B5FB9">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52"/>
      <w:bookmarkEnd w:id="53"/>
    </w:p>
    <w:p w14:paraId="3790AAB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49144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691035E">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4" w:name="_Toc15377219"/>
      <w:bookmarkStart w:id="55"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4"/>
      <w:bookmarkEnd w:id="55"/>
    </w:p>
    <w:p w14:paraId="12BB6A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D0C7B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EF2D9AE">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6" w:name="_Toc15396612"/>
      <w:bookmarkStart w:id="57"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6"/>
      <w:bookmarkEnd w:id="57"/>
    </w:p>
    <w:p w14:paraId="110399C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22"/>
      <w:r>
        <w:rPr>
          <w:rFonts w:hint="eastAsia" w:ascii="Times New Roman" w:hAnsi="Times New Roman" w:eastAsia="楷体_GB2312" w:cs="楷体_GB2312"/>
          <w:b/>
          <w:color w:val="auto"/>
          <w:sz w:val="32"/>
          <w:szCs w:val="32"/>
          <w:highlight w:val="none"/>
        </w:rPr>
        <w:t>（一）机关运行经费支出情况</w:t>
      </w:r>
      <w:bookmarkEnd w:id="58"/>
    </w:p>
    <w:p w14:paraId="31897E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松潘县党史和地方志编纂中心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6.01</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1.33</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0.28</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eastAsia="仿宋_GB2312" w:cs="仿宋_GB2312"/>
          <w:color w:val="auto"/>
          <w:kern w:val="2"/>
          <w:sz w:val="32"/>
          <w:szCs w:val="32"/>
          <w:highlight w:val="none"/>
          <w:lang w:val="en-US" w:eastAsia="zh-CN" w:bidi="ar-SA"/>
        </w:rPr>
        <w:t>人员变动</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7F0AFB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23"/>
      <w:r>
        <w:rPr>
          <w:rFonts w:hint="eastAsia" w:ascii="Times New Roman" w:hAnsi="Times New Roman" w:eastAsia="楷体_GB2312" w:cs="楷体_GB2312"/>
          <w:b/>
          <w:color w:val="auto"/>
          <w:sz w:val="32"/>
          <w:szCs w:val="32"/>
          <w:highlight w:val="none"/>
        </w:rPr>
        <w:t>（二）政府采购支出情况</w:t>
      </w:r>
      <w:bookmarkEnd w:id="59"/>
    </w:p>
    <w:p w14:paraId="0A64C8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松潘县党史和地方志编纂中心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9EEDD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0" w:name="_Toc15377224"/>
      <w:r>
        <w:rPr>
          <w:rFonts w:hint="eastAsia" w:ascii="Times New Roman" w:hAnsi="Times New Roman" w:eastAsia="楷体_GB2312" w:cs="楷体_GB2312"/>
          <w:b/>
          <w:color w:val="auto"/>
          <w:sz w:val="32"/>
          <w:szCs w:val="32"/>
          <w:highlight w:val="none"/>
        </w:rPr>
        <w:t>（三）国有资产占有使用情况</w:t>
      </w:r>
      <w:bookmarkEnd w:id="60"/>
    </w:p>
    <w:p w14:paraId="7A5F39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松潘县党史和地方志编纂中心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545731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1E994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rPr>
        <w:t>根据预算绩效管理要求，本单位在202</w:t>
      </w:r>
      <w:r>
        <w:rPr>
          <w:rFonts w:hint="eastAsia" w:ascii="仿宋_GB2312" w:eastAsia="仿宋_GB2312"/>
          <w:sz w:val="32"/>
          <w:szCs w:val="32"/>
          <w:lang w:val="en-US" w:eastAsia="zh-CN"/>
        </w:rPr>
        <w:t>5</w:t>
      </w:r>
      <w:r>
        <w:rPr>
          <w:rFonts w:hint="eastAsia" w:ascii="仿宋_GB2312" w:eastAsia="仿宋_GB2312"/>
          <w:sz w:val="32"/>
          <w:szCs w:val="32"/>
        </w:rPr>
        <w:t>年度预算编制阶段，组织对</w:t>
      </w:r>
      <w:r>
        <w:rPr>
          <w:rFonts w:hint="eastAsia" w:ascii="仿宋_GB2312" w:eastAsia="仿宋_GB2312"/>
          <w:sz w:val="32"/>
          <w:szCs w:val="32"/>
          <w:lang w:eastAsia="zh-CN"/>
        </w:rPr>
        <w:t>《松潘年鉴》编纂出版、《松潘县执政实录》编纂出版、《口述历史》拍摄制作、旧志点校、地情资源开发利用</w:t>
      </w:r>
      <w:r>
        <w:rPr>
          <w:rFonts w:hint="eastAsia" w:ascii="仿宋_GB2312" w:eastAsia="仿宋_GB2312"/>
          <w:sz w:val="32"/>
          <w:szCs w:val="32"/>
        </w:rPr>
        <w:t>项目等</w:t>
      </w:r>
      <w:r>
        <w:rPr>
          <w:rFonts w:hint="eastAsia" w:ascii="仿宋_GB2312" w:eastAsia="仿宋_GB2312"/>
          <w:sz w:val="32"/>
          <w:szCs w:val="32"/>
          <w:lang w:val="en-US" w:eastAsia="zh-CN"/>
        </w:rPr>
        <w:t>5</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310E82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768A742">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1" w:name="_Toc15396613"/>
      <w:bookmarkStart w:id="62"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1"/>
      <w:bookmarkEnd w:id="62"/>
    </w:p>
    <w:p w14:paraId="293EB8B0">
      <w:pPr>
        <w:spacing w:line="600" w:lineRule="exact"/>
        <w:jc w:val="left"/>
        <w:rPr>
          <w:rFonts w:ascii="Times New Roman" w:hAnsi="Times New Roman"/>
          <w:b/>
          <w:color w:val="auto"/>
          <w:sz w:val="44"/>
          <w:szCs w:val="44"/>
          <w:highlight w:val="none"/>
        </w:rPr>
      </w:pPr>
    </w:p>
    <w:p w14:paraId="24B5D2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D7739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59D3A5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7D246F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14:paraId="36DFE0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3EDFD0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24A5D8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DF75B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69A3A1CE">
      <w:pPr>
        <w:ind w:firstLine="640" w:firstLineChars="20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eastAsia="仿宋_GB2312"/>
          <w:sz w:val="32"/>
          <w:szCs w:val="32"/>
        </w:rPr>
        <w:t>科学技术（类）社会科学（款）其他社会科学支出（项）：指反映行政单位（包括实行公务员管理的事业单位）的基本支出。</w:t>
      </w:r>
    </w:p>
    <w:p w14:paraId="2E1BB1F6">
      <w:pPr>
        <w:ind w:firstLine="640" w:firstLineChars="200"/>
        <w:rPr>
          <w:rFonts w:hint="eastAsia" w:ascii="仿宋_GB2312" w:eastAsia="仿宋_GB2312"/>
          <w:sz w:val="32"/>
          <w:szCs w:val="32"/>
        </w:rPr>
      </w:pPr>
      <w:r>
        <w:rPr>
          <w:rFonts w:hint="eastAsia" w:ascii="仿宋_GB2312" w:eastAsia="仿宋_GB2312"/>
          <w:sz w:val="32"/>
          <w:szCs w:val="32"/>
        </w:rPr>
        <w:t>10.社会保障和就业（类）行政事业单位养老支出（款）机关事业单位养老保险缴费支出（项）：指反映机关事业单位实施养老保险制度由单位缴纳的基本养老保险费支出。</w:t>
      </w:r>
    </w:p>
    <w:p w14:paraId="7E5BD943">
      <w:pPr>
        <w:ind w:firstLine="640" w:firstLineChars="200"/>
        <w:rPr>
          <w:rFonts w:hint="eastAsia" w:ascii="仿宋_GB2312" w:eastAsia="仿宋_GB2312"/>
          <w:sz w:val="32"/>
          <w:szCs w:val="32"/>
        </w:rPr>
      </w:pPr>
      <w:r>
        <w:rPr>
          <w:rFonts w:hint="eastAsia" w:ascii="仿宋_GB2312" w:eastAsia="仿宋_GB2312"/>
          <w:sz w:val="32"/>
          <w:szCs w:val="32"/>
        </w:rPr>
        <w:t>11.社会保障和就业（类）行政事业单位离退休（款）机关事业单位职业年金缴费支出（项）：指反映机关事业单位实施养老保险制度由单位缴纳的职业年金支出。</w:t>
      </w:r>
    </w:p>
    <w:p w14:paraId="71456B36">
      <w:pPr>
        <w:ind w:firstLine="640" w:firstLineChars="200"/>
        <w:rPr>
          <w:rFonts w:hint="eastAsia" w:ascii="仿宋_GB2312" w:eastAsia="仿宋_GB2312"/>
          <w:sz w:val="32"/>
          <w:szCs w:val="32"/>
        </w:rPr>
      </w:pPr>
      <w:r>
        <w:rPr>
          <w:rFonts w:hint="eastAsia" w:ascii="仿宋_GB2312" w:eastAsia="仿宋_GB2312"/>
          <w:sz w:val="32"/>
          <w:szCs w:val="32"/>
        </w:rPr>
        <w:t>12.卫生健康支出（类）行政事业单位医疗（款）行政单位医疗（项）：指反映财政部门集中安排的行政单位基本医疗保险费经费，未参加医疗保险的行政单位的公费医疗经费，按国家规定享受离休人员、红军老战士待遇人员的医疗经费。</w:t>
      </w:r>
    </w:p>
    <w:p w14:paraId="2F4F7FEF">
      <w:pPr>
        <w:ind w:firstLine="640" w:firstLineChars="200"/>
        <w:rPr>
          <w:rFonts w:hint="eastAsia" w:ascii="仿宋_GB2312" w:eastAsia="仿宋_GB2312"/>
          <w:sz w:val="32"/>
          <w:szCs w:val="32"/>
        </w:rPr>
      </w:pPr>
      <w:r>
        <w:rPr>
          <w:rFonts w:hint="eastAsia" w:ascii="仿宋_GB2312" w:eastAsia="仿宋_GB2312"/>
          <w:sz w:val="32"/>
          <w:szCs w:val="32"/>
        </w:rPr>
        <w:t>13.卫生健康支出（类）行政事业单位医疗（款）公务员医疗补助（项）：</w:t>
      </w:r>
      <w:r>
        <w:rPr>
          <w:rFonts w:hint="eastAsia" w:ascii="仿宋_GB2312" w:eastAsia="仿宋_GB2312"/>
          <w:sz w:val="32"/>
          <w:szCs w:val="32"/>
          <w:lang w:eastAsia="zh-CN"/>
        </w:rPr>
        <w:t>是在城镇职工基本医疗保险制度的基础上，对公务员实施的补充医疗保障，主要用于补助公务员在基本医疗保险用药目录、诊疗项目和医疗服务设施标准范围内的住院医疗费用中个人自付超过一定数额的部分</w:t>
      </w:r>
      <w:r>
        <w:rPr>
          <w:rFonts w:hint="eastAsia" w:ascii="仿宋_GB2312" w:eastAsia="仿宋_GB2312"/>
          <w:sz w:val="32"/>
          <w:szCs w:val="32"/>
        </w:rPr>
        <w:t>。</w:t>
      </w:r>
    </w:p>
    <w:p w14:paraId="2B670495">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14.</w:t>
      </w:r>
      <w:r>
        <w:rPr>
          <w:rFonts w:hint="eastAsia" w:ascii="仿宋_GB2312" w:eastAsia="仿宋_GB2312"/>
          <w:sz w:val="32"/>
          <w:szCs w:val="32"/>
        </w:rPr>
        <w:t>住房保障支出（类）住房改革支出（款）住房公积金（项）：指反映行政事业单位按人力资源和社会保障部、财政部规定的基本工资和津贴补贴以及规定比例为职工缴纳的住房公积金。</w:t>
      </w:r>
    </w:p>
    <w:p w14:paraId="70789CFB">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15</w:t>
      </w:r>
      <w:r>
        <w:rPr>
          <w:rFonts w:ascii="仿宋_GB2312" w:eastAsia="仿宋_GB2312"/>
          <w:sz w:val="32"/>
          <w:szCs w:val="32"/>
        </w:rPr>
        <w:t>.</w:t>
      </w:r>
      <w:r>
        <w:rPr>
          <w:rFonts w:hint="eastAsia" w:ascii="仿宋_GB2312" w:eastAsia="仿宋_GB2312"/>
          <w:sz w:val="32"/>
          <w:szCs w:val="32"/>
        </w:rPr>
        <w:t>文化旅游体育与传媒支出（类）其他文化旅游体育与传媒支出（款）文化产业发展专项支出基本支出（项</w:t>
      </w:r>
      <w:r>
        <w:rPr>
          <w:rFonts w:hint="eastAsia" w:ascii="仿宋_GB2312" w:eastAsia="仿宋_GB2312"/>
          <w:sz w:val="32"/>
          <w:szCs w:val="32"/>
          <w:lang w:eastAsia="zh-CN"/>
        </w:rPr>
        <w:t>）：</w:t>
      </w:r>
    </w:p>
    <w:p w14:paraId="515DB9A8">
      <w:pPr>
        <w:ind w:firstLine="640" w:firstLineChars="200"/>
        <w:rPr>
          <w:rFonts w:hint="eastAsia" w:ascii="仿宋_GB2312" w:eastAsia="仿宋_GB2312"/>
          <w:sz w:val="32"/>
          <w:szCs w:val="32"/>
        </w:rPr>
      </w:pPr>
      <w:r>
        <w:rPr>
          <w:rFonts w:hint="eastAsia" w:ascii="仿宋_GB2312" w:eastAsia="仿宋_GB2312"/>
          <w:sz w:val="32"/>
          <w:szCs w:val="32"/>
        </w:rPr>
        <w:t>指反映行政单位（包括实行公务员管理的事业单位）的基本支出。</w:t>
      </w:r>
    </w:p>
    <w:p w14:paraId="716397D5">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16.</w:t>
      </w:r>
      <w:r>
        <w:rPr>
          <w:rFonts w:hint="eastAsia" w:ascii="仿宋_GB2312" w:eastAsia="仿宋_GB2312"/>
          <w:sz w:val="32"/>
          <w:szCs w:val="32"/>
        </w:rPr>
        <w:t>基本支出：指为保障机构正常运转、完成日常工作任务而发生的人员支出和公用支出。</w:t>
      </w:r>
    </w:p>
    <w:p w14:paraId="6724BA9D">
      <w:pPr>
        <w:spacing w:line="600" w:lineRule="exact"/>
        <w:ind w:firstLine="640"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eastAsia="仿宋_GB2312"/>
          <w:sz w:val="32"/>
          <w:szCs w:val="32"/>
          <w:lang w:val="en-US" w:eastAsia="zh-CN"/>
        </w:rPr>
        <w:t>17</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6D0611F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7F0E07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7FC5C1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6892E2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A6E8F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CB69DA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17EDE396">
      <w:pPr>
        <w:pStyle w:val="2"/>
        <w:rPr>
          <w:rFonts w:hint="eastAsia" w:ascii="Times New Roman" w:hAnsi="Times New Roman" w:eastAsia="仿宋_GB2312" w:cs="仿宋_GB2312"/>
          <w:b/>
          <w:bCs/>
          <w:color w:val="auto"/>
          <w:kern w:val="2"/>
          <w:sz w:val="32"/>
          <w:szCs w:val="32"/>
          <w:highlight w:val="none"/>
          <w:lang w:val="en-US" w:eastAsia="zh-CN" w:bidi="ar-SA"/>
        </w:rPr>
      </w:pPr>
    </w:p>
    <w:p w14:paraId="40CFCAA7">
      <w:pPr>
        <w:rPr>
          <w:rFonts w:hint="eastAsia" w:ascii="Times New Roman" w:hAnsi="Times New Roman" w:eastAsia="仿宋_GB2312" w:cs="仿宋_GB2312"/>
          <w:b/>
          <w:bCs/>
          <w:color w:val="auto"/>
          <w:kern w:val="2"/>
          <w:sz w:val="32"/>
          <w:szCs w:val="32"/>
          <w:highlight w:val="none"/>
          <w:lang w:val="en-US" w:eastAsia="zh-CN" w:bidi="ar-SA"/>
        </w:rPr>
      </w:pPr>
    </w:p>
    <w:p w14:paraId="513E383D">
      <w:pPr>
        <w:pStyle w:val="2"/>
        <w:rPr>
          <w:rFonts w:hint="eastAsia" w:ascii="Times New Roman" w:hAnsi="Times New Roman" w:eastAsia="仿宋_GB2312" w:cs="仿宋_GB2312"/>
          <w:b/>
          <w:bCs/>
          <w:color w:val="auto"/>
          <w:kern w:val="2"/>
          <w:sz w:val="32"/>
          <w:szCs w:val="32"/>
          <w:highlight w:val="none"/>
          <w:lang w:val="en-US" w:eastAsia="zh-CN" w:bidi="ar-SA"/>
        </w:rPr>
      </w:pPr>
    </w:p>
    <w:p w14:paraId="6CCCE6E1">
      <w:pPr>
        <w:rPr>
          <w:rFonts w:hint="eastAsia" w:ascii="Times New Roman" w:hAnsi="Times New Roman" w:eastAsia="仿宋_GB2312" w:cs="仿宋_GB2312"/>
          <w:b/>
          <w:bCs/>
          <w:color w:val="auto"/>
          <w:kern w:val="2"/>
          <w:sz w:val="32"/>
          <w:szCs w:val="32"/>
          <w:highlight w:val="none"/>
          <w:lang w:val="en-US" w:eastAsia="zh-CN" w:bidi="ar-SA"/>
        </w:rPr>
      </w:pPr>
    </w:p>
    <w:p w14:paraId="643BE2FB">
      <w:pPr>
        <w:pStyle w:val="2"/>
        <w:rPr>
          <w:rFonts w:hint="eastAsia" w:ascii="Times New Roman" w:hAnsi="Times New Roman" w:eastAsia="仿宋_GB2312" w:cs="仿宋_GB2312"/>
          <w:b/>
          <w:bCs/>
          <w:color w:val="auto"/>
          <w:kern w:val="2"/>
          <w:sz w:val="32"/>
          <w:szCs w:val="32"/>
          <w:highlight w:val="none"/>
          <w:lang w:val="en-US" w:eastAsia="zh-CN" w:bidi="ar-SA"/>
        </w:rPr>
      </w:pPr>
    </w:p>
    <w:p w14:paraId="62CDE47F">
      <w:pPr>
        <w:rPr>
          <w:rFonts w:hint="eastAsia" w:ascii="Times New Roman" w:hAnsi="Times New Roman" w:eastAsia="仿宋_GB2312" w:cs="仿宋_GB2312"/>
          <w:b/>
          <w:bCs/>
          <w:color w:val="auto"/>
          <w:kern w:val="2"/>
          <w:sz w:val="32"/>
          <w:szCs w:val="32"/>
          <w:highlight w:val="none"/>
          <w:lang w:val="en-US" w:eastAsia="zh-CN" w:bidi="ar-SA"/>
        </w:rPr>
      </w:pPr>
    </w:p>
    <w:p w14:paraId="59CD12E4">
      <w:pPr>
        <w:pStyle w:val="2"/>
        <w:rPr>
          <w:rFonts w:hint="eastAsia" w:ascii="Times New Roman" w:hAnsi="Times New Roman" w:eastAsia="仿宋_GB2312" w:cs="仿宋_GB2312"/>
          <w:b/>
          <w:bCs/>
          <w:color w:val="auto"/>
          <w:kern w:val="2"/>
          <w:sz w:val="32"/>
          <w:szCs w:val="32"/>
          <w:highlight w:val="none"/>
          <w:lang w:val="en-US" w:eastAsia="zh-CN" w:bidi="ar-SA"/>
        </w:rPr>
      </w:pPr>
    </w:p>
    <w:p w14:paraId="70ADAE97">
      <w:pPr>
        <w:rPr>
          <w:rFonts w:hint="eastAsia" w:ascii="Times New Roman" w:hAnsi="Times New Roman" w:eastAsia="仿宋_GB2312" w:cs="仿宋_GB2312"/>
          <w:b/>
          <w:bCs/>
          <w:color w:val="auto"/>
          <w:kern w:val="2"/>
          <w:sz w:val="32"/>
          <w:szCs w:val="32"/>
          <w:highlight w:val="none"/>
          <w:lang w:val="en-US" w:eastAsia="zh-CN" w:bidi="ar-SA"/>
        </w:rPr>
      </w:pPr>
    </w:p>
    <w:p w14:paraId="00984296">
      <w:pPr>
        <w:pStyle w:val="2"/>
        <w:rPr>
          <w:rFonts w:hint="eastAsia" w:ascii="Times New Roman" w:hAnsi="Times New Roman" w:eastAsia="仿宋_GB2312" w:cs="仿宋_GB2312"/>
          <w:b/>
          <w:bCs/>
          <w:color w:val="auto"/>
          <w:kern w:val="2"/>
          <w:sz w:val="32"/>
          <w:szCs w:val="32"/>
          <w:highlight w:val="none"/>
          <w:lang w:val="en-US" w:eastAsia="zh-CN" w:bidi="ar-SA"/>
        </w:rPr>
      </w:pPr>
    </w:p>
    <w:p w14:paraId="6984B4DD">
      <w:pPr>
        <w:rPr>
          <w:rFonts w:hint="eastAsia" w:ascii="Times New Roman" w:hAnsi="Times New Roman" w:eastAsia="仿宋_GB2312" w:cs="仿宋_GB2312"/>
          <w:b/>
          <w:bCs/>
          <w:color w:val="auto"/>
          <w:kern w:val="2"/>
          <w:sz w:val="32"/>
          <w:szCs w:val="32"/>
          <w:highlight w:val="none"/>
          <w:lang w:val="en-US" w:eastAsia="zh-CN" w:bidi="ar-SA"/>
        </w:rPr>
      </w:pPr>
    </w:p>
    <w:p w14:paraId="66BB1258">
      <w:pPr>
        <w:pStyle w:val="2"/>
        <w:rPr>
          <w:rFonts w:hint="eastAsia"/>
          <w:lang w:val="en-US" w:eastAsia="zh-CN"/>
        </w:rPr>
      </w:pPr>
    </w:p>
    <w:p w14:paraId="37BE8799">
      <w:pPr>
        <w:spacing w:line="600" w:lineRule="exact"/>
        <w:jc w:val="center"/>
        <w:rPr>
          <w:rStyle w:val="29"/>
          <w:rFonts w:hint="eastAsia" w:ascii="Times New Roman" w:hAnsi="Times New Roman" w:eastAsia="黑体"/>
          <w:b w:val="0"/>
          <w:color w:val="auto"/>
          <w:highlight w:val="none"/>
          <w:lang w:eastAsia="zh-CN"/>
        </w:rPr>
      </w:pPr>
      <w:bookmarkStart w:id="63"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3"/>
    </w:p>
    <w:p w14:paraId="1F955E91">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14DB509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64" w:name="_Toc11371"/>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64"/>
    </w:p>
    <w:p w14:paraId="4D0BA68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11C5EE4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60BCDCAD">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65B63AFB">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0EF3483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5B1DA58C">
      <w:pPr>
        <w:ind w:left="0" w:leftChars="0" w:firstLine="977" w:firstLineChars="304"/>
        <w:rPr>
          <w:rFonts w:hint="eastAsia" w:ascii="仿宋_GB2312" w:hAnsi="仿宋_GB2312" w:eastAsia="仿宋_GB2312" w:cs="仿宋_GB2312"/>
          <w:sz w:val="32"/>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hAnsi="仿宋_GB2312" w:eastAsia="仿宋_GB2312" w:cs="仿宋_GB2312"/>
          <w:sz w:val="32"/>
          <w:szCs w:val="32"/>
        </w:rPr>
        <w:t>松潘县党史和地方志编纂中心（简称县史志中心）是县委直属事业单位，为正科级，保留参公管理。县史志中心设下列内设机构：</w:t>
      </w:r>
    </w:p>
    <w:p w14:paraId="1DD4F08B">
      <w:pPr>
        <w:ind w:left="0" w:leftChars="0" w:firstLine="972" w:firstLineChars="30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综合股。承担综合协调日常事务，协调处理本单位日常事务，机关综合性工作；负责文电、会议、机要、保密、信访、工会、妇儿、目标管理和内部督查工作；负责档案保管工作；负责人事、劳资、离退休人员管理服务工作；负责财务、社会保险、国有资产管理、计划生育、行政后勤等工作；负责机关党风廉政建设和精神文明建设工作；贯彻执行国家和省、州有关地方志工作法规、规章；参与行政复议、行政诉讼相关工作；负责法律顾问工作，完成领导交办的其他工作。</w:t>
      </w:r>
    </w:p>
    <w:p w14:paraId="6B98A158">
      <w:pPr>
        <w:ind w:left="0" w:leftChars="0" w:firstLine="972" w:firstLineChars="30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党史股。负责拟定全县党史编研规划、工作计划及实施意见并组织实施；负责中国共产党松潘县历史专题研究、党史基本著作编印出版和口述历史工作；负责地方重要党史资料征集、整理和编纂工作，编写年度历史大事记；负责全县重大党史题材的展览宣传，运用党史资料进行宣传教育，承担全县党史知识、党史业务培训工作；负责开发利用党史资源，推动党史成果转化；完成领导交办的其他工作。</w:t>
      </w:r>
    </w:p>
    <w:p w14:paraId="3192AD82">
      <w:pPr>
        <w:ind w:left="0" w:leftChars="0" w:firstLine="972" w:firstLineChars="304"/>
        <w:rPr>
          <w:rFonts w:hint="eastAsia"/>
        </w:rPr>
      </w:pPr>
      <w:r>
        <w:rPr>
          <w:rFonts w:hint="eastAsia" w:ascii="仿宋_GB2312" w:hAnsi="仿宋_GB2312" w:eastAsia="仿宋_GB2312" w:cs="仿宋_GB2312"/>
          <w:sz w:val="32"/>
          <w:szCs w:val="32"/>
        </w:rPr>
        <w:t>（三）地方志股。负责拟定全县地方志编修规划、工作计划及实施意见并组织实施；负责《松潘县志》《松潘县年鉴》等志书的组稿、总纂、上报审定和编辑出版工作；负责各类地情资料的收集、整理、科学管理，为党政机关和社会各界提供咨询服务；负责指导、督促县级部门志、专志、乡（镇）志、村志书编修工作；负责旧志整理和全县志书、年鉴等业务培训工作；负责开发利用地方志信息资源，推动地方志成果转化；完成领导交办的其他工作。</w:t>
      </w:r>
    </w:p>
    <w:p w14:paraId="6C1D48DC">
      <w:pPr>
        <w:ind w:left="0" w:leftChars="0" w:firstLine="643" w:firstLineChars="200"/>
        <w:rPr>
          <w:rFonts w:hint="eastAsia" w:ascii="仿宋_GB2312" w:hAnsi="仿宋_GB2312" w:eastAsia="仿宋_GB2312" w:cs="仿宋_GB2312"/>
          <w:sz w:val="32"/>
          <w:szCs w:val="40"/>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hAnsi="仿宋_GB2312" w:eastAsia="仿宋_GB2312" w:cs="仿宋_GB2312"/>
          <w:sz w:val="32"/>
          <w:szCs w:val="40"/>
        </w:rPr>
        <w:t>县史志中心贯彻执行中央关于党史工作的方针政策和省委、州委、县委关于党史工作的决策部署，在履行职责过程中坚持和加强党对党史和地方志工作的集中统一领导。主要职责是：</w:t>
      </w:r>
    </w:p>
    <w:p w14:paraId="7A976FFC">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（一）贯彻执行党中央、国务院和省、州、县关于党史和地方志工作的方针、政策和</w:t>
      </w:r>
      <w:r>
        <w:rPr>
          <w:rFonts w:hint="eastAsia" w:ascii="仿宋_GB2312" w:hAnsi="仿宋_GB2312" w:eastAsia="仿宋_GB2312" w:cs="仿宋_GB2312"/>
          <w:sz w:val="32"/>
          <w:szCs w:val="40"/>
          <w:lang w:eastAsia="zh-CN"/>
        </w:rPr>
        <w:t>法律法规</w:t>
      </w:r>
      <w:r>
        <w:rPr>
          <w:rFonts w:hint="eastAsia" w:ascii="仿宋_GB2312" w:hAnsi="仿宋_GB2312" w:eastAsia="仿宋_GB2312" w:cs="仿宋_GB2312"/>
          <w:sz w:val="32"/>
          <w:szCs w:val="40"/>
        </w:rPr>
        <w:t>，组织实施协调监督及指导全县党史和地方志工作。拟定全县党史和地方志工作规划和年度计划并组织实施，承担“存史、资治、教化、育人”的重要公共事务管理职能。</w:t>
      </w:r>
    </w:p>
    <w:p w14:paraId="47A61EC5">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组织开展中国共产党松潘县历史研究，编写年度历史大事记，旧志整理，承担《中国共产党松潘县历史》《中国共产党松潘县执政实录》《松潘县志》《松潘年鉴》等史志图书的组稿、总纂、上报审定和编辑出版工作，指导各部门及各乡镇开展</w:t>
      </w:r>
    </w:p>
    <w:p w14:paraId="6727CB4B">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部门志和乡镇志、村志、年鉴的编纂工作。</w:t>
      </w:r>
    </w:p>
    <w:p w14:paraId="280A528E">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（三）推动党史成果转化，进行党史、革命史、地情的宣传教育；负责全县党史系统干部培训工作；组织党史工作及口述历史工作经验交流。</w:t>
      </w:r>
    </w:p>
    <w:p w14:paraId="7B4871A6">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（四）负责征集、抢救、整理、编纂全县重要党史资料，搜集、保存、研究地方志文献及其他地情资料；组织开发利用党史、地方志信息资源，推动党史、地方志成果转化。</w:t>
      </w:r>
    </w:p>
    <w:p w14:paraId="23BC277B">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（五）负责全县重大党史题材的展览宣传，运用党史、地方志资料进行宣传教育，为社会各界提供宣传教育服务。</w:t>
      </w:r>
    </w:p>
    <w:p w14:paraId="3E617082">
      <w:pPr>
        <w:ind w:left="0" w:leftChars="0" w:firstLine="640"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hAnsi="仿宋_GB2312" w:eastAsia="仿宋_GB2312" w:cs="仿宋_GB2312"/>
          <w:sz w:val="32"/>
          <w:szCs w:val="40"/>
        </w:rPr>
        <w:t>（六）完成县委、县政府交办的其他工作。</w:t>
      </w:r>
    </w:p>
    <w:p w14:paraId="3F9C32E2">
      <w:pPr>
        <w:ind w:firstLine="643" w:firstLineChars="200"/>
        <w:rPr>
          <w:rFonts w:ascii="仿宋_GB2312" w:eastAsia="仿宋_GB2312"/>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eastAsia="仿宋_GB2312"/>
          <w:sz w:val="32"/>
          <w:szCs w:val="32"/>
        </w:rPr>
        <w:t>松潘县党史和地方志编纂中心编制</w:t>
      </w:r>
      <w:r>
        <w:rPr>
          <w:rFonts w:hint="eastAsia" w:ascii="仿宋_GB2312" w:eastAsia="仿宋_GB2312"/>
          <w:sz w:val="32"/>
          <w:szCs w:val="32"/>
          <w:lang w:val="en-US" w:eastAsia="zh-CN"/>
        </w:rPr>
        <w:t>6</w:t>
      </w:r>
      <w:r>
        <w:rPr>
          <w:rFonts w:hint="eastAsia" w:ascii="仿宋_GB2312" w:eastAsia="仿宋_GB2312"/>
          <w:sz w:val="32"/>
          <w:szCs w:val="32"/>
        </w:rPr>
        <w:t>名，其中：主任1名，副主任1名，股级领导3名。截至202</w:t>
      </w:r>
      <w:r>
        <w:rPr>
          <w:rFonts w:hint="eastAsia" w:ascii="仿宋_GB2312" w:eastAsia="仿宋_GB2312"/>
          <w:sz w:val="32"/>
          <w:szCs w:val="32"/>
          <w:lang w:val="en-US" w:eastAsia="zh-CN"/>
        </w:rPr>
        <w:t>5</w:t>
      </w:r>
      <w:r>
        <w:rPr>
          <w:rFonts w:hint="eastAsia" w:ascii="仿宋_GB2312" w:eastAsia="仿宋_GB2312"/>
          <w:sz w:val="32"/>
          <w:szCs w:val="32"/>
        </w:rPr>
        <w:t>年末，单位实有人员</w:t>
      </w:r>
      <w:r>
        <w:rPr>
          <w:rFonts w:hint="eastAsia" w:ascii="仿宋_GB2312" w:eastAsia="仿宋_GB2312"/>
          <w:sz w:val="32"/>
          <w:szCs w:val="32"/>
          <w:lang w:val="en-US" w:eastAsia="zh-CN"/>
        </w:rPr>
        <w:t>5</w:t>
      </w:r>
      <w:r>
        <w:rPr>
          <w:rFonts w:hint="eastAsia" w:ascii="仿宋_GB2312" w:eastAsia="仿宋_GB2312"/>
          <w:sz w:val="32"/>
          <w:szCs w:val="32"/>
        </w:rPr>
        <w:t>名，其中主任1名，副主任1名，职工</w:t>
      </w:r>
      <w:r>
        <w:rPr>
          <w:rFonts w:hint="eastAsia" w:ascii="仿宋_GB2312" w:eastAsia="仿宋_GB2312"/>
          <w:sz w:val="32"/>
          <w:szCs w:val="32"/>
          <w:lang w:val="en-US" w:eastAsia="zh-CN"/>
        </w:rPr>
        <w:t>3</w:t>
      </w:r>
      <w:r>
        <w:rPr>
          <w:rFonts w:hint="eastAsia" w:ascii="仿宋_GB2312" w:eastAsia="仿宋_GB2312"/>
          <w:sz w:val="32"/>
          <w:szCs w:val="32"/>
        </w:rPr>
        <w:t>名，转非领导</w:t>
      </w:r>
      <w:r>
        <w:rPr>
          <w:rFonts w:hint="eastAsia" w:ascii="仿宋_GB2312" w:eastAsia="仿宋_GB2312"/>
          <w:sz w:val="32"/>
          <w:szCs w:val="32"/>
          <w:lang w:val="en-US" w:eastAsia="zh-CN"/>
        </w:rPr>
        <w:t>0</w:t>
      </w:r>
      <w:r>
        <w:rPr>
          <w:rFonts w:hint="eastAsia" w:ascii="仿宋_GB2312" w:eastAsia="仿宋_GB2312"/>
          <w:sz w:val="32"/>
          <w:szCs w:val="32"/>
        </w:rPr>
        <w:t>名。</w:t>
      </w:r>
    </w:p>
    <w:p w14:paraId="352E87E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768BB8D7">
      <w:pPr>
        <w:adjustRightInd w:val="0"/>
        <w:snapToGrid w:val="0"/>
        <w:spacing w:line="578" w:lineRule="exact"/>
        <w:ind w:firstLine="643" w:firstLineChars="200"/>
        <w:jc w:val="left"/>
        <w:rPr>
          <w:rFonts w:hint="eastAsia"/>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sz w:val="32"/>
          <w:szCs w:val="32"/>
        </w:rPr>
        <w:t>松潘县党史和地方志编纂中心部门预算安排主要用于保障该部门机构正常运转、完成日常工作任务及承担相关事业发展相关工作。202</w:t>
      </w:r>
      <w:r>
        <w:rPr>
          <w:rFonts w:hint="eastAsia"/>
          <w:sz w:val="32"/>
          <w:szCs w:val="32"/>
          <w:lang w:val="en-US" w:eastAsia="zh-CN"/>
        </w:rPr>
        <w:t>5</w:t>
      </w:r>
      <w:r>
        <w:rPr>
          <w:rFonts w:hint="eastAsia"/>
          <w:sz w:val="32"/>
          <w:szCs w:val="32"/>
        </w:rPr>
        <w:t>年年初预算收入总数</w:t>
      </w:r>
      <w:r>
        <w:rPr>
          <w:rFonts w:hint="eastAsia"/>
          <w:sz w:val="32"/>
          <w:szCs w:val="32"/>
          <w:lang w:val="en-US" w:eastAsia="zh-CN"/>
        </w:rPr>
        <w:t>162.09</w:t>
      </w:r>
      <w:r>
        <w:rPr>
          <w:rFonts w:hint="eastAsia"/>
          <w:sz w:val="32"/>
          <w:szCs w:val="32"/>
        </w:rPr>
        <w:t>万元，无基金预算</w:t>
      </w:r>
      <w:r>
        <w:rPr>
          <w:rFonts w:hint="eastAsia"/>
          <w:sz w:val="32"/>
          <w:szCs w:val="32"/>
          <w:lang w:eastAsia="zh-CN"/>
        </w:rPr>
        <w:t>；</w:t>
      </w:r>
      <w:r>
        <w:rPr>
          <w:rFonts w:hint="eastAsia"/>
          <w:sz w:val="32"/>
          <w:szCs w:val="32"/>
        </w:rPr>
        <w:t>202</w:t>
      </w:r>
      <w:r>
        <w:rPr>
          <w:rFonts w:hint="eastAsia"/>
          <w:sz w:val="32"/>
          <w:szCs w:val="32"/>
          <w:lang w:val="en-US" w:eastAsia="zh-CN"/>
        </w:rPr>
        <w:t>5</w:t>
      </w:r>
      <w:r>
        <w:rPr>
          <w:rFonts w:hint="eastAsia"/>
          <w:sz w:val="32"/>
          <w:szCs w:val="32"/>
        </w:rPr>
        <w:t>年决算报表</w:t>
      </w:r>
      <w:r>
        <w:rPr>
          <w:rFonts w:hint="eastAsia"/>
          <w:color w:val="000000" w:themeColor="text1"/>
          <w:sz w:val="32"/>
          <w:szCs w:val="32"/>
          <w14:textFill>
            <w14:solidFill>
              <w14:schemeClr w14:val="tx1"/>
            </w14:solidFill>
          </w14:textFill>
        </w:rPr>
        <w:t>收入</w:t>
      </w:r>
      <w:r>
        <w:rPr>
          <w:rFonts w:hint="eastAsia"/>
          <w:color w:val="000000" w:themeColor="text1"/>
          <w:sz w:val="32"/>
          <w:szCs w:val="32"/>
          <w:lang w:val="en-US" w:eastAsia="zh-CN"/>
          <w14:textFill>
            <w14:solidFill>
              <w14:schemeClr w14:val="tx1"/>
            </w14:solidFill>
          </w14:textFill>
        </w:rPr>
        <w:t>206.1</w:t>
      </w:r>
      <w:r>
        <w:rPr>
          <w:rFonts w:hint="eastAsia"/>
          <w:color w:val="000000" w:themeColor="text1"/>
          <w:sz w:val="32"/>
          <w:szCs w:val="32"/>
          <w14:textFill>
            <w14:solidFill>
              <w14:schemeClr w14:val="tx1"/>
            </w14:solidFill>
          </w14:textFill>
        </w:rPr>
        <w:t>万元</w:t>
      </w:r>
      <w:r>
        <w:rPr>
          <w:rFonts w:hint="eastAsia"/>
          <w:sz w:val="32"/>
          <w:szCs w:val="32"/>
        </w:rPr>
        <w:t xml:space="preserve">。  </w:t>
      </w:r>
    </w:p>
    <w:p w14:paraId="692661B8">
      <w:pPr>
        <w:adjustRightInd w:val="0"/>
        <w:snapToGrid w:val="0"/>
        <w:spacing w:line="578" w:lineRule="exact"/>
        <w:ind w:firstLine="643" w:firstLineChars="200"/>
        <w:jc w:val="left"/>
        <w:rPr>
          <w:rFonts w:hint="eastAsia"/>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w:t>
      </w:r>
      <w:r>
        <w:rPr>
          <w:rFonts w:hint="eastAsia"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二</w:t>
      </w: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w:t>
      </w:r>
      <w:r>
        <w:rPr>
          <w:rFonts w:hint="eastAsia"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支出情况</w:t>
      </w: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w:t>
      </w:r>
      <w:r>
        <w:rPr>
          <w:rFonts w:hint="eastAsia"/>
          <w:color w:val="000000" w:themeColor="text1"/>
          <w:sz w:val="32"/>
          <w:szCs w:val="32"/>
          <w14:textFill>
            <w14:solidFill>
              <w14:schemeClr w14:val="tx1"/>
            </w14:solidFill>
          </w14:textFill>
        </w:rPr>
        <w:t>202</w:t>
      </w:r>
      <w:r>
        <w:rPr>
          <w:rFonts w:hint="eastAsia"/>
          <w:color w:val="000000" w:themeColor="text1"/>
          <w:sz w:val="32"/>
          <w:szCs w:val="32"/>
          <w:lang w:val="en-US" w:eastAsia="zh-CN"/>
          <w14:textFill>
            <w14:solidFill>
              <w14:schemeClr w14:val="tx1"/>
            </w14:solidFill>
          </w14:textFill>
        </w:rPr>
        <w:t>5</w:t>
      </w:r>
      <w:r>
        <w:rPr>
          <w:rFonts w:hint="eastAsia"/>
          <w:color w:val="000000" w:themeColor="text1"/>
          <w:sz w:val="32"/>
          <w:szCs w:val="32"/>
          <w14:textFill>
            <w14:solidFill>
              <w14:schemeClr w14:val="tx1"/>
            </w14:solidFill>
          </w14:textFill>
        </w:rPr>
        <w:t>年年初预算总数</w:t>
      </w:r>
      <w:r>
        <w:rPr>
          <w:rFonts w:hint="eastAsia"/>
          <w:color w:val="000000" w:themeColor="text1"/>
          <w:sz w:val="32"/>
          <w:szCs w:val="32"/>
          <w:lang w:val="en-US" w:eastAsia="zh-CN"/>
          <w14:textFill>
            <w14:solidFill>
              <w14:schemeClr w14:val="tx1"/>
            </w14:solidFill>
          </w14:textFill>
        </w:rPr>
        <w:t>162.09</w:t>
      </w:r>
      <w:r>
        <w:rPr>
          <w:rFonts w:hint="eastAsia"/>
          <w:color w:val="000000" w:themeColor="text1"/>
          <w:sz w:val="32"/>
          <w:szCs w:val="32"/>
          <w14:textFill>
            <w14:solidFill>
              <w14:schemeClr w14:val="tx1"/>
            </w14:solidFill>
          </w14:textFill>
        </w:rPr>
        <w:t>万元</w:t>
      </w:r>
      <w:r>
        <w:rPr>
          <w:rFonts w:hint="eastAsia"/>
          <w:color w:val="000000" w:themeColor="text1"/>
          <w:sz w:val="32"/>
          <w:szCs w:val="32"/>
          <w:lang w:eastAsia="zh-CN"/>
          <w14:textFill>
            <w14:solidFill>
              <w14:schemeClr w14:val="tx1"/>
            </w14:solidFill>
          </w14:textFill>
        </w:rPr>
        <w:t>，</w:t>
      </w:r>
      <w:r>
        <w:rPr>
          <w:rFonts w:hint="eastAsia"/>
          <w:color w:val="000000" w:themeColor="text1"/>
          <w:sz w:val="32"/>
          <w:szCs w:val="32"/>
          <w14:textFill>
            <w14:solidFill>
              <w14:schemeClr w14:val="tx1"/>
            </w14:solidFill>
          </w14:textFill>
        </w:rPr>
        <w:t>其中</w:t>
      </w:r>
      <w:r>
        <w:rPr>
          <w:rFonts w:hint="eastAsia"/>
          <w:color w:val="000000" w:themeColor="text1"/>
          <w:sz w:val="32"/>
          <w:szCs w:val="32"/>
          <w:lang w:eastAsia="zh-CN"/>
          <w14:textFill>
            <w14:solidFill>
              <w14:schemeClr w14:val="tx1"/>
            </w14:solidFill>
          </w14:textFill>
        </w:rPr>
        <w:t>：</w:t>
      </w:r>
      <w:r>
        <w:rPr>
          <w:rFonts w:hint="eastAsia"/>
          <w:color w:val="000000" w:themeColor="text1"/>
          <w:sz w:val="32"/>
          <w:szCs w:val="32"/>
          <w14:textFill>
            <w14:solidFill>
              <w14:schemeClr w14:val="tx1"/>
            </w14:solidFill>
          </w14:textFill>
        </w:rPr>
        <w:t>人员支出</w:t>
      </w:r>
      <w:r>
        <w:rPr>
          <w:rFonts w:hint="eastAsia"/>
          <w:color w:val="000000" w:themeColor="text1"/>
          <w:sz w:val="32"/>
          <w:szCs w:val="32"/>
          <w:lang w:val="en-US" w:eastAsia="zh-CN"/>
          <w14:textFill>
            <w14:solidFill>
              <w14:schemeClr w14:val="tx1"/>
            </w14:solidFill>
          </w14:textFill>
        </w:rPr>
        <w:t>162.04</w:t>
      </w:r>
      <w:r>
        <w:rPr>
          <w:rFonts w:hint="eastAsia"/>
          <w:color w:val="000000" w:themeColor="text1"/>
          <w:sz w:val="32"/>
          <w:szCs w:val="32"/>
          <w14:textFill>
            <w14:solidFill>
              <w14:schemeClr w14:val="tx1"/>
            </w14:solidFill>
          </w14:textFill>
        </w:rPr>
        <w:t>万元</w:t>
      </w:r>
      <w:r>
        <w:rPr>
          <w:rFonts w:hint="eastAsia"/>
          <w:color w:val="000000" w:themeColor="text1"/>
          <w:sz w:val="32"/>
          <w:szCs w:val="32"/>
          <w:lang w:eastAsia="zh-CN"/>
          <w14:textFill>
            <w14:solidFill>
              <w14:schemeClr w14:val="tx1"/>
            </w14:solidFill>
          </w14:textFill>
        </w:rPr>
        <w:t>，</w:t>
      </w:r>
      <w:r>
        <w:rPr>
          <w:rFonts w:hint="eastAsia"/>
          <w:color w:val="000000" w:themeColor="text1"/>
          <w:sz w:val="32"/>
          <w:szCs w:val="32"/>
          <w14:textFill>
            <w14:solidFill>
              <w14:schemeClr w14:val="tx1"/>
            </w14:solidFill>
          </w14:textFill>
        </w:rPr>
        <w:t>公用支出</w:t>
      </w:r>
      <w:r>
        <w:rPr>
          <w:rFonts w:hint="eastAsia"/>
          <w:color w:val="000000" w:themeColor="text1"/>
          <w:sz w:val="32"/>
          <w:szCs w:val="32"/>
          <w:lang w:val="en-US" w:eastAsia="zh-CN"/>
          <w14:textFill>
            <w14:solidFill>
              <w14:schemeClr w14:val="tx1"/>
            </w14:solidFill>
          </w14:textFill>
        </w:rPr>
        <w:t>0.05</w:t>
      </w:r>
      <w:r>
        <w:rPr>
          <w:rFonts w:hint="eastAsia"/>
          <w:color w:val="000000" w:themeColor="text1"/>
          <w:sz w:val="32"/>
          <w:szCs w:val="32"/>
          <w14:textFill>
            <w14:solidFill>
              <w14:schemeClr w14:val="tx1"/>
            </w14:solidFill>
          </w14:textFill>
        </w:rPr>
        <w:t>万元。202</w:t>
      </w:r>
      <w:r>
        <w:rPr>
          <w:rFonts w:hint="eastAsia"/>
          <w:color w:val="000000" w:themeColor="text1"/>
          <w:sz w:val="32"/>
          <w:szCs w:val="32"/>
          <w:lang w:val="en-US" w:eastAsia="zh-CN"/>
          <w14:textFill>
            <w14:solidFill>
              <w14:schemeClr w14:val="tx1"/>
            </w14:solidFill>
          </w14:textFill>
        </w:rPr>
        <w:t>5</w:t>
      </w:r>
      <w:r>
        <w:rPr>
          <w:rFonts w:hint="eastAsia"/>
          <w:color w:val="000000" w:themeColor="text1"/>
          <w:sz w:val="32"/>
          <w:szCs w:val="32"/>
          <w14:textFill>
            <w14:solidFill>
              <w14:schemeClr w14:val="tx1"/>
            </w14:solidFill>
          </w14:textFill>
        </w:rPr>
        <w:t>年决算报表支出</w:t>
      </w:r>
      <w:r>
        <w:rPr>
          <w:rFonts w:hint="eastAsia"/>
          <w:color w:val="000000" w:themeColor="text1"/>
          <w:sz w:val="32"/>
          <w:szCs w:val="32"/>
          <w:lang w:val="en-US" w:eastAsia="zh-CN"/>
          <w14:textFill>
            <w14:solidFill>
              <w14:schemeClr w14:val="tx1"/>
            </w14:solidFill>
          </w14:textFill>
        </w:rPr>
        <w:t>206.1</w:t>
      </w:r>
      <w:r>
        <w:rPr>
          <w:rFonts w:hint="eastAsia"/>
          <w:color w:val="000000" w:themeColor="text1"/>
          <w:sz w:val="32"/>
          <w:szCs w:val="32"/>
          <w14:textFill>
            <w14:solidFill>
              <w14:schemeClr w14:val="tx1"/>
            </w14:solidFill>
          </w14:textFill>
        </w:rPr>
        <w:t>万元。</w:t>
      </w:r>
    </w:p>
    <w:p w14:paraId="07858EE9">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w:t>
      </w:r>
    </w:p>
    <w:p w14:paraId="6ECE921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2F7B92F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34F300A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履职效能。部门整体绩效目标中选定3</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5个核心职能目标，对职能目标完成效果情况绩效分析。</w:t>
      </w:r>
    </w:p>
    <w:p w14:paraId="7F64B5D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。围绕预算编制质量、单位收入统筹、支出执行进度、预算年终结余、严控一般性支出</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7901AA1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。围绕财务管理制度、财务岗位设置、资金使用规范</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7427D2F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。围绕人均资产变化率、资产利用率、资产盘活率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7CE855C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。围绕支持中小企业发展、采购执行率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2423BE0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147A6E6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44.6</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99.46</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33DCAC5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08291257">
      <w:pPr>
        <w:ind w:firstLine="640" w:firstLineChars="200"/>
        <w:rPr>
          <w:rFonts w:hint="eastAsia" w:eastAsia="仿宋_GB2312"/>
          <w:sz w:val="32"/>
          <w:szCs w:val="32"/>
          <w:lang w:val="zh-CN"/>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eastAsia="仿宋_GB2312"/>
          <w:sz w:val="32"/>
          <w:szCs w:val="32"/>
          <w:lang w:val="zh-CN"/>
        </w:rPr>
        <w:t>按照决策程序，对项目投入经济性的评估是在项目事前绩效评估、预算测算的基础上，按照厉行节约的要求，结合项目202</w:t>
      </w:r>
      <w:r>
        <w:rPr>
          <w:rFonts w:hint="eastAsia" w:eastAsia="仿宋_GB2312"/>
          <w:sz w:val="32"/>
          <w:szCs w:val="32"/>
          <w:lang w:val="en-US" w:eastAsia="zh-CN"/>
        </w:rPr>
        <w:t>4</w:t>
      </w:r>
      <w:r>
        <w:rPr>
          <w:rFonts w:hint="eastAsia" w:eastAsia="仿宋_GB2312"/>
          <w:sz w:val="32"/>
          <w:szCs w:val="32"/>
          <w:lang w:val="zh-CN"/>
        </w:rPr>
        <w:t>年开支情况，结合 202</w:t>
      </w:r>
      <w:r>
        <w:rPr>
          <w:rFonts w:hint="eastAsia" w:eastAsia="仿宋_GB2312"/>
          <w:sz w:val="32"/>
          <w:szCs w:val="32"/>
          <w:lang w:val="en-US" w:eastAsia="zh-CN"/>
        </w:rPr>
        <w:t>5</w:t>
      </w:r>
      <w:r>
        <w:rPr>
          <w:rFonts w:hint="eastAsia" w:eastAsia="仿宋_GB2312"/>
          <w:sz w:val="32"/>
          <w:szCs w:val="32"/>
          <w:lang w:val="zh-CN"/>
        </w:rPr>
        <w:t>年实际需求、相关费用标准及市场价格水平，重点对数量是否合理、投入是否经济、预算测算是否准确、测算过程是否详细、测算依据是否充分等方面进行了评估。评估认为，项目任务数量基本合理、预算测算过程较为详细、测算依据基本充分、具有一定的经济性。项目的实施按照流程进入项目入库。</w:t>
      </w:r>
    </w:p>
    <w:p w14:paraId="5C9F6811">
      <w:pPr>
        <w:ind w:firstLine="640" w:firstLineChars="200"/>
        <w:rPr>
          <w:rFonts w:hint="eastAsia" w:eastAsia="仿宋_GB2312"/>
          <w:sz w:val="32"/>
          <w:szCs w:val="32"/>
          <w:lang w:val="zh-CN"/>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sz w:val="32"/>
          <w:szCs w:val="32"/>
          <w:lang w:val="zh-CN"/>
        </w:rPr>
        <w:t>项目立项必要性和依据充分，绩效目标明确，具备实施条件，具有公共性，符合财政资金支持方向，预期产出和效果能满足史志工作需要，绩效目标设置按照实际情况，设置了一、二、三级指标，绩效目标和绩效指标量化可考核，相匹配，全面完整，契合政策，与部门的长期规划目标、年度工作目标相一致，产出和效果相关联，各项绩效指标值的设定依据和参考标准，满意度指标预测均按要求设置。</w:t>
      </w:r>
    </w:p>
    <w:p w14:paraId="1D68FCFC">
      <w:pPr>
        <w:ind w:firstLine="640" w:firstLineChars="200"/>
        <w:rPr>
          <w:rFonts w:eastAsia="仿宋_GB2312"/>
          <w:sz w:val="32"/>
          <w:szCs w:val="32"/>
          <w:lang w:val="zh-CN"/>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eastAsia" w:eastAsia="仿宋_GB2312"/>
          <w:sz w:val="32"/>
          <w:szCs w:val="32"/>
          <w:lang w:val="zh-CN"/>
        </w:rPr>
        <w:t>项目的实施推进了史志中心业务工作的正常开展。项目决策正确，管理规范，绩效完成率非常好。其制定实施方案或计划，组织机构健全，职责分工明确，有具体的实施时间，有明确的工作程序，基础设施条件能够有效保障，资金能足额保证，具有相应的质量检查、验收等必要的控制措施或手段，有针对突发事件或未知风险的应急措施。</w:t>
      </w:r>
    </w:p>
    <w:p w14:paraId="139CCD5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省级部门对</w:t>
      </w:r>
      <w:r>
        <w:rPr>
          <w:rFonts w:hint="eastAsia" w:eastAsia="仿宋_GB2312" w:cs="仿宋_GB2312"/>
          <w:color w:val="auto"/>
          <w:kern w:val="2"/>
          <w:sz w:val="32"/>
          <w:szCs w:val="32"/>
          <w:highlight w:val="none"/>
          <w:lang w:val="en-US" w:eastAsia="zh-CN" w:bidi="ar-SA"/>
        </w:rPr>
        <w:t>2025年度</w:t>
      </w:r>
      <w:r>
        <w:rPr>
          <w:rFonts w:hint="default" w:ascii="Times New Roman" w:hAnsi="Times New Roman" w:eastAsia="仿宋_GB2312" w:cs="仿宋_GB2312"/>
          <w:color w:val="auto"/>
          <w:kern w:val="2"/>
          <w:sz w:val="32"/>
          <w:szCs w:val="32"/>
          <w:highlight w:val="none"/>
          <w:lang w:val="en-US" w:eastAsia="zh-CN" w:bidi="ar-SA"/>
        </w:rPr>
        <w:t>一般公共预算、政府性基金预算、国有资本经营预算安排的常年项目、阶段项目绩效目标完成情况，以及债券资金、政府购买服务有关情况进行梳理阐述</w:t>
      </w:r>
      <w:r>
        <w:rPr>
          <w:rFonts w:hint="eastAsia" w:eastAsia="仿宋_GB2312" w:cs="仿宋_GB2312"/>
          <w:color w:val="auto"/>
          <w:kern w:val="2"/>
          <w:sz w:val="32"/>
          <w:szCs w:val="32"/>
          <w:highlight w:val="none"/>
          <w:lang w:val="en-US" w:eastAsia="zh-CN" w:bidi="ar-SA"/>
        </w:rPr>
        <w:t>。</w:t>
      </w:r>
    </w:p>
    <w:p w14:paraId="7B40CB8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围绕内部应用情况、</w:t>
      </w:r>
      <w:r>
        <w:rPr>
          <w:rFonts w:hint="default" w:ascii="Times New Roman" w:hAnsi="Times New Roman" w:eastAsia="仿宋_GB2312" w:cs="仿宋_GB2312"/>
          <w:color w:val="auto"/>
          <w:kern w:val="2"/>
          <w:sz w:val="32"/>
          <w:szCs w:val="32"/>
          <w:highlight w:val="none"/>
          <w:lang w:val="zh-CN" w:eastAsia="zh-CN" w:bidi="ar-SA"/>
        </w:rPr>
        <w:t>信息公开情况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整改反馈情况</w:t>
      </w:r>
      <w:r>
        <w:rPr>
          <w:rFonts w:hint="eastAsia" w:ascii="Times New Roman" w:hAnsi="Times New Roman" w:eastAsia="仿宋_GB2312" w:cs="仿宋_GB2312"/>
          <w:color w:val="auto"/>
          <w:kern w:val="2"/>
          <w:sz w:val="32"/>
          <w:szCs w:val="32"/>
          <w:highlight w:val="none"/>
          <w:lang w:val="zh-CN" w:eastAsia="zh-CN" w:bidi="ar-SA"/>
        </w:rPr>
        <w:t>进行分析。</w:t>
      </w:r>
    </w:p>
    <w:p w14:paraId="5AABF08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3FE051C7">
      <w:pPr>
        <w:ind w:firstLine="643" w:firstLineChars="200"/>
        <w:rPr>
          <w:rFonts w:hint="eastAsia" w:eastAsia="仿宋_GB2312"/>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eastAsia="仿宋_GB2312"/>
          <w:sz w:val="32"/>
          <w:szCs w:val="32"/>
          <w:lang w:val="zh-CN"/>
        </w:rPr>
        <w:t>根据财政绩效评价的工作要求，我单位每年都会开展绩效自评工作，对自评进行认真地研究和部署，使自评工作顺利开展、并针对问题找出解决方法。做到了时间过半，资金使用量过半。下半年是出成果的时候，到时，我们的《年鉴》《执政实录》、口述历史纪录片将以正式出版和视频的形式展现给大家，同时完成用于保障县史志中心机构的正常运转的日常支出。</w:t>
      </w:r>
    </w:p>
    <w:p w14:paraId="192F828E">
      <w:pPr>
        <w:ind w:firstLine="643" w:firstLineChars="200"/>
        <w:rPr>
          <w:rFonts w:hint="eastAsia" w:eastAsia="仿宋_GB2312"/>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eastAsia="仿宋_GB2312"/>
          <w:sz w:val="32"/>
          <w:szCs w:val="32"/>
          <w:lang w:val="zh-CN"/>
        </w:rPr>
        <w:t>1.评价内容较宏观，不能全面具体地对本部门的绩效进行评价。</w:t>
      </w:r>
    </w:p>
    <w:p w14:paraId="45012363">
      <w:pPr>
        <w:ind w:firstLine="640" w:firstLineChars="200"/>
        <w:rPr>
          <w:rFonts w:hint="eastAsia" w:eastAsia="仿宋_GB2312"/>
          <w:sz w:val="32"/>
          <w:szCs w:val="32"/>
          <w:lang w:val="zh-CN"/>
        </w:rPr>
      </w:pPr>
      <w:r>
        <w:rPr>
          <w:rFonts w:hint="eastAsia" w:eastAsia="仿宋_GB2312"/>
          <w:sz w:val="32"/>
          <w:szCs w:val="32"/>
          <w:lang w:val="zh-CN"/>
        </w:rPr>
        <w:t>2.财务理论水平低，没有专业的财务人员，对财务绩效评价的设置感到无从下手。</w:t>
      </w:r>
    </w:p>
    <w:p w14:paraId="0BF5BD38">
      <w:pPr>
        <w:ind w:firstLine="643" w:firstLineChars="200"/>
        <w:rPr>
          <w:rFonts w:hint="eastAsia" w:eastAsia="仿宋_GB2312"/>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65" w:name="_Hlk110546638"/>
      <w:r>
        <w:rPr>
          <w:rFonts w:hint="eastAsia" w:eastAsia="仿宋_GB2312"/>
          <w:sz w:val="32"/>
          <w:szCs w:val="32"/>
          <w:lang w:val="zh-CN"/>
        </w:rPr>
        <w:t>1.在来年的财政支出绩效评价工作中根据定性指标内容设置一些具体明细的指标体系进行评价，使财政支出绩效评价更客观和更具有参考价值。</w:t>
      </w:r>
    </w:p>
    <w:p w14:paraId="5B77EC1E">
      <w:pPr>
        <w:ind w:firstLine="640" w:firstLineChars="200"/>
        <w:rPr>
          <w:rFonts w:hint="eastAsia" w:ascii="Times New Roman" w:hAnsi="Times New Roman" w:eastAsia="仿宋_GB2312" w:cs="Times New Roman"/>
          <w:sz w:val="32"/>
          <w:szCs w:val="32"/>
          <w:u w:val="none"/>
          <w:lang w:val="en" w:eastAsia="zh-CN" w:bidi="ar"/>
        </w:rPr>
      </w:pPr>
      <w:r>
        <w:rPr>
          <w:rFonts w:hint="eastAsia" w:eastAsia="仿宋_GB2312"/>
          <w:sz w:val="32"/>
          <w:szCs w:val="32"/>
          <w:lang w:val="zh-CN"/>
        </w:rPr>
        <w:t>2.启用专业人员，提高财务人员积极性和热情，宣传财务工作的重要性。</w:t>
      </w:r>
    </w:p>
    <w:bookmarkEnd w:id="65"/>
    <w:p w14:paraId="5B00C734">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25C768B6">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0BF11E6D">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w:t>
      </w:r>
      <w:bookmarkStart w:id="81" w:name="_GoBack"/>
      <w:r>
        <w:rPr>
          <w:rFonts w:hint="eastAsia" w:ascii="Times New Roman" w:eastAsia="仿宋_GB2312" w:cs="仿宋_GB2312"/>
          <w:b w:val="0"/>
          <w:bCs w:val="0"/>
          <w:kern w:val="0"/>
          <w:position w:val="0"/>
          <w:sz w:val="32"/>
          <w:szCs w:val="32"/>
          <w:highlight w:val="none"/>
          <w:lang w:val="en-US" w:eastAsia="zh-CN" w:bidi="ar-SA"/>
        </w:rPr>
        <w:t>（</w:t>
      </w:r>
      <w:bookmarkEnd w:id="81"/>
      <w:r>
        <w:rPr>
          <w:rFonts w:hint="eastAsia" w:ascii="Times New Roman" w:eastAsia="仿宋_GB2312" w:cs="仿宋_GB2312"/>
          <w:b w:val="0"/>
          <w:bCs w:val="0"/>
          <w:kern w:val="0"/>
          <w:position w:val="0"/>
          <w:sz w:val="32"/>
          <w:szCs w:val="32"/>
          <w:highlight w:val="none"/>
          <w:lang w:val="en-US" w:eastAsia="zh-CN" w:bidi="ar-SA"/>
        </w:rPr>
        <w:t>2025年度），各下属单位需公开部门预算项目支出绩效自评表（2025年度）。</w:t>
      </w:r>
    </w:p>
    <w:p w14:paraId="54663D60">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78020845">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46C347DE">
      <w:pPr>
        <w:pStyle w:val="6"/>
        <w:rPr>
          <w:rFonts w:hint="eastAsia" w:ascii="Times New Roman" w:hAnsi="Times New Roman" w:cs="宋体"/>
          <w:color w:val="FF0000"/>
          <w:kern w:val="0"/>
          <w:sz w:val="32"/>
          <w:szCs w:val="32"/>
          <w:highlight w:val="yellow"/>
          <w:shd w:val="clear" w:color="auto" w:fill="FFFFFF"/>
          <w:lang w:val="zh-CN"/>
        </w:rPr>
      </w:pPr>
    </w:p>
    <w:p w14:paraId="49B18CA1">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7DA270C7">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15F18224">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005CB953">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《松潘年鉴》专项预算项目绩效评价</w:t>
      </w:r>
    </w:p>
    <w:p w14:paraId="731FF718">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72FDE09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7BB3C012">
      <w:pPr>
        <w:keepNext w:val="0"/>
        <w:keepLines w:val="0"/>
        <w:pageBreakBefore w:val="0"/>
        <w:widowControl/>
        <w:kinsoku w:val="0"/>
        <w:wordWrap/>
        <w:overflowPunct/>
        <w:topLinePunct w:val="0"/>
        <w:autoSpaceDE w:val="0"/>
        <w:autoSpaceDN w:val="0"/>
        <w:bidi w:val="0"/>
        <w:adjustRightInd w:val="0"/>
        <w:snapToGrid w:val="0"/>
        <w:spacing w:line="578" w:lineRule="exact"/>
        <w:ind w:firstLine="643" w:firstLineChars="200"/>
        <w:textAlignment w:val="baseline"/>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仿宋_GB2312" w:hAnsi="仿宋_GB2312" w:eastAsia="仿宋_GB2312" w:cs="仿宋_GB2312"/>
          <w:sz w:val="32"/>
          <w:szCs w:val="32"/>
        </w:rPr>
        <w:t>我单位在该项目管理中严格按照资金使用流程，实际使用情况下拨资金，确保专款专用。</w:t>
      </w:r>
      <w:r>
        <w:rPr>
          <w:rFonts w:hint="eastAsia" w:ascii="仿宋_GB2312" w:hAnsi="仿宋_GB2312" w:eastAsia="仿宋_GB2312" w:cs="仿宋_GB2312"/>
          <w:sz w:val="32"/>
          <w:szCs w:val="32"/>
          <w:lang w:eastAsia="zh-CN"/>
        </w:rPr>
        <w:t>《松潘年鉴》</w:t>
      </w:r>
      <w:r>
        <w:rPr>
          <w:rFonts w:hint="eastAsia" w:ascii="仿宋_GB2312" w:hAnsi="仿宋_GB2312" w:eastAsia="仿宋_GB2312" w:cs="仿宋_GB2312"/>
          <w:sz w:val="32"/>
          <w:szCs w:val="32"/>
        </w:rPr>
        <w:t>经费是根据</w:t>
      </w:r>
      <w:r>
        <w:rPr>
          <w:rFonts w:hint="eastAsia" w:ascii="仿宋_GB2312" w:hAnsi="仿宋_GB2312" w:eastAsia="仿宋_GB2312" w:cs="仿宋_GB2312"/>
          <w:sz w:val="32"/>
          <w:szCs w:val="32"/>
          <w:lang w:eastAsia="zh-CN"/>
        </w:rPr>
        <w:t>《地方志工作条例》和《四川省地方志工作条例》以及省、州关于地方志工作要求实现“一年一鉴”</w:t>
      </w:r>
      <w:r>
        <w:rPr>
          <w:rFonts w:hint="eastAsia" w:ascii="仿宋_GB2312" w:hAnsi="仿宋_GB2312" w:eastAsia="仿宋_GB2312" w:cs="仿宋_GB2312"/>
          <w:sz w:val="32"/>
          <w:szCs w:val="32"/>
        </w:rPr>
        <w:t>来申报。</w:t>
      </w:r>
    </w:p>
    <w:p w14:paraId="556A3F21">
      <w:pPr>
        <w:keepNext w:val="0"/>
        <w:keepLines w:val="0"/>
        <w:pageBreakBefore w:val="0"/>
        <w:widowControl/>
        <w:kinsoku w:val="0"/>
        <w:wordWrap/>
        <w:overflowPunct/>
        <w:topLinePunct w:val="0"/>
        <w:autoSpaceDE w:val="0"/>
        <w:autoSpaceDN w:val="0"/>
        <w:bidi w:val="0"/>
        <w:adjustRightInd w:val="0"/>
        <w:snapToGrid w:val="0"/>
        <w:spacing w:line="578" w:lineRule="exact"/>
        <w:ind w:firstLine="643" w:firstLineChars="200"/>
        <w:textAlignment w:val="baseline"/>
        <w:rPr>
          <w:lang w:val="zh-CN"/>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仿宋_GB2312" w:hAnsi="仿宋_GB2312" w:eastAsia="仿宋_GB2312" w:cs="仿宋_GB2312"/>
          <w:sz w:val="32"/>
          <w:szCs w:val="32"/>
        </w:rPr>
        <w:t>资金管理办法严格按照相关规定执行，根据</w:t>
      </w:r>
      <w:r>
        <w:rPr>
          <w:rFonts w:hint="eastAsia" w:ascii="仿宋_GB2312" w:hAnsi="仿宋_GB2312" w:eastAsia="仿宋_GB2312" w:cs="仿宋_GB2312"/>
          <w:sz w:val="32"/>
          <w:szCs w:val="32"/>
          <w:lang w:eastAsia="zh-CN"/>
        </w:rPr>
        <w:t>《松潘年鉴》编纂、出版、印刷</w:t>
      </w:r>
      <w:r>
        <w:rPr>
          <w:rFonts w:hint="eastAsia" w:ascii="仿宋_GB2312" w:hAnsi="仿宋_GB2312" w:eastAsia="仿宋_GB2312" w:cs="仿宋_GB2312"/>
          <w:sz w:val="32"/>
          <w:szCs w:val="32"/>
        </w:rPr>
        <w:t>实际情况来申报。本项目的主要内容是编纂出版《松潘年鉴》。《松潘年鉴》是松潘县人民政府公报性质的大型资料性年刊，由松潘县人民政府主办，松潘县党史和地方志编纂中心主编、松潘县年鉴编纂委员会编纂，是域内外人士了解、认识松潘的资料性工具书，为社会大众提供松潘地情资料。该项目的实施保障了地情资源开发利用，推进了史志中心业务工作的正常开展。</w:t>
      </w:r>
    </w:p>
    <w:p w14:paraId="2D84666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sz w:val="32"/>
          <w:szCs w:val="32"/>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仿宋_GB2312" w:hAnsi="仿宋_GB2312" w:cs="仿宋_GB2312"/>
          <w:color w:val="auto"/>
          <w:kern w:val="0"/>
          <w:sz w:val="32"/>
          <w:szCs w:val="32"/>
          <w:highlight w:val="none"/>
          <w:u w:val="none"/>
          <w:shd w:val="clear" w:color="auto" w:fill="FFFFFF"/>
          <w:lang w:val="zh-CN"/>
        </w:rPr>
        <w:t>预算安排共计</w:t>
      </w:r>
      <w:r>
        <w:rPr>
          <w:rFonts w:hint="eastAsia" w:ascii="仿宋_GB2312" w:hAnsi="仿宋_GB2312" w:cs="仿宋_GB2312"/>
          <w:color w:val="auto"/>
          <w:kern w:val="0"/>
          <w:sz w:val="32"/>
          <w:szCs w:val="32"/>
          <w:highlight w:val="none"/>
          <w:u w:val="none"/>
          <w:shd w:val="clear" w:color="auto" w:fill="FFFFFF"/>
          <w:lang w:val="en-US" w:eastAsia="zh-CN"/>
        </w:rPr>
        <w:t>14.8</w:t>
      </w:r>
      <w:r>
        <w:rPr>
          <w:rFonts w:hint="eastAsia" w:ascii="仿宋_GB2312" w:hAnsi="仿宋_GB2312" w:cs="仿宋_GB2312"/>
          <w:color w:val="auto"/>
          <w:kern w:val="0"/>
          <w:sz w:val="32"/>
          <w:szCs w:val="32"/>
          <w:highlight w:val="none"/>
          <w:u w:val="none"/>
          <w:shd w:val="clear" w:color="auto" w:fill="FFFFFF"/>
          <w:lang w:val="zh-CN"/>
        </w:rPr>
        <w:t>万元。</w:t>
      </w:r>
      <w:r>
        <w:rPr>
          <w:rFonts w:hint="eastAsia" w:ascii="仿宋_GB2312" w:hAnsi="仿宋_GB2312" w:eastAsia="仿宋_GB2312" w:cs="仿宋_GB2312"/>
          <w:sz w:val="32"/>
          <w:szCs w:val="32"/>
        </w:rPr>
        <w:t>资金分配科学客观、资金安排符合相关财务管理规定、资金安排已公开公示，按照以下几点进行分配：</w:t>
      </w:r>
    </w:p>
    <w:p w14:paraId="7A35A874">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（1）保证</w:t>
      </w:r>
      <w:r>
        <w:rPr>
          <w:rFonts w:hint="eastAsia" w:ascii="仿宋_GB2312" w:hAnsi="仿宋_GB2312" w:eastAsia="仿宋_GB2312" w:cs="仿宋_GB2312"/>
          <w:sz w:val="32"/>
          <w:szCs w:val="32"/>
          <w:lang w:eastAsia="zh-CN"/>
        </w:rPr>
        <w:t>《松潘年鉴》资料收集整理</w:t>
      </w:r>
      <w:r>
        <w:rPr>
          <w:rFonts w:hint="eastAsia" w:ascii="仿宋_GB2312" w:hAnsi="仿宋_GB2312" w:eastAsia="仿宋_GB2312" w:cs="仿宋_GB2312"/>
          <w:sz w:val="32"/>
          <w:szCs w:val="32"/>
        </w:rPr>
        <w:t>；</w:t>
      </w:r>
    </w:p>
    <w:p w14:paraId="3FAF54E2">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（2）提升</w:t>
      </w:r>
      <w:r>
        <w:rPr>
          <w:rFonts w:hint="eastAsia" w:ascii="仿宋_GB2312" w:hAnsi="仿宋_GB2312" w:eastAsia="仿宋_GB2312" w:cs="仿宋_GB2312"/>
          <w:sz w:val="32"/>
          <w:szCs w:val="32"/>
          <w:lang w:eastAsia="zh-CN"/>
        </w:rPr>
        <w:t>《松潘年鉴》编纂水平</w:t>
      </w:r>
      <w:r>
        <w:rPr>
          <w:rFonts w:hint="eastAsia" w:ascii="仿宋_GB2312" w:hAnsi="仿宋_GB2312" w:eastAsia="仿宋_GB2312" w:cs="仿宋_GB2312"/>
          <w:sz w:val="32"/>
          <w:szCs w:val="32"/>
        </w:rPr>
        <w:t>；</w:t>
      </w:r>
    </w:p>
    <w:p w14:paraId="5432C6EB">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印刷出版</w:t>
      </w:r>
      <w:r>
        <w:rPr>
          <w:rFonts w:hint="eastAsia" w:ascii="仿宋_GB2312" w:hAnsi="仿宋_GB2312" w:eastAsia="仿宋_GB2312" w:cs="仿宋_GB2312"/>
          <w:sz w:val="32"/>
          <w:szCs w:val="32"/>
        </w:rPr>
        <w:t>。</w:t>
      </w:r>
    </w:p>
    <w:p w14:paraId="33A3EADE">
      <w:pPr>
        <w:bidi w:val="0"/>
        <w:ind w:left="0" w:leftChars="0" w:firstLine="643" w:firstLineChars="200"/>
        <w:rPr>
          <w:rFonts w:hint="eastAsia" w:ascii="仿宋_GB2312" w:hAnsi="仿宋_GB2312" w:eastAsia="仿宋_GB2312" w:cs="仿宋_GB2312"/>
          <w:sz w:val="32"/>
          <w:szCs w:val="28"/>
          <w:lang w:eastAsia="zh-CN"/>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sz w:val="32"/>
          <w:szCs w:val="28"/>
        </w:rPr>
        <w:t>绩效目标设置</w:t>
      </w:r>
      <w:r>
        <w:rPr>
          <w:rFonts w:hint="eastAsia" w:ascii="仿宋_GB2312" w:hAnsi="仿宋_GB2312" w:eastAsia="仿宋_GB2312" w:cs="仿宋_GB2312"/>
          <w:sz w:val="32"/>
          <w:szCs w:val="28"/>
          <w:lang w:eastAsia="zh-CN"/>
        </w:rPr>
        <w:t>按照实际情况，设置了一、二、三级指标，</w:t>
      </w:r>
      <w:r>
        <w:rPr>
          <w:rFonts w:hint="eastAsia" w:ascii="仿宋_GB2312" w:hAnsi="仿宋_GB2312" w:eastAsia="仿宋_GB2312" w:cs="仿宋_GB2312"/>
          <w:sz w:val="32"/>
          <w:szCs w:val="28"/>
        </w:rPr>
        <w:t>绩效目标和绩效指标量化可考核，相匹配，全面完整</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契合政策，与部门的长期规划目标、年度工作目标相一致， 产出和效果相关联，各项绩效指标值的设定依据和参考标准，满意度指标预测</w:t>
      </w:r>
      <w:r>
        <w:rPr>
          <w:rFonts w:hint="eastAsia" w:ascii="仿宋_GB2312" w:hAnsi="仿宋_GB2312" w:eastAsia="仿宋_GB2312" w:cs="仿宋_GB2312"/>
          <w:sz w:val="32"/>
          <w:szCs w:val="28"/>
          <w:lang w:eastAsia="zh-CN"/>
        </w:rPr>
        <w:t>均按要求设置。</w:t>
      </w:r>
    </w:p>
    <w:p w14:paraId="2BB86A85">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4F1750A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仿宋_GB2312" w:hAnsi="仿宋_GB2312" w:eastAsia="仿宋_GB2312" w:cs="仿宋_GB2312"/>
          <w:b w:val="0"/>
          <w:bCs/>
          <w:sz w:val="32"/>
          <w:szCs w:val="36"/>
        </w:rPr>
        <w:t>通过对</w:t>
      </w:r>
      <w:r>
        <w:rPr>
          <w:rFonts w:hint="eastAsia" w:ascii="仿宋_GB2312" w:hAnsi="仿宋_GB2312" w:eastAsia="仿宋_GB2312" w:cs="仿宋_GB2312"/>
          <w:b w:val="0"/>
          <w:bCs/>
          <w:sz w:val="32"/>
          <w:szCs w:val="36"/>
          <w:lang w:eastAsia="zh-CN"/>
        </w:rPr>
        <w:t>《松潘年鉴》编纂出版</w:t>
      </w:r>
      <w:r>
        <w:rPr>
          <w:rFonts w:hint="eastAsia" w:ascii="仿宋_GB2312" w:hAnsi="仿宋_GB2312" w:eastAsia="仿宋_GB2312" w:cs="仿宋_GB2312"/>
          <w:b w:val="0"/>
          <w:bCs/>
          <w:sz w:val="32"/>
          <w:szCs w:val="36"/>
        </w:rPr>
        <w:t>专项资金项目实施以及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为以后年度类似项目专项资金安排、政策制度建设、预算绩效的推进提供必要的借鉴。</w:t>
      </w:r>
    </w:p>
    <w:p w14:paraId="3EDA497C">
      <w:pPr>
        <w:ind w:left="0" w:leftChars="0" w:firstLine="842" w:firstLineChars="262"/>
        <w:rPr>
          <w:rFonts w:hint="eastAsia" w:ascii="仿宋_GB2312" w:hAnsi="仿宋_GB2312" w:eastAsia="仿宋_GB2312" w:cs="仿宋_GB2312"/>
          <w:sz w:val="32"/>
          <w:szCs w:val="48"/>
          <w:lang w:eastAsia="zh-CN"/>
        </w:rPr>
      </w:pPr>
      <w:r>
        <w:rPr>
          <w:rFonts w:hint="eastAsia" w:ascii="Times New Roman" w:hAnsi="Times New Roman" w:eastAsia="楷体_GB2312"/>
          <w:b/>
          <w:color w:val="auto"/>
          <w:sz w:val="32"/>
          <w:szCs w:val="32"/>
          <w:highlight w:val="none"/>
          <w:u w:val="none"/>
          <w:lang w:val="zh-CN"/>
        </w:rPr>
        <w:t>（二）预设问题及评价重点。</w:t>
      </w:r>
      <w:r>
        <w:rPr>
          <w:rFonts w:hint="eastAsia" w:ascii="仿宋_GB2312" w:hAnsi="仿宋_GB2312" w:eastAsia="仿宋_GB2312" w:cs="仿宋_GB2312"/>
          <w:sz w:val="32"/>
          <w:szCs w:val="48"/>
          <w:lang w:eastAsia="zh-CN"/>
        </w:rPr>
        <w:t>本项目通过现场踏勘、与项目相关人员座谈或讨论、聘请相关专业专家、市场调研等方法了解项目情况，收集相关资料，综合分析相关情况后，对项目的立项必要性、投入经济性、目标合理性、方案可行性以及筹资合规性实施评估</w:t>
      </w:r>
    </w:p>
    <w:p w14:paraId="3C1BB62F">
      <w:pPr>
        <w:pStyle w:val="2"/>
        <w:ind w:left="0" w:leftChars="0" w:firstLine="1124" w:firstLineChars="350"/>
        <w:rPr>
          <w:rFonts w:hint="eastAsia" w:ascii="仿宋_GB2312" w:hAnsi="仿宋_GB2312" w:eastAsia="仿宋_GB2312" w:cs="仿宋_GB2312"/>
          <w:b w:val="0"/>
          <w:bCs/>
          <w:sz w:val="32"/>
          <w:szCs w:val="36"/>
          <w:lang w:val="zh-CN" w:eastAsia="zh-CN"/>
        </w:rPr>
      </w:pPr>
      <w:r>
        <w:rPr>
          <w:rFonts w:hint="eastAsia" w:ascii="Times New Roman" w:hAnsi="Times New Roman" w:eastAsia="楷体_GB2312"/>
          <w:b/>
          <w:color w:val="auto"/>
          <w:sz w:val="32"/>
          <w:szCs w:val="32"/>
          <w:highlight w:val="none"/>
          <w:u w:val="none"/>
          <w:lang w:val="zh-CN" w:eastAsia="zh-CN"/>
        </w:rPr>
        <w:t>（三）评价选点。</w:t>
      </w:r>
      <w:r>
        <w:rPr>
          <w:rFonts w:hint="eastAsia" w:ascii="仿宋_GB2312" w:hAnsi="仿宋_GB2312" w:eastAsia="仿宋_GB2312" w:cs="仿宋_GB2312"/>
          <w:b w:val="0"/>
          <w:bCs/>
          <w:sz w:val="32"/>
          <w:szCs w:val="36"/>
          <w:lang w:val="zh-CN" w:eastAsia="zh-CN"/>
        </w:rPr>
        <w:t>对</w:t>
      </w:r>
      <w:r>
        <w:rPr>
          <w:rFonts w:hint="eastAsia" w:ascii="仿宋_GB2312" w:hAnsi="仿宋_GB2312" w:eastAsia="仿宋_GB2312" w:cs="仿宋_GB2312"/>
          <w:b w:val="0"/>
          <w:bCs/>
          <w:sz w:val="32"/>
          <w:szCs w:val="36"/>
          <w:lang w:eastAsia="zh-CN"/>
        </w:rPr>
        <w:t>《松潘年鉴》编纂出版</w:t>
      </w:r>
      <w:r>
        <w:rPr>
          <w:rFonts w:hint="eastAsia" w:ascii="仿宋_GB2312" w:hAnsi="仿宋_GB2312" w:eastAsia="仿宋_GB2312" w:cs="仿宋_GB2312"/>
          <w:b w:val="0"/>
          <w:bCs/>
          <w:sz w:val="32"/>
          <w:szCs w:val="36"/>
          <w:lang w:val="zh-CN" w:eastAsia="zh-CN"/>
        </w:rPr>
        <w:t>进行实地评价。</w:t>
      </w:r>
    </w:p>
    <w:p w14:paraId="05D6FB40">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p>
    <w:p w14:paraId="4FAB2EEC">
      <w:pPr>
        <w:pStyle w:val="2"/>
        <w:ind w:left="0" w:leftChars="0" w:firstLine="842" w:firstLineChars="262"/>
        <w:rPr>
          <w:rFonts w:hint="eastAsia" w:ascii="仿宋_GB2312" w:hAnsi="仿宋_GB2312" w:eastAsia="仿宋_GB2312" w:cs="仿宋_GB2312"/>
          <w:b w:val="0"/>
          <w:bCs/>
          <w:sz w:val="32"/>
          <w:szCs w:val="36"/>
          <w:lang w:eastAsia="zh-CN"/>
        </w:rPr>
      </w:pPr>
      <w:r>
        <w:rPr>
          <w:rFonts w:hint="eastAsia" w:ascii="Times New Roman" w:hAnsi="Times New Roman" w:eastAsia="楷体_GB2312"/>
          <w:b/>
          <w:color w:val="auto"/>
          <w:sz w:val="32"/>
          <w:szCs w:val="32"/>
          <w:highlight w:val="none"/>
          <w:u w:val="none"/>
          <w:lang w:val="zh-CN"/>
        </w:rPr>
        <w:t>（四）评价方法。</w:t>
      </w:r>
      <w:r>
        <w:rPr>
          <w:rFonts w:hint="eastAsia" w:ascii="仿宋_GB2312" w:hAnsi="仿宋_GB2312" w:eastAsia="仿宋_GB2312" w:cs="仿宋_GB2312"/>
          <w:b w:val="0"/>
          <w:bCs/>
          <w:sz w:val="32"/>
          <w:szCs w:val="36"/>
          <w:lang w:eastAsia="zh-CN"/>
        </w:rPr>
        <w:t>以现场评价为主、非现场评价为辅，开展绩效评价工作。在项目点现场通过询问、沟通、听取介绍了解项目具体情况，收集项目立项文件等依据，检查项目预算审批、资金支付等内容，实地走访、收集满意度调查问卷，记录工作底稿，获取充分依据以客观公正评价。</w:t>
      </w:r>
    </w:p>
    <w:p w14:paraId="08E23488">
      <w:pPr>
        <w:keepNext w:val="0"/>
        <w:keepLines w:val="0"/>
        <w:pageBreakBefore w:val="0"/>
        <w:widowControl/>
        <w:kinsoku w:val="0"/>
        <w:wordWrap/>
        <w:overflowPunct/>
        <w:topLinePunct w:val="0"/>
        <w:autoSpaceDE w:val="0"/>
        <w:autoSpaceDN w:val="0"/>
        <w:bidi w:val="0"/>
        <w:adjustRightInd w:val="0"/>
        <w:snapToGrid w:val="0"/>
        <w:spacing w:line="578" w:lineRule="exact"/>
        <w:ind w:firstLine="643" w:firstLineChars="200"/>
        <w:textAlignment w:val="baseline"/>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仿宋_GB2312" w:hAnsi="仿宋_GB2312" w:eastAsia="仿宋_GB2312" w:cs="仿宋_GB2312"/>
          <w:sz w:val="32"/>
          <w:szCs w:val="32"/>
          <w:lang w:eastAsia="zh-CN"/>
        </w:rPr>
        <w:t>成立以主任张世海为组长，副主任陈立为副组长，各股室股长为成员的绩效评价小组。</w:t>
      </w:r>
    </w:p>
    <w:p w14:paraId="7AA0982B">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6F73FCD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4698675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1596CF9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hAnsi="仿宋_GB2312" w:eastAsia="仿宋_GB2312" w:cs="仿宋_GB2312"/>
          <w:color w:val="auto"/>
          <w:sz w:val="32"/>
          <w:szCs w:val="48"/>
          <w:lang w:eastAsia="zh-CN"/>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w:t>
      </w:r>
      <w:r>
        <w:rPr>
          <w:rFonts w:hint="eastAsia" w:ascii="仿宋_GB2312" w:hAnsi="仿宋_GB2312" w:eastAsia="仿宋_GB2312" w:cs="仿宋_GB2312"/>
          <w:color w:val="auto"/>
          <w:sz w:val="32"/>
          <w:szCs w:val="48"/>
          <w:lang w:eastAsia="zh-CN"/>
        </w:rPr>
        <w:t xml:space="preserve">围绕决策程序、规划论证、资金投向进行绩效分析。采购、施工、服务类项目采用政府集采、签订合同（协议）方式实施。按程序确定承接机构，通过制定实施方案、图纸设计、财评、项目立项等程序，项目由县史志中心组织实施，由具体项目实施单位承办，项目实施完成后，经验收合格，项目资金支付到具体项目实施单位账户。全部项目实施过程中，县史志中心负责指导和监督。 </w:t>
      </w:r>
    </w:p>
    <w:p w14:paraId="1153A3E9">
      <w:pPr>
        <w:pStyle w:val="15"/>
        <w:ind w:left="0" w:leftChars="0" w:firstLine="640" w:firstLineChars="200"/>
        <w:rPr>
          <w:rFonts w:hint="eastAsia" w:ascii="Times New Roman" w:hAnsi="Times New Roman" w:eastAsia="仿宋_GB2312" w:cs="Times New Roman"/>
          <w:smallCaps w:val="0"/>
          <w:color w:val="auto"/>
          <w:kern w:val="2"/>
          <w:sz w:val="32"/>
          <w:szCs w:val="32"/>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w:t>
      </w:r>
      <w:r>
        <w:rPr>
          <w:rFonts w:hint="eastAsia" w:ascii="Times New Roman" w:hAnsi="Times New Roman" w:eastAsia="仿宋_GB2312" w:cs="Times New Roman"/>
          <w:smallCaps w:val="0"/>
          <w:color w:val="auto"/>
          <w:kern w:val="2"/>
          <w:sz w:val="32"/>
          <w:szCs w:val="32"/>
          <w:lang w:val="en-US" w:eastAsia="zh-CN" w:bidi="ar-SA"/>
        </w:rPr>
        <w:t>严格按照《</w:t>
      </w:r>
      <w:r>
        <w:rPr>
          <w:rFonts w:hint="eastAsia" w:ascii="仿宋_GB2312" w:hAnsi="宋体" w:eastAsia="仿宋_GB2312"/>
          <w:sz w:val="32"/>
          <w:szCs w:val="32"/>
        </w:rPr>
        <w:t>四川省地方志工作条例</w:t>
      </w:r>
      <w:r>
        <w:rPr>
          <w:rFonts w:hint="eastAsia" w:ascii="Times New Roman" w:hAnsi="Times New Roman" w:eastAsia="仿宋_GB2312" w:cs="Times New Roman"/>
          <w:smallCaps w:val="0"/>
          <w:color w:val="auto"/>
          <w:kern w:val="2"/>
          <w:sz w:val="32"/>
          <w:szCs w:val="32"/>
          <w:lang w:val="en-US" w:eastAsia="zh-CN" w:bidi="ar-SA"/>
        </w:rPr>
        <w:t>》执行，做到</w:t>
      </w:r>
      <w:r>
        <w:rPr>
          <w:rFonts w:hint="eastAsia" w:ascii="仿宋" w:hAnsi="仿宋" w:eastAsia="仿宋" w:cs="仿宋"/>
          <w:spacing w:val="17"/>
          <w:sz w:val="31"/>
          <w:szCs w:val="31"/>
          <w:lang w:val="en-US" w:eastAsia="zh-CN"/>
        </w:rPr>
        <w:t>综合年鉴一年一鉴，公开出版。</w:t>
      </w:r>
      <w:r>
        <w:rPr>
          <w:rFonts w:hint="eastAsia" w:ascii="Times New Roman" w:hAnsi="Times New Roman" w:eastAsia="仿宋_GB2312" w:cs="Times New Roman"/>
          <w:smallCaps w:val="0"/>
          <w:color w:val="auto"/>
          <w:kern w:val="2"/>
          <w:sz w:val="32"/>
          <w:szCs w:val="32"/>
          <w:lang w:val="en-US" w:eastAsia="zh-CN" w:bidi="ar-SA"/>
        </w:rPr>
        <w:t>结合项目特点，按照相关法律法规、项目管理制度，按程序</w:t>
      </w:r>
      <w:r>
        <w:rPr>
          <w:rFonts w:hint="eastAsia" w:eastAsia="仿宋_GB2312" w:cs="Times New Roman"/>
          <w:smallCaps w:val="0"/>
          <w:color w:val="auto"/>
          <w:kern w:val="2"/>
          <w:sz w:val="32"/>
          <w:szCs w:val="32"/>
          <w:lang w:val="en-US" w:eastAsia="zh-CN" w:bidi="ar-SA"/>
        </w:rPr>
        <w:t>实施</w:t>
      </w:r>
      <w:r>
        <w:rPr>
          <w:rFonts w:hint="eastAsia" w:ascii="Times New Roman" w:hAnsi="Times New Roman" w:eastAsia="仿宋_GB2312" w:cs="Times New Roman"/>
          <w:smallCaps w:val="0"/>
          <w:color w:val="auto"/>
          <w:kern w:val="2"/>
          <w:sz w:val="32"/>
          <w:szCs w:val="32"/>
          <w:lang w:val="en-US" w:eastAsia="zh-CN" w:bidi="ar-SA"/>
        </w:rPr>
        <w:t>。在项目建设管理中严格按照相关管理制度执行有关建设标准及规范，严格执行招投标、政府采购、项目公示制等相关规定，加强项目质量与安全管理，</w:t>
      </w:r>
      <w:r>
        <w:rPr>
          <w:rFonts w:hint="eastAsia" w:ascii="仿宋_GB2312" w:hAnsi="仿宋_GB2312" w:eastAsia="仿宋_GB2312" w:cs="仿宋_GB2312"/>
          <w:sz w:val="32"/>
          <w:szCs w:val="32"/>
          <w:highlight w:val="none"/>
          <w:lang w:eastAsia="zh-CN"/>
        </w:rPr>
        <w:t>保障了地情资源开发利用，推进了史志中心业务工作的正常开展。</w:t>
      </w:r>
    </w:p>
    <w:p w14:paraId="0389ABC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972" w:firstLineChars="304"/>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仿宋_GB2312" w:hAnsi="仿宋_GB2312" w:eastAsia="仿宋_GB2312" w:cs="仿宋_GB2312"/>
          <w:color w:val="auto"/>
          <w:sz w:val="32"/>
          <w:szCs w:val="48"/>
          <w:lang w:val="en-US" w:eastAsia="zh-CN"/>
        </w:rPr>
        <w:t>通过现场督导、召开会议等方式，加强项目监管，推动项目实施。项目单位负责项目建设，严把出书质量关和进度。县史志中心根据项目建设情况，及时对项目实施前、中、后进行实地查看，积极听取党员群众及乡镇意见，做到了实施过程全程监管指导，完工后根据验收情况按照财务制度拨付资金，做到事前评估、事中监控、事后评价监管责任，确保项目能按照要求进行建设并能发挥作用。2025年共计支付14.8万元</w:t>
      </w:r>
      <w:r>
        <w:rPr>
          <w:rFonts w:hint="eastAsia" w:ascii="仿宋_GB2312"/>
          <w:sz w:val="32"/>
          <w:szCs w:val="32"/>
          <w:lang w:val="en-US" w:eastAsia="zh-CN"/>
        </w:rPr>
        <w:t>。</w:t>
      </w:r>
    </w:p>
    <w:p w14:paraId="48C139C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200"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w:t>
      </w:r>
      <w:r>
        <w:rPr>
          <w:rFonts w:hint="eastAsia" w:ascii="仿宋_GB2312" w:hAnsi="仿宋_GB2312" w:eastAsia="仿宋_GB2312" w:cs="仿宋_GB2312"/>
          <w:color w:val="auto"/>
          <w:sz w:val="32"/>
          <w:szCs w:val="48"/>
          <w:lang w:val="en-US" w:eastAsia="zh-CN"/>
        </w:rPr>
        <w:t>2025年</w:t>
      </w:r>
      <w:r>
        <w:rPr>
          <w:rFonts w:hint="eastAsia" w:ascii="仿宋_GB2312" w:hAnsi="仿宋_GB2312" w:eastAsia="仿宋_GB2312" w:cs="仿宋_GB2312"/>
          <w:b w:val="0"/>
          <w:bCs/>
          <w:sz w:val="32"/>
          <w:szCs w:val="36"/>
          <w:lang w:eastAsia="zh-CN"/>
        </w:rPr>
        <w:t>《松潘年鉴》编纂出版</w:t>
      </w:r>
      <w:r>
        <w:rPr>
          <w:rFonts w:hint="eastAsia" w:ascii="仿宋_GB2312" w:hAnsi="仿宋_GB2312" w:eastAsia="仿宋_GB2312" w:cs="仿宋_GB2312"/>
          <w:color w:val="auto"/>
          <w:sz w:val="32"/>
          <w:szCs w:val="48"/>
          <w:lang w:val="en-US" w:eastAsia="zh-CN"/>
        </w:rPr>
        <w:t>资金按项目招标结果已全额、按时支付。</w:t>
      </w:r>
    </w:p>
    <w:p w14:paraId="7B88A4C1">
      <w:pPr>
        <w:pStyle w:val="36"/>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val="0"/>
          <w:bCs/>
          <w:kern w:val="2"/>
          <w:sz w:val="32"/>
          <w:szCs w:val="36"/>
          <w:lang w:val="en-US"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仿宋_GB2312" w:hAnsi="仿宋_GB2312" w:eastAsia="仿宋_GB2312" w:cs="仿宋_GB2312"/>
          <w:b w:val="0"/>
          <w:bCs/>
          <w:kern w:val="2"/>
          <w:sz w:val="32"/>
          <w:szCs w:val="36"/>
          <w:lang w:val="zh-CN" w:eastAsia="zh-CN" w:bidi="ar-SA"/>
        </w:rPr>
        <w:t>通过</w:t>
      </w:r>
      <w:r>
        <w:rPr>
          <w:rFonts w:hint="eastAsia" w:ascii="仿宋_GB2312" w:hAnsi="仿宋_GB2312" w:eastAsia="仿宋_GB2312" w:cs="仿宋_GB2312"/>
          <w:b w:val="0"/>
          <w:bCs/>
          <w:kern w:val="2"/>
          <w:sz w:val="32"/>
          <w:szCs w:val="36"/>
          <w:lang w:val="en-US" w:eastAsia="zh-CN" w:bidi="ar-SA"/>
        </w:rPr>
        <w:t>入户走访、电话回访等方式，受众知晓率和满意度调查，知晓率满意度调查结果，满意度达到100%。</w:t>
      </w:r>
    </w:p>
    <w:p w14:paraId="0D0E3E0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14:paraId="2BF8802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56BF2A8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14:paraId="6C5AF57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14:paraId="5AE1AC2E">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sz w:val="32"/>
          <w:szCs w:val="32"/>
          <w:lang w:val="en-US" w:eastAsia="zh-CN"/>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sz w:val="32"/>
          <w:szCs w:val="32"/>
        </w:rPr>
        <w:t>数量指标</w:t>
      </w:r>
      <w:r>
        <w:rPr>
          <w:rFonts w:hint="eastAsia"/>
          <w:sz w:val="32"/>
          <w:szCs w:val="32"/>
          <w:lang w:eastAsia="zh-CN"/>
        </w:rPr>
        <w:t>：</w:t>
      </w:r>
      <w:r>
        <w:rPr>
          <w:rFonts w:hint="eastAsia"/>
          <w:sz w:val="32"/>
          <w:szCs w:val="32"/>
        </w:rPr>
        <w:t>年内完成一部年鉴的编纂出版印刷，全年实际完成</w:t>
      </w:r>
      <w:r>
        <w:rPr>
          <w:rFonts w:hint="eastAsia"/>
          <w:sz w:val="32"/>
          <w:szCs w:val="32"/>
          <w:lang w:val="en-US" w:eastAsia="zh-CN"/>
        </w:rPr>
        <w:t>一部</w:t>
      </w:r>
      <w:r>
        <w:rPr>
          <w:rFonts w:hint="eastAsia"/>
          <w:sz w:val="32"/>
          <w:szCs w:val="32"/>
          <w:lang w:eastAsia="zh-CN"/>
        </w:rPr>
        <w:t>，完成率</w:t>
      </w:r>
      <w:r>
        <w:rPr>
          <w:rFonts w:hint="eastAsia"/>
          <w:sz w:val="32"/>
          <w:szCs w:val="32"/>
          <w:lang w:val="en-US" w:eastAsia="zh-CN"/>
        </w:rPr>
        <w:t>100%，符合</w:t>
      </w:r>
      <w:r>
        <w:rPr>
          <w:rFonts w:hint="eastAsia" w:ascii="仿宋_GB2312"/>
          <w:sz w:val="32"/>
          <w:szCs w:val="32"/>
          <w:lang w:val="en-US" w:eastAsia="zh-CN"/>
        </w:rPr>
        <w:t>相关工作安排及实施办法要求。</w:t>
      </w:r>
    </w:p>
    <w:p w14:paraId="2F4315DA">
      <w:pPr>
        <w:pStyle w:val="14"/>
        <w:rPr>
          <w:rFonts w:hint="eastAsia"/>
          <w:lang w:val="en-US" w:eastAsia="zh-CN"/>
        </w:rPr>
      </w:pPr>
    </w:p>
    <w:p w14:paraId="0AED50B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sz w:val="32"/>
          <w:szCs w:val="32"/>
          <w:lang w:val="en-US" w:eastAsia="zh-CN"/>
        </w:rPr>
      </w:pPr>
      <w:r>
        <w:rPr>
          <w:rFonts w:hint="eastAsia" w:ascii="仿宋_GB2312" w:hAnsi="仿宋_GB2312" w:eastAsia="仿宋_GB2312" w:cs="仿宋_GB2312"/>
          <w:color w:val="auto"/>
          <w:sz w:val="32"/>
          <w:szCs w:val="32"/>
          <w:highlight w:val="none"/>
          <w:u w:val="none"/>
          <w:lang w:eastAsia="zh-CN"/>
        </w:rPr>
        <w:t>质量指标：编审出错率控制在万分之一，实际出错率没超过这个限制。</w:t>
      </w:r>
      <w:r>
        <w:rPr>
          <w:rFonts w:hint="eastAsia"/>
          <w:sz w:val="32"/>
          <w:szCs w:val="32"/>
          <w:lang w:eastAsia="zh-CN"/>
        </w:rPr>
        <w:t>完成率</w:t>
      </w:r>
      <w:r>
        <w:rPr>
          <w:rFonts w:hint="eastAsia"/>
          <w:sz w:val="32"/>
          <w:szCs w:val="32"/>
          <w:lang w:val="en-US" w:eastAsia="zh-CN"/>
        </w:rPr>
        <w:t>100%，符合</w:t>
      </w:r>
      <w:r>
        <w:rPr>
          <w:rFonts w:hint="eastAsia" w:ascii="仿宋_GB2312"/>
          <w:sz w:val="32"/>
          <w:szCs w:val="32"/>
          <w:lang w:val="en-US" w:eastAsia="zh-CN"/>
        </w:rPr>
        <w:t>相关工作安排及实施办法要求。</w:t>
      </w:r>
    </w:p>
    <w:p w14:paraId="25A20CA4">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时效指标：202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年1月—202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年12月，完成率100%。</w:t>
      </w:r>
    </w:p>
    <w:p w14:paraId="21071854">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社会效益指标：为社会大众提供松潘地情资料，完成率100%</w:t>
      </w:r>
    </w:p>
    <w:p w14:paraId="27B2B369">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lang w:eastAsia="zh-CN"/>
        </w:rPr>
      </w:pPr>
      <w:r>
        <w:rPr>
          <w:rFonts w:hint="eastAsia" w:ascii="仿宋_GB2312" w:hAnsi="仿宋_GB2312" w:eastAsia="仿宋_GB2312" w:cs="仿宋_GB2312"/>
          <w:sz w:val="32"/>
          <w:szCs w:val="32"/>
          <w:highlight w:val="none"/>
          <w:lang w:eastAsia="zh-CN"/>
        </w:rPr>
        <w:t>满意度指标：服务对象满意度≥90%，完成率100%。</w:t>
      </w:r>
    </w:p>
    <w:p w14:paraId="193BA72D">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1C7727EA">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default" w:ascii="仿宋_GB2312" w:hAnsi="Times New Roman" w:eastAsia="仿宋_GB2312" w:cs="Times New Roman"/>
          <w:kern w:val="2"/>
          <w:position w:val="0"/>
          <w:sz w:val="32"/>
          <w:szCs w:val="32"/>
          <w:lang w:val="en-US" w:eastAsia="zh-CN" w:bidi="ar-SA"/>
        </w:rPr>
      </w:pPr>
      <w:r>
        <w:rPr>
          <w:rFonts w:hint="eastAsia" w:ascii="仿宋_GB2312" w:hAnsi="Times New Roman" w:eastAsia="仿宋_GB2312" w:cs="Times New Roman"/>
          <w:kern w:val="2"/>
          <w:position w:val="0"/>
          <w:sz w:val="32"/>
          <w:szCs w:val="32"/>
          <w:lang w:val="en-US" w:eastAsia="zh-CN" w:bidi="ar-SA"/>
        </w:rPr>
        <w:t>项目资金分配充分体现了</w:t>
      </w:r>
      <w:r>
        <w:rPr>
          <w:rFonts w:hint="eastAsia" w:ascii="仿宋_GB2312" w:hAnsi="仿宋_GB2312" w:eastAsia="仿宋_GB2312" w:cs="仿宋_GB2312"/>
          <w:b w:val="0"/>
          <w:bCs/>
          <w:sz w:val="32"/>
          <w:szCs w:val="36"/>
          <w:lang w:eastAsia="zh-CN"/>
        </w:rPr>
        <w:t>《松潘年鉴》是</w:t>
      </w:r>
      <w:r>
        <w:rPr>
          <w:rFonts w:hint="eastAsia"/>
          <w:sz w:val="32"/>
          <w:szCs w:val="32"/>
        </w:rPr>
        <w:t>域内外人士了解、认识松潘的资料性工具书，为社会大众提供松潘地情资料。该项目的实施保障了地情资源开发利用，推进了史志中心业务工作的正常开展。</w:t>
      </w:r>
      <w:r>
        <w:rPr>
          <w:rFonts w:hint="eastAsia" w:ascii="仿宋_GB2312" w:hAnsi="Times New Roman" w:eastAsia="仿宋_GB2312" w:cs="Times New Roman"/>
          <w:kern w:val="2"/>
          <w:position w:val="0"/>
          <w:sz w:val="32"/>
          <w:szCs w:val="32"/>
          <w:lang w:val="en-US" w:eastAsia="zh-CN" w:bidi="ar-SA"/>
        </w:rPr>
        <w:t>项目整体</w:t>
      </w:r>
      <w:r>
        <w:rPr>
          <w:rFonts w:hint="default" w:ascii="仿宋_GB2312" w:hAnsi="Times New Roman" w:eastAsia="仿宋_GB2312" w:cs="Times New Roman"/>
          <w:kern w:val="2"/>
          <w:position w:val="0"/>
          <w:sz w:val="32"/>
          <w:szCs w:val="32"/>
          <w:lang w:val="en-US" w:eastAsia="zh-CN" w:bidi="ar-SA"/>
        </w:rPr>
        <w:t>社会评价反馈良好。</w:t>
      </w:r>
      <w:r>
        <w:rPr>
          <w:rFonts w:hint="eastAsia" w:ascii="仿宋_GB2312" w:hAnsi="仿宋_GB2312" w:eastAsia="仿宋_GB2312" w:cs="仿宋_GB2312"/>
          <w:sz w:val="32"/>
          <w:szCs w:val="32"/>
          <w:highlight w:val="none"/>
          <w:lang w:eastAsia="zh-CN"/>
        </w:rPr>
        <w:t>该项目决策正确，管理规范，绩效完成率非常好。</w:t>
      </w:r>
      <w:r>
        <w:rPr>
          <w:rFonts w:hint="eastAsia" w:ascii="仿宋_GB2312" w:eastAsia="仿宋_GB2312" w:cs="Times New Roman"/>
          <w:kern w:val="2"/>
          <w:position w:val="0"/>
          <w:sz w:val="32"/>
          <w:szCs w:val="32"/>
          <w:lang w:val="en-US" w:eastAsia="zh-CN" w:bidi="ar-SA"/>
        </w:rPr>
        <w:t>通过自评综合得分100分。</w:t>
      </w:r>
    </w:p>
    <w:p w14:paraId="3E274DD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709B75B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仿宋_GB2312" w:hAnsi="Times New Roman" w:eastAsia="仿宋_GB2312" w:cs="Times New Roman"/>
          <w:kern w:val="2"/>
          <w:position w:val="0"/>
          <w:sz w:val="32"/>
          <w:szCs w:val="32"/>
          <w:lang w:val="zh-CN" w:eastAsia="zh-CN" w:bidi="ar-SA"/>
        </w:rPr>
        <w:t>随着社会发展加快，新兴产业不断涌现、年鉴篇目所制不能尽现所有，还有编纂人员水平有限，资金投入有限，不能满足个性化服务需求</w:t>
      </w:r>
    </w:p>
    <w:p w14:paraId="30A0ADC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6C5A74F5">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hAnsi="仿宋_GB2312" w:cs="仿宋_GB2312"/>
          <w:b w:val="0"/>
          <w:bCs w:val="0"/>
          <w:kern w:val="0"/>
          <w:position w:val="0"/>
          <w:sz w:val="32"/>
          <w:szCs w:val="32"/>
          <w:highlight w:val="none"/>
          <w:lang w:val="en-US" w:eastAsia="zh-CN" w:bidi="ar-SA"/>
        </w:rPr>
        <w:t>提前做好资金使用规划，对资金使用和管理实行动态管理，确保资金使用效益最大化，加大资金支持力度。</w:t>
      </w:r>
    </w:p>
    <w:p w14:paraId="1A9FC464">
      <w:pPr>
        <w:keepNext w:val="0"/>
        <w:keepLines w:val="0"/>
        <w:pageBreakBefore w:val="0"/>
        <w:kinsoku/>
        <w:wordWrap/>
        <w:overflowPunct/>
        <w:topLinePunct w:val="0"/>
        <w:autoSpaceDE/>
        <w:autoSpaceDN/>
        <w:bidi w:val="0"/>
        <w:adjustRightInd/>
        <w:snapToGrid w:val="0"/>
        <w:spacing w:line="578" w:lineRule="exact"/>
        <w:ind w:left="0" w:leftChars="0" w:firstLine="42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6DFC258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p>
    <w:p w14:paraId="70EB79CE">
      <w:pPr>
        <w:pStyle w:val="2"/>
        <w:rPr>
          <w:rFonts w:hint="eastAsia" w:ascii="Times New Roman" w:hAnsi="Times New Roman" w:eastAsia="仿宋_GB2312" w:cs="仿宋_GB2312"/>
          <w:b/>
          <w:bCs/>
          <w:kern w:val="0"/>
          <w:position w:val="0"/>
          <w:sz w:val="32"/>
          <w:szCs w:val="32"/>
          <w:highlight w:val="none"/>
          <w:lang w:val="en-US" w:eastAsia="zh-CN" w:bidi="ar-SA"/>
        </w:rPr>
      </w:pPr>
    </w:p>
    <w:p w14:paraId="53BC9CAA">
      <w:pPr>
        <w:rPr>
          <w:rFonts w:hint="eastAsia"/>
          <w:lang w:val="en-US" w:eastAsia="zh-CN"/>
        </w:rPr>
      </w:pPr>
    </w:p>
    <w:p w14:paraId="243C05A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8D30F9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5ABEBF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6"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5E88D38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6"/>
      <w:bookmarkStart w:id="67" w:name="_Toc15396619"/>
    </w:p>
    <w:p w14:paraId="644A812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AC3066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7"/>
    </w:p>
    <w:p w14:paraId="1B1CF43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0"/>
      <w:r>
        <w:rPr>
          <w:rFonts w:hint="eastAsia" w:ascii="Times New Roman" w:hAnsi="Times New Roman" w:eastAsia="仿宋_GB2312" w:cs="仿宋_GB2312"/>
          <w:color w:val="auto"/>
          <w:sz w:val="32"/>
          <w:szCs w:val="32"/>
          <w:highlight w:val="none"/>
        </w:rPr>
        <w:t>二、收入决算表</w:t>
      </w:r>
      <w:bookmarkEnd w:id="68"/>
    </w:p>
    <w:p w14:paraId="5ADCDE3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1"/>
      <w:r>
        <w:rPr>
          <w:rFonts w:hint="eastAsia" w:ascii="Times New Roman" w:hAnsi="Times New Roman" w:eastAsia="仿宋_GB2312" w:cs="仿宋_GB2312"/>
          <w:color w:val="auto"/>
          <w:sz w:val="32"/>
          <w:szCs w:val="32"/>
          <w:highlight w:val="none"/>
        </w:rPr>
        <w:t>三、支出决算表</w:t>
      </w:r>
      <w:bookmarkEnd w:id="69"/>
    </w:p>
    <w:p w14:paraId="7BD5482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2"/>
      <w:r>
        <w:rPr>
          <w:rFonts w:hint="eastAsia" w:ascii="Times New Roman" w:hAnsi="Times New Roman" w:eastAsia="仿宋_GB2312" w:cs="仿宋_GB2312"/>
          <w:color w:val="auto"/>
          <w:sz w:val="32"/>
          <w:szCs w:val="32"/>
          <w:highlight w:val="none"/>
        </w:rPr>
        <w:t>四、财政拨款收入支出决算总表</w:t>
      </w:r>
      <w:bookmarkEnd w:id="70"/>
    </w:p>
    <w:p w14:paraId="5E0A459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3"/>
      <w:r>
        <w:rPr>
          <w:rFonts w:hint="eastAsia" w:ascii="Times New Roman" w:hAnsi="Times New Roman" w:eastAsia="仿宋_GB2312" w:cs="仿宋_GB2312"/>
          <w:color w:val="auto"/>
          <w:sz w:val="32"/>
          <w:szCs w:val="32"/>
          <w:highlight w:val="none"/>
        </w:rPr>
        <w:t>五、财政拨款支出决算明细表</w:t>
      </w:r>
      <w:bookmarkEnd w:id="71"/>
      <w:bookmarkStart w:id="72" w:name="_Toc15396624"/>
    </w:p>
    <w:p w14:paraId="16B027D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2"/>
    </w:p>
    <w:p w14:paraId="0F5EC1F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5"/>
      <w:r>
        <w:rPr>
          <w:rFonts w:hint="eastAsia" w:ascii="Times New Roman" w:hAnsi="Times New Roman" w:eastAsia="仿宋_GB2312" w:cs="仿宋_GB2312"/>
          <w:color w:val="auto"/>
          <w:sz w:val="32"/>
          <w:szCs w:val="32"/>
          <w:highlight w:val="none"/>
        </w:rPr>
        <w:t>七、一般公共预算财政拨款支出决算明细表</w:t>
      </w:r>
      <w:bookmarkEnd w:id="73"/>
    </w:p>
    <w:p w14:paraId="4A2EC6D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6"/>
      <w:r>
        <w:rPr>
          <w:rFonts w:hint="eastAsia" w:ascii="Times New Roman" w:hAnsi="Times New Roman" w:eastAsia="仿宋_GB2312" w:cs="仿宋_GB2312"/>
          <w:color w:val="auto"/>
          <w:sz w:val="32"/>
          <w:szCs w:val="32"/>
          <w:highlight w:val="none"/>
        </w:rPr>
        <w:t>八、一般公共预算财政拨款基本支出决算表</w:t>
      </w:r>
      <w:bookmarkEnd w:id="74"/>
    </w:p>
    <w:p w14:paraId="1024822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7"/>
      <w:r>
        <w:rPr>
          <w:rFonts w:hint="eastAsia" w:ascii="Times New Roman" w:hAnsi="Times New Roman" w:eastAsia="仿宋_GB2312" w:cs="仿宋_GB2312"/>
          <w:color w:val="auto"/>
          <w:sz w:val="32"/>
          <w:szCs w:val="32"/>
          <w:highlight w:val="none"/>
        </w:rPr>
        <w:t>九、一般公共预算财政拨款项目支出决算表</w:t>
      </w:r>
      <w:bookmarkEnd w:id="75"/>
    </w:p>
    <w:p w14:paraId="0C5378F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8"/>
      <w:r>
        <w:rPr>
          <w:rFonts w:hint="eastAsia" w:ascii="Times New Roman" w:hAnsi="Times New Roman" w:eastAsia="仿宋_GB2312" w:cs="仿宋_GB2312"/>
          <w:color w:val="auto"/>
          <w:sz w:val="32"/>
          <w:szCs w:val="32"/>
          <w:highlight w:val="none"/>
        </w:rPr>
        <w:t>十、</w:t>
      </w:r>
      <w:bookmarkEnd w:id="76"/>
      <w:r>
        <w:rPr>
          <w:rFonts w:hint="eastAsia" w:ascii="Times New Roman" w:hAnsi="Times New Roman" w:eastAsia="仿宋_GB2312" w:cs="仿宋_GB2312"/>
          <w:color w:val="auto"/>
          <w:sz w:val="32"/>
          <w:szCs w:val="32"/>
          <w:highlight w:val="none"/>
        </w:rPr>
        <w:t>政府性基金预算财政拨款收入支出决算表</w:t>
      </w:r>
    </w:p>
    <w:p w14:paraId="7110C23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9"/>
      <w:r>
        <w:rPr>
          <w:rFonts w:hint="eastAsia" w:ascii="Times New Roman" w:hAnsi="Times New Roman" w:eastAsia="仿宋_GB2312" w:cs="仿宋_GB2312"/>
          <w:color w:val="auto"/>
          <w:sz w:val="32"/>
          <w:szCs w:val="32"/>
          <w:highlight w:val="none"/>
        </w:rPr>
        <w:t>十一、</w:t>
      </w:r>
      <w:bookmarkEnd w:id="7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A89BC9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30"/>
      <w:r>
        <w:rPr>
          <w:rFonts w:hint="eastAsia" w:ascii="Times New Roman" w:hAnsi="Times New Roman" w:eastAsia="仿宋_GB2312" w:cs="仿宋_GB2312"/>
          <w:color w:val="auto"/>
          <w:sz w:val="32"/>
          <w:szCs w:val="32"/>
          <w:highlight w:val="none"/>
        </w:rPr>
        <w:t>十二、</w:t>
      </w:r>
      <w:bookmarkEnd w:id="78"/>
      <w:r>
        <w:rPr>
          <w:rFonts w:hint="eastAsia" w:ascii="Times New Roman" w:hAnsi="Times New Roman" w:eastAsia="仿宋_GB2312" w:cs="仿宋_GB2312"/>
          <w:color w:val="auto"/>
          <w:sz w:val="32"/>
          <w:szCs w:val="32"/>
          <w:highlight w:val="none"/>
          <w:lang w:eastAsia="zh-CN"/>
        </w:rPr>
        <w:t>国有资本经营预算财政拨款支出决算表</w:t>
      </w:r>
    </w:p>
    <w:p w14:paraId="708CEF8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9" w:name="_Toc15396631"/>
      <w:r>
        <w:rPr>
          <w:rFonts w:hint="eastAsia" w:ascii="Times New Roman" w:hAnsi="Times New Roman" w:eastAsia="仿宋_GB2312" w:cs="仿宋_GB2312"/>
          <w:color w:val="auto"/>
          <w:sz w:val="32"/>
          <w:szCs w:val="32"/>
          <w:highlight w:val="none"/>
        </w:rPr>
        <w:t>十三、</w:t>
      </w:r>
      <w:bookmarkEnd w:id="79"/>
      <w:r>
        <w:rPr>
          <w:rFonts w:hint="eastAsia" w:ascii="Times New Roman" w:hAnsi="Times New Roman" w:eastAsia="仿宋_GB2312" w:cs="仿宋_GB2312"/>
          <w:color w:val="auto"/>
          <w:sz w:val="32"/>
          <w:szCs w:val="32"/>
          <w:highlight w:val="none"/>
          <w:lang w:eastAsia="zh-CN"/>
        </w:rPr>
        <w:t>财政拨款“三公”经费支出决算表</w:t>
      </w:r>
    </w:p>
    <w:p w14:paraId="2D7672C3">
      <w:pPr>
        <w:rPr>
          <w:rFonts w:hint="eastAsia" w:ascii="Times New Roman" w:hAnsi="Times New Roman"/>
          <w:lang w:eastAsia="zh-CN"/>
        </w:rPr>
      </w:pPr>
    </w:p>
    <w:p w14:paraId="6BDE5838">
      <w:pPr>
        <w:spacing w:line="600" w:lineRule="exact"/>
        <w:rPr>
          <w:rFonts w:hint="eastAsia"/>
          <w:lang w:eastAsia="zh-CN"/>
        </w:rPr>
        <w:sectPr>
          <w:footerReference r:id="rId9" w:type="default"/>
          <w:pgSz w:w="11906" w:h="16838"/>
          <w:pgMar w:top="1440" w:right="1800" w:bottom="1440" w:left="1800" w:header="851" w:footer="992" w:gutter="0"/>
          <w:pgNumType w:fmt="decimal" w:start="1"/>
          <w:cols w:space="425" w:num="1"/>
          <w:docGrid w:type="lines" w:linePitch="312" w:charSpace="0"/>
        </w:sectPr>
      </w:pPr>
    </w:p>
    <w:p w14:paraId="5FA86F63">
      <w:pPr>
        <w:rPr>
          <w:rFonts w:hint="eastAsia" w:ascii="Times New Roman" w:hAnsi="Times New Roman"/>
          <w:lang w:eastAsia="zh-CN"/>
        </w:rPr>
      </w:pPr>
      <w:bookmarkStart w:id="80" w:name="_Toc15377226"/>
      <w:r>
        <w:rPr>
          <w:rFonts w:hint="eastAsia" w:ascii="Times New Roman" w:hAnsi="Times New Roman" w:eastAsia="仿宋_GB2312" w:cs="仿宋_GB2312"/>
          <w:color w:val="auto"/>
          <w:kern w:val="2"/>
          <w:sz w:val="32"/>
          <w:szCs w:val="32"/>
          <w:highlight w:val="none"/>
          <w:lang w:val="en-US" w:eastAsia="zh-CN" w:bidi="ar-SA"/>
        </w:rPr>
        <w:br w:type="page"/>
      </w:r>
      <w:bookmarkEnd w:id="80"/>
    </w:p>
    <w:sectPr>
      <w:footerReference r:id="rId11" w:type="first"/>
      <w:footerReference r:id="rId10"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2D49A5-B486-4D2E-A5CB-5B7871D65B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8F3AAA0E-2DC7-4BDE-BB3D-4B65453E679B}"/>
  </w:font>
  <w:font w:name="仿宋">
    <w:panose1 w:val="02010609060101010101"/>
    <w:charset w:val="86"/>
    <w:family w:val="modern"/>
    <w:pitch w:val="default"/>
    <w:sig w:usb0="800002BF" w:usb1="38CF7CFA" w:usb2="00000016" w:usb3="00000000" w:csb0="00040001" w:csb1="00000000"/>
    <w:embedRegular r:id="rId3" w:fontKey="{BBAF58AB-9C6C-4A32-9360-87D954A79BFD}"/>
  </w:font>
  <w:font w:name="??">
    <w:altName w:val="FFont-Family"/>
    <w:panose1 w:val="00000000000000000000"/>
    <w:charset w:val="00"/>
    <w:family w:val="roman"/>
    <w:pitch w:val="default"/>
    <w:sig w:usb0="00000000" w:usb1="00000000" w:usb2="00000000" w:usb3="00000000" w:csb0="00000000" w:csb1="00000000"/>
  </w:font>
  <w:font w:name="C059">
    <w:altName w:val="FFont-Family"/>
    <w:panose1 w:val="00000500000000000000"/>
    <w:charset w:val="00"/>
    <w:family w:val="auto"/>
    <w:pitch w:val="default"/>
    <w:sig w:usb0="00000000" w:usb1="00000000" w:usb2="00000000" w:usb3="00000000" w:csb0="6000009F" w:csb1="00000000"/>
  </w:font>
  <w:font w:name="方正仿宋简体">
    <w:altName w:val="微软雅黑"/>
    <w:panose1 w:val="03000509000000000000"/>
    <w:charset w:val="86"/>
    <w:family w:val="auto"/>
    <w:pitch w:val="default"/>
    <w:sig w:usb0="00000000" w:usb1="00000000" w:usb2="00000000" w:usb3="00000000" w:csb0="00040000" w:csb1="00000000"/>
  </w:font>
  <w:font w:name="方正小标宋简体">
    <w:panose1 w:val="02010600010101010101"/>
    <w:charset w:val="86"/>
    <w:family w:val="script"/>
    <w:pitch w:val="default"/>
    <w:sig w:usb0="00000001" w:usb1="080E0000" w:usb2="00000000" w:usb3="00000000" w:csb0="00040000" w:csb1="00000000"/>
    <w:embedRegular r:id="rId4" w:fontKey="{446FA1F3-4096-4914-ADB7-C9A97D466895}"/>
  </w:font>
  <w:font w:name="方正仿宋_GBK">
    <w:altName w:val="微软雅黑"/>
    <w:panose1 w:val="02000000000000000000"/>
    <w:charset w:val="86"/>
    <w:family w:val="auto"/>
    <w:pitch w:val="default"/>
    <w:sig w:usb0="00000000" w:usb1="00000000" w:usb2="00000000" w:usb3="00000000" w:csb0="00040000" w:csb1="00000000"/>
    <w:embedRegular r:id="rId5" w:fontKey="{FF43C9BB-5D73-4FBF-B438-C3167EE408C2}"/>
  </w:font>
  <w:font w:name="楷体_GB2312">
    <w:panose1 w:val="02010609030101010101"/>
    <w:charset w:val="86"/>
    <w:family w:val="auto"/>
    <w:pitch w:val="default"/>
    <w:sig w:usb0="00000001" w:usb1="080E0000" w:usb2="00000000" w:usb3="00000000" w:csb0="00040000" w:csb1="00000000"/>
    <w:embedRegular r:id="rId6" w:fontKey="{8FE72660-56F4-4A48-8811-1E1715F058D0}"/>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FE72D">
    <w:pPr>
      <w:pStyle w:val="11"/>
      <w:jc w:val="center"/>
    </w:pPr>
  </w:p>
  <w:p w14:paraId="33BC99F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18140">
    <w:pPr>
      <w:pStyle w:val="11"/>
      <w:jc w:val="center"/>
    </w:pPr>
  </w:p>
  <w:p w14:paraId="3C08066B">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CD704">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C54DB">
    <w:pPr>
      <w:pStyle w:val="11"/>
      <w:jc w:val="center"/>
    </w:pPr>
  </w:p>
  <w:p w14:paraId="019659FD">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FE901">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8DED3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8DED3F">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620A684E">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EDD85">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E45366">
                          <w:pPr>
                            <w:pStyle w:val="11"/>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7E45366">
                    <w:pPr>
                      <w:pStyle w:val="11"/>
                    </w:pPr>
                    <w:r>
                      <w:fldChar w:fldCharType="begin"/>
                    </w:r>
                    <w:r>
                      <w:instrText xml:space="preserve"> PAGE  \* MERGEFORMAT </w:instrText>
                    </w:r>
                    <w:r>
                      <w:fldChar w:fldCharType="separate"/>
                    </w:r>
                    <w:r>
                      <w:t>30</w:t>
                    </w:r>
                    <w:r>
                      <w:fldChar w:fldCharType="end"/>
                    </w:r>
                  </w:p>
                </w:txbxContent>
              </v:textbox>
            </v:shape>
          </w:pict>
        </mc:Fallback>
      </mc:AlternateContent>
    </w:r>
  </w:p>
  <w:p w14:paraId="0A68EF40">
    <w:pPr>
      <w:pStyle w:val="1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7B6A2">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AD985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CAD985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2F346">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64174">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BB43C70"/>
    <w:rsid w:val="0C6C4794"/>
    <w:rsid w:val="0CA8290A"/>
    <w:rsid w:val="0D35B1ED"/>
    <w:rsid w:val="0DE07E2B"/>
    <w:rsid w:val="0F98263C"/>
    <w:rsid w:val="101860EC"/>
    <w:rsid w:val="10C055FF"/>
    <w:rsid w:val="11772AA4"/>
    <w:rsid w:val="118107EC"/>
    <w:rsid w:val="126F41D4"/>
    <w:rsid w:val="13957196"/>
    <w:rsid w:val="13C90C21"/>
    <w:rsid w:val="13D50BC4"/>
    <w:rsid w:val="14022904"/>
    <w:rsid w:val="14367D7A"/>
    <w:rsid w:val="152F2A07"/>
    <w:rsid w:val="165E0673"/>
    <w:rsid w:val="16BB723D"/>
    <w:rsid w:val="16F13FCB"/>
    <w:rsid w:val="186504BB"/>
    <w:rsid w:val="1938089F"/>
    <w:rsid w:val="19A445FC"/>
    <w:rsid w:val="1B7D550C"/>
    <w:rsid w:val="1BE8440E"/>
    <w:rsid w:val="1D155CEE"/>
    <w:rsid w:val="1D9801D1"/>
    <w:rsid w:val="1DE178F3"/>
    <w:rsid w:val="1E740ACF"/>
    <w:rsid w:val="1FF35744"/>
    <w:rsid w:val="1FF6BC77"/>
    <w:rsid w:val="21962A9E"/>
    <w:rsid w:val="21AE7C77"/>
    <w:rsid w:val="22BC3C41"/>
    <w:rsid w:val="23164FB7"/>
    <w:rsid w:val="23860B96"/>
    <w:rsid w:val="240371BF"/>
    <w:rsid w:val="260C4347"/>
    <w:rsid w:val="260F557C"/>
    <w:rsid w:val="281408E2"/>
    <w:rsid w:val="28DD551E"/>
    <w:rsid w:val="29FD04D3"/>
    <w:rsid w:val="2AF3118C"/>
    <w:rsid w:val="2B48596F"/>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0B0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44C74B4"/>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8DE5255"/>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1A067F"/>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BB4505"/>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9A9DC82"/>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able of figures"/>
    <w:basedOn w:val="1"/>
    <w:next w:val="1"/>
    <w:unhideWhenUsed/>
    <w:qFormat/>
    <w:uiPriority w:val="99"/>
    <w:pPr>
      <w:adjustRightInd w:val="0"/>
      <w:spacing w:line="360" w:lineRule="auto"/>
      <w:ind w:left="720" w:hanging="720" w:firstLineChars="200"/>
      <w:jc w:val="left"/>
      <w:textAlignment w:val="auto"/>
    </w:pPr>
    <w:rPr>
      <w:rFonts w:eastAsia="黑体" w:cs="Times New Roman"/>
      <w:smallCaps/>
      <w:sz w:val="20"/>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常用样式（方正仿宋简）"/>
    <w:basedOn w:val="1"/>
    <w:qFormat/>
    <w:uiPriority w:val="0"/>
    <w:pPr>
      <w:spacing w:line="560" w:lineRule="exact"/>
      <w:ind w:firstLine="640" w:firstLineChars="200"/>
    </w:pPr>
    <w:rPr>
      <w:rFonts w:eastAsia="方正仿宋简体"/>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915;&#31639;&#22270;&#34920;(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915;&#31639;&#22270;&#34920;(1).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915;&#31639;&#22270;&#34920;(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915;&#31639;&#22270;&#34920;(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915;&#31639;&#22270;&#34920;(1).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915;&#31639;&#22270;&#349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'[决算图表(1).xlsx]Sheet1'!$A$9</c:f>
              <c:strCache>
                <c:ptCount val="1"/>
                <c:pt idx="0">
                  <c:v>2024年</c:v>
                </c:pt>
              </c:strCache>
            </c:strRef>
          </c:tx>
          <c:spPr>
            <a:solidFill>
              <a:schemeClr val="accent6"/>
            </a:solidFill>
            <a:ln>
              <a:noFill/>
            </a:ln>
            <a:effectLst/>
          </c:spPr>
          <c:invertIfNegative val="0"/>
          <c:dLbls>
            <c:delete val="1"/>
          </c:dLbls>
          <c:cat>
            <c:strRef>
              <c:f>'[决算图表(1).xlsx]Sheet1'!$B$8:$C$8</c:f>
              <c:strCache>
                <c:ptCount val="2"/>
                <c:pt idx="0">
                  <c:v>收入（万元）</c:v>
                </c:pt>
                <c:pt idx="1">
                  <c:v>支出（万元）</c:v>
                </c:pt>
              </c:strCache>
            </c:strRef>
          </c:cat>
          <c:val>
            <c:numRef>
              <c:f>'[决算图表(1).xlsx]Sheet1'!$B$9:$C$9</c:f>
              <c:numCache>
                <c:formatCode>General</c:formatCode>
                <c:ptCount val="2"/>
                <c:pt idx="0">
                  <c:v>208.28</c:v>
                </c:pt>
                <c:pt idx="1">
                  <c:v>208.28</c:v>
                </c:pt>
              </c:numCache>
            </c:numRef>
          </c:val>
        </c:ser>
        <c:ser>
          <c:idx val="1"/>
          <c:order val="1"/>
          <c:tx>
            <c:strRef>
              <c:f>'[决算图表(1).xlsx]Sheet1'!$A$10</c:f>
              <c:strCache>
                <c:ptCount val="1"/>
                <c:pt idx="0">
                  <c:v>2025年</c:v>
                </c:pt>
              </c:strCache>
            </c:strRef>
          </c:tx>
          <c:spPr>
            <a:solidFill>
              <a:schemeClr val="accent5"/>
            </a:solidFill>
            <a:ln>
              <a:noFill/>
            </a:ln>
            <a:effectLst/>
          </c:spPr>
          <c:invertIfNegative val="0"/>
          <c:dLbls>
            <c:delete val="1"/>
          </c:dLbls>
          <c:cat>
            <c:strRef>
              <c:f>'[决算图表(1).xlsx]Sheet1'!$B$8:$C$8</c:f>
              <c:strCache>
                <c:ptCount val="2"/>
                <c:pt idx="0">
                  <c:v>收入（万元）</c:v>
                </c:pt>
                <c:pt idx="1">
                  <c:v>支出（万元）</c:v>
                </c:pt>
              </c:strCache>
            </c:strRef>
          </c:cat>
          <c:val>
            <c:numRef>
              <c:f>'[决算图表(1).xlsx]Sheet1'!$B$10:$C$10</c:f>
              <c:numCache>
                <c:formatCode>General</c:formatCode>
                <c:ptCount val="2"/>
                <c:pt idx="0">
                  <c:v>206.1</c:v>
                </c:pt>
                <c:pt idx="1">
                  <c:v>206.1</c:v>
                </c:pt>
              </c:numCache>
            </c:numRef>
          </c:val>
        </c:ser>
        <c:dLbls>
          <c:showLegendKey val="0"/>
          <c:showVal val="0"/>
          <c:showCatName val="0"/>
          <c:showSerName val="0"/>
          <c:showPercent val="0"/>
          <c:showBubbleSize val="0"/>
        </c:dLbls>
        <c:gapWidth val="219"/>
        <c:overlap val="-27"/>
        <c:axId val="942254332"/>
        <c:axId val="164682405"/>
      </c:barChart>
      <c:catAx>
        <c:axId val="9422543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682405"/>
        <c:crosses val="autoZero"/>
        <c:auto val="1"/>
        <c:lblAlgn val="ctr"/>
        <c:lblOffset val="100"/>
        <c:noMultiLvlLbl val="0"/>
      </c:catAx>
      <c:valAx>
        <c:axId val="16468240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22543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2b4ccca-8c60-4a31-a9fd-1004038d8c9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elete val="1"/>
          </c:dLbls>
          <c:cat>
            <c:strRef>
              <c:f>'[决算图表(1).xlsx]Sheet1'!$A$12:$H$12</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'[决算图表(1).xlsx]Sheet1'!$A$13:$H$13</c:f>
              <c:numCache>
                <c:formatCode>General</c:formatCode>
                <c:ptCount val="8"/>
                <c:pt idx="0">
                  <c:v>206.1</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201899a-cac8-44bf-8541-9f25654370e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manualLayout>
          <c:xMode val="edge"/>
          <c:yMode val="edge"/>
          <c:x val="0.414444444444444"/>
          <c:y val="0.0243055555555556"/>
        </c:manualLayout>
      </c:layout>
      <c:overlay val="0"/>
      <c:spPr>
        <a:noFill/>
        <a:ln>
          <a:noFill/>
        </a:ln>
        <a:effectLst/>
      </c:spPr>
    </c:title>
    <c:autoTitleDeleted val="0"/>
    <c:plotArea>
      <c:layout/>
      <c:pieChart>
        <c:varyColors val="1"/>
        <c:ser>
          <c:idx val="0"/>
          <c:order val="0"/>
          <c:spPr/>
          <c:explosion val="0"/>
          <c:dPt>
            <c:idx val="0"/>
            <c:bubble3D val="0"/>
            <c:spPr>
              <a:solidFill>
                <a:schemeClr val="accent6"/>
              </a:solidFill>
              <a:ln w="19050">
                <a:solidFill>
                  <a:schemeClr val="lt1"/>
                </a:solidFill>
              </a:ln>
              <a:effectLst/>
            </c:spPr>
          </c:dPt>
          <c:dPt>
            <c:idx val="1"/>
            <c:bubble3D val="0"/>
            <c:spPr>
              <a:solidFill>
                <a:schemeClr val="accent5"/>
              </a:solidFill>
              <a:ln w="19050">
                <a:solidFill>
                  <a:schemeClr val="lt1"/>
                </a:solidFill>
              </a:ln>
              <a:effectLst/>
            </c:spPr>
          </c:dPt>
          <c:dPt>
            <c:idx val="2"/>
            <c:bubble3D val="0"/>
            <c:spPr>
              <a:solidFill>
                <a:schemeClr val="accent4"/>
              </a:solidFill>
              <a:ln w="19050">
                <a:solidFill>
                  <a:schemeClr val="lt1"/>
                </a:solidFill>
              </a:ln>
              <a:effectLst/>
            </c:spPr>
          </c:dPt>
          <c:dPt>
            <c:idx val="3"/>
            <c:bubble3D val="0"/>
            <c:spPr>
              <a:solidFill>
                <a:schemeClr val="accent6">
                  <a:lumMod val="60000"/>
                </a:schemeClr>
              </a:solidFill>
              <a:ln w="19050">
                <a:solidFill>
                  <a:schemeClr val="lt1"/>
                </a:solidFill>
              </a:ln>
              <a:effectLst/>
            </c:spPr>
          </c:dPt>
          <c:dPt>
            <c:idx val="4"/>
            <c:bubble3D val="0"/>
            <c:spPr>
              <a:solidFill>
                <a:schemeClr val="accent5">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'[决算图表(1).xlsx]Sheet1'!$A$15:$E$15</c:f>
              <c:strCache>
                <c:ptCount val="5"/>
                <c:pt idx="0">
                  <c:v>基本支出</c:v>
                </c:pt>
                <c:pt idx="1">
                  <c:v>项目支出</c:v>
                </c:pt>
                <c:pt idx="2">
                  <c:v>上缴上级支出</c:v>
                </c:pt>
                <c:pt idx="3">
                  <c:v>经营支出</c:v>
                </c:pt>
                <c:pt idx="4">
                  <c:v>对附属单位补助支出</c:v>
                </c:pt>
              </c:strCache>
            </c:strRef>
          </c:cat>
          <c:val>
            <c:numRef>
              <c:f>'[决算图表(1).xlsx]Sheet1'!$A$16:$E$16</c:f>
              <c:numCache>
                <c:formatCode>General</c:formatCode>
                <c:ptCount val="5"/>
                <c:pt idx="0">
                  <c:v>141.88</c:v>
                </c:pt>
                <c:pt idx="1">
                  <c:v>64.22</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d89f64e-bb81-4b9a-8ebb-27d642631c5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'[决算图表(1).xlsx]Sheet1'!$A$9</c:f>
              <c:strCache>
                <c:ptCount val="1"/>
                <c:pt idx="0">
                  <c:v>2024年</c:v>
                </c:pt>
              </c:strCache>
            </c:strRef>
          </c:tx>
          <c:spPr>
            <a:solidFill>
              <a:schemeClr val="accent6"/>
            </a:solidFill>
            <a:ln>
              <a:noFill/>
            </a:ln>
            <a:effectLst/>
          </c:spPr>
          <c:invertIfNegative val="0"/>
          <c:dLbls>
            <c:delete val="1"/>
          </c:dLbls>
          <c:cat>
            <c:strRef>
              <c:f>'[决算图表(1).xlsx]Sheet1'!$B$8:$C$8</c:f>
              <c:strCache>
                <c:ptCount val="2"/>
                <c:pt idx="0">
                  <c:v>收入（万元）</c:v>
                </c:pt>
                <c:pt idx="1">
                  <c:v>支出（万元）</c:v>
                </c:pt>
              </c:strCache>
            </c:strRef>
          </c:cat>
          <c:val>
            <c:numRef>
              <c:f>'[决算图表(1).xlsx]Sheet1'!$B$9:$C$9</c:f>
              <c:numCache>
                <c:formatCode>General</c:formatCode>
                <c:ptCount val="2"/>
                <c:pt idx="0">
                  <c:v>208.28</c:v>
                </c:pt>
                <c:pt idx="1">
                  <c:v>208.28</c:v>
                </c:pt>
              </c:numCache>
            </c:numRef>
          </c:val>
        </c:ser>
        <c:ser>
          <c:idx val="1"/>
          <c:order val="1"/>
          <c:tx>
            <c:strRef>
              <c:f>'[决算图表(1).xlsx]Sheet1'!$A$10</c:f>
              <c:strCache>
                <c:ptCount val="1"/>
                <c:pt idx="0">
                  <c:v>2025年</c:v>
                </c:pt>
              </c:strCache>
            </c:strRef>
          </c:tx>
          <c:spPr>
            <a:solidFill>
              <a:schemeClr val="accent5"/>
            </a:solidFill>
            <a:ln>
              <a:noFill/>
            </a:ln>
            <a:effectLst/>
          </c:spPr>
          <c:invertIfNegative val="0"/>
          <c:dLbls>
            <c:delete val="1"/>
          </c:dLbls>
          <c:cat>
            <c:strRef>
              <c:f>'[决算图表(1).xlsx]Sheet1'!$B$8:$C$8</c:f>
              <c:strCache>
                <c:ptCount val="2"/>
                <c:pt idx="0">
                  <c:v>收入（万元）</c:v>
                </c:pt>
                <c:pt idx="1">
                  <c:v>支出（万元）</c:v>
                </c:pt>
              </c:strCache>
            </c:strRef>
          </c:cat>
          <c:val>
            <c:numRef>
              <c:f>'[决算图表(1).xlsx]Sheet1'!$B$10:$C$10</c:f>
              <c:numCache>
                <c:formatCode>General</c:formatCode>
                <c:ptCount val="2"/>
                <c:pt idx="0">
                  <c:v>206.1</c:v>
                </c:pt>
                <c:pt idx="1">
                  <c:v>206.1</c:v>
                </c:pt>
              </c:numCache>
            </c:numRef>
          </c:val>
        </c:ser>
        <c:dLbls>
          <c:showLegendKey val="0"/>
          <c:showVal val="0"/>
          <c:showCatName val="0"/>
          <c:showSerName val="0"/>
          <c:showPercent val="0"/>
          <c:showBubbleSize val="0"/>
        </c:dLbls>
        <c:gapWidth val="219"/>
        <c:overlap val="-27"/>
        <c:axId val="942254332"/>
        <c:axId val="164682405"/>
      </c:barChart>
      <c:catAx>
        <c:axId val="9422543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682405"/>
        <c:crosses val="autoZero"/>
        <c:auto val="1"/>
        <c:lblAlgn val="ctr"/>
        <c:lblOffset val="100"/>
        <c:noMultiLvlLbl val="0"/>
      </c:catAx>
      <c:valAx>
        <c:axId val="16468240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22543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7ac1e85-4586-4167-9aad-14b45111d9c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manualLayout>
          <c:xMode val="edge"/>
          <c:yMode val="edge"/>
          <c:x val="0.120694444444444"/>
          <c:y val="0.0173611111111111"/>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'[决算图表(1).xlsx]Sheet1'!$A$18:$B$18</c:f>
              <c:strCache>
                <c:ptCount val="2"/>
                <c:pt idx="0">
                  <c:v>2024年</c:v>
                </c:pt>
                <c:pt idx="1">
                  <c:v>2025年</c:v>
                </c:pt>
              </c:strCache>
            </c:strRef>
          </c:cat>
          <c:val>
            <c:numRef>
              <c:f>'[决算图表(1).xlsx]Sheet1'!$A$19:$B$19</c:f>
              <c:numCache>
                <c:formatCode>General</c:formatCode>
                <c:ptCount val="2"/>
                <c:pt idx="0">
                  <c:v>208.28</c:v>
                </c:pt>
                <c:pt idx="1">
                  <c:v>206.1</c:v>
                </c:pt>
              </c:numCache>
            </c:numRef>
          </c:val>
        </c:ser>
        <c:dLbls>
          <c:showLegendKey val="0"/>
          <c:showVal val="1"/>
          <c:showCatName val="0"/>
          <c:showSerName val="0"/>
          <c:showPercent val="0"/>
          <c:showBubbleSize val="0"/>
        </c:dLbls>
        <c:gapWidth val="219"/>
        <c:overlap val="-27"/>
        <c:axId val="258168322"/>
        <c:axId val="232642568"/>
      </c:barChart>
      <c:catAx>
        <c:axId val="25816832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2642568"/>
        <c:crosses val="autoZero"/>
        <c:auto val="1"/>
        <c:lblAlgn val="ctr"/>
        <c:lblOffset val="100"/>
        <c:noMultiLvlLbl val="0"/>
      </c:catAx>
      <c:valAx>
        <c:axId val="232642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8168322"/>
        <c:crosses val="autoZero"/>
        <c:crossBetween val="between"/>
      </c:valAx>
      <c:spPr>
        <a:noFill/>
        <a:ln>
          <a:noFill/>
        </a:ln>
        <a:effectLst/>
      </c:spPr>
    </c:plotArea>
    <c:plotVisOnly val="1"/>
    <c:dispBlanksAs val="gap"/>
    <c:showDLblsOverMax val="0"/>
    <c:extLst>
      <c:ext uri="{0b15fc19-7d7d-44ad-8c2d-2c3a37ce22c3}">
        <chartProps xmlns="https://web.wps.cn/et/2018/main" chartId="{a39214e0-ca3f-40d0-a22c-65522e4fe6a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manualLayout>
          <c:xMode val="edge"/>
          <c:yMode val="edge"/>
          <c:x val="0.206111111111111"/>
          <c:y val="0.03125"/>
        </c:manualLayout>
      </c:layout>
      <c:overlay val="0"/>
      <c:spPr>
        <a:noFill/>
        <a:ln>
          <a:noFill/>
        </a:ln>
        <a:effectLst/>
      </c:spPr>
    </c:title>
    <c:autoTitleDeleted val="0"/>
    <c:plotArea>
      <c:layout/>
      <c:ofPieChart>
        <c:ofPieType val="pie"/>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'[决算图表(1).xlsx]Sheet1'!$A$21:$D$21</c:f>
              <c:strCache>
                <c:ptCount val="4"/>
                <c:pt idx="0">
                  <c:v>科学技术</c:v>
                </c:pt>
                <c:pt idx="1">
                  <c:v>社会保障和就业支出</c:v>
                </c:pt>
                <c:pt idx="2">
                  <c:v>卫生健康支出</c:v>
                </c:pt>
                <c:pt idx="3">
                  <c:v>住房保障支出</c:v>
                </c:pt>
              </c:strCache>
            </c:strRef>
          </c:cat>
          <c:val>
            <c:numRef>
              <c:f>'[决算图表(1).xlsx]Sheet1'!$A$22:$D$22</c:f>
              <c:numCache>
                <c:formatCode>General</c:formatCode>
                <c:ptCount val="4"/>
                <c:pt idx="0">
                  <c:v>163.74</c:v>
                </c:pt>
                <c:pt idx="1">
                  <c:v>24.74</c:v>
                </c:pt>
                <c:pt idx="2">
                  <c:v>6.85</c:v>
                </c:pt>
                <c:pt idx="3">
                  <c:v>10.77</c:v>
                </c:pt>
              </c:numCache>
            </c:numRef>
          </c:val>
        </c:ser>
        <c:dLbls>
          <c:showLegendKey val="0"/>
          <c:showVal val="1"/>
          <c:showCatName val="0"/>
          <c:showSerName val="0"/>
          <c:showPercent val="0"/>
          <c:showBubbleSize val="0"/>
          <c:showLeaderLines val="1"/>
        </c:dLbls>
        <c:gapWidth val="15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af68217-972d-4bdf-8390-d323a9f047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1b9a247e-f79c-4e09-be56-e454a6670bca</errorID>
      <errorWord>法律、法规</errorWord>
      <group>L1_Word</group>
      <groupName>字词问题</groupName>
      <ability>L2_Typo</ability>
      <abilityName>字词错误</abilityName>
      <candidateList>
        <item>法律法规</item>
      </candidateList>
      <explain/>
      <paraID> 7874012</paraID>
      <start>37</start>
      <end>41</end>
      <status>modified</status>
      <modifiedWord>法律法规</modifiedWord>
      <trackRevisions>false</trackRevisions>
    </reviewItem>
    <reviewItem>
      <errorID>335f823c-1a3f-4e2e-aeef-1e00568839c6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2DBCCD7E</paraID>
      <start>10</start>
      <end>11</end>
      <status>ignored</status>
      <modifiedWord/>
      <trackRevisions>false</trackRevisions>
    </reviewItem>
    <reviewItem>
      <errorID>912d36b7-475a-43e4-8d04-c93ce7c4a41c</errorID>
      <errorWord>..</errorWord>
      <group>L1_Punc</group>
      <groupName>标点问题</groupName>
      <ability>L2_Punc_CN</ability>
      <abilityName>标点符号问题</abilityName>
      <candidateList>
        <item>.</item>
      </candidateList>
      <explain/>
      <paraID>7BC2235A</paraID>
      <start>1</start>
      <end>2</end>
      <status>modified</status>
      <modifiedWord>.</modifiedWord>
      <trackRevisions>false</trackRevisions>
    </reviewItem>
    <reviewItem>
      <errorID>3430bf25-c60e-44b8-b1b6-c7f5ee7c4b8e</errorID>
      <errorWord>:</errorWord>
      <group>L1_Format</group>
      <groupName>格式问题</groupName>
      <ability>L2_HalfPunc_CN</ability>
      <abilityName>全半角问题</abilityName>
      <candidateList>
        <item>：</item>
      </candidateList>
      <explain>文本全半角错误。</explain>
      <paraID>7BC2235A</paraID>
      <start>27</start>
      <end>28</end>
      <status>modified</status>
      <modifiedWord>：</modifiedWord>
      <trackRevisions>false</trackRevisions>
    </reviewItem>
    <reviewItem>
      <errorID>66436be1-5af7-4d4d-b5ad-b03d20c574f8</errorID>
      <errorWord>:</errorWord>
      <group>L1_Format</group>
      <groupName>格式问题</groupName>
      <ability>L2_HalfPunc_CN</ability>
      <abilityName>全半角问题</abilityName>
      <candidateList>
        <item>：</item>
      </candidateList>
      <explain>文本全半角错误。</explain>
      <paraID>6EF58113</paraID>
      <start>42</start>
      <end>43</end>
      <status>modified</status>
      <modifiedWord>：</modifiedWord>
      <trackRevisions>false</trackRevisions>
    </reviewItem>
    <reviewItem>
      <errorID>163e04ee-6643-4b2d-804d-2c770085bd7e</errorID>
      <errorWord>:</errorWord>
      <group>L1_Format</group>
      <groupName>格式问题</groupName>
      <ability>L2_HalfPunc_CN</ability>
      <abilityName>全半角问题</abilityName>
      <candidateList>
        <item>：</item>
      </candidateList>
      <explain>文本全半角错误。</explain>
      <paraID> 6C592B2</paraID>
      <start>28</start>
      <end>29</end>
      <status>modified</status>
      <modifiedWord>：</modifiedWord>
      <trackRevisions>false</trackRevisions>
    </reviewItem>
    <reviewItem>
      <errorID>37bf90b3-6870-4c71-b931-34270e756156</errorID>
      <errorWord>&lt;</errorWord>
      <group>L1_Format</group>
      <groupName>格式问题</groupName>
      <ability>L2_HalfPunc_CN</ability>
      <abilityName>全半角问题</abilityName>
      <candidateList>
        <item>〈</item>
      </candidateList>
      <explain>文本全半角错误。</explain>
      <paraID>637204C5</paraID>
      <start>50</start>
      <end>51</end>
      <status>modified</status>
      <modifiedWord>〈</modifiedWord>
      <trackRevisions>false</trackRevisions>
    </reviewItem>
    <reviewItem>
      <errorID>827e5909-d91e-4cd9-97e6-4c97fde8836b</errorID>
      <errorWord>&gt;</errorWord>
      <group>L1_Format</group>
      <groupName>格式问题</groupName>
      <ability>L2_HalfPunc_CN</ability>
      <abilityName>全半角问题</abilityName>
      <candidateList>
        <item>〉</item>
      </candidateList>
      <explain>文本全半角错误。</explain>
      <paraID>637204C5</paraID>
      <start>53</start>
      <end>54</end>
      <status>modified</status>
      <modifiedWord>〉</modifiedWord>
      <trackRevisions>false</trackRevisions>
    </reviewItem>
    <reviewItem>
      <errorID>b9c4b22e-1fd2-447d-bb42-20105862f9ff</errorID>
      <errorWord>&lt;</errorWord>
      <group>L1_Format</group>
      <groupName>格式问题</groupName>
      <ability>L2_HalfPunc_CN</ability>
      <abilityName>全半角问题</abilityName>
      <candidateList>
        <item>〈</item>
      </candidateList>
      <explain>文本全半角错误。</explain>
      <paraID>637204C5</paraID>
      <start>60</start>
      <end>61</end>
      <status>modified</status>
      <modifiedWord>〈</modifiedWord>
      <trackRevisions>false</trackRevisions>
    </reviewItem>
    <reviewItem>
      <errorID>6e5e0769-0c0c-4744-bf09-47d7dd72db91</errorID>
      <errorWord>&gt;</errorWord>
      <group>L1_Format</group>
      <groupName>格式问题</groupName>
      <ability>L2_HalfPunc_CN</ability>
      <abilityName>全半角问题</abilityName>
      <candidateList>
        <item>〉</item>
      </candidateList>
      <explain>文本全半角错误。</explain>
      <paraID>637204C5</paraID>
      <start>63</start>
      <end>64</end>
      <status>modified</status>
      <modifiedWord>〉</modifiedWord>
      <trackRevisions>false</trackRevisions>
    </reviewItem>
    <reviewItem>
      <errorID>e4d9fcbc-98fe-4531-841b-375f16425b49</errorID>
      <errorWord>，</errorWord>
      <group>L1_Word</group>
      <groupName>字词问题</groupName>
      <ability>L2_Typo</ability>
      <abilityName>字词错误</abilityName>
      <candidateList>
        <item>，在</item>
      </candidateList>
      <explain/>
      <paraID>11E99441</paraID>
      <start>111</start>
      <end>113</end>
      <status>modified</status>
      <modifiedWord>，在</modifiedWord>
      <trackRevisions>false</trackRevisions>
    </reviewItem>
    <reviewItem>
      <errorID>b3ec6d91-ca6a-4f44-b298-7586fee7efee</errorID>
      <errorWord>法律、法规</errorWord>
      <group>L1_Word</group>
      <groupName>字词问题</groupName>
      <ability>L2_Typo</ability>
      <abilityName>字词错误</abilityName>
      <candidateList>
        <item>法律法规</item>
      </candidateList>
      <explain/>
      <paraID>7A976FFC</paraID>
      <start>37</start>
      <end>41</end>
      <status>modified</status>
      <modifiedWord>法律法规</modifiedWord>
      <trackRevisions>false</trackRevisions>
    </reviewItem>
    <reviewItem>
      <errorID>3f43b80b-d05c-4b15-9455-3f6a056185f2</errorID>
      <errorWord>;</errorWord>
      <group>L1_Format</group>
      <groupName>格式问题</groupName>
      <ability>L2_HalfPunc_CN</ability>
      <abilityName>全半角问题</abilityName>
      <candidateList>
        <item>；</item>
      </candidateList>
      <explain>文本全半角错误。</explain>
      <paraID>768BB8D7</paraID>
      <start>92</start>
      <end>93</end>
      <status>modified</status>
      <modifiedWord>；</modifiedWord>
      <trackRevisions>false</trackRevisions>
    </reviewItem>
    <reviewItem>
      <errorID>c65b1c2d-81ee-4188-aac3-32f029123258</errorID>
      <errorWord>,</errorWord>
      <group>L1_Format</group>
      <groupName>格式问题</groupName>
      <ability>L2_HalfPunc_CN</ability>
      <abilityName>全半角问题</abilityName>
      <candidateList>
        <item>，</item>
      </candidateList>
      <explain>文本全半角错误。</explain>
      <paraID>692661B8</paraID>
      <start>27</start>
      <end>28</end>
      <status>modified</status>
      <modifiedWord>，</modifiedWord>
      <trackRevisions>false</trackRevisions>
    </reviewItem>
    <reviewItem>
      <errorID>e76fab7c-eda3-4b1b-a6f3-40bed1e9e232</errorID>
      <errorWord>:</errorWord>
      <group>L1_Format</group>
      <groupName>格式问题</groupName>
      <ability>L2_HalfPunc_CN</ability>
      <abilityName>全半角问题</abilityName>
      <candidateList>
        <item>：</item>
      </candidateList>
      <explain>文本全半角错误。</explain>
      <paraID>692661B8</paraID>
      <start>30</start>
      <end>31</end>
      <status>modified</status>
      <modifiedWord>：</modifiedWord>
      <trackRevisions>false</trackRevisions>
    </reviewItem>
    <reviewItem>
      <errorID>9a2b07e3-76d8-4e1c-9c7c-717cb7b84e39</errorID>
      <errorWord>,</errorWord>
      <group>L1_Format</group>
      <groupName>格式问题</groupName>
      <ability>L2_HalfPunc_CN</ability>
      <abilityName>全半角问题</abilityName>
      <candidateList>
        <item>，</item>
      </candidateList>
      <explain>文本全半角错误。</explain>
      <paraID>692661B8</paraID>
      <start>43</start>
      <end>44</end>
      <status>modified</status>
      <modifiedWord>，</modifiedWord>
      <trackRevisions>false</trackRevisions>
    </reviewItem>
    <reviewItem>
      <errorID>bbc12bf8-189c-4824-aca8-a54c361e673b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34F300A2</paraID>
      <start>19</start>
      <end>20</end>
      <status>modified</status>
      <modifiedWord>—</modifiedWord>
      <trackRevisions>false</trackRevisions>
    </reviewItem>
    <reviewItem>
      <errorID>943e7c54-3a35-4dd4-a240-53bd30678027</errorID>
      <errorWord>、</errorWord>
      <group>L1_Word</group>
      <groupName>字词问题</groupName>
      <ability>L2_Typo</ability>
      <abilityName>字词错误</abilityName>
      <candidateList>
        <item>、具</item>
      </candidateList>
      <explain/>
      <paraID> 8291257</paraID>
      <start>183</start>
      <end>185</end>
      <status>modified</status>
      <modifiedWord>、具</modifiedWord>
      <trackRevisions>false</trackRevisions>
    </reviewItem>
    <reviewItem>
      <errorID>7255fc48-7cac-4de2-b510-32cecca4484b</errorID>
      <errorWord>的</errorWord>
      <group>L1_Word</group>
      <groupName>字词问题</groupName>
      <ability>L2_DDD</ability>
      <abilityName>的地得用法</abilityName>
      <candidateList>
        <item>地</item>
      </candidateList>
      <explain/>
      <paraID>3FE051C7</paraID>
      <start>45</start>
      <end>46</end>
      <status>modified</status>
      <modifiedWord>地</modifiedWord>
      <trackRevisions>false</trackRevisions>
    </reviewItem>
    <reviewItem>
      <errorID>9de89eed-d866-4b57-9a5f-44b1bf8da582</errorID>
      <errorWord>征对</errorWord>
      <group>L1_Word</group>
      <groupName>字词问题</groupName>
      <ability>L2_Typo</ability>
      <abilityName>字词错误</abilityName>
      <candidateList>
        <item>针对</item>
      </candidateList>
      <explain/>
      <paraID>3FE051C7</paraID>
      <start>63</start>
      <end>65</end>
      <status>modified</status>
      <modifiedWord>针对</modifiedWord>
      <trackRevisions>false</trackRevisions>
    </reviewItem>
    <reviewItem>
      <errorID>65ff7b46-2727-44fb-b171-247ca8bf6388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3FE051C7</paraID>
      <start>110</start>
      <end>112</end>
      <status>modified</status>
      <modifiedWord>》《</modifiedWord>
      <trackRevisions>false</trackRevisions>
    </reviewItem>
    <reviewItem>
      <errorID>12c55463-3982-4e65-8ce1-1320aae35941</errorID>
      <errorWord>（</errorWord>
      <group>L1_Punc</group>
      <groupName>标点问题</groupName>
      <ability>L2_Punc_CN</ability>
      <abilityName>标点符号问题</abilityName>
      <candidateList/>
      <explain>同一形式括号套用。</explain>
      <paraID> BF11E6D</paraID>
      <start>32</start>
      <end>33</end>
      <status>unmodified</status>
      <modifiedWord/>
      <trackRevisions>false</trackRevisions>
    </reviewItem>
    <reviewItem>
      <errorID>01ede583-1804-46f6-a73f-7b309372534e</errorID>
      <errorWord>）</errorWord>
      <group>L1_Punc</group>
      <groupName>标点问题</groupName>
      <ability>L2_Punc_CN</ability>
      <abilityName>标点符号问题</abilityName>
      <candidateList/>
      <explain>同一形式括号套用。</explain>
      <paraID> BF11E6D</paraID>
      <start>39</start>
      <end>40</end>
      <status>ignored</status>
      <modifiedWord/>
      <trackRevisions>false</trackRevisions>
    </reviewItem>
    <reviewItem>
      <errorID>5ceb9f6c-3846-4583-af97-7948cf705130</errorID>
      <errorWord>（</errorWord>
      <group>L1_Punc</group>
      <groupName>标点问题</groupName>
      <ability>L2_Punc_CN</ability>
      <abilityName>标点符号问题</abilityName>
      <candidateList/>
      <explain>同一形式括号套用。</explain>
      <paraID> BF11E6D</paraID>
      <start>62</start>
      <end>63</end>
      <status>unmodified</status>
      <modifiedWord/>
      <trackRevisions>false</trackRevisions>
    </reviewItem>
    <reviewItem>
      <errorID>18c3ab31-99aa-42eb-bbb3-47d0d86e255a</errorID>
      <errorWord>）</errorWord>
      <group>L1_Punc</group>
      <groupName>标点问题</groupName>
      <ability>L2_Punc_CN</ability>
      <abilityName>标点符号问题</abilityName>
      <candidateList/>
      <explain>同一形式括号套用。</explain>
      <paraID> BF11E6D</paraID>
      <start>69</start>
      <end>70</end>
      <status>ignored</status>
      <modifiedWord/>
      <trackRevisions>false</trackRevisions>
    </reviewItem>
    <reviewItem>
      <errorID>1ee2e5df-9a65-47f5-b08d-61651b92573b</errorID>
      <errorWord>（</errorWord>
      <group>L1_Punc</group>
      <groupName>标点问题</groupName>
      <ability>L2_Punc_CN</ability>
      <abilityName>标点符号问题</abilityName>
      <candidateList/>
      <explain>同一形式括号套用。</explain>
      <paraID>54663D60</paraID>
      <start>13</start>
      <end>14</end>
      <status>unmodified</status>
      <modifiedWord/>
      <trackRevisions>false</trackRevisions>
    </reviewItem>
    <reviewItem>
      <errorID>f2a385ef-60fa-40f8-abf4-7cca2905ae92</errorID>
      <errorWord>）</errorWord>
      <group>L1_Punc</group>
      <groupName>标点问题</groupName>
      <ability>L2_Punc_CN</ability>
      <abilityName>标点符号问题</abilityName>
      <candidateList/>
      <explain>同一形式括号套用。</explain>
      <paraID>54663D60</paraID>
      <start>20</start>
      <end>21</end>
      <status>ignored</status>
      <modifiedWord/>
      <trackRevisions>false</trackRevisions>
    </reviewItem>
    <reviewItem>
      <errorID>cd530f7d-364c-487a-9966-8f5b1945b0ea</errorID>
      <errorWord>》</errorWord>
      <group>L1_Word</group>
      <groupName>字词问题</groupName>
      <ability>L2_Typo</ability>
      <abilityName>字词错误</abilityName>
      <candidateList>
        <item>》以</item>
      </candidateList>
      <explain/>
      <paraID>7BB3C012</paraID>
      <start>84</start>
      <end>86</end>
      <status>modified</status>
      <modifiedWord>》以</modifiedWord>
      <trackRevisions>false</trackRevisions>
    </reviewItem>
    <reviewItem>
      <errorID>2a633b83-4fee-4e4e-92e7-d5482ba9eb46</errorID>
      <errorWord>进行实施</errorWord>
      <group>L1_Word</group>
      <groupName>字词问题</groupName>
      <ability>L2_Typo</ability>
      <abilityName>字词错误</abilityName>
      <candidateList>
        <item>实施</item>
      </candidateList>
      <explain/>
      <paraID>1153A3E9</paraID>
      <start>68</start>
      <end>70</end>
      <status>modified</status>
      <modifiedWord>实施</modifiedWord>
      <trackRevisions>false</trackRevisions>
    </reviewItem>
    <reviewItem>
      <errorID>1e09244d-c9c6-4318-a15c-199b637ca11b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25A20CA4</paraID>
      <start>12</start>
      <end>13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d284b3-14af-4bc0-a2a2-3f6b132f84f0}">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35</Pages>
  <Words>11574</Words>
  <Characters>12086</Characters>
  <Lines>61</Lines>
  <Paragraphs>17</Paragraphs>
  <TotalTime>26</TotalTime>
  <ScaleCrop>false</ScaleCrop>
  <LinksUpToDate>false</LinksUpToDate>
  <CharactersWithSpaces>12145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2026-08-04T01:27:00Z</cp:lastPrinted>
  <dcterms:modified xsi:type="dcterms:W3CDTF">2026-10-14T07:11:18Z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57E4503553C987D767A6CD6A7A1D4B34_43</vt:lpwstr>
  </property>
  <property fmtid="{D5CDD505-2E9C-101B-9397-08002B2CF9AE}" pid="4" name="KSOTemplateDocerSaveRecord">
    <vt:lpwstr>eyJoZGlkIjoiNTU1MWNhN2ZmY2ZhZmY3ODhlYTg0MWU5OGMyY2QwZmUiLCJ1c2VySWQiOiI0MzQ2NTM0NzEifQ==</vt:lpwstr>
  </property>
</Properties>
</file>