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2396317">
      <w:pPr>
        <w:pStyle w:val="12"/>
        <w:spacing w:beforeAutospacing="0"/>
        <w:jc w:val="center"/>
      </w:pPr>
      <w:r>
        <w:rPr>
          <w:sz w:val="42"/>
          <w:szCs w:val="42"/>
          <w:shd w:val="clear" w:color="auto" w:fill="FFFFFF"/>
        </w:rPr>
        <w:t>2022年度</w:t>
      </w:r>
    </w:p>
    <w:p w14:paraId="61B8331A">
      <w:pPr>
        <w:pStyle w:val="12"/>
        <w:spacing w:beforeAutospacing="0"/>
        <w:jc w:val="center"/>
      </w:pPr>
      <w:r>
        <w:rPr>
          <w:sz w:val="42"/>
          <w:szCs w:val="42"/>
          <w:shd w:val="clear" w:color="auto" w:fill="FFFFFF"/>
        </w:rPr>
        <w:t>阿坝州松潘县信访局单位决算</w:t>
      </w:r>
    </w:p>
    <w:p w14:paraId="44CEE1B6">
      <w:pPr>
        <w:pStyle w:val="12"/>
        <w:spacing w:beforeAutospacing="0"/>
        <w:jc w:val="center"/>
      </w:pPr>
    </w:p>
    <w:p w14:paraId="728ECD13">
      <w:pPr>
        <w:pStyle w:val="12"/>
        <w:spacing w:beforeAutospacing="0"/>
        <w:jc w:val="center"/>
      </w:pPr>
      <w:r>
        <w:rPr>
          <w:shd w:val="clear" w:color="auto" w:fill="FFFFFF"/>
        </w:rPr>
        <w:t> </w:t>
      </w:r>
    </w:p>
    <w:p w14:paraId="6095EBCD">
      <w:pPr>
        <w:pStyle w:val="12"/>
        <w:spacing w:beforeAutospacing="0"/>
        <w:jc w:val="center"/>
      </w:pPr>
      <w:r>
        <w:rPr>
          <w:shd w:val="clear" w:color="auto" w:fill="FFFFFF"/>
        </w:rPr>
        <w:t> </w:t>
      </w:r>
    </w:p>
    <w:p w14:paraId="04AC2F2F">
      <w:pPr>
        <w:pStyle w:val="12"/>
        <w:spacing w:beforeAutospacing="0"/>
        <w:jc w:val="center"/>
      </w:pPr>
      <w:r>
        <w:rPr>
          <w:shd w:val="clear" w:color="auto" w:fill="FFFFFF"/>
        </w:rPr>
        <w:t> </w:t>
      </w:r>
    </w:p>
    <w:p w14:paraId="425ECDB9">
      <w:pPr>
        <w:pStyle w:val="12"/>
        <w:spacing w:beforeAutospacing="0"/>
        <w:jc w:val="center"/>
      </w:pPr>
      <w:r>
        <w:rPr>
          <w:shd w:val="clear" w:color="auto" w:fill="FFFFFF"/>
        </w:rPr>
        <w:t> </w:t>
      </w:r>
    </w:p>
    <w:p w14:paraId="26C9FEC5">
      <w:pPr>
        <w:pStyle w:val="12"/>
        <w:spacing w:beforeAutospacing="0"/>
        <w:jc w:val="center"/>
      </w:pPr>
      <w:r>
        <w:rPr>
          <w:shd w:val="clear" w:color="auto" w:fill="FFFFFF"/>
        </w:rPr>
        <w:t> </w:t>
      </w:r>
    </w:p>
    <w:p w14:paraId="66673724">
      <w:pPr>
        <w:pStyle w:val="12"/>
        <w:spacing w:beforeAutospacing="0"/>
        <w:jc w:val="center"/>
      </w:pPr>
      <w:r>
        <w:rPr>
          <w:shd w:val="clear" w:color="auto" w:fill="FFFFFF"/>
        </w:rPr>
        <w:t> </w:t>
      </w:r>
    </w:p>
    <w:p w14:paraId="2AABCE53">
      <w:pPr>
        <w:pStyle w:val="12"/>
        <w:spacing w:beforeAutospacing="0"/>
        <w:jc w:val="center"/>
      </w:pPr>
      <w:r>
        <w:rPr>
          <w:shd w:val="clear" w:color="auto" w:fill="FFFFFF"/>
        </w:rPr>
        <w:t> </w:t>
      </w:r>
    </w:p>
    <w:p w14:paraId="3A446DD1">
      <w:pPr>
        <w:pStyle w:val="12"/>
        <w:spacing w:beforeAutospacing="0"/>
        <w:jc w:val="center"/>
      </w:pPr>
      <w:r>
        <w:rPr>
          <w:shd w:val="clear" w:color="auto" w:fill="FFFFFF"/>
        </w:rPr>
        <w:t>已经保密审查、内容审定，同意对外公开</w:t>
      </w:r>
    </w:p>
    <w:p w14:paraId="262A130B">
      <w:pPr>
        <w:pStyle w:val="12"/>
        <w:spacing w:beforeAutospacing="0"/>
      </w:pPr>
      <w:r>
        <w:rPr>
          <w:shd w:val="clear" w:color="auto" w:fill="FFFFFF"/>
        </w:rPr>
        <w:t> </w:t>
      </w:r>
    </w:p>
    <w:p w14:paraId="6AF09C35">
      <w:pPr>
        <w:pStyle w:val="12"/>
        <w:spacing w:beforeAutospacing="0"/>
      </w:pPr>
      <w:r>
        <w:rPr>
          <w:shd w:val="clear" w:color="auto" w:fill="FFFFFF"/>
        </w:rPr>
        <w:t> </w:t>
      </w:r>
    </w:p>
    <w:p w14:paraId="17817FCB">
      <w:pPr>
        <w:pStyle w:val="12"/>
        <w:spacing w:beforeAutospacing="0"/>
        <w:jc w:val="center"/>
      </w:pPr>
      <w:r>
        <w:rPr>
          <w:shd w:val="clear" w:color="auto" w:fill="FFFFFF"/>
        </w:rPr>
        <w:t> </w:t>
      </w:r>
    </w:p>
    <w:p w14:paraId="6B9110C4">
      <w:pPr>
        <w:pStyle w:val="12"/>
        <w:spacing w:beforeAutospacing="0"/>
      </w:pPr>
      <w:r>
        <w:rPr>
          <w:shd w:val="clear" w:color="auto" w:fill="FFFFFF"/>
        </w:rPr>
        <w:t> </w:t>
      </w:r>
    </w:p>
    <w:p w14:paraId="3396B237">
      <w:pPr>
        <w:pStyle w:val="12"/>
        <w:spacing w:beforeAutospacing="0"/>
        <w:jc w:val="center"/>
      </w:pPr>
      <w:r>
        <w:rPr>
          <w:shd w:val="clear" w:color="auto" w:fill="FFFFFF"/>
        </w:rPr>
        <w:t> </w:t>
      </w:r>
    </w:p>
    <w:p w14:paraId="4616C02B">
      <w:pPr>
        <w:pStyle w:val="12"/>
        <w:spacing w:beforeAutospacing="0"/>
        <w:jc w:val="center"/>
      </w:pPr>
      <w:r>
        <w:rPr>
          <w:shd w:val="clear" w:color="auto" w:fill="FFFFFF"/>
        </w:rPr>
        <w:t> </w:t>
      </w:r>
    </w:p>
    <w:p w14:paraId="319B16AA">
      <w:pPr>
        <w:pStyle w:val="12"/>
        <w:spacing w:beforeAutospacing="0"/>
        <w:jc w:val="center"/>
      </w:pPr>
      <w:r>
        <w:rPr>
          <w:shd w:val="clear" w:color="auto" w:fill="FFFFFF"/>
        </w:rPr>
        <w:t> </w:t>
      </w:r>
    </w:p>
    <w:p w14:paraId="550B2DC3">
      <w:pPr>
        <w:pStyle w:val="12"/>
        <w:spacing w:beforeAutospacing="0"/>
        <w:jc w:val="center"/>
      </w:pPr>
      <w:r>
        <w:rPr>
          <w:shd w:val="clear" w:color="auto" w:fill="FFFFFF"/>
        </w:rPr>
        <w:br w:type="textWrapping"/>
      </w:r>
    </w:p>
    <w:p w14:paraId="321B8D19">
      <w:pPr>
        <w:pStyle w:val="12"/>
        <w:spacing w:beforeAutospacing="0"/>
        <w:jc w:val="center"/>
      </w:pPr>
      <w:r>
        <w:rPr>
          <w:rFonts w:hint="eastAsia"/>
          <w:shd w:val="clear" w:color="auto" w:fill="FFFFFF"/>
        </w:rPr>
        <w:t>目录</w:t>
      </w:r>
      <w:r>
        <w:rPr>
          <w:shd w:val="clear" w:color="auto" w:fill="FFFFFF"/>
        </w:rPr>
        <w:t> </w:t>
      </w:r>
    </w:p>
    <w:p w14:paraId="229464C3">
      <w:pPr>
        <w:pStyle w:val="12"/>
        <w:spacing w:beforeAutospacing="0"/>
        <w:jc w:val="center"/>
      </w:pPr>
      <w:r>
        <w:rPr>
          <w:shd w:val="clear" w:color="auto" w:fill="FFFFFF"/>
        </w:rPr>
        <w:t>公开时间：2023年 </w:t>
      </w:r>
      <w:r>
        <w:rPr>
          <w:rFonts w:hint="eastAsia"/>
          <w:shd w:val="clear" w:color="auto" w:fill="FFFFFF"/>
        </w:rPr>
        <w:t>9</w:t>
      </w:r>
      <w:r>
        <w:rPr>
          <w:shd w:val="clear" w:color="auto" w:fill="FFFFFF"/>
        </w:rPr>
        <w:t xml:space="preserve">  月 </w:t>
      </w:r>
      <w:r>
        <w:rPr>
          <w:rFonts w:hint="eastAsia"/>
          <w:shd w:val="clear" w:color="auto" w:fill="FFFFFF"/>
        </w:rPr>
        <w:t>10</w:t>
      </w:r>
      <w:r>
        <w:rPr>
          <w:shd w:val="clear" w:color="auto" w:fill="FFFFFF"/>
        </w:rPr>
        <w:t xml:space="preserve">  日</w:t>
      </w:r>
    </w:p>
    <w:p w14:paraId="05F0E4A3">
      <w:pPr>
        <w:pStyle w:val="12"/>
        <w:spacing w:beforeAutospacing="0"/>
      </w:pPr>
      <w:r>
        <w:rPr>
          <w:shd w:val="clear" w:color="auto" w:fill="FFFFFF"/>
        </w:rPr>
        <w:t> </w:t>
      </w:r>
    </w:p>
    <w:p w14:paraId="1BF3BA51">
      <w:pPr>
        <w:pStyle w:val="12"/>
        <w:spacing w:beforeAutospacing="0"/>
        <w:rPr>
          <w:shd w:val="clear" w:color="auto" w:fill="FFFFFF"/>
        </w:rPr>
      </w:pPr>
      <w:r>
        <w:rPr>
          <w:shd w:val="clear" w:color="auto" w:fill="FFFFFF"/>
        </w:rPr>
        <w:t>第一部分 单位概况</w:t>
      </w:r>
    </w:p>
    <w:p w14:paraId="1D744BB4">
      <w:pPr>
        <w:pStyle w:val="12"/>
        <w:spacing w:beforeAutospacing="0"/>
        <w:ind w:firstLine="360" w:firstLineChars="150"/>
      </w:pPr>
      <w:r>
        <w:rPr>
          <w:shd w:val="clear" w:color="auto" w:fill="FFFFFF"/>
        </w:rPr>
        <w:t>一、主要职责</w:t>
      </w:r>
    </w:p>
    <w:p w14:paraId="49A23B12">
      <w:pPr>
        <w:pStyle w:val="12"/>
        <w:spacing w:beforeAutospacing="0"/>
        <w:ind w:left="420"/>
        <w:rPr>
          <w:shd w:val="clear" w:color="auto" w:fill="FFFFFF"/>
        </w:rPr>
      </w:pPr>
      <w:r>
        <w:rPr>
          <w:shd w:val="clear" w:color="auto" w:fill="FFFFFF"/>
        </w:rPr>
        <w:t>二、机构设置</w:t>
      </w:r>
    </w:p>
    <w:p w14:paraId="00A9D14C">
      <w:pPr>
        <w:pStyle w:val="12"/>
        <w:spacing w:beforeAutospacing="0"/>
        <w:rPr>
          <w:shd w:val="clear" w:color="auto" w:fill="FFFFFF"/>
        </w:rPr>
      </w:pPr>
      <w:r>
        <w:rPr>
          <w:shd w:val="clear" w:color="auto" w:fill="FFFFFF"/>
        </w:rPr>
        <w:t>第二部分 2022年度单位决算情况说明</w:t>
      </w:r>
    </w:p>
    <w:p w14:paraId="71EE5EB1">
      <w:pPr>
        <w:pStyle w:val="12"/>
        <w:spacing w:beforeAutospacing="0"/>
        <w:ind w:left="420"/>
      </w:pPr>
      <w:r>
        <w:rPr>
          <w:shd w:val="clear" w:color="auto" w:fill="FFFFFF"/>
        </w:rPr>
        <w:t>一、收入支出决算总体情况说明</w:t>
      </w:r>
    </w:p>
    <w:p w14:paraId="5F255916">
      <w:pPr>
        <w:pStyle w:val="12"/>
        <w:spacing w:beforeAutospacing="0"/>
        <w:ind w:left="420"/>
      </w:pPr>
      <w:r>
        <w:rPr>
          <w:shd w:val="clear" w:color="auto" w:fill="FFFFFF"/>
        </w:rPr>
        <w:t>二、收入决算情况说明</w:t>
      </w:r>
    </w:p>
    <w:p w14:paraId="51B140D1">
      <w:pPr>
        <w:pStyle w:val="12"/>
        <w:spacing w:beforeAutospacing="0"/>
        <w:ind w:left="420"/>
      </w:pPr>
      <w:r>
        <w:rPr>
          <w:shd w:val="clear" w:color="auto" w:fill="FFFFFF"/>
        </w:rPr>
        <w:t>三、支出决算情况说明</w:t>
      </w:r>
    </w:p>
    <w:p w14:paraId="42D4CADD">
      <w:pPr>
        <w:pStyle w:val="12"/>
        <w:spacing w:beforeAutospacing="0"/>
        <w:ind w:left="420"/>
      </w:pPr>
      <w:r>
        <w:rPr>
          <w:shd w:val="clear" w:color="auto" w:fill="FFFFFF"/>
        </w:rPr>
        <w:t>四、财政拨款收入支出决算总体情况说明</w:t>
      </w:r>
    </w:p>
    <w:p w14:paraId="48FB5BC1">
      <w:pPr>
        <w:pStyle w:val="12"/>
        <w:spacing w:beforeAutospacing="0"/>
        <w:ind w:left="420"/>
      </w:pPr>
      <w:r>
        <w:rPr>
          <w:shd w:val="clear" w:color="auto" w:fill="FFFFFF"/>
        </w:rPr>
        <w:t>五、一般公共预算财政拨款支出决算情况说明</w:t>
      </w:r>
    </w:p>
    <w:p w14:paraId="62BD6D3B">
      <w:pPr>
        <w:pStyle w:val="12"/>
        <w:spacing w:beforeAutospacing="0"/>
        <w:ind w:left="420"/>
      </w:pPr>
      <w:r>
        <w:rPr>
          <w:shd w:val="clear" w:color="auto" w:fill="FFFFFF"/>
        </w:rPr>
        <w:t>六、一般公共预算财政拨款基本支出决算情况说明</w:t>
      </w:r>
    </w:p>
    <w:p w14:paraId="19ABCEF0">
      <w:pPr>
        <w:pStyle w:val="12"/>
        <w:spacing w:beforeAutospacing="0"/>
        <w:ind w:left="420"/>
      </w:pPr>
      <w:r>
        <w:rPr>
          <w:shd w:val="clear" w:color="auto" w:fill="FFFFFF"/>
        </w:rPr>
        <w:t>七、财政拨款“三公”经费支出决算情况说明</w:t>
      </w:r>
    </w:p>
    <w:p w14:paraId="20BF8818">
      <w:pPr>
        <w:pStyle w:val="12"/>
        <w:spacing w:beforeAutospacing="0"/>
        <w:ind w:left="420"/>
      </w:pPr>
      <w:r>
        <w:rPr>
          <w:shd w:val="clear" w:color="auto" w:fill="FFFFFF"/>
        </w:rPr>
        <w:t>八、政府性基金预算支出决算情况说明</w:t>
      </w:r>
    </w:p>
    <w:p w14:paraId="6842965C">
      <w:pPr>
        <w:pStyle w:val="12"/>
        <w:spacing w:beforeAutospacing="0"/>
      </w:pPr>
      <w:r>
        <w:rPr>
          <w:shd w:val="clear" w:color="auto" w:fill="FFFFFF"/>
        </w:rPr>
        <w:t xml:space="preserve">  </w:t>
      </w:r>
      <w:r>
        <w:rPr>
          <w:rFonts w:hint="eastAsia"/>
          <w:shd w:val="clear" w:color="auto" w:fill="FFFFFF"/>
        </w:rPr>
        <w:t xml:space="preserve"> </w:t>
      </w:r>
      <w:r>
        <w:rPr>
          <w:shd w:val="clear" w:color="auto" w:fill="FFFFFF"/>
        </w:rPr>
        <w:t>九、国有资本经营预算支出决算情况说明</w:t>
      </w:r>
    </w:p>
    <w:p w14:paraId="6AEE9B95">
      <w:pPr>
        <w:pStyle w:val="12"/>
        <w:spacing w:beforeAutospacing="0"/>
      </w:pPr>
      <w:r>
        <w:rPr>
          <w:shd w:val="clear" w:color="auto" w:fill="FFFFFF"/>
        </w:rPr>
        <w:t>  十、其他重要事项的情况说明 </w:t>
      </w:r>
    </w:p>
    <w:p w14:paraId="13A70A1F">
      <w:pPr>
        <w:pStyle w:val="12"/>
        <w:spacing w:beforeAutospacing="0"/>
      </w:pPr>
      <w:r>
        <w:rPr>
          <w:shd w:val="clear" w:color="auto" w:fill="FFFFFF"/>
        </w:rPr>
        <w:t>第三部分 名词解释</w:t>
      </w:r>
    </w:p>
    <w:p w14:paraId="7EA996ED">
      <w:pPr>
        <w:pStyle w:val="12"/>
        <w:spacing w:beforeAutospacing="0"/>
      </w:pPr>
      <w:r>
        <w:rPr>
          <w:shd w:val="clear" w:color="auto" w:fill="FFFFFF"/>
        </w:rPr>
        <w:t>第四部分 附件</w:t>
      </w:r>
    </w:p>
    <w:p w14:paraId="4B8F67F8">
      <w:pPr>
        <w:pStyle w:val="12"/>
        <w:spacing w:beforeAutospacing="0"/>
      </w:pPr>
      <w:r>
        <w:rPr>
          <w:shd w:val="clear" w:color="auto" w:fill="FFFFFF"/>
        </w:rPr>
        <w:t>第五部分 附表</w:t>
      </w:r>
    </w:p>
    <w:p w14:paraId="09C9A868">
      <w:pPr>
        <w:pStyle w:val="12"/>
        <w:spacing w:beforeAutospacing="0"/>
        <w:ind w:left="420"/>
      </w:pPr>
      <w:r>
        <w:rPr>
          <w:shd w:val="clear" w:color="auto" w:fill="FFFFFF"/>
        </w:rPr>
        <w:t>一、收入支出决算总表</w:t>
      </w:r>
    </w:p>
    <w:p w14:paraId="5A0A5BC7">
      <w:pPr>
        <w:pStyle w:val="12"/>
        <w:spacing w:beforeAutospacing="0"/>
        <w:ind w:left="420"/>
      </w:pPr>
      <w:r>
        <w:rPr>
          <w:shd w:val="clear" w:color="auto" w:fill="FFFFFF"/>
        </w:rPr>
        <w:t>二、收入决算表</w:t>
      </w:r>
    </w:p>
    <w:p w14:paraId="1258BC6F">
      <w:pPr>
        <w:pStyle w:val="12"/>
        <w:spacing w:beforeAutospacing="0"/>
        <w:ind w:left="420"/>
      </w:pPr>
      <w:r>
        <w:rPr>
          <w:shd w:val="clear" w:color="auto" w:fill="FFFFFF"/>
        </w:rPr>
        <w:t>三、支出决算表</w:t>
      </w:r>
    </w:p>
    <w:p w14:paraId="32222802">
      <w:pPr>
        <w:pStyle w:val="12"/>
        <w:spacing w:beforeAutospacing="0"/>
        <w:ind w:left="420"/>
      </w:pPr>
      <w:r>
        <w:rPr>
          <w:shd w:val="clear" w:color="auto" w:fill="FFFFFF"/>
        </w:rPr>
        <w:t>四、财政拨款收入支出决算总表</w:t>
      </w:r>
    </w:p>
    <w:p w14:paraId="7D5485FF">
      <w:pPr>
        <w:pStyle w:val="12"/>
        <w:spacing w:beforeAutospacing="0"/>
        <w:ind w:left="420"/>
      </w:pPr>
      <w:r>
        <w:rPr>
          <w:shd w:val="clear" w:color="auto" w:fill="FFFFFF"/>
        </w:rPr>
        <w:t>五、财政拨款支出决算明细表</w:t>
      </w:r>
    </w:p>
    <w:p w14:paraId="41A4042A">
      <w:pPr>
        <w:pStyle w:val="12"/>
        <w:spacing w:beforeAutospacing="0"/>
        <w:ind w:left="420"/>
      </w:pPr>
      <w:r>
        <w:rPr>
          <w:shd w:val="clear" w:color="auto" w:fill="FFFFFF"/>
        </w:rPr>
        <w:t>六、一般公共预算财政拨款支出决算表</w:t>
      </w:r>
    </w:p>
    <w:p w14:paraId="445DBE64">
      <w:pPr>
        <w:pStyle w:val="12"/>
        <w:spacing w:beforeAutospacing="0"/>
        <w:ind w:left="420"/>
      </w:pPr>
      <w:r>
        <w:rPr>
          <w:shd w:val="clear" w:color="auto" w:fill="FFFFFF"/>
        </w:rPr>
        <w:t>七、一般公共预算财政拨款支出决算明细表</w:t>
      </w:r>
    </w:p>
    <w:p w14:paraId="61F082C5">
      <w:pPr>
        <w:pStyle w:val="12"/>
        <w:spacing w:beforeAutospacing="0"/>
        <w:ind w:left="420"/>
      </w:pPr>
      <w:r>
        <w:rPr>
          <w:shd w:val="clear" w:color="auto" w:fill="FFFFFF"/>
        </w:rPr>
        <w:t>八、一般公共预算财政拨款基本支出决算表</w:t>
      </w:r>
    </w:p>
    <w:p w14:paraId="798B8512">
      <w:pPr>
        <w:pStyle w:val="12"/>
        <w:spacing w:beforeAutospacing="0"/>
        <w:ind w:left="420"/>
      </w:pPr>
      <w:r>
        <w:rPr>
          <w:shd w:val="clear" w:color="auto" w:fill="FFFFFF"/>
        </w:rPr>
        <w:t>九、一般公共预算财政拨款项目支出决算表</w:t>
      </w:r>
    </w:p>
    <w:p w14:paraId="7C0F2B58">
      <w:pPr>
        <w:pStyle w:val="12"/>
        <w:spacing w:beforeAutospacing="0"/>
        <w:ind w:left="420"/>
      </w:pPr>
      <w:r>
        <w:rPr>
          <w:shd w:val="clear" w:color="auto" w:fill="FFFFFF"/>
        </w:rPr>
        <w:t>十、政府性基金预算财政拨款收入支出决算表</w:t>
      </w:r>
    </w:p>
    <w:p w14:paraId="1BA87E02">
      <w:pPr>
        <w:pStyle w:val="12"/>
        <w:spacing w:beforeAutospacing="0"/>
        <w:ind w:left="420"/>
      </w:pPr>
      <w:r>
        <w:rPr>
          <w:shd w:val="clear" w:color="auto" w:fill="FFFFFF"/>
        </w:rPr>
        <w:t>十一、国有资本经营预算财政拨款收入支出决算表</w:t>
      </w:r>
    </w:p>
    <w:p w14:paraId="4E0D34F0">
      <w:pPr>
        <w:pStyle w:val="12"/>
        <w:spacing w:beforeAutospacing="0"/>
        <w:ind w:left="420"/>
      </w:pPr>
      <w:r>
        <w:rPr>
          <w:shd w:val="clear" w:color="auto" w:fill="FFFFFF"/>
        </w:rPr>
        <w:t>十二、国有资本经营预算财政拨款支出决算表</w:t>
      </w:r>
    </w:p>
    <w:p w14:paraId="100FC9FB">
      <w:pPr>
        <w:pStyle w:val="12"/>
        <w:spacing w:beforeAutospacing="0"/>
        <w:ind w:left="420"/>
      </w:pPr>
      <w:r>
        <w:rPr>
          <w:shd w:val="clear" w:color="auto" w:fill="FFFFFF"/>
        </w:rPr>
        <w:t>十三、财政拨款“三公”经费支出决算表</w:t>
      </w:r>
    </w:p>
    <w:p w14:paraId="54880F0C">
      <w:pPr>
        <w:pStyle w:val="12"/>
        <w:spacing w:beforeAutospacing="0"/>
      </w:pPr>
      <w:r>
        <w:rPr>
          <w:rFonts w:hint="eastAsia"/>
          <w:shd w:val="clear" w:color="auto" w:fill="FFFFFF"/>
        </w:rPr>
        <w:t xml:space="preserve"> </w:t>
      </w:r>
    </w:p>
    <w:p w14:paraId="7BE06FC6">
      <w:pPr>
        <w:pStyle w:val="12"/>
        <w:spacing w:beforeAutospacing="0"/>
      </w:pPr>
      <w:r>
        <w:rPr>
          <w:shd w:val="clear" w:color="auto" w:fill="FFFFFF"/>
        </w:rPr>
        <w:t> </w:t>
      </w:r>
    </w:p>
    <w:p w14:paraId="22A448CA">
      <w:pPr>
        <w:pStyle w:val="12"/>
        <w:spacing w:beforeAutospacing="0"/>
      </w:pPr>
      <w:r>
        <w:rPr>
          <w:shd w:val="clear" w:color="auto" w:fill="FFFFFF"/>
        </w:rPr>
        <w:t> </w:t>
      </w:r>
    </w:p>
    <w:p w14:paraId="4F665166">
      <w:pPr>
        <w:pStyle w:val="2"/>
        <w:spacing w:beforeAutospacing="0"/>
        <w:jc w:val="center"/>
        <w:rPr>
          <w:rFonts w:hint="default"/>
        </w:rPr>
      </w:pPr>
      <w:r>
        <w:rPr>
          <w:shd w:val="clear" w:color="auto" w:fill="FFFFFF"/>
        </w:rPr>
        <w:t>第一部分 单位概况</w:t>
      </w:r>
    </w:p>
    <w:p w14:paraId="4B3208AF">
      <w:pPr>
        <w:pStyle w:val="12"/>
        <w:spacing w:beforeAutospacing="0"/>
      </w:pPr>
      <w:r>
        <w:rPr>
          <w:shd w:val="clear" w:color="auto" w:fill="FFFFFF"/>
        </w:rPr>
        <w:t> </w:t>
      </w:r>
    </w:p>
    <w:p w14:paraId="1266B4C9">
      <w:pPr>
        <w:pStyle w:val="3"/>
        <w:spacing w:beforeAutospacing="0"/>
        <w:rPr>
          <w:rFonts w:hint="default"/>
        </w:rPr>
      </w:pPr>
      <w:r>
        <w:rPr>
          <w:shd w:val="clear" w:color="auto" w:fill="FFFFFF"/>
        </w:rPr>
        <w:t>一、主要职责</w:t>
      </w:r>
    </w:p>
    <w:p w14:paraId="66E1FD8D">
      <w:pPr>
        <w:spacing w:line="560" w:lineRule="exact"/>
        <w:ind w:firstLine="480" w:firstLineChars="200"/>
        <w:rPr>
          <w:rFonts w:ascii="仿宋_GB2312" w:hAnsi="宋体" w:eastAsia="仿宋_GB2312" w:cs="宋体"/>
          <w:color w:val="000000"/>
          <w:sz w:val="32"/>
          <w:szCs w:val="32"/>
        </w:rPr>
      </w:pPr>
      <w:r>
        <w:rPr>
          <w:shd w:val="clear" w:color="auto" w:fill="FFFFFF"/>
        </w:rPr>
        <w:t>（一）主要职能。</w:t>
      </w:r>
      <w:r>
        <w:rPr>
          <w:rFonts w:hint="eastAsia" w:ascii="仿宋_GB2312" w:hAnsi="宋体" w:eastAsia="仿宋_GB2312" w:cs="宋体"/>
          <w:color w:val="000000"/>
          <w:sz w:val="32"/>
          <w:szCs w:val="32"/>
        </w:rPr>
        <w:t>（一）起草有关信访工作的地方性法规、规章草案和政策规定；制定信访问题排查化解、风险评估等制度并组织实施，提出改进和加强信访工作的意见和建议。负责本部门依法行政工作。</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（二）负责向县委、县政府反映来信来电来访中提出的重要建议、意见和问题，综合研判信访信息，开展调查研究，提出相关建议。</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（三）综合协调指导全县信访工作，推动建立健全信访工作的协调配合机制。督促检查县直各部门（单位）和各乡镇信访工作，总结推广信访工作先进经验，协调信访工作宣传和信息发布。</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（四）负责处理县内外群众、境外人士、法人及其他组织通过信访渠道给县委、县政府及领导同志的来信来电，接待来访。</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（五）承担协调处理群众进京到省来州到县集体上访和非正常上访的责任，综合协调处理跨地区、跨部门的重要信访问题。</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（六）负责落实党中央、省、州、县领导批示交办信访事项，向各部门、各乡镇转办、交办信访事项，督促检查重要信访事项的处理和落实。</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（七）建立和完善信访信息汇集分析机制，指导信访信息系统建设和应用。</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（八）加强对信访问题排查化解和社情民意汇集分析，重点开展法律法规政策宣传和思想教育疏导，将信访工作的重心由事后处理转移到事前排查化解，增强信访工作的预见性和针对性。</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（九）加强对重大信访事项的督查督办，完善信访诉求表达方式，进一步畅通信访渠道，确保信访工作决策部署得到贯彻落实，推动群众信访问题得到妥善解决。</w:t>
      </w:r>
    </w:p>
    <w:p w14:paraId="4485AAE8">
      <w:pPr>
        <w:spacing w:line="560" w:lineRule="exact"/>
        <w:ind w:firstLine="640" w:firstLineChars="200"/>
        <w:rPr>
          <w:rFonts w:ascii="仿宋_GB2312" w:hAnsi="Calibri" w:eastAsia="仿宋_GB2312"/>
          <w:color w:val="000000"/>
          <w:sz w:val="32"/>
          <w:szCs w:val="32"/>
        </w:rPr>
      </w:pPr>
      <w:r>
        <w:rPr>
          <w:rFonts w:hint="eastAsia" w:ascii="仿宋_GB2312" w:hAnsi="宋体" w:eastAsia="仿宋_GB2312" w:cs="宋体"/>
          <w:color w:val="000000"/>
          <w:sz w:val="32"/>
          <w:szCs w:val="32"/>
          <w:lang w:eastAsia="zh-CN"/>
        </w:rPr>
        <w:t>（</w:t>
      </w:r>
      <w:r>
        <w:rPr>
          <w:rFonts w:hint="eastAsia" w:ascii="仿宋_GB2312" w:hAnsi="宋体" w:eastAsia="仿宋_GB2312" w:cs="宋体"/>
          <w:color w:val="000000"/>
          <w:sz w:val="32"/>
          <w:szCs w:val="32"/>
        </w:rPr>
        <w:t>十</w:t>
      </w:r>
      <w:r>
        <w:rPr>
          <w:rFonts w:hint="eastAsia" w:ascii="仿宋_GB2312" w:hAnsi="宋体" w:eastAsia="仿宋_GB2312" w:cs="宋体"/>
          <w:color w:val="000000"/>
          <w:sz w:val="32"/>
          <w:szCs w:val="32"/>
          <w:lang w:eastAsia="zh-CN"/>
        </w:rPr>
        <w:t>）</w:t>
      </w:r>
      <w:r>
        <w:rPr>
          <w:rFonts w:hint="eastAsia" w:ascii="仿宋_GB2312" w:hAnsi="宋体" w:eastAsia="仿宋_GB2312" w:cs="宋体"/>
          <w:color w:val="000000"/>
          <w:sz w:val="32"/>
          <w:szCs w:val="32"/>
        </w:rPr>
        <w:t>开展网上信访工作，探索“互联网+信访”新模式，推动信访信息化建设。</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（十一）承担县信访工作联席会议、县政府信访事项复查复核委员会日常工作，督促落实有关事项。</w:t>
      </w:r>
      <w:r>
        <w:rPr>
          <w:rFonts w:hint="eastAsia" w:ascii="仿宋_GB2312" w:hAnsi="宋体" w:eastAsia="仿宋_GB2312"/>
          <w:color w:val="000000"/>
          <w:sz w:val="32"/>
          <w:szCs w:val="32"/>
        </w:rPr>
        <w:br w:type="textWrapping"/>
      </w:r>
      <w:r>
        <w:rPr>
          <w:rFonts w:hint="eastAsia" w:ascii="仿宋_GB2312" w:hAnsi="宋体" w:eastAsia="仿宋_GB2312"/>
          <w:color w:val="000000"/>
          <w:sz w:val="32"/>
          <w:szCs w:val="32"/>
        </w:rPr>
        <w:t xml:space="preserve">    </w:t>
      </w:r>
      <w:r>
        <w:rPr>
          <w:rFonts w:hint="eastAsia" w:ascii="仿宋_GB2312" w:hAnsi="宋体" w:eastAsia="仿宋_GB2312" w:cs="宋体"/>
          <w:color w:val="000000"/>
          <w:sz w:val="32"/>
          <w:szCs w:val="32"/>
        </w:rPr>
        <w:t xml:space="preserve">（十二）承办县委、县政府交办的其他任务。 </w:t>
      </w:r>
    </w:p>
    <w:p w14:paraId="61693DA1">
      <w:pPr>
        <w:widowControl w:val="0"/>
        <w:spacing w:line="578" w:lineRule="exact"/>
        <w:rPr>
          <w:rFonts w:ascii="Times New Roman" w:hAnsi="Times New Roman" w:eastAsia="黑体"/>
          <w:sz w:val="32"/>
          <w:szCs w:val="32"/>
        </w:rPr>
      </w:pPr>
      <w:r>
        <w:rPr>
          <w:shd w:val="clear" w:color="auto" w:fill="FFFFFF"/>
        </w:rPr>
        <w:t>（二）2022年重点工作完成情况。</w:t>
      </w:r>
    </w:p>
    <w:p w14:paraId="4E8775F3">
      <w:pPr>
        <w:widowControl w:val="0"/>
        <w:spacing w:line="578" w:lineRule="exact"/>
        <w:ind w:left="480"/>
        <w:rPr>
          <w:rFonts w:ascii="Times New Roman" w:hAnsi="Times New Roman" w:eastAsia="黑体"/>
          <w:sz w:val="32"/>
          <w:szCs w:val="32"/>
        </w:rPr>
      </w:pPr>
      <w:r>
        <w:rPr>
          <w:rFonts w:hint="eastAsia"/>
          <w:shd w:val="clear" w:color="auto" w:fill="FFFFFF"/>
        </w:rPr>
        <w:t>一、</w:t>
      </w:r>
      <w:r>
        <w:rPr>
          <w:rFonts w:ascii="Times New Roman" w:hAnsi="Times New Roman" w:eastAsia="黑体"/>
          <w:sz w:val="32"/>
          <w:szCs w:val="32"/>
        </w:rPr>
        <w:t>信访形势</w:t>
      </w:r>
    </w:p>
    <w:p w14:paraId="05501D44">
      <w:pPr>
        <w:spacing w:line="578" w:lineRule="exact"/>
        <w:ind w:firstLine="640" w:firstLineChars="200"/>
        <w:rPr>
          <w:rFonts w:ascii="Times New Roman" w:hAnsi="Times New Roman" w:eastAsia="仿宋_GB2312"/>
          <w:sz w:val="32"/>
          <w:szCs w:val="32"/>
        </w:rPr>
      </w:pPr>
      <w:r>
        <w:rPr>
          <w:rFonts w:ascii="Times New Roman" w:hAnsi="Times New Roman"/>
          <w:sz w:val="32"/>
        </w:rPr>
        <w:pict>
          <v:rect id="_x0000_s1026" o:spid="_x0000_s1026" o:spt="1" style="position:absolute;left:0pt;margin-left:343.15pt;margin-top:48.2pt;height:34.5pt;width:106.5pt;z-index:251659264;v-text-anchor:middle;mso-width-relative:page;mso-height-relative:page;" fillcolor="#FFFFFF" filled="t" stroked="t" coordsize="21600,21600" o:gfxdata="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qTvok2AAAAAoBAAAPAAAAAAAAAAEAIAAAACIAAABkcnMv&#10;ZG93bnJldi54bWxQSwECFAAUAAAACACHTuJAJnQDt3UCAAAABQAADgAAAAAAAAABACAAAAAnAQAA&#10;ZHJzL2Uyb0RvYy54bWxQSwUGAAAAAAYABgBZAQAADgYAAAAA&#10;">
            <v:path/>
            <v:fill on="t" focussize="0,0"/>
            <v:stroke weight="1pt" color="#FFFFFF"/>
            <v:imagedata o:title=""/>
            <o:lock v:ext="edit"/>
          </v:rect>
        </w:pict>
      </w:r>
      <w:r>
        <w:rPr>
          <w:rFonts w:ascii="Times New Roman" w:hAnsi="Times New Roman" w:eastAsia="仿宋_GB2312"/>
          <w:sz w:val="32"/>
          <w:szCs w:val="32"/>
        </w:rPr>
        <w:t>今年</w:t>
      </w:r>
      <w:r>
        <w:rPr>
          <w:rFonts w:ascii="Times New Roman" w:hAnsi="Times New Roman" w:eastAsia="仿宋_GB2312"/>
          <w:sz w:val="32"/>
          <w:szCs w:val="32"/>
          <w:lang w:val="zh-CN"/>
        </w:rPr>
        <w:t>，</w:t>
      </w:r>
      <w:r>
        <w:rPr>
          <w:rFonts w:ascii="Times New Roman" w:hAnsi="Times New Roman" w:eastAsia="仿宋_GB2312"/>
          <w:sz w:val="32"/>
          <w:szCs w:val="32"/>
        </w:rPr>
        <w:t>我县信访总量1</w:t>
      </w:r>
      <w:r>
        <w:rPr>
          <w:rFonts w:hint="eastAsia" w:ascii="Times New Roman" w:hAnsi="Times New Roman" w:eastAsia="仿宋_GB2312"/>
          <w:sz w:val="32"/>
          <w:szCs w:val="32"/>
        </w:rPr>
        <w:t>43</w:t>
      </w:r>
      <w:r>
        <w:rPr>
          <w:rFonts w:ascii="Times New Roman" w:hAnsi="Times New Roman" w:eastAsia="仿宋_GB2312"/>
          <w:sz w:val="32"/>
          <w:szCs w:val="32"/>
        </w:rPr>
        <w:t>批次，其中，来信来访71批次，同比减少78批次；进京走访0批0人次</w:t>
      </w:r>
      <w:r>
        <w:rPr>
          <w:rFonts w:hint="eastAsia" w:ascii="Times New Roman" w:hAnsi="Times New Roman" w:eastAsia="仿宋_GB2312"/>
          <w:sz w:val="32"/>
          <w:szCs w:val="32"/>
          <w:lang w:eastAsia="zh-CN"/>
        </w:rPr>
        <w:t>；</w:t>
      </w:r>
      <w:r>
        <w:rPr>
          <w:rFonts w:ascii="Times New Roman" w:hAnsi="Times New Roman" w:eastAsia="仿宋_GB2312"/>
          <w:sz w:val="32"/>
          <w:szCs w:val="32"/>
        </w:rPr>
        <w:t>到省2批2人次，同比减少1批3人次。已办结国家、省、州待办件</w:t>
      </w:r>
      <w:r>
        <w:rPr>
          <w:rFonts w:hint="eastAsia" w:ascii="Times New Roman" w:hAnsi="Times New Roman" w:eastAsia="仿宋_GB2312"/>
          <w:sz w:val="32"/>
          <w:szCs w:val="32"/>
        </w:rPr>
        <w:t>24</w:t>
      </w:r>
      <w:r>
        <w:rPr>
          <w:rFonts w:ascii="Times New Roman" w:hAnsi="Times New Roman" w:eastAsia="仿宋_GB2312"/>
          <w:sz w:val="32"/>
          <w:szCs w:val="32"/>
        </w:rPr>
        <w:t>件、县级信访网信件</w:t>
      </w:r>
      <w:r>
        <w:rPr>
          <w:rFonts w:hint="eastAsia" w:ascii="Times New Roman" w:hAnsi="Times New Roman" w:eastAsia="仿宋_GB2312"/>
          <w:sz w:val="32"/>
          <w:szCs w:val="32"/>
        </w:rPr>
        <w:t>7</w:t>
      </w:r>
      <w:r>
        <w:rPr>
          <w:rFonts w:ascii="Times New Roman" w:hAnsi="Times New Roman" w:eastAsia="仿宋_GB2312"/>
          <w:sz w:val="32"/>
          <w:szCs w:val="32"/>
        </w:rPr>
        <w:t>件、人民网地方领导留言板受理2</w:t>
      </w:r>
      <w:r>
        <w:rPr>
          <w:rFonts w:hint="eastAsia" w:ascii="Times New Roman" w:hAnsi="Times New Roman" w:eastAsia="仿宋_GB2312"/>
          <w:sz w:val="32"/>
          <w:szCs w:val="32"/>
        </w:rPr>
        <w:t>7</w:t>
      </w:r>
      <w:r>
        <w:rPr>
          <w:rFonts w:ascii="Times New Roman" w:hAnsi="Times New Roman" w:eastAsia="仿宋_GB2312"/>
          <w:sz w:val="32"/>
          <w:szCs w:val="32"/>
        </w:rPr>
        <w:t>件（其中民工工资</w:t>
      </w:r>
      <w:r>
        <w:rPr>
          <w:rFonts w:hint="eastAsia" w:ascii="Times New Roman" w:hAnsi="Times New Roman" w:eastAsia="仿宋_GB2312"/>
          <w:sz w:val="32"/>
          <w:szCs w:val="32"/>
        </w:rPr>
        <w:t>10</w:t>
      </w:r>
      <w:r>
        <w:rPr>
          <w:rFonts w:ascii="Times New Roman" w:hAnsi="Times New Roman" w:eastAsia="仿宋_GB2312"/>
          <w:sz w:val="32"/>
          <w:szCs w:val="32"/>
        </w:rPr>
        <w:t>件，其他1</w:t>
      </w:r>
      <w:r>
        <w:rPr>
          <w:rFonts w:hint="eastAsia" w:ascii="Times New Roman" w:hAnsi="Times New Roman" w:eastAsia="仿宋_GB2312"/>
          <w:sz w:val="32"/>
          <w:szCs w:val="32"/>
        </w:rPr>
        <w:t>6</w:t>
      </w:r>
      <w:r>
        <w:rPr>
          <w:rFonts w:ascii="Times New Roman" w:hAnsi="Times New Roman" w:eastAsia="仿宋_GB2312"/>
          <w:sz w:val="32"/>
          <w:szCs w:val="32"/>
        </w:rPr>
        <w:t>件、感谢信1件）。信访部门及时受理率、参评率、满意率分别为100％、100％、100％，责任部门及时受理率、按期办结率、参评率、满意率分别为100％、100％、100％、100％。驻蓉信访稳控工作组外围接访疏导、劝返我县欲到省上访5批5人次。通过各方努力，圆满完成了全国两会</w:t>
      </w:r>
      <w:r>
        <w:rPr>
          <w:rFonts w:hint="eastAsia" w:ascii="Times New Roman" w:hAnsi="Times New Roman" w:eastAsia="仿宋_GB2312"/>
          <w:sz w:val="32"/>
          <w:szCs w:val="32"/>
          <w:lang w:eastAsia="zh-CN"/>
        </w:rPr>
        <w:t>、</w:t>
      </w:r>
      <w:bookmarkStart w:id="0" w:name="_GoBack"/>
      <w:bookmarkEnd w:id="0"/>
      <w:r>
        <w:rPr>
          <w:rFonts w:ascii="Times New Roman" w:hAnsi="Times New Roman" w:eastAsia="仿宋_GB2312"/>
          <w:sz w:val="32"/>
          <w:szCs w:val="32"/>
        </w:rPr>
        <w:t>“冬奥会”“冬残奥会”“三月敏感期”“省第十二次党代会”</w:t>
      </w:r>
      <w:r>
        <w:rPr>
          <w:rFonts w:hint="eastAsia" w:ascii="Times New Roman" w:hAnsi="Times New Roman" w:eastAsia="仿宋_GB2312"/>
          <w:sz w:val="32"/>
          <w:szCs w:val="32"/>
          <w:lang w:eastAsia="zh-CN"/>
        </w:rPr>
        <w:t>、党的二十大</w:t>
      </w:r>
      <w:r>
        <w:rPr>
          <w:rFonts w:ascii="Times New Roman" w:hAnsi="Times New Roman" w:eastAsia="仿宋_GB2312"/>
          <w:sz w:val="32"/>
          <w:szCs w:val="32"/>
        </w:rPr>
        <w:t>等重大时段、重大活动信访安全保障任务，按期化解了中央交办第二批治理重复信访件1件（“周</w:t>
      </w:r>
      <w:r>
        <w:rPr>
          <w:rFonts w:hint="eastAsia" w:ascii="Times New Roman" w:hAnsi="Times New Roman" w:eastAsia="仿宋_GB2312"/>
          <w:sz w:val="32"/>
          <w:szCs w:val="32"/>
        </w:rPr>
        <w:t>某</w:t>
      </w:r>
      <w:r>
        <w:rPr>
          <w:rFonts w:ascii="Times New Roman" w:hAnsi="Times New Roman" w:eastAsia="仿宋_GB2312"/>
          <w:sz w:val="32"/>
          <w:szCs w:val="32"/>
        </w:rPr>
        <w:t>春”案）。我县信访工作取得了群众进京“零非访</w:t>
      </w:r>
      <w:r>
        <w:rPr>
          <w:rFonts w:hint="eastAsia" w:ascii="Times New Roman" w:hAnsi="Times New Roman" w:eastAsia="仿宋_GB2312"/>
          <w:sz w:val="32"/>
          <w:szCs w:val="32"/>
          <w:lang w:eastAsia="zh-CN"/>
        </w:rPr>
        <w:t>”“</w:t>
      </w:r>
      <w:r>
        <w:rPr>
          <w:rFonts w:ascii="Times New Roman" w:hAnsi="Times New Roman" w:eastAsia="仿宋_GB2312"/>
          <w:sz w:val="32"/>
          <w:szCs w:val="32"/>
        </w:rPr>
        <w:t>零登记</w:t>
      </w:r>
      <w:r>
        <w:rPr>
          <w:rFonts w:hint="eastAsia" w:ascii="Times New Roman" w:hAnsi="Times New Roman" w:eastAsia="仿宋_GB2312"/>
          <w:sz w:val="32"/>
          <w:szCs w:val="32"/>
          <w:lang w:eastAsia="zh-CN"/>
        </w:rPr>
        <w:t>”“</w:t>
      </w:r>
      <w:r>
        <w:rPr>
          <w:rFonts w:ascii="Times New Roman" w:hAnsi="Times New Roman" w:eastAsia="仿宋_GB2312"/>
          <w:sz w:val="32"/>
          <w:szCs w:val="32"/>
        </w:rPr>
        <w:t>零集访”的好成绩，全县信访工作呈现出</w:t>
      </w:r>
      <w:r>
        <w:rPr>
          <w:rFonts w:ascii="Times New Roman" w:hAnsi="Times New Roman" w:eastAsia="仿宋_GB2312"/>
          <w:b/>
          <w:bCs/>
          <w:sz w:val="32"/>
          <w:szCs w:val="32"/>
        </w:rPr>
        <w:t>“四下降”</w:t>
      </w:r>
      <w:r>
        <w:rPr>
          <w:rFonts w:ascii="Times New Roman" w:hAnsi="Times New Roman" w:eastAsia="仿宋_GB2312"/>
          <w:sz w:val="32"/>
          <w:szCs w:val="32"/>
        </w:rPr>
        <w:t>态势</w:t>
      </w:r>
      <w:r>
        <w:rPr>
          <w:rFonts w:hint="eastAsia" w:ascii="Times New Roman" w:hAnsi="Times New Roman" w:eastAsia="仿宋_GB2312"/>
          <w:sz w:val="32"/>
          <w:szCs w:val="32"/>
          <w:lang w:eastAsia="zh-CN"/>
        </w:rPr>
        <w:t>，</w:t>
      </w:r>
      <w:r>
        <w:rPr>
          <w:rFonts w:ascii="Times New Roman" w:hAnsi="Times New Roman" w:eastAsia="仿宋_GB2312"/>
          <w:sz w:val="32"/>
          <w:szCs w:val="32"/>
        </w:rPr>
        <w:t>信访形势总体平稳，持续向好。</w:t>
      </w:r>
    </w:p>
    <w:p w14:paraId="5879528B">
      <w:pPr>
        <w:spacing w:line="578" w:lineRule="exact"/>
        <w:ind w:firstLine="640" w:firstLineChars="200"/>
        <w:rPr>
          <w:rFonts w:ascii="Times New Roman" w:hAnsi="Times New Roman" w:eastAsia="黑体"/>
          <w:sz w:val="32"/>
          <w:szCs w:val="32"/>
        </w:rPr>
      </w:pPr>
      <w:r>
        <w:rPr>
          <w:rFonts w:ascii="Times New Roman" w:hAnsi="Times New Roman" w:eastAsia="黑体"/>
          <w:sz w:val="32"/>
          <w:szCs w:val="32"/>
        </w:rPr>
        <w:t>二、工作开展情况</w:t>
      </w:r>
    </w:p>
    <w:p w14:paraId="68BACA91">
      <w:pPr>
        <w:spacing w:line="578" w:lineRule="exact"/>
        <w:ind w:firstLine="643" w:firstLineChars="200"/>
        <w:rPr>
          <w:rFonts w:ascii="Times New Roman" w:hAnsi="Times New Roman" w:eastAsia="楷体_GB2312"/>
          <w:b/>
          <w:bCs/>
          <w:sz w:val="32"/>
          <w:szCs w:val="32"/>
        </w:rPr>
      </w:pPr>
      <w:r>
        <w:rPr>
          <w:rFonts w:ascii="Times New Roman" w:hAnsi="Times New Roman" w:eastAsia="楷体_GB2312"/>
          <w:b/>
          <w:bCs/>
          <w:sz w:val="32"/>
          <w:szCs w:val="32"/>
        </w:rPr>
        <w:t>（一）学习宣传贯彻《信访工作条例》，深刻理解重大意义。</w:t>
      </w:r>
      <w:r>
        <w:rPr>
          <w:rFonts w:ascii="Times New Roman" w:hAnsi="Times New Roman" w:eastAsia="仿宋_GB2312"/>
          <w:sz w:val="32"/>
          <w:szCs w:val="32"/>
        </w:rPr>
        <w:t>2022年5月1日《信访工作条例》颁布施行，我局严格按照中央、省、州联办的要求，积极开展《信访工作条例》解读宣传工作，主动作为，分别在十四届中共松潘县委第27次常委会、十五届松潘县人民政府第6次常务会议、2022年松潘县信访工作联席会议第2次会议上3次专题解读学习了《信访工作条例》。并通过“微松潘”公众号、电视台等媒体进行宣传，发送《信访工作条例》学习手册2300余份，学习海报50</w:t>
      </w:r>
      <w:r>
        <w:rPr>
          <w:rFonts w:hint="eastAsia" w:ascii="Times New Roman" w:hAnsi="Times New Roman" w:eastAsia="仿宋_GB2312"/>
          <w:sz w:val="32"/>
          <w:szCs w:val="32"/>
        </w:rPr>
        <w:t>余</w:t>
      </w:r>
      <w:r>
        <w:rPr>
          <w:rFonts w:ascii="Times New Roman" w:hAnsi="Times New Roman" w:eastAsia="仿宋_GB2312"/>
          <w:sz w:val="32"/>
          <w:szCs w:val="32"/>
        </w:rPr>
        <w:t>份，掀起全县《信访工作条例》学习热潮。</w:t>
      </w:r>
    </w:p>
    <w:p w14:paraId="402DFAEA">
      <w:pPr>
        <w:spacing w:line="578" w:lineRule="exact"/>
        <w:ind w:right="25" w:firstLine="643" w:firstLineChars="200"/>
        <w:rPr>
          <w:rFonts w:ascii="Times New Roman" w:hAnsi="Times New Roman" w:eastAsia="仿宋_GB2312"/>
          <w:sz w:val="32"/>
          <w:szCs w:val="32"/>
        </w:rPr>
      </w:pPr>
      <w:r>
        <w:rPr>
          <w:rFonts w:ascii="Times New Roman" w:hAnsi="Times New Roman" w:eastAsia="楷体_GB2312"/>
          <w:b/>
          <w:bCs/>
          <w:sz w:val="32"/>
          <w:szCs w:val="32"/>
        </w:rPr>
        <w:t>（二）夯实基础业务，源头化解信访矛盾。</w:t>
      </w:r>
      <w:r>
        <w:rPr>
          <w:rFonts w:ascii="Times New Roman" w:hAnsi="Times New Roman" w:eastAsia="仿宋_GB2312"/>
          <w:sz w:val="32"/>
        </w:rPr>
        <w:t>规范受理、转办、交办、办理、送达、录入、督查督办、复查复核等各个环节。完善群众满意度评价考核机制，压实首办首接责任。</w:t>
      </w:r>
      <w:r>
        <w:rPr>
          <w:rFonts w:ascii="Times New Roman" w:hAnsi="Times New Roman" w:eastAsia="仿宋_GB2312"/>
          <w:sz w:val="32"/>
          <w:szCs w:val="32"/>
        </w:rPr>
        <w:t>建立健全人民调解、行政调解、司法调解、信访调解“四位一体”整体联动的社会矛盾纠纷大调解工作机制</w:t>
      </w:r>
      <w:r>
        <w:rPr>
          <w:rFonts w:ascii="Times New Roman" w:hAnsi="Times New Roman" w:eastAsia="仿宋_GB2312"/>
          <w:sz w:val="32"/>
          <w:szCs w:val="32"/>
          <w:shd w:val="clear" w:color="auto" w:fill="FFFFFF"/>
        </w:rPr>
        <w:t>。</w:t>
      </w:r>
    </w:p>
    <w:p w14:paraId="376270D1">
      <w:pPr>
        <w:spacing w:line="578" w:lineRule="exact"/>
        <w:ind w:firstLine="640"/>
        <w:rPr>
          <w:rFonts w:ascii="Times New Roman" w:hAnsi="Times New Roman" w:eastAsia="仿宋_GB2312"/>
          <w:sz w:val="32"/>
          <w:szCs w:val="32"/>
        </w:rPr>
      </w:pPr>
      <w:r>
        <w:rPr>
          <w:rFonts w:ascii="Times New Roman" w:hAnsi="Times New Roman" w:eastAsia="楷体_GB2312"/>
          <w:b/>
          <w:bCs/>
          <w:sz w:val="32"/>
          <w:szCs w:val="32"/>
        </w:rPr>
        <w:t>（三）抓牢重点人</w:t>
      </w:r>
      <w:r>
        <w:rPr>
          <w:rFonts w:hint="eastAsia" w:ascii="Times New Roman" w:hAnsi="Times New Roman" w:eastAsia="楷体_GB2312"/>
          <w:b/>
          <w:bCs/>
          <w:sz w:val="32"/>
          <w:szCs w:val="32"/>
          <w:lang w:val="en-US" w:eastAsia="zh-CN"/>
        </w:rPr>
        <w:t>群</w:t>
      </w:r>
      <w:r>
        <w:rPr>
          <w:rFonts w:ascii="Times New Roman" w:hAnsi="Times New Roman" w:eastAsia="楷体_GB2312"/>
          <w:b/>
          <w:bCs/>
          <w:sz w:val="32"/>
          <w:szCs w:val="32"/>
        </w:rPr>
        <w:t>，确保敏感时段稳定。</w:t>
      </w:r>
      <w:r>
        <w:rPr>
          <w:rFonts w:ascii="Times New Roman" w:hAnsi="Times New Roman" w:eastAsia="仿宋_GB2312"/>
          <w:b/>
          <w:bCs/>
          <w:sz w:val="32"/>
          <w:szCs w:val="32"/>
        </w:rPr>
        <w:t>一是针对重点领域进行矛盾纠纷大排查行动。</w:t>
      </w:r>
      <w:r>
        <w:rPr>
          <w:rFonts w:ascii="Times New Roman" w:hAnsi="Times New Roman" w:eastAsia="仿宋_GB2312"/>
          <w:sz w:val="32"/>
          <w:szCs w:val="32"/>
        </w:rPr>
        <w:t>特别是历史遗留问题、工程款拖欠和民工工资问题、农业农村、城镇房屋拆迁、成兰铁路、土地纠纷信访问题等维权活动频繁重点领域，开展了突出矛盾纠纷排查化解行动，对矛盾纠纷和信访突出问题再排查、再梳理，做到全覆盖、无疏漏大排查，建立了工作台账，努力将矛盾纠纷发现在源头，解决在萌芽状态。</w:t>
      </w:r>
      <w:r>
        <w:rPr>
          <w:rFonts w:ascii="Times New Roman" w:hAnsi="Times New Roman" w:eastAsia="仿宋_GB2312"/>
          <w:b/>
          <w:bCs/>
          <w:sz w:val="32"/>
          <w:szCs w:val="32"/>
        </w:rPr>
        <w:t>二是加大重点人员稳控力度。</w:t>
      </w:r>
      <w:r>
        <w:rPr>
          <w:rFonts w:ascii="Times New Roman" w:hAnsi="Times New Roman" w:eastAsia="仿宋_GB2312"/>
          <w:sz w:val="32"/>
          <w:szCs w:val="32"/>
        </w:rPr>
        <w:t>我县3名州挂牌的信访重点人员（安宏乡赵树平、进安镇王友华、镇江关镇冶治良）和5名县挂牌的信访重点人员（交通局张卡龙、进安镇杜芳、进安镇赵永花、进安镇程庆凯、进安镇干定益），我局对相关乡镇、部门（特别是镇江关镇、安宏乡、进安镇）点对点进行了交办和衔接，涉及乡镇、部门拟定了稳控方案，采取技防、物防、人防等措施，根据工作需要派员驻蓉随时掌握其行踪动向，盯死看牢，切实将重点人员、重点群体吸附在当地，有效防止了集体访和非正常上访。</w:t>
      </w:r>
      <w:r>
        <w:rPr>
          <w:rFonts w:ascii="Times New Roman" w:hAnsi="Times New Roman" w:eastAsia="仿宋_GB2312"/>
          <w:b/>
          <w:bCs/>
          <w:sz w:val="32"/>
          <w:szCs w:val="32"/>
        </w:rPr>
        <w:t>三是信息共享，强化信息报送和值班应急工作。</w:t>
      </w:r>
      <w:r>
        <w:rPr>
          <w:rFonts w:ascii="Times New Roman" w:hAnsi="Times New Roman" w:eastAsia="仿宋_GB2312"/>
          <w:sz w:val="32"/>
          <w:szCs w:val="32"/>
        </w:rPr>
        <w:t>全国、全省、全州重大活动期间，各乡镇、部门加强对苗头性、行动性、预警性情报信息的收集研判和报送工作，保障信息渠道畅通，真正做到随时发现问题，及时上报信息，第一时间妥善处理，牢牢把握工作的主动权，确保实现了不发生进京到省非访和集访、不发生信访极端恶性事件、不发生信访群体</w:t>
      </w:r>
    </w:p>
    <w:p w14:paraId="1C248DE9">
      <w:pPr>
        <w:tabs>
          <w:tab w:val="left" w:pos="248"/>
        </w:tabs>
        <w:spacing w:line="578"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性事件和因工作不到位引发负面炒作的工作目标，维护了我县良好的对外形象。</w:t>
      </w:r>
    </w:p>
    <w:p w14:paraId="48A9F011">
      <w:pPr>
        <w:spacing w:line="578" w:lineRule="exact"/>
        <w:ind w:right="25" w:firstLine="643" w:firstLineChars="200"/>
        <w:rPr>
          <w:rFonts w:ascii="Times New Roman" w:hAnsi="Times New Roman" w:eastAsia="仿宋_GB2312"/>
          <w:sz w:val="32"/>
        </w:rPr>
      </w:pPr>
      <w:r>
        <w:rPr>
          <w:rFonts w:ascii="Times New Roman" w:hAnsi="Times New Roman" w:eastAsia="楷体_GB2312"/>
          <w:b/>
          <w:bCs/>
          <w:sz w:val="32"/>
          <w:szCs w:val="32"/>
        </w:rPr>
        <w:t>（四）持续压实责任，</w:t>
      </w:r>
      <w:r>
        <w:rPr>
          <w:rFonts w:ascii="Times New Roman" w:hAnsi="Times New Roman" w:eastAsia="仿宋_GB2312"/>
          <w:b/>
          <w:bCs/>
          <w:sz w:val="32"/>
          <w:szCs w:val="32"/>
        </w:rPr>
        <w:t>落实领导接访责任</w:t>
      </w:r>
      <w:r>
        <w:rPr>
          <w:rFonts w:ascii="Times New Roman" w:hAnsi="Times New Roman" w:eastAsia="楷体_GB2312"/>
          <w:b/>
          <w:bCs/>
          <w:sz w:val="32"/>
          <w:szCs w:val="32"/>
        </w:rPr>
        <w:t>。</w:t>
      </w:r>
      <w:r>
        <w:rPr>
          <w:rFonts w:ascii="Times New Roman" w:hAnsi="Times New Roman" w:eastAsia="仿宋_GB2312"/>
          <w:sz w:val="32"/>
          <w:szCs w:val="32"/>
        </w:rPr>
        <w:t>按照县委县政府开展领导“大接访”活动安排，</w:t>
      </w:r>
      <w:r>
        <w:rPr>
          <w:rFonts w:hint="eastAsia" w:ascii="Times New Roman" w:hAnsi="Times New Roman" w:eastAsia="仿宋_GB2312"/>
          <w:sz w:val="32"/>
          <w:szCs w:val="32"/>
          <w:lang w:eastAsia="zh-CN"/>
        </w:rPr>
        <w:t>县委、县政府</w:t>
      </w:r>
      <w:r>
        <w:rPr>
          <w:rFonts w:ascii="Times New Roman" w:hAnsi="Times New Roman" w:eastAsia="仿宋_GB2312"/>
          <w:sz w:val="32"/>
          <w:szCs w:val="32"/>
        </w:rPr>
        <w:t>主要领导带头接访，有力推进县级领导大接访活动。按照</w:t>
      </w:r>
      <w:r>
        <w:rPr>
          <w:rFonts w:ascii="Times New Roman" w:hAnsi="Times New Roman" w:eastAsia="仿宋_GB2312"/>
          <w:sz w:val="32"/>
        </w:rPr>
        <w:t>松潘县信访工作联席会议工作安排，</w:t>
      </w:r>
      <w:r>
        <w:rPr>
          <w:rFonts w:ascii="Times New Roman" w:hAnsi="Times New Roman" w:eastAsia="仿宋_GB2312"/>
          <w:sz w:val="32"/>
          <w:szCs w:val="32"/>
        </w:rPr>
        <w:t>制定细化了信访重点群体、重点人员台账、落实了包案领导、包案单位、包案乡镇，</w:t>
      </w:r>
      <w:r>
        <w:rPr>
          <w:rFonts w:ascii="Times New Roman" w:hAnsi="Times New Roman" w:eastAsia="仿宋_GB2312"/>
          <w:sz w:val="32"/>
        </w:rPr>
        <w:t>专题研判矛盾化解、攻坚重点事项等信访问题，进一步发挥信访工作联席会议牵头组织、</w:t>
      </w:r>
      <w:r>
        <w:rPr>
          <w:rFonts w:hint="eastAsia" w:ascii="Times New Roman" w:hAnsi="Times New Roman" w:eastAsia="仿宋_GB2312"/>
          <w:sz w:val="32"/>
          <w:lang w:val="en-US" w:eastAsia="zh-CN"/>
        </w:rPr>
        <w:t>统筹</w:t>
      </w:r>
      <w:r>
        <w:rPr>
          <w:rFonts w:ascii="Times New Roman" w:hAnsi="Times New Roman" w:eastAsia="仿宋_GB2312"/>
          <w:sz w:val="32"/>
        </w:rPr>
        <w:t>协调功能。</w:t>
      </w:r>
    </w:p>
    <w:p w14:paraId="1BC9231D">
      <w:pPr>
        <w:spacing w:line="558" w:lineRule="exact"/>
        <w:ind w:firstLine="643" w:firstLineChars="200"/>
        <w:rPr>
          <w:rFonts w:ascii="Times New Roman" w:hAnsi="Times New Roman" w:eastAsia="仿宋_GB2312"/>
          <w:sz w:val="32"/>
          <w:szCs w:val="32"/>
        </w:rPr>
      </w:pPr>
      <w:r>
        <w:rPr>
          <w:rFonts w:ascii="Times New Roman" w:hAnsi="Times New Roman" w:eastAsia="楷体_GB2312"/>
          <w:b/>
          <w:bCs/>
          <w:sz w:val="32"/>
          <w:szCs w:val="32"/>
        </w:rPr>
        <w:t>（五）理顺访诉关系，依法规范信访秩序。</w:t>
      </w:r>
      <w:r>
        <w:rPr>
          <w:rFonts w:ascii="Times New Roman" w:hAnsi="Times New Roman" w:eastAsia="仿宋_GB2312"/>
          <w:b/>
          <w:bCs/>
          <w:sz w:val="32"/>
          <w:szCs w:val="32"/>
        </w:rPr>
        <w:t>一</w:t>
      </w:r>
      <w:r>
        <w:rPr>
          <w:rFonts w:ascii="Times New Roman" w:hAnsi="Times New Roman" w:eastAsia="仿宋_GB2312"/>
          <w:b/>
          <w:sz w:val="32"/>
          <w:szCs w:val="32"/>
        </w:rPr>
        <w:t>是有效</w:t>
      </w:r>
      <w:r>
        <w:rPr>
          <w:rFonts w:ascii="Times New Roman" w:hAnsi="Times New Roman" w:eastAsia="仿宋_GB2312"/>
          <w:b/>
          <w:bCs/>
          <w:sz w:val="32"/>
          <w:szCs w:val="32"/>
        </w:rPr>
        <w:t>深化诉访分离工作。</w:t>
      </w:r>
      <w:r>
        <w:rPr>
          <w:rFonts w:ascii="Times New Roman" w:hAnsi="Times New Roman" w:eastAsia="仿宋_GB2312"/>
          <w:sz w:val="32"/>
          <w:szCs w:val="32"/>
        </w:rPr>
        <w:t>坚持涉法涉诉信访源头不予受理，依法引导分流涉法涉诉信访问题，</w:t>
      </w:r>
      <w:r>
        <w:rPr>
          <w:rFonts w:ascii="Times New Roman" w:hAnsi="Times New Roman" w:eastAsia="仿宋_GB2312"/>
          <w:bCs/>
          <w:sz w:val="32"/>
          <w:szCs w:val="32"/>
        </w:rPr>
        <w:t>有效</w:t>
      </w:r>
      <w:r>
        <w:rPr>
          <w:rFonts w:ascii="Times New Roman" w:hAnsi="Times New Roman" w:eastAsia="仿宋_GB2312"/>
          <w:sz w:val="32"/>
          <w:szCs w:val="32"/>
        </w:rPr>
        <w:t>转变经常性集中交办、过分依靠行政推动、通过信访启动法律程序等工作方式，进一步加强与政法部门的沟通、研判和对接，保护合法信访，制止非访、闹访，实现案结事了、息诉息访，切实做到群众合法权益与司法公正权威统一。</w:t>
      </w:r>
      <w:r>
        <w:rPr>
          <w:rFonts w:ascii="Times New Roman" w:hAnsi="Times New Roman" w:eastAsia="仿宋_GB2312"/>
          <w:b/>
          <w:bCs/>
          <w:sz w:val="32"/>
          <w:szCs w:val="32"/>
        </w:rPr>
        <w:t>二是全面推进信访</w:t>
      </w:r>
      <w:r>
        <w:rPr>
          <w:rFonts w:hint="eastAsia" w:ascii="Times New Roman" w:hAnsi="Times New Roman" w:eastAsia="仿宋_GB2312"/>
          <w:b/>
          <w:bCs/>
          <w:sz w:val="32"/>
          <w:szCs w:val="32"/>
          <w:lang w:eastAsia="zh-CN"/>
        </w:rPr>
        <w:t>法治化</w:t>
      </w:r>
      <w:r>
        <w:rPr>
          <w:rFonts w:ascii="Times New Roman" w:hAnsi="Times New Roman" w:eastAsia="仿宋_GB2312"/>
          <w:b/>
          <w:bCs/>
          <w:sz w:val="32"/>
          <w:szCs w:val="32"/>
        </w:rPr>
        <w:t>建设。</w:t>
      </w:r>
      <w:r>
        <w:rPr>
          <w:rFonts w:ascii="Times New Roman" w:hAnsi="Times New Roman" w:eastAsia="仿宋_GB2312"/>
          <w:sz w:val="32"/>
          <w:szCs w:val="32"/>
        </w:rPr>
        <w:t>解决信上不信下、信访不信法、信闹不信理和恶意闹访、随意缠访，推进信访诉求依法分类处理。</w:t>
      </w:r>
      <w:r>
        <w:rPr>
          <w:rFonts w:ascii="Times New Roman" w:hAnsi="Times New Roman" w:eastAsia="仿宋_GB2312"/>
          <w:b/>
          <w:bCs/>
          <w:sz w:val="32"/>
          <w:szCs w:val="32"/>
        </w:rPr>
        <w:t>三是加大非访越级访打击力度</w:t>
      </w:r>
      <w:r>
        <w:rPr>
          <w:rFonts w:ascii="Times New Roman" w:hAnsi="Times New Roman" w:eastAsia="仿宋_GB2312"/>
          <w:sz w:val="32"/>
          <w:szCs w:val="32"/>
        </w:rPr>
        <w:t>。按照省、州信访系统安排，积极与政法机关对接，建议做好证据收集，加大涉法涉诉信访问题依法处理力度，落实涉法涉诉信访事项终结退出机制。</w:t>
      </w:r>
    </w:p>
    <w:p w14:paraId="71743003">
      <w:pPr>
        <w:spacing w:line="558" w:lineRule="exact"/>
        <w:ind w:right="25" w:firstLine="640" w:firstLineChars="200"/>
        <w:rPr>
          <w:rFonts w:ascii="Times New Roman" w:hAnsi="Times New Roman" w:eastAsia="黑体"/>
          <w:sz w:val="32"/>
          <w:szCs w:val="32"/>
        </w:rPr>
      </w:pPr>
      <w:r>
        <w:rPr>
          <w:rFonts w:ascii="Times New Roman" w:hAnsi="Times New Roman" w:eastAsia="黑体"/>
          <w:sz w:val="32"/>
          <w:szCs w:val="32"/>
        </w:rPr>
        <w:t>三、存在的主要短板</w:t>
      </w:r>
    </w:p>
    <w:p w14:paraId="6958068C">
      <w:pPr>
        <w:pStyle w:val="13"/>
        <w:spacing w:after="0" w:line="558" w:lineRule="exact"/>
        <w:ind w:left="0" w:leftChars="0" w:firstLine="640"/>
        <w:rPr>
          <w:rFonts w:ascii="Times New Roman" w:hAnsi="Times New Roman" w:cs="Times New Roman"/>
        </w:rPr>
      </w:pPr>
      <w:r>
        <w:rPr>
          <w:rFonts w:ascii="Times New Roman" w:hAnsi="Times New Roman" w:eastAsia="仿宋_GB2312" w:cs="Times New Roman"/>
          <w:sz w:val="32"/>
          <w:szCs w:val="32"/>
        </w:rPr>
        <w:t>近年来群访、集访和一大批历史遗留问题得到了化解和规范，我县虽然在信访工作进行了有效探索并取得了一些成绩，但是存在的相关问题仍不可忽视。特别是涉法涉诉信访重点人</w:t>
      </w:r>
      <w:r>
        <w:rPr>
          <w:rFonts w:hint="eastAsia" w:ascii="Times New Roman" w:hAnsi="Times New Roman" w:eastAsia="仿宋_GB2312" w:cs="Times New Roman"/>
          <w:sz w:val="32"/>
          <w:szCs w:val="32"/>
          <w:lang w:val="en-US" w:eastAsia="zh-CN"/>
        </w:rPr>
        <w:t>群</w:t>
      </w:r>
      <w:r>
        <w:rPr>
          <w:rFonts w:ascii="Times New Roman" w:hAnsi="Times New Roman" w:eastAsia="仿宋_GB2312" w:cs="Times New Roman"/>
          <w:sz w:val="32"/>
          <w:szCs w:val="32"/>
        </w:rPr>
        <w:t>是我县最大的障碍，信访不信法、弃法转访是我县最大的问题。</w:t>
      </w:r>
      <w:r>
        <w:rPr>
          <w:rFonts w:ascii="Times New Roman" w:hAnsi="Times New Roman" w:eastAsia="仿宋_GB2312" w:cs="Times New Roman"/>
          <w:b/>
          <w:bCs/>
          <w:sz w:val="32"/>
          <w:szCs w:val="32"/>
        </w:rPr>
        <w:t>一是</w:t>
      </w:r>
      <w:r>
        <w:rPr>
          <w:rFonts w:ascii="Times New Roman" w:hAnsi="Times New Roman" w:eastAsia="仿宋_GB2312" w:cs="Times New Roman"/>
          <w:sz w:val="32"/>
          <w:szCs w:val="32"/>
        </w:rPr>
        <w:t>缠访重复访依法</w:t>
      </w:r>
      <w:r>
        <w:rPr>
          <w:rFonts w:ascii="Times New Roman" w:hAnsi="Times New Roman" w:eastAsia="仿宋_GB2312" w:cs="Times New Roman"/>
          <w:kern w:val="0"/>
          <w:sz w:val="32"/>
          <w:szCs w:val="32"/>
        </w:rPr>
        <w:t>打击弱。</w:t>
      </w:r>
      <w:r>
        <w:rPr>
          <w:rFonts w:ascii="Times New Roman" w:hAnsi="Times New Roman" w:eastAsia="仿宋_GB2312" w:cs="Times New Roman"/>
          <w:b/>
          <w:bCs/>
          <w:kern w:val="0"/>
          <w:sz w:val="32"/>
          <w:szCs w:val="32"/>
        </w:rPr>
        <w:t>二是</w:t>
      </w:r>
      <w:r>
        <w:rPr>
          <w:rFonts w:ascii="Times New Roman" w:hAnsi="Times New Roman" w:eastAsia="仿宋_GB2312" w:cs="Times New Roman"/>
          <w:sz w:val="32"/>
          <w:szCs w:val="32"/>
        </w:rPr>
        <w:t>择机上访的现象频发。三</w:t>
      </w:r>
      <w:r>
        <w:rPr>
          <w:rFonts w:ascii="Times New Roman" w:hAnsi="Times New Roman" w:eastAsia="仿宋_GB2312" w:cs="Times New Roman"/>
          <w:b/>
          <w:bCs/>
          <w:sz w:val="32"/>
          <w:szCs w:val="32"/>
        </w:rPr>
        <w:t>是</w:t>
      </w:r>
      <w:r>
        <w:rPr>
          <w:rFonts w:hint="eastAsia" w:ascii="Times New Roman" w:hAnsi="Times New Roman" w:eastAsia="仿宋_GB2312" w:cs="Times New Roman"/>
          <w:b/>
          <w:bCs/>
          <w:sz w:val="32"/>
          <w:szCs w:val="32"/>
          <w:lang w:eastAsia="zh-CN"/>
        </w:rPr>
        <w:t>诉访</w:t>
      </w:r>
      <w:r>
        <w:rPr>
          <w:rFonts w:ascii="Times New Roman" w:hAnsi="Times New Roman" w:eastAsia="仿宋_GB2312" w:cs="Times New Roman"/>
          <w:sz w:val="32"/>
          <w:szCs w:val="32"/>
        </w:rPr>
        <w:t>分离难度大。</w:t>
      </w:r>
    </w:p>
    <w:p w14:paraId="19A277AB">
      <w:pPr>
        <w:spacing w:line="538" w:lineRule="exact"/>
        <w:ind w:firstLine="640" w:firstLineChars="200"/>
        <w:rPr>
          <w:rFonts w:ascii="Times New Roman" w:hAnsi="Times New Roman" w:eastAsia="黑体"/>
          <w:sz w:val="32"/>
          <w:szCs w:val="32"/>
        </w:rPr>
      </w:pPr>
      <w:r>
        <w:rPr>
          <w:rFonts w:ascii="Times New Roman" w:hAnsi="Times New Roman" w:eastAsia="黑体"/>
          <w:sz w:val="32"/>
          <w:szCs w:val="32"/>
        </w:rPr>
        <w:t>四、</w:t>
      </w:r>
      <w:r>
        <w:rPr>
          <w:rFonts w:ascii="Times New Roman" w:hAnsi="Times New Roman" w:eastAsia="仿宋_GB2312"/>
          <w:sz w:val="32"/>
          <w:szCs w:val="32"/>
        </w:rPr>
        <w:t>2023</w:t>
      </w:r>
      <w:r>
        <w:rPr>
          <w:rFonts w:ascii="Times New Roman" w:hAnsi="Times New Roman" w:eastAsia="黑体"/>
          <w:sz w:val="32"/>
          <w:szCs w:val="32"/>
        </w:rPr>
        <w:t>年工作计划</w:t>
      </w:r>
    </w:p>
    <w:p w14:paraId="3AB81C9E">
      <w:pPr>
        <w:pStyle w:val="13"/>
        <w:spacing w:after="0" w:line="538" w:lineRule="exact"/>
        <w:ind w:left="0" w:leftChars="0" w:firstLine="642" w:firstLineChars="0"/>
        <w:rPr>
          <w:rFonts w:ascii="Times New Roman" w:hAnsi="Times New Roman" w:eastAsia="仿宋_GB2312" w:cs="Times New Roman"/>
          <w:sz w:val="32"/>
          <w:szCs w:val="32"/>
        </w:rPr>
      </w:pPr>
      <w:r>
        <w:rPr>
          <w:rFonts w:ascii="Times New Roman" w:hAnsi="Times New Roman" w:eastAsia="楷体_GB2312" w:cs="Times New Roman"/>
          <w:b/>
          <w:bCs/>
          <w:sz w:val="32"/>
          <w:szCs w:val="32"/>
        </w:rPr>
        <w:t>（一）推进矛盾纠纷化解工作</w:t>
      </w:r>
      <w:r>
        <w:rPr>
          <w:rFonts w:ascii="Times New Roman" w:hAnsi="Times New Roman" w:eastAsia="楷体_GB2312" w:cs="Times New Roman"/>
          <w:sz w:val="32"/>
          <w:szCs w:val="32"/>
        </w:rPr>
        <w:t>。</w:t>
      </w:r>
      <w:r>
        <w:rPr>
          <w:rFonts w:ascii="Times New Roman" w:hAnsi="Times New Roman" w:eastAsia="仿宋_GB2312" w:cs="Times New Roman"/>
          <w:sz w:val="32"/>
          <w:szCs w:val="32"/>
        </w:rPr>
        <w:t>抓实矛盾纠纷常规排查和集中排查，以“两联一进”工作为契机，开展信访矛盾排查化解工作，紧盯城乡建设、农业农村、劳动社保、涉法涉诉等信访问题高发领域摸排纠纷。对排查出的信访矛盾纠纷实行台账管理。督促责任主体及时化解，提升信访工作公信力。</w:t>
      </w:r>
    </w:p>
    <w:p w14:paraId="76010AAA">
      <w:pPr>
        <w:pStyle w:val="13"/>
        <w:spacing w:after="0" w:line="558" w:lineRule="exact"/>
        <w:ind w:left="0" w:leftChars="0" w:firstLine="643"/>
        <w:rPr>
          <w:rFonts w:ascii="Times New Roman" w:hAnsi="Times New Roman" w:eastAsia="仿宋_GB2312" w:cs="Times New Roman"/>
          <w:sz w:val="32"/>
          <w:szCs w:val="32"/>
        </w:rPr>
      </w:pPr>
      <w:r>
        <w:rPr>
          <w:rFonts w:ascii="Times New Roman" w:hAnsi="Times New Roman" w:eastAsia="楷体_GB2312" w:cs="Times New Roman"/>
          <w:b/>
          <w:bCs/>
          <w:sz w:val="32"/>
          <w:szCs w:val="32"/>
        </w:rPr>
        <w:t>（二）推进领导接访下访工作。</w:t>
      </w:r>
      <w:r>
        <w:rPr>
          <w:rFonts w:ascii="Times New Roman" w:hAnsi="Times New Roman" w:eastAsia="仿宋_GB2312" w:cs="Times New Roman"/>
          <w:sz w:val="32"/>
          <w:szCs w:val="32"/>
        </w:rPr>
        <w:t>持续深入开展领导干部接访、包案、下访活动，采取定点接访、重点约访、专题接访、带案下访等形式，认真听取群众呼声，及时解决合理诉求，妥善化解矛盾隐患，切实做到“有访必接，有接必办，有办必果”。</w:t>
      </w:r>
    </w:p>
    <w:p w14:paraId="7CBA0381">
      <w:pPr>
        <w:pStyle w:val="13"/>
        <w:spacing w:after="0" w:line="538" w:lineRule="exact"/>
        <w:ind w:left="0" w:leftChars="0" w:firstLine="642" w:firstLineChars="0"/>
        <w:rPr>
          <w:rFonts w:ascii="Times New Roman" w:hAnsi="Times New Roman" w:eastAsia="仿宋_GB2312" w:cs="Times New Roman"/>
          <w:sz w:val="32"/>
          <w:szCs w:val="32"/>
        </w:rPr>
      </w:pPr>
      <w:r>
        <w:rPr>
          <w:rFonts w:ascii="Times New Roman" w:hAnsi="Times New Roman" w:eastAsia="楷体_GB2312" w:cs="Times New Roman"/>
          <w:b/>
          <w:bCs/>
          <w:sz w:val="32"/>
          <w:szCs w:val="32"/>
        </w:rPr>
        <w:t>（三）推进督查督办工作。</w:t>
      </w:r>
      <w:r>
        <w:rPr>
          <w:rFonts w:ascii="Times New Roman" w:hAnsi="Times New Roman" w:eastAsia="仿宋_GB2312" w:cs="Times New Roman"/>
          <w:sz w:val="32"/>
          <w:szCs w:val="32"/>
        </w:rPr>
        <w:t>充分发挥信访工作联席会议督促落实职能，采取联合督查、专项督查等方式，深入督查信访矛盾化解攻坚、信访法治化建设、领导接访、环保督察“回头看”反馈意见整改落实等工作，力促重点工作落到实处。</w:t>
      </w:r>
    </w:p>
    <w:p w14:paraId="665EA71B">
      <w:pPr>
        <w:spacing w:line="538" w:lineRule="exact"/>
        <w:ind w:firstLine="643" w:firstLineChars="200"/>
        <w:rPr>
          <w:rFonts w:ascii="Times New Roman" w:hAnsi="Times New Roman" w:eastAsia="仿宋_GB2312"/>
          <w:sz w:val="32"/>
          <w:szCs w:val="32"/>
        </w:rPr>
      </w:pPr>
      <w:r>
        <w:rPr>
          <w:rFonts w:ascii="Times New Roman" w:hAnsi="Times New Roman" w:eastAsia="楷体_GB2312"/>
          <w:b/>
          <w:bCs/>
          <w:kern w:val="2"/>
          <w:sz w:val="32"/>
          <w:szCs w:val="32"/>
        </w:rPr>
        <w:t>（四）推进开展信访“三率”工作。</w:t>
      </w:r>
      <w:r>
        <w:rPr>
          <w:rFonts w:ascii="Times New Roman" w:hAnsi="Times New Roman" w:eastAsia="仿宋_GB2312"/>
          <w:sz w:val="32"/>
          <w:szCs w:val="32"/>
        </w:rPr>
        <w:t>继续把“责任信访”做细、做深、做实，统筹推进信访“三率”（及时受理率、按时办件率、群众满意率）作为工作重点。进一步压实有权处理机关工作职责，及时回应和解决群众来访反映的合理诉求，将信访事项办理过程和结果在网上公开，做到可查询、可跟踪、可督办、可评价，争取群众对信访工作的理解和支持。</w:t>
      </w:r>
    </w:p>
    <w:p w14:paraId="46B9A8A3">
      <w:pPr>
        <w:pStyle w:val="13"/>
        <w:spacing w:after="10" w:line="538" w:lineRule="exact"/>
        <w:ind w:left="0" w:leftChars="0" w:firstLine="643"/>
        <w:rPr>
          <w:rFonts w:ascii="Times New Roman" w:hAnsi="Times New Roman" w:eastAsia="仿宋_GB2312" w:cs="Times New Roman"/>
          <w:sz w:val="32"/>
          <w:szCs w:val="32"/>
        </w:rPr>
      </w:pPr>
      <w:r>
        <w:rPr>
          <w:rFonts w:ascii="Times New Roman" w:hAnsi="Times New Roman" w:eastAsia="楷体_GB2312" w:cs="Times New Roman"/>
          <w:b/>
          <w:bCs/>
          <w:sz w:val="32"/>
          <w:szCs w:val="32"/>
        </w:rPr>
        <w:t>（五）推进各项工作争先创优工作</w:t>
      </w:r>
      <w:r>
        <w:rPr>
          <w:rFonts w:ascii="Times New Roman" w:hAnsi="Times New Roman" w:eastAsia="仿宋_GB2312" w:cs="Times New Roman"/>
          <w:b/>
          <w:bCs/>
          <w:sz w:val="32"/>
          <w:szCs w:val="32"/>
        </w:rPr>
        <w:t>。</w:t>
      </w:r>
      <w:r>
        <w:rPr>
          <w:rFonts w:ascii="Times New Roman" w:hAnsi="Times New Roman" w:eastAsia="仿宋_GB2312" w:cs="Times New Roman"/>
          <w:sz w:val="32"/>
          <w:szCs w:val="32"/>
        </w:rPr>
        <w:t>保持“全国信访工作人民满意窗口建设”先进性，争创全国信访“三无”先进集体。持续保持信访“三率”办信工作全州前列。</w:t>
      </w:r>
    </w:p>
    <w:p w14:paraId="2C23CF7D">
      <w:pPr>
        <w:pStyle w:val="13"/>
        <w:spacing w:after="0" w:line="538" w:lineRule="exact"/>
        <w:ind w:left="0" w:leftChars="0" w:firstLine="643"/>
        <w:rPr>
          <w:rFonts w:ascii="Times New Roman" w:hAnsi="Times New Roman" w:eastAsia="仿宋_GB2312" w:cs="Times New Roman"/>
          <w:sz w:val="32"/>
          <w:szCs w:val="32"/>
        </w:rPr>
      </w:pPr>
      <w:r>
        <w:rPr>
          <w:rFonts w:ascii="Times New Roman" w:hAnsi="Times New Roman" w:eastAsia="楷体_GB2312" w:cs="Times New Roman"/>
          <w:b/>
          <w:bCs/>
          <w:sz w:val="32"/>
          <w:szCs w:val="32"/>
        </w:rPr>
        <w:t>（六）持续推进党的二十大精神落实落地。</w:t>
      </w:r>
      <w:r>
        <w:rPr>
          <w:rFonts w:ascii="Times New Roman" w:hAnsi="Times New Roman" w:eastAsia="仿宋_GB2312" w:cs="Times New Roman"/>
          <w:sz w:val="32"/>
          <w:szCs w:val="32"/>
        </w:rPr>
        <w:t>深入学习宣传贯彻党的二十大精神，深刻</w:t>
      </w:r>
      <w:r>
        <w:rPr>
          <w:rFonts w:hint="eastAsia" w:ascii="Times New Roman" w:hAnsi="Times New Roman" w:eastAsia="仿宋_GB2312" w:cs="Times New Roman"/>
          <w:sz w:val="32"/>
          <w:szCs w:val="32"/>
          <w:lang w:val="en-US" w:eastAsia="zh-CN"/>
        </w:rPr>
        <w:t>领悟</w:t>
      </w:r>
      <w:r>
        <w:rPr>
          <w:rFonts w:ascii="Times New Roman" w:hAnsi="Times New Roman" w:eastAsia="仿宋_GB2312" w:cs="Times New Roman"/>
          <w:sz w:val="32"/>
          <w:szCs w:val="32"/>
        </w:rPr>
        <w:t>“两个确立”的决定性意义。增强“四个意识”、坚定“四个自信”、做到“两个维护”，着力在学深悟透上下功夫，切实用党的二十大精神统一思想、统一意志、统一行动，进一步强化责任担当。以“自信、发奋、齐心”的精神状态，踏踏实实干事，确保说一件、做一件，做一件、成一件，为新征程、新发展作出新的贡献。</w:t>
      </w:r>
    </w:p>
    <w:p w14:paraId="3B36BDD0">
      <w:pPr>
        <w:spacing w:line="560" w:lineRule="exact"/>
        <w:rPr>
          <w:shd w:val="clear" w:color="auto" w:fill="FFFFFF"/>
        </w:rPr>
      </w:pPr>
      <w:r>
        <w:rPr>
          <w:shd w:val="clear" w:color="auto" w:fill="FFFFFF"/>
        </w:rPr>
        <w:t>二、机构设置</w:t>
      </w:r>
    </w:p>
    <w:p w14:paraId="2B28690B">
      <w:pPr>
        <w:spacing w:line="560" w:lineRule="exact"/>
        <w:ind w:firstLine="640" w:firstLineChars="200"/>
        <w:rPr>
          <w:rFonts w:ascii="仿宋_GB2312" w:hAnsi="宋体" w:eastAsia="仿宋_GB2312"/>
          <w:color w:val="000000"/>
          <w:sz w:val="32"/>
          <w:szCs w:val="32"/>
        </w:rPr>
      </w:pPr>
      <w:r>
        <w:rPr>
          <w:rFonts w:hint="eastAsia" w:ascii="仿宋_GB2312" w:hAnsi="宋体" w:eastAsia="仿宋_GB2312"/>
          <w:color w:val="000000"/>
          <w:sz w:val="32"/>
          <w:szCs w:val="32"/>
        </w:rPr>
        <w:t>（一）办公室。承担电文、档案、保密、财务、目标考核、机要、资产管理、应急、信息、后勤等机关日常运转管理事项。负责承办综合性会议及重要文稿起草、机构编制、组织人事、工资管理、教育培训、党风廉政建设、意识形态等工作。</w:t>
      </w:r>
    </w:p>
    <w:p w14:paraId="306AEA87">
      <w:pPr>
        <w:pStyle w:val="12"/>
        <w:spacing w:beforeAutospacing="0"/>
        <w:rPr>
          <w:shd w:val="clear" w:color="auto" w:fill="FFFFFF"/>
        </w:rPr>
      </w:pPr>
    </w:p>
    <w:p w14:paraId="72B89B5A">
      <w:pPr>
        <w:pStyle w:val="12"/>
        <w:spacing w:beforeAutospacing="0"/>
      </w:pPr>
      <w:r>
        <w:rPr>
          <w:shd w:val="clear" w:color="auto" w:fill="FFFFFF"/>
        </w:rPr>
        <w:t>第二部分 2022年度单位决算情况说明</w:t>
      </w:r>
    </w:p>
    <w:p w14:paraId="21AB4DAE">
      <w:pPr>
        <w:pStyle w:val="12"/>
        <w:spacing w:beforeAutospacing="0"/>
      </w:pPr>
      <w:r>
        <w:rPr>
          <w:shd w:val="clear" w:color="auto" w:fill="FFFFFF"/>
        </w:rPr>
        <w:t>一、收入支出决算总体情况说明</w:t>
      </w:r>
    </w:p>
    <w:p w14:paraId="398FECF3">
      <w:pPr>
        <w:pStyle w:val="12"/>
        <w:spacing w:beforeAutospacing="0" w:after="100"/>
      </w:pPr>
      <w:r>
        <w:rPr>
          <w:shd w:val="clear" w:color="auto" w:fill="FFFFFF"/>
        </w:rPr>
        <w:t>2022年度收、支总计145.16万元。与2021年相比，收、支总计各增加-67.76万元，增长-31.82%。主要变动原因是</w:t>
      </w:r>
      <w:r>
        <w:rPr>
          <w:rFonts w:hint="eastAsia"/>
          <w:shd w:val="clear" w:color="auto" w:fill="FFFFFF"/>
        </w:rPr>
        <w:t>21</w:t>
      </w:r>
      <w:r>
        <w:rPr>
          <w:rFonts w:hint="eastAsia"/>
          <w:shd w:val="clear" w:color="auto" w:fill="FFFFFF"/>
          <w:lang w:eastAsia="zh-CN"/>
        </w:rPr>
        <w:t>年</w:t>
      </w:r>
      <w:r>
        <w:rPr>
          <w:rFonts w:hint="eastAsia"/>
          <w:shd w:val="clear" w:color="auto" w:fill="FFFFFF"/>
        </w:rPr>
        <w:t>局与信访接待中心决算是一起做的，而22年决算是分开做的。</w:t>
      </w:r>
    </w:p>
    <w:p w14:paraId="0ED9361C">
      <w:pPr>
        <w:pStyle w:val="12"/>
        <w:spacing w:beforeAutospacing="0" w:after="100"/>
      </w:pPr>
      <w:r>
        <w:rPr>
          <w:shd w:val="clear" w:color="auto" w:fill="FFFFFF"/>
        </w:rPr>
        <w:t>二、收入决算情况说明</w:t>
      </w:r>
    </w:p>
    <w:p w14:paraId="3F2712FD">
      <w:pPr>
        <w:pStyle w:val="12"/>
        <w:spacing w:beforeAutospacing="0"/>
      </w:pPr>
      <w:r>
        <w:rPr>
          <w:shd w:val="clear" w:color="auto" w:fill="FFFFFF"/>
        </w:rPr>
        <w:t>2022年本年收入合计145.16万元，其中：一般公共预算财政拨款收入145.16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07864EFA">
      <w:pPr>
        <w:pStyle w:val="12"/>
        <w:spacing w:beforeAutospacing="0"/>
      </w:pPr>
      <w:r>
        <w:rPr>
          <w:shd w:val="clear" w:color="auto" w:fill="FFFFFF"/>
        </w:rPr>
        <w:t>三、支出决算情况说明</w:t>
      </w:r>
    </w:p>
    <w:p w14:paraId="13067D51">
      <w:pPr>
        <w:pStyle w:val="12"/>
        <w:spacing w:beforeAutospacing="0"/>
      </w:pPr>
      <w:r>
        <w:rPr>
          <w:shd w:val="clear" w:color="auto" w:fill="FFFFFF"/>
        </w:rPr>
        <w:t>2022年本年支出合计145.16万元，其中：基本支出137.16万元，占94.49%；项目支出8.00万元，占5.51%；上缴上级支出0.00万元，占0.00%；经营支出0.00万元，占经营支出0.00万元，占 0.00%；对附属单位补助支出0.00万元，占0.00%。</w:t>
      </w:r>
    </w:p>
    <w:p w14:paraId="0177F379">
      <w:pPr>
        <w:pStyle w:val="12"/>
        <w:spacing w:beforeAutospacing="0"/>
      </w:pPr>
      <w:r>
        <w:rPr>
          <w:shd w:val="clear" w:color="auto" w:fill="FFFFFF"/>
        </w:rPr>
        <w:t>四、财政拨款收入支出决算总体情况说明</w:t>
      </w:r>
    </w:p>
    <w:p w14:paraId="40CAD2F3">
      <w:pPr>
        <w:pStyle w:val="12"/>
        <w:spacing w:beforeAutospacing="0"/>
      </w:pPr>
      <w:r>
        <w:rPr>
          <w:shd w:val="clear" w:color="auto" w:fill="FFFFFF"/>
        </w:rPr>
        <w:t>2022年财政拨款收、支总计145.16万元。与2021年相比，财政拨款收、支总计各增加/减少-67.76万元，增长-31.82%。</w:t>
      </w:r>
      <w:r>
        <w:rPr>
          <w:rFonts w:hint="eastAsia"/>
          <w:shd w:val="clear" w:color="auto" w:fill="FFFFFF"/>
          <w:lang w:eastAsia="zh-CN"/>
        </w:rPr>
        <w:t>主要变动原因是</w:t>
      </w:r>
      <w:r>
        <w:rPr>
          <w:rFonts w:hint="eastAsia"/>
          <w:shd w:val="clear" w:color="auto" w:fill="FFFFFF"/>
        </w:rPr>
        <w:t>21年度局与信访接待中心决算是一起做的，而22年决算是分开做的。</w:t>
      </w:r>
    </w:p>
    <w:p w14:paraId="5D33A769">
      <w:pPr>
        <w:pStyle w:val="12"/>
        <w:spacing w:beforeAutospacing="0"/>
      </w:pPr>
      <w:r>
        <w:rPr>
          <w:shd w:val="clear" w:color="auto" w:fill="FFFFFF"/>
        </w:rPr>
        <w:t>五、</w:t>
      </w:r>
      <w:r>
        <w:rPr>
          <w:rStyle w:val="16"/>
          <w:shd w:val="clear" w:color="auto" w:fill="FFFFFF"/>
        </w:rPr>
        <w:t>一</w:t>
      </w:r>
      <w:r>
        <w:rPr>
          <w:shd w:val="clear" w:color="auto" w:fill="FFFFFF"/>
        </w:rPr>
        <w:t>般公共预算财政拨款支出决算情况说明</w:t>
      </w:r>
    </w:p>
    <w:p w14:paraId="02FE0A2C">
      <w:pPr>
        <w:pStyle w:val="12"/>
        <w:spacing w:beforeAutospacing="0"/>
      </w:pPr>
      <w:r>
        <w:rPr>
          <w:rStyle w:val="16"/>
          <w:shd w:val="clear" w:color="auto" w:fill="FFFFFF"/>
        </w:rPr>
        <w:t>（一）一般公共预算财政拨款支出决算总体情况</w:t>
      </w:r>
    </w:p>
    <w:p w14:paraId="376DE5F5">
      <w:pPr>
        <w:pStyle w:val="12"/>
        <w:spacing w:beforeAutospacing="0"/>
      </w:pPr>
      <w:r>
        <w:rPr>
          <w:shd w:val="clear" w:color="auto" w:fill="FFFFFF"/>
        </w:rPr>
        <w:t>2022年一般公共预算财政拨款支出145.16万元，占本年支出合计的100.00%。与2021年相比，一般公共预算财政拨款支出增加-67.76万元，增长-31.82%。</w:t>
      </w:r>
      <w:r>
        <w:rPr>
          <w:rFonts w:hint="eastAsia"/>
          <w:shd w:val="clear" w:color="auto" w:fill="FFFFFF"/>
          <w:lang w:eastAsia="zh-CN"/>
        </w:rPr>
        <w:t>主要变动原因是</w:t>
      </w:r>
      <w:r>
        <w:rPr>
          <w:rFonts w:hint="eastAsia"/>
          <w:shd w:val="clear" w:color="auto" w:fill="FFFFFF"/>
        </w:rPr>
        <w:t xml:space="preserve">21年度局与信访接待中心决算是一起做的，而22年决算是分开做的。 </w:t>
      </w:r>
    </w:p>
    <w:p w14:paraId="518CCE3B">
      <w:pPr>
        <w:pStyle w:val="12"/>
        <w:spacing w:beforeAutospacing="0"/>
      </w:pPr>
      <w:r>
        <w:rPr>
          <w:rStyle w:val="16"/>
          <w:shd w:val="clear" w:color="auto" w:fill="FFFFFF"/>
        </w:rPr>
        <w:t>（二）一般公共预算财政拨款支出决算结构情况</w:t>
      </w:r>
    </w:p>
    <w:p w14:paraId="3324292E">
      <w:pPr>
        <w:pStyle w:val="12"/>
        <w:spacing w:beforeAutospacing="0"/>
      </w:pPr>
      <w:r>
        <w:rPr>
          <w:shd w:val="clear" w:color="auto" w:fill="FFFFFF"/>
        </w:rPr>
        <w:t>2022年一般公共预算财政拨款支出145.16万元，主要用于以下方面</w:t>
      </w:r>
      <w:r>
        <w:rPr>
          <w:rFonts w:hint="eastAsia"/>
          <w:shd w:val="clear" w:color="auto" w:fill="FFFFFF"/>
          <w:lang w:eastAsia="zh-CN"/>
        </w:rPr>
        <w:t>：</w:t>
      </w:r>
      <w:r>
        <w:rPr>
          <w:rStyle w:val="16"/>
          <w:shd w:val="clear" w:color="auto" w:fill="FFFFFF"/>
        </w:rPr>
        <w:t>一般公共服务（类）</w:t>
      </w:r>
      <w:r>
        <w:rPr>
          <w:shd w:val="clear" w:color="auto" w:fill="FFFFFF"/>
        </w:rPr>
        <w:t>支出118.59万元，占81.70%；</w:t>
      </w:r>
      <w:r>
        <w:rPr>
          <w:rStyle w:val="16"/>
          <w:rFonts w:hint="eastAsia"/>
          <w:shd w:val="clear" w:color="auto" w:fill="FFFFFF"/>
        </w:rPr>
        <w:t xml:space="preserve"> </w:t>
      </w:r>
      <w:r>
        <w:rPr>
          <w:rStyle w:val="16"/>
          <w:shd w:val="clear" w:color="auto" w:fill="FFFFFF"/>
        </w:rPr>
        <w:t>社会保障和就业（类）</w:t>
      </w:r>
      <w:r>
        <w:rPr>
          <w:shd w:val="clear" w:color="auto" w:fill="FFFFFF"/>
        </w:rPr>
        <w:t>支出13.53万元，占9.32%；</w:t>
      </w:r>
      <w:r>
        <w:rPr>
          <w:rStyle w:val="16"/>
          <w:shd w:val="clear" w:color="auto" w:fill="FFFFFF"/>
        </w:rPr>
        <w:t>卫生健康支出</w:t>
      </w:r>
      <w:r>
        <w:rPr>
          <w:shd w:val="clear" w:color="auto" w:fill="FFFFFF"/>
        </w:rPr>
        <w:t>5.33万元，占3.67%；住房保障支出7.71万元，占5.31%。</w:t>
      </w:r>
    </w:p>
    <w:p w14:paraId="7908C7BC">
      <w:pPr>
        <w:pStyle w:val="12"/>
        <w:spacing w:beforeAutospacing="0"/>
      </w:pPr>
      <w:r>
        <w:rPr>
          <w:rStyle w:val="16"/>
          <w:rFonts w:hint="eastAsia"/>
          <w:shd w:val="clear" w:color="auto" w:fill="FFFFFF"/>
        </w:rPr>
        <w:t xml:space="preserve"> </w:t>
      </w:r>
      <w:r>
        <w:rPr>
          <w:rStyle w:val="16"/>
          <w:shd w:val="clear" w:color="auto" w:fill="FFFFFF"/>
        </w:rPr>
        <w:t>（三）一般公共预算财政拨款支出决算具体情况</w:t>
      </w:r>
    </w:p>
    <w:p w14:paraId="5A0A5256">
      <w:pPr>
        <w:pStyle w:val="12"/>
        <w:spacing w:beforeAutospacing="0"/>
      </w:pPr>
      <w:r>
        <w:rPr>
          <w:rStyle w:val="16"/>
          <w:shd w:val="clear" w:color="auto" w:fill="FFFFFF"/>
        </w:rPr>
        <w:t>2022年一般公共预算支出决算数为145.16</w:t>
      </w:r>
      <w:r>
        <w:rPr>
          <w:shd w:val="clear" w:color="auto" w:fill="FFFFFF"/>
        </w:rPr>
        <w:t>，</w:t>
      </w:r>
      <w:r>
        <w:rPr>
          <w:rStyle w:val="16"/>
          <w:shd w:val="clear" w:color="auto" w:fill="FFFFFF"/>
        </w:rPr>
        <w:t>完成预算100.00%。其中：</w:t>
      </w:r>
    </w:p>
    <w:p w14:paraId="36EEDCFD">
      <w:pPr>
        <w:pStyle w:val="12"/>
        <w:spacing w:beforeAutospacing="0"/>
      </w:pPr>
      <w:r>
        <w:rPr>
          <w:rStyle w:val="16"/>
          <w:shd w:val="clear" w:color="auto" w:fill="FFFFFF"/>
        </w:rPr>
        <w:t>1.一般公共服务</w:t>
      </w:r>
      <w:r>
        <w:rPr>
          <w:rStyle w:val="16"/>
          <w:rFonts w:hint="eastAsia"/>
          <w:shd w:val="clear" w:color="auto" w:fill="FFFFFF"/>
        </w:rPr>
        <w:t>2010301行政运行</w:t>
      </w:r>
      <w:r>
        <w:rPr>
          <w:rStyle w:val="16"/>
          <w:rFonts w:hint="eastAsia"/>
          <w:shd w:val="clear" w:color="auto" w:fill="FFFFFF"/>
          <w:lang w:eastAsia="zh-CN"/>
        </w:rPr>
        <w:t>：</w:t>
      </w:r>
      <w:r>
        <w:rPr>
          <w:rStyle w:val="16"/>
          <w:shd w:val="clear" w:color="auto" w:fill="FFFFFF"/>
        </w:rPr>
        <w:t xml:space="preserve"> 支出决算为</w:t>
      </w:r>
      <w:r>
        <w:rPr>
          <w:rStyle w:val="16"/>
          <w:rFonts w:hint="eastAsia"/>
          <w:shd w:val="clear" w:color="auto" w:fill="FFFFFF"/>
        </w:rPr>
        <w:t>110.59</w:t>
      </w:r>
      <w:r>
        <w:rPr>
          <w:rStyle w:val="16"/>
          <w:shd w:val="clear" w:color="auto" w:fill="FFFFFF"/>
        </w:rPr>
        <w:t>万元，完成预算</w:t>
      </w:r>
      <w:r>
        <w:rPr>
          <w:rStyle w:val="16"/>
          <w:rFonts w:hint="eastAsia"/>
          <w:shd w:val="clear" w:color="auto" w:fill="FFFFFF"/>
        </w:rPr>
        <w:t>100</w:t>
      </w:r>
      <w:r>
        <w:rPr>
          <w:rStyle w:val="16"/>
          <w:shd w:val="clear" w:color="auto" w:fill="FFFFFF"/>
        </w:rPr>
        <w:t>%，</w:t>
      </w:r>
      <w:r>
        <w:rPr>
          <w:rStyle w:val="16"/>
          <w:rFonts w:hint="eastAsia"/>
          <w:shd w:val="clear" w:color="auto" w:fill="FFFFFF"/>
        </w:rPr>
        <w:t>2010302一般行政管理事务：</w:t>
      </w:r>
      <w:r>
        <w:rPr>
          <w:rStyle w:val="16"/>
          <w:shd w:val="clear" w:color="auto" w:fill="FFFFFF"/>
        </w:rPr>
        <w:t>支出决算为</w:t>
      </w:r>
      <w:r>
        <w:rPr>
          <w:rStyle w:val="16"/>
          <w:rFonts w:hint="eastAsia"/>
          <w:shd w:val="clear" w:color="auto" w:fill="FFFFFF"/>
        </w:rPr>
        <w:t>8</w:t>
      </w:r>
      <w:r>
        <w:rPr>
          <w:rStyle w:val="16"/>
          <w:shd w:val="clear" w:color="auto" w:fill="FFFFFF"/>
        </w:rPr>
        <w:t>万元，完成预算</w:t>
      </w:r>
      <w:r>
        <w:rPr>
          <w:rStyle w:val="16"/>
          <w:rFonts w:hint="eastAsia"/>
          <w:shd w:val="clear" w:color="auto" w:fill="FFFFFF"/>
        </w:rPr>
        <w:t>100</w:t>
      </w:r>
      <w:r>
        <w:rPr>
          <w:rStyle w:val="16"/>
          <w:shd w:val="clear" w:color="auto" w:fill="FFFFFF"/>
        </w:rPr>
        <w:t>%</w:t>
      </w:r>
      <w:r>
        <w:rPr>
          <w:rStyle w:val="16"/>
          <w:rFonts w:hint="eastAsia"/>
          <w:shd w:val="clear" w:color="auto" w:fill="FFFFFF"/>
        </w:rPr>
        <w:t>，决算数</w:t>
      </w:r>
      <w:r>
        <w:rPr>
          <w:rStyle w:val="16"/>
          <w:shd w:val="clear" w:color="auto" w:fill="FFFFFF"/>
        </w:rPr>
        <w:t>等于预算数。</w:t>
      </w:r>
    </w:p>
    <w:p w14:paraId="4F705CB6">
      <w:pPr>
        <w:pStyle w:val="12"/>
        <w:spacing w:beforeAutospacing="0"/>
      </w:pPr>
      <w:r>
        <w:rPr>
          <w:rStyle w:val="16"/>
          <w:rFonts w:hint="eastAsia"/>
          <w:shd w:val="clear" w:color="auto" w:fill="FFFFFF"/>
        </w:rPr>
        <w:t>2</w:t>
      </w:r>
      <w:r>
        <w:rPr>
          <w:rStyle w:val="16"/>
          <w:shd w:val="clear" w:color="auto" w:fill="FFFFFF"/>
        </w:rPr>
        <w:t>.社会保障和就业</w:t>
      </w:r>
      <w:r>
        <w:rPr>
          <w:rStyle w:val="16"/>
          <w:rFonts w:hint="eastAsia"/>
          <w:shd w:val="clear" w:color="auto" w:fill="FFFFFF"/>
        </w:rPr>
        <w:t>2080505机关事业单位基本养老保险缴费支出</w:t>
      </w:r>
      <w:r>
        <w:rPr>
          <w:rStyle w:val="16"/>
          <w:rFonts w:hint="eastAsia"/>
          <w:shd w:val="clear" w:color="auto" w:fill="FFFFFF"/>
          <w:lang w:eastAsia="zh-CN"/>
        </w:rPr>
        <w:t>：</w:t>
      </w:r>
      <w:r>
        <w:rPr>
          <w:rStyle w:val="16"/>
          <w:shd w:val="clear" w:color="auto" w:fill="FFFFFF"/>
        </w:rPr>
        <w:t xml:space="preserve"> 支出决算为</w:t>
      </w:r>
      <w:r>
        <w:rPr>
          <w:rStyle w:val="16"/>
          <w:rFonts w:hint="eastAsia"/>
          <w:shd w:val="clear" w:color="auto" w:fill="FFFFFF"/>
        </w:rPr>
        <w:t>9.02</w:t>
      </w:r>
      <w:r>
        <w:rPr>
          <w:rStyle w:val="16"/>
          <w:shd w:val="clear" w:color="auto" w:fill="FFFFFF"/>
        </w:rPr>
        <w:t>万元，完成预算</w:t>
      </w:r>
      <w:r>
        <w:rPr>
          <w:rStyle w:val="16"/>
          <w:rFonts w:hint="eastAsia"/>
          <w:shd w:val="clear" w:color="auto" w:fill="FFFFFF"/>
        </w:rPr>
        <w:t>100</w:t>
      </w:r>
      <w:r>
        <w:rPr>
          <w:rStyle w:val="16"/>
          <w:shd w:val="clear" w:color="auto" w:fill="FFFFFF"/>
        </w:rPr>
        <w:t>%，</w:t>
      </w:r>
      <w:r>
        <w:rPr>
          <w:rStyle w:val="16"/>
          <w:rFonts w:hint="eastAsia"/>
          <w:shd w:val="clear" w:color="auto" w:fill="FFFFFF"/>
        </w:rPr>
        <w:t>2080506机关事业单位职业年金缴费支出4.51万元</w:t>
      </w:r>
      <w:r>
        <w:rPr>
          <w:rStyle w:val="16"/>
          <w:shd w:val="clear" w:color="auto" w:fill="FFFFFF"/>
        </w:rPr>
        <w:t>决算数</w:t>
      </w:r>
      <w:r>
        <w:rPr>
          <w:rStyle w:val="16"/>
          <w:rFonts w:hint="eastAsia"/>
          <w:shd w:val="clear" w:color="auto" w:fill="FFFFFF"/>
        </w:rPr>
        <w:t xml:space="preserve"> </w:t>
      </w:r>
      <w:r>
        <w:rPr>
          <w:rStyle w:val="16"/>
          <w:shd w:val="clear" w:color="auto" w:fill="FFFFFF"/>
        </w:rPr>
        <w:t>等于预算数的主要原因是…。</w:t>
      </w:r>
    </w:p>
    <w:p w14:paraId="0238F08E">
      <w:pPr>
        <w:pStyle w:val="12"/>
        <w:spacing w:beforeAutospacing="0"/>
      </w:pPr>
      <w:r>
        <w:rPr>
          <w:rStyle w:val="16"/>
          <w:rFonts w:hint="eastAsia"/>
          <w:shd w:val="clear" w:color="auto" w:fill="FFFFFF"/>
        </w:rPr>
        <w:t>3</w:t>
      </w:r>
      <w:r>
        <w:rPr>
          <w:rStyle w:val="16"/>
          <w:shd w:val="clear" w:color="auto" w:fill="FFFFFF"/>
        </w:rPr>
        <w:t>.卫生健康</w:t>
      </w:r>
      <w:r>
        <w:rPr>
          <w:rStyle w:val="16"/>
          <w:rFonts w:hint="eastAsia"/>
          <w:shd w:val="clear" w:color="auto" w:fill="FFFFFF"/>
        </w:rPr>
        <w:t>2101101行政单位医疗</w:t>
      </w:r>
      <w:r>
        <w:rPr>
          <w:rStyle w:val="16"/>
          <w:rFonts w:hint="eastAsia"/>
          <w:shd w:val="clear" w:color="auto" w:fill="FFFFFF"/>
          <w:lang w:eastAsia="zh-CN"/>
        </w:rPr>
        <w:t>：</w:t>
      </w:r>
      <w:r>
        <w:rPr>
          <w:rStyle w:val="16"/>
          <w:shd w:val="clear" w:color="auto" w:fill="FFFFFF"/>
        </w:rPr>
        <w:t>支出决算为</w:t>
      </w:r>
      <w:r>
        <w:rPr>
          <w:rStyle w:val="16"/>
          <w:rFonts w:hint="eastAsia"/>
          <w:shd w:val="clear" w:color="auto" w:fill="FFFFFF"/>
        </w:rPr>
        <w:t>4.17</w:t>
      </w:r>
      <w:r>
        <w:rPr>
          <w:rStyle w:val="16"/>
          <w:shd w:val="clear" w:color="auto" w:fill="FFFFFF"/>
        </w:rPr>
        <w:t>万元，完成预算</w:t>
      </w:r>
      <w:r>
        <w:rPr>
          <w:rStyle w:val="16"/>
          <w:rFonts w:hint="eastAsia"/>
          <w:shd w:val="clear" w:color="auto" w:fill="FFFFFF"/>
        </w:rPr>
        <w:t>100</w:t>
      </w:r>
      <w:r>
        <w:rPr>
          <w:rStyle w:val="16"/>
          <w:shd w:val="clear" w:color="auto" w:fill="FFFFFF"/>
        </w:rPr>
        <w:t>%，</w:t>
      </w:r>
      <w:r>
        <w:rPr>
          <w:rStyle w:val="16"/>
          <w:rFonts w:hint="eastAsia"/>
          <w:shd w:val="clear" w:color="auto" w:fill="FFFFFF"/>
        </w:rPr>
        <w:t>2101103公务员医疗补助：</w:t>
      </w:r>
      <w:r>
        <w:rPr>
          <w:rStyle w:val="16"/>
          <w:shd w:val="clear" w:color="auto" w:fill="FFFFFF"/>
        </w:rPr>
        <w:t>支出决算为</w:t>
      </w:r>
      <w:r>
        <w:rPr>
          <w:rStyle w:val="16"/>
          <w:rFonts w:hint="eastAsia"/>
          <w:shd w:val="clear" w:color="auto" w:fill="FFFFFF"/>
        </w:rPr>
        <w:t>1.16</w:t>
      </w:r>
      <w:r>
        <w:rPr>
          <w:rStyle w:val="16"/>
          <w:shd w:val="clear" w:color="auto" w:fill="FFFFFF"/>
        </w:rPr>
        <w:t>万元，完成预算</w:t>
      </w:r>
      <w:r>
        <w:rPr>
          <w:rStyle w:val="16"/>
          <w:rFonts w:hint="eastAsia"/>
          <w:shd w:val="clear" w:color="auto" w:fill="FFFFFF"/>
        </w:rPr>
        <w:t>100</w:t>
      </w:r>
      <w:r>
        <w:rPr>
          <w:rStyle w:val="16"/>
          <w:shd w:val="clear" w:color="auto" w:fill="FFFFFF"/>
        </w:rPr>
        <w:t>%决算数</w:t>
      </w:r>
      <w:r>
        <w:rPr>
          <w:rStyle w:val="16"/>
          <w:rFonts w:hint="eastAsia"/>
          <w:shd w:val="clear" w:color="auto" w:fill="FFFFFF"/>
        </w:rPr>
        <w:t xml:space="preserve"> </w:t>
      </w:r>
      <w:r>
        <w:rPr>
          <w:rStyle w:val="16"/>
          <w:shd w:val="clear" w:color="auto" w:fill="FFFFFF"/>
        </w:rPr>
        <w:t>等于预算数。</w:t>
      </w:r>
    </w:p>
    <w:p w14:paraId="2AAA1C51">
      <w:pPr>
        <w:pStyle w:val="12"/>
        <w:spacing w:beforeAutospacing="0"/>
        <w:ind w:left="120" w:hanging="120" w:hangingChars="50"/>
      </w:pPr>
      <w:r>
        <w:rPr>
          <w:rStyle w:val="16"/>
          <w:rFonts w:hint="eastAsia"/>
          <w:shd w:val="clear" w:color="auto" w:fill="FFFFFF"/>
        </w:rPr>
        <w:t>4</w:t>
      </w:r>
      <w:r>
        <w:rPr>
          <w:rStyle w:val="16"/>
          <w:shd w:val="clear" w:color="auto" w:fill="FFFFFF"/>
        </w:rPr>
        <w:t>.</w:t>
      </w:r>
      <w:r>
        <w:rPr>
          <w:rStyle w:val="16"/>
          <w:rFonts w:hint="eastAsia"/>
          <w:shd w:val="clear" w:color="auto" w:fill="FFFFFF"/>
        </w:rPr>
        <w:t>住房保障支出2210201住房公积金</w:t>
      </w:r>
      <w:r>
        <w:rPr>
          <w:rStyle w:val="16"/>
          <w:rFonts w:hint="eastAsia"/>
          <w:shd w:val="clear" w:color="auto" w:fill="FFFFFF"/>
          <w:lang w:eastAsia="zh-CN"/>
        </w:rPr>
        <w:t>：</w:t>
      </w:r>
      <w:r>
        <w:rPr>
          <w:rStyle w:val="16"/>
          <w:shd w:val="clear" w:color="auto" w:fill="FFFFFF"/>
        </w:rPr>
        <w:t>支出决算为</w:t>
      </w:r>
      <w:r>
        <w:rPr>
          <w:rStyle w:val="16"/>
          <w:rFonts w:hint="eastAsia"/>
          <w:shd w:val="clear" w:color="auto" w:fill="FFFFFF"/>
        </w:rPr>
        <w:t>7.71</w:t>
      </w:r>
      <w:r>
        <w:rPr>
          <w:rStyle w:val="16"/>
          <w:shd w:val="clear" w:color="auto" w:fill="FFFFFF"/>
        </w:rPr>
        <w:t>万元，完成预算</w:t>
      </w:r>
      <w:r>
        <w:rPr>
          <w:rStyle w:val="16"/>
          <w:rFonts w:hint="eastAsia"/>
          <w:shd w:val="clear" w:color="auto" w:fill="FFFFFF"/>
        </w:rPr>
        <w:t>100</w:t>
      </w:r>
      <w:r>
        <w:rPr>
          <w:rStyle w:val="16"/>
          <w:shd w:val="clear" w:color="auto" w:fill="FFFFFF"/>
        </w:rPr>
        <w:t>%，决算数等于预算数。</w:t>
      </w:r>
    </w:p>
    <w:p w14:paraId="41FA7733">
      <w:pPr>
        <w:pStyle w:val="12"/>
        <w:spacing w:beforeAutospacing="0"/>
      </w:pPr>
      <w:r>
        <w:rPr>
          <w:shd w:val="clear" w:color="auto" w:fill="FFFFFF"/>
        </w:rPr>
        <w:t>六</w:t>
      </w:r>
      <w:r>
        <w:rPr>
          <w:rStyle w:val="16"/>
          <w:shd w:val="clear" w:color="auto" w:fill="FFFFFF"/>
        </w:rPr>
        <w:t>、一</w:t>
      </w:r>
      <w:r>
        <w:rPr>
          <w:shd w:val="clear" w:color="auto" w:fill="FFFFFF"/>
        </w:rPr>
        <w:t>般公共预算财政拨款基本支出决算情况说明   </w:t>
      </w:r>
    </w:p>
    <w:p w14:paraId="27E6E28E">
      <w:pPr>
        <w:pStyle w:val="12"/>
        <w:spacing w:beforeAutospacing="0"/>
      </w:pPr>
      <w:r>
        <w:rPr>
          <w:shd w:val="clear" w:color="auto" w:fill="FFFFFF"/>
        </w:rPr>
        <w:t>2022年一般公共预算财政拨款基本支出137.16万元，其中：</w:t>
      </w:r>
    </w:p>
    <w:p w14:paraId="2FFCD59D">
      <w:pPr>
        <w:pStyle w:val="12"/>
        <w:spacing w:beforeAutospacing="0"/>
      </w:pPr>
      <w:r>
        <w:rPr>
          <w:shd w:val="clear" w:color="auto" w:fill="FFFFFF"/>
        </w:rPr>
        <w:t>人员经费124.28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2C41E02C">
      <w:pPr>
        <w:pStyle w:val="12"/>
        <w:spacing w:beforeAutospacing="0"/>
      </w:pPr>
      <w:r>
        <w:rPr>
          <w:shd w:val="clear" w:color="auto" w:fill="FFFFFF"/>
        </w:rPr>
        <w:t>　　公用经费12.89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E37258B">
      <w:pPr>
        <w:pStyle w:val="12"/>
        <w:spacing w:beforeAutospacing="0"/>
      </w:pPr>
      <w:r>
        <w:rPr>
          <w:rStyle w:val="16"/>
          <w:rFonts w:hint="eastAsia"/>
          <w:shd w:val="clear" w:color="auto" w:fill="FFFFFF"/>
        </w:rPr>
        <w:t xml:space="preserve"> </w:t>
      </w:r>
      <w:r>
        <w:rPr>
          <w:shd w:val="clear" w:color="auto" w:fill="FFFFFF"/>
        </w:rPr>
        <w:t>七、“三公”经费财政拨款支出决算情况说明</w:t>
      </w:r>
    </w:p>
    <w:p w14:paraId="27E1C683">
      <w:pPr>
        <w:pStyle w:val="12"/>
        <w:spacing w:beforeAutospacing="0"/>
      </w:pPr>
      <w:r>
        <w:rPr>
          <w:rStyle w:val="16"/>
          <w:shd w:val="clear" w:color="auto" w:fill="FFFFFF"/>
        </w:rPr>
        <w:t>（一）“三公”经费财政拨款支出决算总体情况说明</w:t>
      </w:r>
    </w:p>
    <w:p w14:paraId="0ECB6712">
      <w:pPr>
        <w:pStyle w:val="12"/>
        <w:spacing w:beforeAutospacing="0"/>
      </w:pPr>
      <w:r>
        <w:rPr>
          <w:shd w:val="clear" w:color="auto" w:fill="FFFFFF"/>
        </w:rPr>
        <w:t>2022年“三公”经费财政拨款支出决算为3.51万元，完成预算100.00%，决算数与预算数持平的主要原因</w:t>
      </w:r>
      <w:r>
        <w:rPr>
          <w:rFonts w:hint="eastAsia"/>
          <w:shd w:val="clear" w:color="auto" w:fill="FFFFFF"/>
        </w:rPr>
        <w:t>严格压减三公经费，厉行节约</w:t>
      </w:r>
      <w:r>
        <w:rPr>
          <w:shd w:val="clear" w:color="auto" w:fill="FFFFFF"/>
        </w:rPr>
        <w:t>。</w:t>
      </w:r>
    </w:p>
    <w:p w14:paraId="0F0856CC">
      <w:pPr>
        <w:pStyle w:val="12"/>
        <w:spacing w:beforeAutospacing="0"/>
      </w:pPr>
      <w:r>
        <w:rPr>
          <w:rStyle w:val="16"/>
          <w:rFonts w:hint="eastAsia"/>
          <w:shd w:val="clear" w:color="auto" w:fill="FFFFFF"/>
        </w:rPr>
        <w:t xml:space="preserve"> </w:t>
      </w:r>
    </w:p>
    <w:p w14:paraId="79702691">
      <w:pPr>
        <w:pStyle w:val="12"/>
        <w:spacing w:beforeAutospacing="0"/>
      </w:pPr>
      <w:r>
        <w:rPr>
          <w:rStyle w:val="16"/>
          <w:shd w:val="clear" w:color="auto" w:fill="FFFFFF"/>
        </w:rPr>
        <w:t>（二）“三公”经费财政拨款支出决算具体情况说明</w:t>
      </w:r>
    </w:p>
    <w:p w14:paraId="3C84D0EF">
      <w:pPr>
        <w:pStyle w:val="12"/>
        <w:spacing w:beforeAutospacing="0"/>
      </w:pPr>
      <w:r>
        <w:rPr>
          <w:shd w:val="clear" w:color="auto" w:fill="FFFFFF"/>
        </w:rPr>
        <w:t>2022年“三公”经费财政拨款支出决算中，因公出国（境）费支出决算0.00万元，占0.00%；公务用车购置及运行维护费支出决算3.51万元，占100.00%；公务接待费支出决算0.00万元，占0.00%。具体情况如下：</w:t>
      </w:r>
    </w:p>
    <w:p w14:paraId="2C89744D">
      <w:pPr>
        <w:pStyle w:val="12"/>
        <w:spacing w:beforeAutospacing="0"/>
      </w:pPr>
      <w:r>
        <w:rPr>
          <w:rFonts w:hint="eastAsia"/>
          <w:shd w:val="clear" w:color="auto" w:fill="FFFFFF"/>
        </w:rPr>
        <w:t xml:space="preserve"> </w:t>
      </w:r>
      <w:r>
        <w:rPr>
          <w:rStyle w:val="16"/>
          <w:shd w:val="clear" w:color="auto" w:fill="FFFFFF"/>
        </w:rPr>
        <w:t>1.因公出国（境）经费支出</w:t>
      </w:r>
      <w:r>
        <w:rPr>
          <w:shd w:val="clear" w:color="auto" w:fill="FFFFFF"/>
        </w:rPr>
        <w:t>0.00万元，</w:t>
      </w:r>
      <w:r>
        <w:rPr>
          <w:rStyle w:val="16"/>
          <w:shd w:val="clear" w:color="auto" w:fill="FFFFFF"/>
        </w:rPr>
        <w:t>完成预算0.00%。</w:t>
      </w:r>
      <w:r>
        <w:rPr>
          <w:shd w:val="clear" w:color="auto" w:fill="FFFFFF"/>
        </w:rPr>
        <w:t>全年安排因公出国（境）团组0次，出国（境）0人。因公出国（境）支出决算比2021年增加0.00万元，增长0.00%。</w:t>
      </w:r>
    </w:p>
    <w:p w14:paraId="66647D38">
      <w:pPr>
        <w:pStyle w:val="12"/>
        <w:spacing w:beforeAutospacing="0"/>
      </w:pPr>
      <w:r>
        <w:rPr>
          <w:rStyle w:val="16"/>
          <w:shd w:val="clear" w:color="auto" w:fill="FFFFFF"/>
        </w:rPr>
        <w:t>2.公务用车购置及运行维护费支出</w:t>
      </w:r>
      <w:r>
        <w:rPr>
          <w:shd w:val="clear" w:color="auto" w:fill="FFFFFF"/>
        </w:rPr>
        <w:t>3.51万元</w:t>
      </w:r>
      <w:r>
        <w:rPr>
          <w:rFonts w:hint="eastAsia"/>
          <w:shd w:val="clear" w:color="auto" w:fill="FFFFFF"/>
          <w:lang w:eastAsia="zh-CN"/>
        </w:rPr>
        <w:t>，</w:t>
      </w:r>
      <w:r>
        <w:rPr>
          <w:rStyle w:val="16"/>
          <w:shd w:val="clear" w:color="auto" w:fill="FFFFFF"/>
        </w:rPr>
        <w:t>完成预算100.00%。</w:t>
      </w:r>
      <w:r>
        <w:rPr>
          <w:shd w:val="clear" w:color="auto" w:fill="FFFFFF"/>
        </w:rPr>
        <w:t>公务用车购置及运行维护费支出决算比2021年增加-3.47万元，增长-49.76%。主要原因是</w:t>
      </w:r>
      <w:r>
        <w:rPr>
          <w:rFonts w:hint="eastAsia"/>
          <w:shd w:val="clear" w:color="auto" w:fill="FFFFFF"/>
        </w:rPr>
        <w:t>21</w:t>
      </w:r>
      <w:r>
        <w:rPr>
          <w:rFonts w:hint="eastAsia"/>
          <w:shd w:val="clear" w:color="auto" w:fill="FFFFFF"/>
          <w:lang w:eastAsia="zh-CN"/>
        </w:rPr>
        <w:t>年</w:t>
      </w:r>
      <w:r>
        <w:rPr>
          <w:rFonts w:hint="eastAsia"/>
          <w:shd w:val="clear" w:color="auto" w:fill="FFFFFF"/>
        </w:rPr>
        <w:t>局与信访接待中心决算是一起做的，而22年决算是分开做的。</w:t>
      </w:r>
      <w:r>
        <w:rPr>
          <w:shd w:val="clear" w:color="auto" w:fill="FFFFFF"/>
        </w:rPr>
        <w:t>其中：</w:t>
      </w:r>
      <w:r>
        <w:rPr>
          <w:rStyle w:val="16"/>
          <w:shd w:val="clear" w:color="auto" w:fill="FFFFFF"/>
        </w:rPr>
        <w:t>公务用车购置支出</w:t>
      </w:r>
      <w:r>
        <w:rPr>
          <w:shd w:val="clear" w:color="auto" w:fill="FFFFFF"/>
        </w:rPr>
        <w:t>0.00万元。全年按规定更新购置公务用车0辆。截至2021年12月底，单位共有公务用车1辆，其中：越野车</w:t>
      </w:r>
      <w:r>
        <w:rPr>
          <w:rFonts w:hint="eastAsia"/>
          <w:shd w:val="clear" w:color="auto" w:fill="FFFFFF"/>
        </w:rPr>
        <w:t>1</w:t>
      </w:r>
      <w:r>
        <w:rPr>
          <w:shd w:val="clear" w:color="auto" w:fill="FFFFFF"/>
        </w:rPr>
        <w:t>辆</w:t>
      </w:r>
      <w:r>
        <w:rPr>
          <w:rFonts w:hint="eastAsia"/>
          <w:shd w:val="clear" w:color="auto" w:fill="FFFFFF"/>
        </w:rPr>
        <w:t>。</w:t>
      </w:r>
    </w:p>
    <w:p w14:paraId="27D10394">
      <w:pPr>
        <w:pStyle w:val="12"/>
        <w:spacing w:beforeAutospacing="0"/>
      </w:pPr>
      <w:r>
        <w:rPr>
          <w:rStyle w:val="16"/>
          <w:shd w:val="clear" w:color="auto" w:fill="FFFFFF"/>
        </w:rPr>
        <w:t>公务用车运行维护费支出</w:t>
      </w:r>
      <w:r>
        <w:rPr>
          <w:shd w:val="clear" w:color="auto" w:fill="FFFFFF"/>
        </w:rPr>
        <w:t>3.51万元。主要用于</w:t>
      </w:r>
      <w:r>
        <w:rPr>
          <w:rFonts w:hint="eastAsia"/>
          <w:shd w:val="clear" w:color="auto" w:fill="FFFFFF"/>
        </w:rPr>
        <w:t>信访维稳、两联一进</w:t>
      </w:r>
      <w:r>
        <w:rPr>
          <w:shd w:val="clear" w:color="auto" w:fill="FFFFFF"/>
        </w:rPr>
        <w:t>等所需的公务用车燃料费、维修费、过路过桥费、保险费等支出。</w:t>
      </w:r>
    </w:p>
    <w:p w14:paraId="1130C80F">
      <w:pPr>
        <w:pStyle w:val="12"/>
        <w:spacing w:beforeAutospacing="0"/>
      </w:pPr>
      <w:r>
        <w:rPr>
          <w:rStyle w:val="16"/>
          <w:shd w:val="clear" w:color="auto" w:fill="FFFFFF"/>
        </w:rPr>
        <w:t>3.公务接待费支出</w:t>
      </w:r>
      <w:r>
        <w:rPr>
          <w:shd w:val="clear" w:color="auto" w:fill="FFFFFF"/>
        </w:rPr>
        <w:t>0.00万元，</w:t>
      </w:r>
      <w:r>
        <w:rPr>
          <w:rStyle w:val="16"/>
          <w:shd w:val="clear" w:color="auto" w:fill="FFFFFF"/>
        </w:rPr>
        <w:t>完成预算100%。</w:t>
      </w:r>
      <w:r>
        <w:rPr>
          <w:shd w:val="clear" w:color="auto" w:fill="FFFFFF"/>
        </w:rPr>
        <w:t>公务接待费支出决算比2021年增加-0.27万元，增长-100.00%。主要原因</w:t>
      </w:r>
      <w:r>
        <w:rPr>
          <w:rFonts w:hint="eastAsia"/>
          <w:shd w:val="clear" w:color="auto" w:fill="FFFFFF"/>
        </w:rPr>
        <w:t>严格压减三公经费、厉行节约</w:t>
      </w:r>
      <w:r>
        <w:rPr>
          <w:shd w:val="clear" w:color="auto" w:fill="FFFFFF"/>
        </w:rPr>
        <w:t>。</w:t>
      </w:r>
    </w:p>
    <w:p w14:paraId="2CF2E55B">
      <w:pPr>
        <w:pStyle w:val="12"/>
        <w:spacing w:beforeAutospacing="0"/>
      </w:pPr>
      <w:r>
        <w:rPr>
          <w:shd w:val="clear" w:color="auto" w:fill="FFFFFF"/>
        </w:rPr>
        <w:t>八、政府性基金预算支出决算情况说明</w:t>
      </w:r>
    </w:p>
    <w:p w14:paraId="5A05E3F6">
      <w:pPr>
        <w:pStyle w:val="12"/>
        <w:spacing w:beforeAutospacing="0"/>
      </w:pPr>
      <w:r>
        <w:rPr>
          <w:shd w:val="clear" w:color="auto" w:fill="FFFFFF"/>
        </w:rPr>
        <w:t>2022年政府性基金预算财政拨款支出0.00万元。</w:t>
      </w:r>
    </w:p>
    <w:p w14:paraId="15C81F5A">
      <w:pPr>
        <w:pStyle w:val="12"/>
        <w:spacing w:beforeAutospacing="0"/>
      </w:pPr>
      <w:r>
        <w:rPr>
          <w:shd w:val="clear" w:color="auto" w:fill="FFFFFF"/>
        </w:rPr>
        <w:t>九、国有资本经营预算支出决算情况说明</w:t>
      </w:r>
    </w:p>
    <w:p w14:paraId="0016DF0F">
      <w:pPr>
        <w:pStyle w:val="12"/>
        <w:spacing w:beforeAutospacing="0"/>
      </w:pPr>
      <w:r>
        <w:rPr>
          <w:shd w:val="clear" w:color="auto" w:fill="FFFFFF"/>
        </w:rPr>
        <w:t>2022年国有资本经营预算财政拨款支出0.00万元。</w:t>
      </w:r>
    </w:p>
    <w:p w14:paraId="6D1F7540">
      <w:pPr>
        <w:pStyle w:val="12"/>
        <w:spacing w:beforeAutospacing="0"/>
      </w:pPr>
      <w:r>
        <w:rPr>
          <w:shd w:val="clear" w:color="auto" w:fill="FFFFFF"/>
        </w:rPr>
        <w:t>十、其他重要事项的情况说明</w:t>
      </w:r>
    </w:p>
    <w:p w14:paraId="749542D4">
      <w:pPr>
        <w:pStyle w:val="12"/>
        <w:spacing w:beforeAutospacing="0"/>
      </w:pPr>
      <w:r>
        <w:rPr>
          <w:rStyle w:val="16"/>
          <w:shd w:val="clear" w:color="auto" w:fill="FFFFFF"/>
        </w:rPr>
        <w:t>（一）机关运行经费支出情况</w:t>
      </w:r>
    </w:p>
    <w:p w14:paraId="5D0CAD94">
      <w:pPr>
        <w:pStyle w:val="12"/>
        <w:spacing w:beforeAutospacing="0"/>
      </w:pPr>
      <w:r>
        <w:rPr>
          <w:shd w:val="clear" w:color="auto" w:fill="FFFFFF"/>
        </w:rPr>
        <w:t>2022年，阿坝州松潘县信访局机关运行经费支出12.89万元，比2021年增加-14.37万元，增长-52.72%。主要原因是</w:t>
      </w:r>
      <w:r>
        <w:rPr>
          <w:rFonts w:hint="eastAsia"/>
          <w:shd w:val="clear" w:color="auto" w:fill="FFFFFF"/>
        </w:rPr>
        <w:t>21</w:t>
      </w:r>
      <w:r>
        <w:rPr>
          <w:rFonts w:hint="eastAsia"/>
          <w:shd w:val="clear" w:color="auto" w:fill="FFFFFF"/>
          <w:lang w:eastAsia="zh-CN"/>
        </w:rPr>
        <w:t>年</w:t>
      </w:r>
      <w:r>
        <w:rPr>
          <w:rFonts w:hint="eastAsia"/>
          <w:shd w:val="clear" w:color="auto" w:fill="FFFFFF"/>
        </w:rPr>
        <w:t>局与信访接待中心决算是一起做的，而22年决算是分开做的。</w:t>
      </w:r>
    </w:p>
    <w:p w14:paraId="65150454">
      <w:pPr>
        <w:pStyle w:val="12"/>
        <w:spacing w:beforeAutospacing="0"/>
      </w:pPr>
      <w:r>
        <w:rPr>
          <w:rStyle w:val="16"/>
          <w:shd w:val="clear" w:color="auto" w:fill="FFFFFF"/>
        </w:rPr>
        <w:t>（二）政府采购支出情况</w:t>
      </w:r>
    </w:p>
    <w:p w14:paraId="1AC158DC">
      <w:pPr>
        <w:pStyle w:val="12"/>
        <w:spacing w:beforeAutospacing="0"/>
      </w:pPr>
      <w:r>
        <w:rPr>
          <w:shd w:val="clear" w:color="auto" w:fill="FFFFFF"/>
        </w:rPr>
        <w:t>2022年，阿坝州松潘县信访局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14:paraId="1A6355CF">
      <w:pPr>
        <w:pStyle w:val="12"/>
        <w:spacing w:beforeAutospacing="0"/>
      </w:pPr>
      <w:r>
        <w:rPr>
          <w:rStyle w:val="16"/>
          <w:shd w:val="clear" w:color="auto" w:fill="FFFFFF"/>
        </w:rPr>
        <w:t>（三）国有资产占有使用情况</w:t>
      </w:r>
    </w:p>
    <w:p w14:paraId="4099C1DA">
      <w:pPr>
        <w:pStyle w:val="12"/>
        <w:spacing w:beforeAutospacing="0"/>
      </w:pPr>
      <w:r>
        <w:rPr>
          <w:shd w:val="clear" w:color="auto" w:fill="FFFFFF"/>
        </w:rPr>
        <w:t>截至2022年12月31日，阿坝州松潘县信访局共有车辆1辆，其中：主要领导干部用车0辆、机要通信用车0辆、应急保障用车0辆、其他用车1</w:t>
      </w:r>
      <w:r>
        <w:rPr>
          <w:rFonts w:hint="eastAsia"/>
          <w:shd w:val="clear" w:color="auto" w:fill="FFFFFF"/>
        </w:rPr>
        <w:t>辆</w:t>
      </w:r>
      <w:r>
        <w:rPr>
          <w:shd w:val="clear" w:color="auto" w:fill="FFFFFF"/>
        </w:rPr>
        <w:t>。</w:t>
      </w:r>
    </w:p>
    <w:p w14:paraId="3AB606CA">
      <w:pPr>
        <w:pStyle w:val="12"/>
        <w:spacing w:beforeAutospacing="0"/>
      </w:pPr>
      <w:r>
        <w:rPr>
          <w:rStyle w:val="16"/>
          <w:rFonts w:hint="eastAsia"/>
          <w:shd w:val="clear" w:color="auto" w:fill="FFFFFF"/>
        </w:rPr>
        <w:t xml:space="preserve"> </w:t>
      </w:r>
      <w:r>
        <w:rPr>
          <w:rStyle w:val="16"/>
          <w:shd w:val="clear" w:color="auto" w:fill="FFFFFF"/>
        </w:rPr>
        <w:t>（四）预算绩效管理情况</w:t>
      </w:r>
    </w:p>
    <w:p w14:paraId="2F7C4946">
      <w:pPr>
        <w:pStyle w:val="12"/>
        <w:spacing w:beforeAutospacing="0"/>
      </w:pPr>
      <w:r>
        <w:rPr>
          <w:rFonts w:hint="eastAsia"/>
          <w:shd w:val="clear" w:color="auto" w:fill="FFFFFF"/>
        </w:rPr>
        <w:t>本单位无100万以上的项目。</w:t>
      </w:r>
    </w:p>
    <w:p w14:paraId="0DC176C9">
      <w:pPr>
        <w:pStyle w:val="12"/>
        <w:spacing w:beforeAutospacing="0"/>
      </w:pPr>
      <w:r>
        <w:rPr>
          <w:shd w:val="clear" w:color="auto" w:fill="FFFFFF"/>
        </w:rPr>
        <w:t> </w:t>
      </w:r>
      <w:r>
        <w:rPr>
          <w:rFonts w:hint="eastAsia"/>
        </w:rPr>
        <w:t xml:space="preserve">                   </w:t>
      </w:r>
      <w:r>
        <w:rPr>
          <w:rStyle w:val="16"/>
          <w:sz w:val="39"/>
          <w:szCs w:val="39"/>
          <w:shd w:val="clear" w:color="auto" w:fill="FFFFFF"/>
        </w:rPr>
        <w:t>第三部分 名词解释</w:t>
      </w:r>
    </w:p>
    <w:p w14:paraId="5F508AE2">
      <w:pPr>
        <w:pStyle w:val="12"/>
        <w:spacing w:beforeAutospacing="0"/>
      </w:pPr>
      <w:r>
        <w:rPr>
          <w:shd w:val="clear" w:color="auto" w:fill="FFFFFF"/>
        </w:rPr>
        <w:t> </w:t>
      </w:r>
    </w:p>
    <w:p w14:paraId="617ADEEB">
      <w:pPr>
        <w:pStyle w:val="12"/>
        <w:spacing w:beforeAutospacing="0"/>
      </w:pPr>
      <w:r>
        <w:rPr>
          <w:shd w:val="clear" w:color="auto" w:fill="FFFFFF"/>
        </w:rPr>
        <w:t>1.财政拨款收入：指单位从同级财政部门取得的财政预算资金。</w:t>
      </w:r>
    </w:p>
    <w:p w14:paraId="7ACC1AB5">
      <w:pPr>
        <w:pStyle w:val="12"/>
        <w:spacing w:beforeAutospacing="0"/>
      </w:pPr>
      <w:r>
        <w:rPr>
          <w:shd w:val="clear" w:color="auto" w:fill="FFFFFF"/>
        </w:rPr>
        <w:t>2.事业收入：指事业单位开展专业业务活动及辅助活动取得的收入。如…（二级预算单位事业收入情况）等。</w:t>
      </w:r>
    </w:p>
    <w:p w14:paraId="60CAB33B">
      <w:pPr>
        <w:pStyle w:val="12"/>
        <w:spacing w:beforeAutospacing="0"/>
      </w:pPr>
      <w:r>
        <w:rPr>
          <w:shd w:val="clear" w:color="auto" w:fill="FFFFFF"/>
        </w:rPr>
        <w:t>3.经营收入：指事业单位在专业业务活动及其辅助活动之外开展非独立核算经营活动取得的收入。如…（二级预算单位经营收入情况）等。</w:t>
      </w:r>
    </w:p>
    <w:p w14:paraId="0925D866">
      <w:pPr>
        <w:pStyle w:val="12"/>
        <w:spacing w:beforeAutospacing="0"/>
      </w:pPr>
      <w:r>
        <w:rPr>
          <w:shd w:val="clear" w:color="auto" w:fill="FFFFFF"/>
        </w:rPr>
        <w:t>4.其他收入：指单位取得的除上述收入以外的各项收入。主要是…（收入类型）等。</w:t>
      </w:r>
    </w:p>
    <w:p w14:paraId="50245D0A">
      <w:pPr>
        <w:pStyle w:val="12"/>
        <w:spacing w:beforeAutospacing="0"/>
      </w:pPr>
      <w:r>
        <w:rPr>
          <w:shd w:val="clear" w:color="auto" w:fill="FFFFFF"/>
        </w:rPr>
        <w:t>5.使用非财政拨款结余：指事业单位使用以前年度积累的非财政拨款结余弥补当年收支差额的金额。</w:t>
      </w:r>
    </w:p>
    <w:p w14:paraId="54B5BC9F">
      <w:pPr>
        <w:pStyle w:val="12"/>
        <w:spacing w:beforeAutospacing="0"/>
      </w:pPr>
      <w:r>
        <w:rPr>
          <w:shd w:val="clear" w:color="auto" w:fill="FFFFFF"/>
        </w:rPr>
        <w:t>6.年初结转和结余：指以前年度尚未完成、结转到本年按有关规定继续使用的资金。</w:t>
      </w:r>
    </w:p>
    <w:p w14:paraId="3BF0C605">
      <w:pPr>
        <w:pStyle w:val="12"/>
        <w:spacing w:beforeAutospacing="0"/>
      </w:pPr>
      <w:r>
        <w:rPr>
          <w:shd w:val="clear" w:color="auto" w:fill="FFFFFF"/>
        </w:rPr>
        <w:t>7.结余分配：指事业单位按照会计制度规定缴纳的所得税、提取的专用结余以及转入非财政拨款结余的金额等。</w:t>
      </w:r>
    </w:p>
    <w:p w14:paraId="38D85634">
      <w:pPr>
        <w:pStyle w:val="12"/>
        <w:spacing w:beforeAutospacing="0"/>
      </w:pPr>
      <w:r>
        <w:rPr>
          <w:shd w:val="clear" w:color="auto" w:fill="FFFFFF"/>
        </w:rPr>
        <w:t>8、年末结转和结余：指单位按有关规定结转到下年或以后年度继续使用的资金。</w:t>
      </w:r>
    </w:p>
    <w:p w14:paraId="0392AFC5">
      <w:pPr>
        <w:pStyle w:val="12"/>
        <w:spacing w:beforeAutospacing="0"/>
      </w:pPr>
      <w:r>
        <w:rPr>
          <w:shd w:val="clear" w:color="auto" w:fill="FFFFFF"/>
        </w:rPr>
        <w:t>9.一般公共服务（类）…（款）…（项）：指……。</w:t>
      </w:r>
    </w:p>
    <w:p w14:paraId="43B6E8B1">
      <w:pPr>
        <w:pStyle w:val="12"/>
        <w:spacing w:beforeAutospacing="0"/>
      </w:pPr>
      <w:r>
        <w:rPr>
          <w:shd w:val="clear" w:color="auto" w:fill="FFFFFF"/>
        </w:rPr>
        <w:t>10.外交（类）…（款）…（项）：指……。</w:t>
      </w:r>
    </w:p>
    <w:p w14:paraId="76A3EBF5">
      <w:pPr>
        <w:pStyle w:val="12"/>
        <w:spacing w:beforeAutospacing="0"/>
      </w:pPr>
      <w:r>
        <w:rPr>
          <w:shd w:val="clear" w:color="auto" w:fill="FFFFFF"/>
        </w:rPr>
        <w:t>11.公共安全（类）…（款）…（项）：指……。</w:t>
      </w:r>
    </w:p>
    <w:p w14:paraId="2F475DA4">
      <w:pPr>
        <w:pStyle w:val="12"/>
        <w:spacing w:beforeAutospacing="0"/>
      </w:pPr>
      <w:r>
        <w:rPr>
          <w:shd w:val="clear" w:color="auto" w:fill="FFFFFF"/>
        </w:rPr>
        <w:t>12.教育（类）…（款）…（项）：指……。</w:t>
      </w:r>
    </w:p>
    <w:p w14:paraId="0D8692C4">
      <w:pPr>
        <w:pStyle w:val="12"/>
        <w:spacing w:beforeAutospacing="0"/>
      </w:pPr>
      <w:r>
        <w:rPr>
          <w:shd w:val="clear" w:color="auto" w:fill="FFFFFF"/>
        </w:rPr>
        <w:t>13.科学技术（类）…（款）…（项）：指……。</w:t>
      </w:r>
    </w:p>
    <w:p w14:paraId="02E3B322">
      <w:pPr>
        <w:pStyle w:val="12"/>
        <w:spacing w:beforeAutospacing="0"/>
      </w:pPr>
      <w:r>
        <w:rPr>
          <w:shd w:val="clear" w:color="auto" w:fill="FFFFFF"/>
        </w:rPr>
        <w:t>14.文化体育与传媒（类）…（款）…（项）：指……。</w:t>
      </w:r>
    </w:p>
    <w:p w14:paraId="614B46EF">
      <w:pPr>
        <w:pStyle w:val="12"/>
        <w:spacing w:beforeAutospacing="0"/>
      </w:pPr>
      <w:r>
        <w:rPr>
          <w:shd w:val="clear" w:color="auto" w:fill="FFFFFF"/>
        </w:rPr>
        <w:t>15.社会保障和就业（类）…（款）…（项）：指……。</w:t>
      </w:r>
    </w:p>
    <w:p w14:paraId="6BC5D33C">
      <w:pPr>
        <w:pStyle w:val="12"/>
        <w:spacing w:beforeAutospacing="0"/>
      </w:pPr>
      <w:r>
        <w:rPr>
          <w:shd w:val="clear" w:color="auto" w:fill="FFFFFF"/>
        </w:rPr>
        <w:t>16.医疗卫生与计划生育（类）…（款）…（项）：指……。</w:t>
      </w:r>
    </w:p>
    <w:p w14:paraId="5FC4C2B0">
      <w:pPr>
        <w:pStyle w:val="12"/>
        <w:spacing w:beforeAutospacing="0"/>
      </w:pPr>
      <w:r>
        <w:rPr>
          <w:shd w:val="clear" w:color="auto" w:fill="FFFFFF"/>
        </w:rPr>
        <w:t>17.节能环保（类）…（款）…（项）：指……。</w:t>
      </w:r>
    </w:p>
    <w:p w14:paraId="1B3C4081">
      <w:pPr>
        <w:pStyle w:val="12"/>
        <w:spacing w:beforeAutospacing="0"/>
      </w:pPr>
      <w:r>
        <w:rPr>
          <w:shd w:val="clear" w:color="auto" w:fill="FFFFFF"/>
        </w:rPr>
        <w:t>18.城乡社区（类）…（款）…（项）：指……。</w:t>
      </w:r>
    </w:p>
    <w:p w14:paraId="3E845EC5">
      <w:pPr>
        <w:pStyle w:val="12"/>
        <w:spacing w:beforeAutospacing="0"/>
      </w:pPr>
      <w:r>
        <w:rPr>
          <w:shd w:val="clear" w:color="auto" w:fill="FFFFFF"/>
        </w:rPr>
        <w:t>19.农林水（类）…（款）…（项）：指……。</w:t>
      </w:r>
    </w:p>
    <w:p w14:paraId="240A5775">
      <w:pPr>
        <w:pStyle w:val="12"/>
        <w:spacing w:beforeAutospacing="0"/>
      </w:pPr>
      <w:r>
        <w:rPr>
          <w:shd w:val="clear" w:color="auto" w:fill="FFFFFF"/>
        </w:rPr>
        <w:t>20.交通运输（类）…（款）…（项）：指……。</w:t>
      </w:r>
    </w:p>
    <w:p w14:paraId="08015DC8">
      <w:pPr>
        <w:pStyle w:val="12"/>
        <w:spacing w:beforeAutospacing="0"/>
      </w:pPr>
      <w:r>
        <w:rPr>
          <w:shd w:val="clear" w:color="auto" w:fill="FFFFFF"/>
        </w:rPr>
        <w:t>21.资源勘探信息等（类）…（款）…（项）：指……。</w:t>
      </w:r>
    </w:p>
    <w:p w14:paraId="480E10F1">
      <w:pPr>
        <w:pStyle w:val="12"/>
        <w:spacing w:beforeAutospacing="0"/>
      </w:pPr>
      <w:r>
        <w:rPr>
          <w:shd w:val="clear" w:color="auto" w:fill="FFFFFF"/>
        </w:rPr>
        <w:t>22.商业服务业（类）…（款）…（项）：指……。</w:t>
      </w:r>
    </w:p>
    <w:p w14:paraId="1F765D90">
      <w:pPr>
        <w:pStyle w:val="12"/>
        <w:spacing w:beforeAutospacing="0"/>
      </w:pPr>
      <w:r>
        <w:rPr>
          <w:shd w:val="clear" w:color="auto" w:fill="FFFFFF"/>
        </w:rPr>
        <w:t>23.金融（类）…（款）…（项）：指……。</w:t>
      </w:r>
    </w:p>
    <w:p w14:paraId="54037C26">
      <w:pPr>
        <w:pStyle w:val="12"/>
        <w:spacing w:beforeAutospacing="0"/>
      </w:pPr>
      <w:r>
        <w:rPr>
          <w:shd w:val="clear" w:color="auto" w:fill="FFFFFF"/>
        </w:rPr>
        <w:t>24.国土海洋气象等（类）…（款）…（项）：指……。</w:t>
      </w:r>
    </w:p>
    <w:p w14:paraId="4D56F9D9">
      <w:pPr>
        <w:pStyle w:val="12"/>
        <w:spacing w:beforeAutospacing="0"/>
      </w:pPr>
      <w:r>
        <w:rPr>
          <w:shd w:val="clear" w:color="auto" w:fill="FFFFFF"/>
        </w:rPr>
        <w:t>25.住房保障（类）…（款）…（项）：指……。</w:t>
      </w:r>
    </w:p>
    <w:p w14:paraId="29F7E068">
      <w:pPr>
        <w:pStyle w:val="12"/>
        <w:spacing w:beforeAutospacing="0"/>
      </w:pPr>
      <w:r>
        <w:rPr>
          <w:shd w:val="clear" w:color="auto" w:fill="FFFFFF"/>
        </w:rPr>
        <w:t>26.粮油物资储备（类）…（款）…（项）：指……。</w:t>
      </w:r>
    </w:p>
    <w:p w14:paraId="6B9EC02C">
      <w:pPr>
        <w:pStyle w:val="12"/>
        <w:spacing w:beforeAutospacing="0"/>
      </w:pPr>
      <w:r>
        <w:rPr>
          <w:shd w:val="clear" w:color="auto" w:fill="FFFFFF"/>
        </w:rPr>
        <w:t>……</w:t>
      </w:r>
    </w:p>
    <w:p w14:paraId="673B2A08">
      <w:pPr>
        <w:pStyle w:val="12"/>
        <w:spacing w:beforeAutospacing="0"/>
      </w:pPr>
      <w:r>
        <w:rPr>
          <w:rStyle w:val="16"/>
          <w:shd w:val="clear" w:color="auto" w:fill="FFFFFF"/>
        </w:rPr>
        <w:t>（解释本部门决算报表中涉及的全部功能分类科目至项级，不涉及的科目请自行删除。请参照《2022年政府收支分类科目》增减内容。）</w:t>
      </w:r>
    </w:p>
    <w:p w14:paraId="3201C43C">
      <w:pPr>
        <w:pStyle w:val="12"/>
        <w:spacing w:beforeAutospacing="0"/>
      </w:pPr>
      <w:r>
        <w:rPr>
          <w:shd w:val="clear" w:color="auto" w:fill="FFFFFF"/>
        </w:rPr>
        <w:t>27.基本支出：指为保障机构正常运转、完成日常工作任务而发生的人员支出和公用支出。</w:t>
      </w:r>
    </w:p>
    <w:p w14:paraId="393C8385">
      <w:pPr>
        <w:pStyle w:val="12"/>
        <w:spacing w:beforeAutospacing="0"/>
      </w:pPr>
      <w:r>
        <w:rPr>
          <w:shd w:val="clear" w:color="auto" w:fill="FFFFFF"/>
        </w:rPr>
        <w:t>28.项目支出：指在基本支出之外为完成特定行政任务和事业发展目标所发生的支出。</w:t>
      </w:r>
    </w:p>
    <w:p w14:paraId="505FA48B">
      <w:pPr>
        <w:pStyle w:val="12"/>
        <w:spacing w:beforeAutospacing="0"/>
      </w:pPr>
      <w:r>
        <w:rPr>
          <w:shd w:val="clear" w:color="auto" w:fill="FFFFFF"/>
        </w:rPr>
        <w:t>29.经营支出：指事业单位在专业业务活动及其辅助活动之外开展非独立核算经营活动发生的支出。</w:t>
      </w:r>
    </w:p>
    <w:p w14:paraId="0E663597">
      <w:pPr>
        <w:pStyle w:val="12"/>
        <w:spacing w:beforeAutospacing="0"/>
      </w:pPr>
      <w:r>
        <w:rPr>
          <w:shd w:val="clear" w:color="auto" w:fill="FFFFFF"/>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DFC671E">
      <w:pPr>
        <w:pStyle w:val="12"/>
        <w:spacing w:beforeAutospacing="0"/>
      </w:pPr>
      <w:r>
        <w:rPr>
          <w:shd w:val="clear" w:color="auto" w:fill="FFFFFF"/>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F4910DA">
      <w:pPr>
        <w:pStyle w:val="12"/>
        <w:spacing w:beforeAutospacing="0"/>
      </w:pPr>
      <w:r>
        <w:rPr>
          <w:shd w:val="clear" w:color="auto" w:fill="FFFFFF"/>
        </w:rPr>
        <w:t> </w:t>
      </w:r>
    </w:p>
    <w:p w14:paraId="7C4D26E9">
      <w:pPr>
        <w:pStyle w:val="12"/>
        <w:spacing w:beforeAutospacing="0"/>
        <w:ind w:firstLine="2545" w:firstLineChars="650"/>
      </w:pPr>
      <w:r>
        <w:rPr>
          <w:rStyle w:val="16"/>
          <w:sz w:val="39"/>
          <w:szCs w:val="39"/>
          <w:shd w:val="clear" w:color="auto" w:fill="FFFFFF"/>
        </w:rPr>
        <w:t>第四部分 附件</w:t>
      </w:r>
    </w:p>
    <w:p w14:paraId="79CBA1FB">
      <w:pPr>
        <w:pStyle w:val="12"/>
        <w:spacing w:beforeAutospacing="0"/>
      </w:pPr>
      <w:r>
        <w:rPr>
          <w:shd w:val="clear" w:color="auto" w:fill="FFFFFF"/>
        </w:rPr>
        <w:t> </w:t>
      </w:r>
    </w:p>
    <w:p w14:paraId="19F26976">
      <w:pPr>
        <w:pStyle w:val="12"/>
        <w:spacing w:beforeAutospacing="0"/>
        <w:jc w:val="center"/>
      </w:pPr>
      <w:r>
        <w:rPr>
          <w:shd w:val="clear" w:color="auto" w:fill="FFFFFF"/>
        </w:rPr>
        <w:t>部门预算项目支出绩效自评表（2022年度）</w:t>
      </w:r>
    </w:p>
    <w:p w14:paraId="709E47AA">
      <w:pPr>
        <w:pStyle w:val="12"/>
        <w:spacing w:beforeAutospacing="0"/>
        <w:jc w:val="center"/>
      </w:pPr>
      <w:r>
        <w:rPr>
          <w:shd w:val="clear" w:color="auto" w:fill="FFFFFF"/>
        </w:rPr>
        <w:t> </w:t>
      </w:r>
    </w:p>
    <w:p w14:paraId="128F99A3">
      <w:pPr>
        <w:pStyle w:val="12"/>
        <w:spacing w:beforeAutospacing="0"/>
      </w:pPr>
      <w:r>
        <w:rPr>
          <w:shd w:val="clear" w:color="auto" w:fill="FFFFFF"/>
        </w:rPr>
        <w:t>（备注：</w:t>
      </w:r>
      <w:r>
        <w:rPr>
          <w:rFonts w:hint="eastAsia"/>
          <w:shd w:val="clear" w:color="auto" w:fill="FFFFFF"/>
        </w:rPr>
        <w:t xml:space="preserve"> 本单位无100万以上的项目</w:t>
      </w:r>
      <w:r>
        <w:rPr>
          <w:shd w:val="clear" w:color="auto" w:fill="FFFFFF"/>
        </w:rPr>
        <w:t>）</w:t>
      </w:r>
    </w:p>
    <w:p w14:paraId="24DD2B13">
      <w:pPr>
        <w:pStyle w:val="12"/>
        <w:spacing w:beforeAutospacing="0"/>
      </w:pPr>
      <w:r>
        <w:rPr>
          <w:shd w:val="clear" w:color="auto" w:fill="FFFFFF"/>
        </w:rPr>
        <w:t>附表</w:t>
      </w:r>
    </w:p>
    <w:tbl>
      <w:tblPr>
        <w:tblStyle w:val="14"/>
        <w:tblW w:w="8345" w:type="dxa"/>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717"/>
        <w:gridCol w:w="1001"/>
        <w:gridCol w:w="1423"/>
        <w:gridCol w:w="1039"/>
        <w:gridCol w:w="1078"/>
        <w:gridCol w:w="2087"/>
      </w:tblGrid>
      <w:tr w14:paraId="3ABD585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75" w:hRule="atLeast"/>
          <w:tblCellSpacing w:w="0" w:type="dxa"/>
        </w:trPr>
        <w:tc>
          <w:tcPr>
            <w:tcW w:w="8345" w:type="dxa"/>
            <w:gridSpan w:val="6"/>
            <w:shd w:val="clear" w:color="auto" w:fill="auto"/>
            <w:noWrap/>
            <w:vAlign w:val="center"/>
          </w:tcPr>
          <w:p w14:paraId="7F40AE67">
            <w:pPr>
              <w:pStyle w:val="12"/>
              <w:jc w:val="center"/>
            </w:pPr>
            <w:r>
              <w:rPr>
                <w:rStyle w:val="16"/>
              </w:rPr>
              <w:t>2022年100万元以上（含）特定目标类部门预算项目绩效目标自评</w:t>
            </w:r>
          </w:p>
        </w:tc>
      </w:tr>
      <w:tr w14:paraId="6F8618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56" w:hRule="atLeast"/>
          <w:tblCellSpacing w:w="0" w:type="dxa"/>
        </w:trPr>
        <w:tc>
          <w:tcPr>
            <w:tcW w:w="2718" w:type="dxa"/>
            <w:gridSpan w:val="2"/>
            <w:shd w:val="clear" w:color="auto" w:fill="auto"/>
            <w:noWrap/>
            <w:vAlign w:val="center"/>
          </w:tcPr>
          <w:p w14:paraId="05AF3FA3">
            <w:pPr>
              <w:pStyle w:val="12"/>
              <w:jc w:val="center"/>
            </w:pPr>
            <w:r>
              <w:t>主管部门及代码</w:t>
            </w:r>
          </w:p>
        </w:tc>
        <w:tc>
          <w:tcPr>
            <w:tcW w:w="2462" w:type="dxa"/>
            <w:gridSpan w:val="2"/>
            <w:shd w:val="clear" w:color="auto" w:fill="auto"/>
            <w:noWrap/>
            <w:vAlign w:val="center"/>
          </w:tcPr>
          <w:p w14:paraId="4F4FAEF1">
            <w:pPr>
              <w:pStyle w:val="12"/>
              <w:jc w:val="center"/>
            </w:pPr>
            <w:r>
              <w:t> </w:t>
            </w:r>
          </w:p>
        </w:tc>
        <w:tc>
          <w:tcPr>
            <w:tcW w:w="1078" w:type="dxa"/>
            <w:shd w:val="clear" w:color="auto" w:fill="auto"/>
            <w:noWrap/>
            <w:vAlign w:val="center"/>
          </w:tcPr>
          <w:p w14:paraId="10D0BD76">
            <w:pPr>
              <w:pStyle w:val="12"/>
              <w:jc w:val="center"/>
            </w:pPr>
            <w:r>
              <w:t>实施单位</w:t>
            </w:r>
          </w:p>
        </w:tc>
        <w:tc>
          <w:tcPr>
            <w:tcW w:w="2087" w:type="dxa"/>
            <w:shd w:val="clear" w:color="auto" w:fill="auto"/>
            <w:noWrap/>
            <w:vAlign w:val="center"/>
          </w:tcPr>
          <w:p w14:paraId="3202ACAD">
            <w:pPr>
              <w:pStyle w:val="12"/>
              <w:jc w:val="center"/>
            </w:pPr>
            <w:r>
              <w:t> </w:t>
            </w:r>
          </w:p>
        </w:tc>
      </w:tr>
      <w:tr w14:paraId="495AEA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718" w:type="dxa"/>
            <w:gridSpan w:val="2"/>
            <w:vMerge w:val="restart"/>
            <w:shd w:val="clear" w:color="auto" w:fill="auto"/>
            <w:noWrap/>
            <w:vAlign w:val="center"/>
          </w:tcPr>
          <w:p w14:paraId="2D584E26">
            <w:pPr>
              <w:pStyle w:val="12"/>
              <w:jc w:val="center"/>
            </w:pPr>
            <w:r>
              <w:t>项目预算</w:t>
            </w:r>
          </w:p>
          <w:p w14:paraId="0DFEF34F">
            <w:pPr>
              <w:pStyle w:val="12"/>
              <w:jc w:val="center"/>
            </w:pPr>
            <w:r>
              <w:t>执行情况</w:t>
            </w:r>
          </w:p>
          <w:p w14:paraId="26DD8401">
            <w:pPr>
              <w:pStyle w:val="12"/>
              <w:jc w:val="center"/>
            </w:pPr>
            <w:r>
              <w:t>（万元）</w:t>
            </w:r>
          </w:p>
        </w:tc>
        <w:tc>
          <w:tcPr>
            <w:tcW w:w="1423" w:type="dxa"/>
            <w:shd w:val="clear" w:color="auto" w:fill="auto"/>
            <w:noWrap/>
            <w:vAlign w:val="center"/>
          </w:tcPr>
          <w:p w14:paraId="0C741F67">
            <w:pPr>
              <w:pStyle w:val="12"/>
              <w:jc w:val="center"/>
            </w:pPr>
            <w:r>
              <w:t> 预算数：</w:t>
            </w:r>
          </w:p>
        </w:tc>
        <w:tc>
          <w:tcPr>
            <w:tcW w:w="1039" w:type="dxa"/>
            <w:shd w:val="clear" w:color="auto" w:fill="auto"/>
            <w:noWrap/>
            <w:vAlign w:val="center"/>
          </w:tcPr>
          <w:p w14:paraId="289D7D39">
            <w:pPr>
              <w:pStyle w:val="12"/>
              <w:jc w:val="center"/>
            </w:pPr>
            <w:r>
              <w:t> </w:t>
            </w:r>
          </w:p>
        </w:tc>
        <w:tc>
          <w:tcPr>
            <w:tcW w:w="1078" w:type="dxa"/>
            <w:shd w:val="clear" w:color="auto" w:fill="auto"/>
            <w:noWrap/>
            <w:vAlign w:val="center"/>
          </w:tcPr>
          <w:p w14:paraId="6607522B">
            <w:pPr>
              <w:pStyle w:val="12"/>
              <w:jc w:val="center"/>
            </w:pPr>
            <w:r>
              <w:t> 执行数：</w:t>
            </w:r>
          </w:p>
        </w:tc>
        <w:tc>
          <w:tcPr>
            <w:tcW w:w="2087" w:type="dxa"/>
            <w:shd w:val="clear" w:color="auto" w:fill="auto"/>
            <w:noWrap/>
            <w:vAlign w:val="center"/>
          </w:tcPr>
          <w:p w14:paraId="111657BB">
            <w:pPr>
              <w:pStyle w:val="12"/>
              <w:jc w:val="center"/>
            </w:pPr>
            <w:r>
              <w:t> </w:t>
            </w:r>
          </w:p>
        </w:tc>
      </w:tr>
      <w:tr w14:paraId="7855AC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5" w:hRule="atLeast"/>
          <w:tblCellSpacing w:w="0" w:type="dxa"/>
        </w:trPr>
        <w:tc>
          <w:tcPr>
            <w:tcW w:w="2718" w:type="dxa"/>
            <w:gridSpan w:val="2"/>
            <w:vMerge w:val="continue"/>
            <w:shd w:val="clear" w:color="auto" w:fill="auto"/>
            <w:noWrap/>
            <w:vAlign w:val="center"/>
          </w:tcPr>
          <w:p w14:paraId="72209643">
            <w:pPr>
              <w:rPr>
                <w:rFonts w:ascii="宋体"/>
              </w:rPr>
            </w:pPr>
          </w:p>
        </w:tc>
        <w:tc>
          <w:tcPr>
            <w:tcW w:w="1423" w:type="dxa"/>
            <w:shd w:val="clear" w:color="auto" w:fill="auto"/>
            <w:noWrap/>
            <w:vAlign w:val="center"/>
          </w:tcPr>
          <w:p w14:paraId="51CCC451">
            <w:pPr>
              <w:pStyle w:val="12"/>
              <w:jc w:val="center"/>
            </w:pPr>
            <w:r>
              <w:t>其中：</w:t>
            </w:r>
          </w:p>
          <w:p w14:paraId="72B6DD40">
            <w:pPr>
              <w:pStyle w:val="12"/>
              <w:jc w:val="center"/>
            </w:pPr>
            <w:r>
              <w:t>财政拨款</w:t>
            </w:r>
          </w:p>
        </w:tc>
        <w:tc>
          <w:tcPr>
            <w:tcW w:w="1039" w:type="dxa"/>
            <w:shd w:val="clear" w:color="auto" w:fill="auto"/>
            <w:noWrap/>
            <w:vAlign w:val="center"/>
          </w:tcPr>
          <w:p w14:paraId="5EA1CE2B">
            <w:pPr>
              <w:pStyle w:val="12"/>
              <w:jc w:val="center"/>
            </w:pPr>
            <w:r>
              <w:t> </w:t>
            </w:r>
          </w:p>
        </w:tc>
        <w:tc>
          <w:tcPr>
            <w:tcW w:w="1078" w:type="dxa"/>
            <w:shd w:val="clear" w:color="auto" w:fill="auto"/>
            <w:noWrap/>
            <w:vAlign w:val="center"/>
          </w:tcPr>
          <w:p w14:paraId="2D43274E">
            <w:pPr>
              <w:pStyle w:val="12"/>
              <w:jc w:val="center"/>
            </w:pPr>
            <w:r>
              <w:t>其中：</w:t>
            </w:r>
          </w:p>
          <w:p w14:paraId="6D7E7BF9">
            <w:pPr>
              <w:pStyle w:val="12"/>
              <w:jc w:val="center"/>
            </w:pPr>
            <w:r>
              <w:t>财政拨款</w:t>
            </w:r>
          </w:p>
        </w:tc>
        <w:tc>
          <w:tcPr>
            <w:tcW w:w="2087" w:type="dxa"/>
            <w:shd w:val="clear" w:color="auto" w:fill="auto"/>
            <w:noWrap/>
            <w:vAlign w:val="center"/>
          </w:tcPr>
          <w:p w14:paraId="6B3511E0">
            <w:pPr>
              <w:pStyle w:val="12"/>
              <w:jc w:val="center"/>
            </w:pPr>
            <w:r>
              <w:t> </w:t>
            </w:r>
          </w:p>
        </w:tc>
      </w:tr>
      <w:tr w14:paraId="64A2E1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2718" w:type="dxa"/>
            <w:gridSpan w:val="2"/>
            <w:vMerge w:val="continue"/>
            <w:shd w:val="clear" w:color="auto" w:fill="auto"/>
            <w:noWrap/>
            <w:vAlign w:val="center"/>
          </w:tcPr>
          <w:p w14:paraId="79344F7F">
            <w:pPr>
              <w:rPr>
                <w:rFonts w:ascii="宋体"/>
              </w:rPr>
            </w:pPr>
          </w:p>
        </w:tc>
        <w:tc>
          <w:tcPr>
            <w:tcW w:w="1423" w:type="dxa"/>
            <w:shd w:val="clear" w:color="auto" w:fill="auto"/>
            <w:noWrap/>
            <w:vAlign w:val="center"/>
          </w:tcPr>
          <w:p w14:paraId="290A421D">
            <w:pPr>
              <w:pStyle w:val="12"/>
              <w:jc w:val="center"/>
            </w:pPr>
            <w:r>
              <w:t>其他资金</w:t>
            </w:r>
          </w:p>
        </w:tc>
        <w:tc>
          <w:tcPr>
            <w:tcW w:w="1039" w:type="dxa"/>
            <w:shd w:val="clear" w:color="auto" w:fill="auto"/>
            <w:noWrap/>
            <w:vAlign w:val="center"/>
          </w:tcPr>
          <w:p w14:paraId="4F01BAEC">
            <w:pPr>
              <w:pStyle w:val="12"/>
              <w:jc w:val="center"/>
            </w:pPr>
            <w:r>
              <w:t> </w:t>
            </w:r>
          </w:p>
        </w:tc>
        <w:tc>
          <w:tcPr>
            <w:tcW w:w="1078" w:type="dxa"/>
            <w:shd w:val="clear" w:color="auto" w:fill="auto"/>
            <w:noWrap/>
            <w:vAlign w:val="center"/>
          </w:tcPr>
          <w:p w14:paraId="64B1457E">
            <w:pPr>
              <w:pStyle w:val="12"/>
              <w:jc w:val="center"/>
            </w:pPr>
            <w:r>
              <w:t>其他资金</w:t>
            </w:r>
          </w:p>
        </w:tc>
        <w:tc>
          <w:tcPr>
            <w:tcW w:w="2087" w:type="dxa"/>
            <w:shd w:val="clear" w:color="auto" w:fill="auto"/>
            <w:noWrap/>
            <w:vAlign w:val="center"/>
          </w:tcPr>
          <w:p w14:paraId="7CBB1D53">
            <w:pPr>
              <w:pStyle w:val="12"/>
              <w:jc w:val="center"/>
            </w:pPr>
            <w:r>
              <w:t> </w:t>
            </w:r>
          </w:p>
        </w:tc>
      </w:tr>
      <w:tr w14:paraId="12FBA0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11" w:hRule="atLeast"/>
          <w:tblCellSpacing w:w="0" w:type="dxa"/>
        </w:trPr>
        <w:tc>
          <w:tcPr>
            <w:tcW w:w="1717" w:type="dxa"/>
            <w:vMerge w:val="restart"/>
            <w:shd w:val="clear" w:color="auto" w:fill="auto"/>
            <w:noWrap/>
            <w:vAlign w:val="center"/>
          </w:tcPr>
          <w:p w14:paraId="7EFD06D1">
            <w:pPr>
              <w:pStyle w:val="12"/>
              <w:jc w:val="center"/>
            </w:pPr>
            <w:r>
              <w:t>年度总体目标</w:t>
            </w:r>
          </w:p>
          <w:p w14:paraId="317D01D7">
            <w:pPr>
              <w:pStyle w:val="12"/>
              <w:jc w:val="center"/>
            </w:pPr>
            <w:r>
              <w:t>完成情况</w:t>
            </w:r>
          </w:p>
        </w:tc>
        <w:tc>
          <w:tcPr>
            <w:tcW w:w="3463" w:type="dxa"/>
            <w:gridSpan w:val="3"/>
            <w:shd w:val="clear" w:color="auto" w:fill="auto"/>
            <w:noWrap/>
            <w:vAlign w:val="center"/>
          </w:tcPr>
          <w:p w14:paraId="0CAF8032">
            <w:pPr>
              <w:pStyle w:val="12"/>
              <w:jc w:val="center"/>
            </w:pPr>
            <w:r>
              <w:t>预期目标</w:t>
            </w:r>
          </w:p>
        </w:tc>
        <w:tc>
          <w:tcPr>
            <w:tcW w:w="3165" w:type="dxa"/>
            <w:gridSpan w:val="2"/>
            <w:shd w:val="clear" w:color="auto" w:fill="auto"/>
            <w:noWrap/>
            <w:vAlign w:val="center"/>
          </w:tcPr>
          <w:p w14:paraId="6C33398F">
            <w:pPr>
              <w:pStyle w:val="12"/>
              <w:jc w:val="center"/>
            </w:pPr>
            <w:r>
              <w:t>目标实际完成情况</w:t>
            </w:r>
          </w:p>
        </w:tc>
      </w:tr>
      <w:tr w14:paraId="223321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95" w:hRule="atLeast"/>
          <w:tblCellSpacing w:w="0" w:type="dxa"/>
        </w:trPr>
        <w:tc>
          <w:tcPr>
            <w:tcW w:w="1717" w:type="dxa"/>
            <w:vMerge w:val="continue"/>
            <w:shd w:val="clear" w:color="auto" w:fill="auto"/>
            <w:noWrap/>
            <w:vAlign w:val="center"/>
          </w:tcPr>
          <w:p w14:paraId="739501DB">
            <w:pPr>
              <w:rPr>
                <w:rFonts w:ascii="宋体"/>
              </w:rPr>
            </w:pPr>
          </w:p>
        </w:tc>
        <w:tc>
          <w:tcPr>
            <w:tcW w:w="3463" w:type="dxa"/>
            <w:gridSpan w:val="3"/>
            <w:shd w:val="clear" w:color="auto" w:fill="auto"/>
            <w:noWrap/>
            <w:vAlign w:val="center"/>
          </w:tcPr>
          <w:p w14:paraId="074BB8ED">
            <w:pPr>
              <w:pStyle w:val="12"/>
              <w:jc w:val="center"/>
            </w:pPr>
            <w:r>
              <w:t> </w:t>
            </w:r>
          </w:p>
        </w:tc>
        <w:tc>
          <w:tcPr>
            <w:tcW w:w="3165" w:type="dxa"/>
            <w:gridSpan w:val="2"/>
            <w:shd w:val="clear" w:color="auto" w:fill="auto"/>
            <w:noWrap/>
            <w:vAlign w:val="center"/>
          </w:tcPr>
          <w:p w14:paraId="4F999588">
            <w:pPr>
              <w:pStyle w:val="12"/>
              <w:jc w:val="center"/>
            </w:pPr>
            <w:r>
              <w:t> </w:t>
            </w:r>
          </w:p>
        </w:tc>
      </w:tr>
      <w:tr w14:paraId="13C6FB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0" w:hRule="atLeast"/>
          <w:tblCellSpacing w:w="0" w:type="dxa"/>
        </w:trPr>
        <w:tc>
          <w:tcPr>
            <w:tcW w:w="1717" w:type="dxa"/>
            <w:vMerge w:val="restart"/>
            <w:shd w:val="clear" w:color="auto" w:fill="auto"/>
            <w:noWrap/>
            <w:vAlign w:val="center"/>
          </w:tcPr>
          <w:p w14:paraId="4C1124D5">
            <w:pPr>
              <w:pStyle w:val="12"/>
              <w:jc w:val="center"/>
            </w:pPr>
            <w:r>
              <w:t>年度绩效指标完成情况</w:t>
            </w:r>
          </w:p>
        </w:tc>
        <w:tc>
          <w:tcPr>
            <w:tcW w:w="1001" w:type="dxa"/>
            <w:shd w:val="clear" w:color="auto" w:fill="auto"/>
            <w:noWrap/>
            <w:vAlign w:val="center"/>
          </w:tcPr>
          <w:p w14:paraId="0262B1A7">
            <w:pPr>
              <w:pStyle w:val="12"/>
              <w:jc w:val="center"/>
            </w:pPr>
            <w:r>
              <w:t>一级</w:t>
            </w:r>
          </w:p>
          <w:p w14:paraId="10EA4759">
            <w:pPr>
              <w:pStyle w:val="12"/>
              <w:jc w:val="center"/>
            </w:pPr>
            <w:r>
              <w:t>指标</w:t>
            </w:r>
          </w:p>
        </w:tc>
        <w:tc>
          <w:tcPr>
            <w:tcW w:w="1423" w:type="dxa"/>
            <w:shd w:val="clear" w:color="auto" w:fill="auto"/>
            <w:noWrap/>
            <w:vAlign w:val="center"/>
          </w:tcPr>
          <w:p w14:paraId="17DABAAD">
            <w:pPr>
              <w:pStyle w:val="12"/>
              <w:jc w:val="center"/>
            </w:pPr>
            <w:r>
              <w:t>二级</w:t>
            </w:r>
          </w:p>
          <w:p w14:paraId="0699ABB4">
            <w:pPr>
              <w:pStyle w:val="12"/>
              <w:jc w:val="center"/>
            </w:pPr>
            <w:r>
              <w:t>指标</w:t>
            </w:r>
          </w:p>
        </w:tc>
        <w:tc>
          <w:tcPr>
            <w:tcW w:w="1039" w:type="dxa"/>
            <w:shd w:val="clear" w:color="auto" w:fill="auto"/>
            <w:noWrap/>
            <w:vAlign w:val="center"/>
          </w:tcPr>
          <w:p w14:paraId="0A9F00F1">
            <w:pPr>
              <w:pStyle w:val="12"/>
              <w:jc w:val="center"/>
            </w:pPr>
            <w:r>
              <w:t>三级</w:t>
            </w:r>
          </w:p>
          <w:p w14:paraId="35763AE8">
            <w:pPr>
              <w:pStyle w:val="12"/>
              <w:jc w:val="center"/>
            </w:pPr>
            <w:r>
              <w:t>指标</w:t>
            </w:r>
          </w:p>
        </w:tc>
        <w:tc>
          <w:tcPr>
            <w:tcW w:w="1078" w:type="dxa"/>
            <w:shd w:val="clear" w:color="auto" w:fill="auto"/>
            <w:noWrap/>
            <w:vAlign w:val="center"/>
          </w:tcPr>
          <w:p w14:paraId="520F1903">
            <w:pPr>
              <w:pStyle w:val="12"/>
              <w:jc w:val="center"/>
            </w:pPr>
            <w:r>
              <w:t>预期指标值</w:t>
            </w:r>
          </w:p>
        </w:tc>
        <w:tc>
          <w:tcPr>
            <w:tcW w:w="2087" w:type="dxa"/>
            <w:shd w:val="clear" w:color="auto" w:fill="auto"/>
            <w:noWrap/>
            <w:vAlign w:val="center"/>
          </w:tcPr>
          <w:p w14:paraId="029B67FF">
            <w:pPr>
              <w:pStyle w:val="12"/>
              <w:jc w:val="center"/>
            </w:pPr>
            <w:r>
              <w:t>实际完成指标值</w:t>
            </w:r>
          </w:p>
        </w:tc>
      </w:tr>
      <w:tr w14:paraId="51967D7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717" w:type="dxa"/>
            <w:vMerge w:val="continue"/>
            <w:shd w:val="clear" w:color="auto" w:fill="auto"/>
            <w:noWrap/>
            <w:vAlign w:val="center"/>
          </w:tcPr>
          <w:p w14:paraId="555A631C">
            <w:pPr>
              <w:rPr>
                <w:rFonts w:ascii="宋体"/>
              </w:rPr>
            </w:pPr>
          </w:p>
        </w:tc>
        <w:tc>
          <w:tcPr>
            <w:tcW w:w="1001" w:type="dxa"/>
            <w:vMerge w:val="restart"/>
            <w:shd w:val="clear" w:color="auto" w:fill="auto"/>
            <w:noWrap/>
            <w:vAlign w:val="center"/>
          </w:tcPr>
          <w:p w14:paraId="6C32C283">
            <w:pPr>
              <w:pStyle w:val="12"/>
              <w:jc w:val="center"/>
            </w:pPr>
            <w:r>
              <w:t>完成</w:t>
            </w:r>
          </w:p>
          <w:p w14:paraId="18DAB15F">
            <w:pPr>
              <w:pStyle w:val="12"/>
              <w:jc w:val="center"/>
            </w:pPr>
            <w:r>
              <w:t>指标</w:t>
            </w:r>
          </w:p>
        </w:tc>
        <w:tc>
          <w:tcPr>
            <w:tcW w:w="1423" w:type="dxa"/>
            <w:shd w:val="clear" w:color="auto" w:fill="auto"/>
            <w:noWrap/>
            <w:vAlign w:val="center"/>
          </w:tcPr>
          <w:p w14:paraId="4EB3C71C">
            <w:pPr>
              <w:pStyle w:val="12"/>
              <w:jc w:val="center"/>
            </w:pPr>
            <w:r>
              <w:t>数量指标</w:t>
            </w:r>
          </w:p>
        </w:tc>
        <w:tc>
          <w:tcPr>
            <w:tcW w:w="1039" w:type="dxa"/>
            <w:shd w:val="clear" w:color="auto" w:fill="auto"/>
            <w:noWrap/>
            <w:vAlign w:val="center"/>
          </w:tcPr>
          <w:p w14:paraId="2282C3F9">
            <w:pPr>
              <w:pStyle w:val="12"/>
              <w:jc w:val="center"/>
            </w:pPr>
            <w:r>
              <w:t> </w:t>
            </w:r>
          </w:p>
        </w:tc>
        <w:tc>
          <w:tcPr>
            <w:tcW w:w="1078" w:type="dxa"/>
            <w:shd w:val="clear" w:color="auto" w:fill="auto"/>
            <w:noWrap/>
            <w:vAlign w:val="center"/>
          </w:tcPr>
          <w:p w14:paraId="063A6166">
            <w:pPr>
              <w:pStyle w:val="12"/>
              <w:jc w:val="center"/>
            </w:pPr>
            <w:r>
              <w:t> </w:t>
            </w:r>
          </w:p>
        </w:tc>
        <w:tc>
          <w:tcPr>
            <w:tcW w:w="2087" w:type="dxa"/>
            <w:shd w:val="clear" w:color="auto" w:fill="auto"/>
            <w:noWrap/>
            <w:vAlign w:val="center"/>
          </w:tcPr>
          <w:p w14:paraId="11C34436">
            <w:pPr>
              <w:pStyle w:val="12"/>
              <w:jc w:val="center"/>
            </w:pPr>
            <w:r>
              <w:t> </w:t>
            </w:r>
          </w:p>
        </w:tc>
      </w:tr>
      <w:tr w14:paraId="3E5323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717" w:type="dxa"/>
            <w:vMerge w:val="continue"/>
            <w:shd w:val="clear" w:color="auto" w:fill="auto"/>
            <w:noWrap/>
            <w:vAlign w:val="center"/>
          </w:tcPr>
          <w:p w14:paraId="6405ED4F">
            <w:pPr>
              <w:rPr>
                <w:rFonts w:ascii="宋体"/>
              </w:rPr>
            </w:pPr>
          </w:p>
        </w:tc>
        <w:tc>
          <w:tcPr>
            <w:tcW w:w="1001" w:type="dxa"/>
            <w:vMerge w:val="continue"/>
            <w:shd w:val="clear" w:color="auto" w:fill="auto"/>
            <w:noWrap/>
            <w:vAlign w:val="center"/>
          </w:tcPr>
          <w:p w14:paraId="592A5A42">
            <w:pPr>
              <w:rPr>
                <w:rFonts w:ascii="宋体"/>
              </w:rPr>
            </w:pPr>
          </w:p>
        </w:tc>
        <w:tc>
          <w:tcPr>
            <w:tcW w:w="1423" w:type="dxa"/>
            <w:shd w:val="clear" w:color="auto" w:fill="auto"/>
            <w:noWrap/>
            <w:vAlign w:val="center"/>
          </w:tcPr>
          <w:p w14:paraId="03A26447">
            <w:pPr>
              <w:pStyle w:val="12"/>
              <w:jc w:val="center"/>
            </w:pPr>
            <w:r>
              <w:t>质量指标</w:t>
            </w:r>
          </w:p>
        </w:tc>
        <w:tc>
          <w:tcPr>
            <w:tcW w:w="1039" w:type="dxa"/>
            <w:shd w:val="clear" w:color="auto" w:fill="auto"/>
            <w:noWrap/>
            <w:vAlign w:val="center"/>
          </w:tcPr>
          <w:p w14:paraId="14CECA16">
            <w:pPr>
              <w:pStyle w:val="12"/>
              <w:jc w:val="center"/>
            </w:pPr>
            <w:r>
              <w:t> </w:t>
            </w:r>
          </w:p>
        </w:tc>
        <w:tc>
          <w:tcPr>
            <w:tcW w:w="1078" w:type="dxa"/>
            <w:shd w:val="clear" w:color="auto" w:fill="auto"/>
            <w:noWrap/>
            <w:vAlign w:val="center"/>
          </w:tcPr>
          <w:p w14:paraId="5998F269">
            <w:pPr>
              <w:pStyle w:val="12"/>
              <w:jc w:val="center"/>
            </w:pPr>
            <w:r>
              <w:t> </w:t>
            </w:r>
          </w:p>
        </w:tc>
        <w:tc>
          <w:tcPr>
            <w:tcW w:w="2087" w:type="dxa"/>
            <w:shd w:val="clear" w:color="auto" w:fill="auto"/>
            <w:noWrap/>
            <w:vAlign w:val="center"/>
          </w:tcPr>
          <w:p w14:paraId="0A5444B3">
            <w:pPr>
              <w:pStyle w:val="12"/>
              <w:jc w:val="center"/>
            </w:pPr>
            <w:r>
              <w:t> </w:t>
            </w:r>
          </w:p>
        </w:tc>
      </w:tr>
      <w:tr w14:paraId="3E9FED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20" w:hRule="atLeast"/>
          <w:tblCellSpacing w:w="0" w:type="dxa"/>
        </w:trPr>
        <w:tc>
          <w:tcPr>
            <w:tcW w:w="1717" w:type="dxa"/>
            <w:vMerge w:val="continue"/>
            <w:shd w:val="clear" w:color="auto" w:fill="auto"/>
            <w:noWrap/>
            <w:vAlign w:val="center"/>
          </w:tcPr>
          <w:p w14:paraId="39412559">
            <w:pPr>
              <w:rPr>
                <w:rFonts w:ascii="宋体"/>
              </w:rPr>
            </w:pPr>
          </w:p>
        </w:tc>
        <w:tc>
          <w:tcPr>
            <w:tcW w:w="1001" w:type="dxa"/>
            <w:vMerge w:val="continue"/>
            <w:shd w:val="clear" w:color="auto" w:fill="auto"/>
            <w:noWrap/>
            <w:vAlign w:val="center"/>
          </w:tcPr>
          <w:p w14:paraId="5C3C16B2">
            <w:pPr>
              <w:rPr>
                <w:rFonts w:ascii="宋体"/>
              </w:rPr>
            </w:pPr>
          </w:p>
        </w:tc>
        <w:tc>
          <w:tcPr>
            <w:tcW w:w="1423" w:type="dxa"/>
            <w:shd w:val="clear" w:color="auto" w:fill="auto"/>
            <w:noWrap/>
            <w:vAlign w:val="center"/>
          </w:tcPr>
          <w:p w14:paraId="272EE8B6">
            <w:pPr>
              <w:pStyle w:val="12"/>
              <w:jc w:val="center"/>
            </w:pPr>
            <w:r>
              <w:t>时效指标</w:t>
            </w:r>
          </w:p>
        </w:tc>
        <w:tc>
          <w:tcPr>
            <w:tcW w:w="1039" w:type="dxa"/>
            <w:shd w:val="clear" w:color="auto" w:fill="auto"/>
            <w:noWrap/>
            <w:vAlign w:val="center"/>
          </w:tcPr>
          <w:p w14:paraId="798AD03C">
            <w:pPr>
              <w:pStyle w:val="12"/>
              <w:jc w:val="center"/>
            </w:pPr>
            <w:r>
              <w:t> </w:t>
            </w:r>
          </w:p>
        </w:tc>
        <w:tc>
          <w:tcPr>
            <w:tcW w:w="1078" w:type="dxa"/>
            <w:shd w:val="clear" w:color="auto" w:fill="auto"/>
            <w:noWrap/>
            <w:vAlign w:val="center"/>
          </w:tcPr>
          <w:p w14:paraId="0558809A">
            <w:pPr>
              <w:pStyle w:val="12"/>
              <w:jc w:val="center"/>
            </w:pPr>
            <w:r>
              <w:t> </w:t>
            </w:r>
          </w:p>
        </w:tc>
        <w:tc>
          <w:tcPr>
            <w:tcW w:w="2087" w:type="dxa"/>
            <w:shd w:val="clear" w:color="auto" w:fill="auto"/>
            <w:noWrap/>
            <w:vAlign w:val="center"/>
          </w:tcPr>
          <w:p w14:paraId="0FFF1006">
            <w:pPr>
              <w:pStyle w:val="12"/>
              <w:jc w:val="center"/>
            </w:pPr>
            <w:r>
              <w:t> </w:t>
            </w:r>
          </w:p>
        </w:tc>
      </w:tr>
      <w:tr w14:paraId="5F6E09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17" w:type="dxa"/>
            <w:vMerge w:val="continue"/>
            <w:shd w:val="clear" w:color="auto" w:fill="auto"/>
            <w:noWrap/>
            <w:vAlign w:val="center"/>
          </w:tcPr>
          <w:p w14:paraId="0DE3B2F9">
            <w:pPr>
              <w:rPr>
                <w:rFonts w:ascii="宋体"/>
              </w:rPr>
            </w:pPr>
          </w:p>
        </w:tc>
        <w:tc>
          <w:tcPr>
            <w:tcW w:w="1001" w:type="dxa"/>
            <w:vMerge w:val="continue"/>
            <w:shd w:val="clear" w:color="auto" w:fill="auto"/>
            <w:noWrap/>
            <w:vAlign w:val="center"/>
          </w:tcPr>
          <w:p w14:paraId="58BFCC5D">
            <w:pPr>
              <w:rPr>
                <w:rFonts w:ascii="宋体"/>
              </w:rPr>
            </w:pPr>
          </w:p>
        </w:tc>
        <w:tc>
          <w:tcPr>
            <w:tcW w:w="1423" w:type="dxa"/>
            <w:shd w:val="clear" w:color="auto" w:fill="auto"/>
            <w:noWrap/>
            <w:vAlign w:val="center"/>
          </w:tcPr>
          <w:p w14:paraId="65EC03DD">
            <w:pPr>
              <w:pStyle w:val="12"/>
              <w:jc w:val="center"/>
            </w:pPr>
            <w:r>
              <w:t>成本指标</w:t>
            </w:r>
          </w:p>
        </w:tc>
        <w:tc>
          <w:tcPr>
            <w:tcW w:w="1039" w:type="dxa"/>
            <w:shd w:val="clear" w:color="auto" w:fill="auto"/>
            <w:noWrap/>
            <w:vAlign w:val="center"/>
          </w:tcPr>
          <w:p w14:paraId="636DAFD1">
            <w:pPr>
              <w:pStyle w:val="12"/>
              <w:jc w:val="center"/>
            </w:pPr>
            <w:r>
              <w:t> </w:t>
            </w:r>
          </w:p>
        </w:tc>
        <w:tc>
          <w:tcPr>
            <w:tcW w:w="1078" w:type="dxa"/>
            <w:shd w:val="clear" w:color="auto" w:fill="auto"/>
            <w:noWrap/>
            <w:vAlign w:val="center"/>
          </w:tcPr>
          <w:p w14:paraId="49D0DF63">
            <w:pPr>
              <w:pStyle w:val="12"/>
              <w:jc w:val="center"/>
            </w:pPr>
            <w:r>
              <w:t> </w:t>
            </w:r>
          </w:p>
        </w:tc>
        <w:tc>
          <w:tcPr>
            <w:tcW w:w="2087" w:type="dxa"/>
            <w:shd w:val="clear" w:color="auto" w:fill="auto"/>
            <w:noWrap/>
            <w:vAlign w:val="center"/>
          </w:tcPr>
          <w:p w14:paraId="3BF8A8F8">
            <w:pPr>
              <w:pStyle w:val="12"/>
              <w:jc w:val="center"/>
            </w:pPr>
            <w:r>
              <w:t> </w:t>
            </w:r>
          </w:p>
        </w:tc>
      </w:tr>
      <w:tr w14:paraId="783BB9A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17" w:type="dxa"/>
            <w:vMerge w:val="continue"/>
            <w:shd w:val="clear" w:color="auto" w:fill="auto"/>
            <w:noWrap/>
            <w:vAlign w:val="center"/>
          </w:tcPr>
          <w:p w14:paraId="7305D41A">
            <w:pPr>
              <w:rPr>
                <w:rFonts w:ascii="宋体"/>
              </w:rPr>
            </w:pPr>
          </w:p>
        </w:tc>
        <w:tc>
          <w:tcPr>
            <w:tcW w:w="1001" w:type="dxa"/>
            <w:vMerge w:val="restart"/>
            <w:shd w:val="clear" w:color="auto" w:fill="auto"/>
            <w:noWrap/>
            <w:vAlign w:val="center"/>
          </w:tcPr>
          <w:p w14:paraId="7312CC8B">
            <w:pPr>
              <w:pStyle w:val="12"/>
              <w:jc w:val="center"/>
            </w:pPr>
            <w:r>
              <w:t>效益</w:t>
            </w:r>
          </w:p>
          <w:p w14:paraId="1B7BBB5A">
            <w:pPr>
              <w:pStyle w:val="12"/>
              <w:jc w:val="center"/>
            </w:pPr>
            <w:r>
              <w:t>指标</w:t>
            </w:r>
          </w:p>
        </w:tc>
        <w:tc>
          <w:tcPr>
            <w:tcW w:w="1423" w:type="dxa"/>
            <w:shd w:val="clear" w:color="auto" w:fill="auto"/>
            <w:noWrap/>
            <w:vAlign w:val="center"/>
          </w:tcPr>
          <w:p w14:paraId="7752C6BF">
            <w:pPr>
              <w:pStyle w:val="12"/>
              <w:jc w:val="center"/>
            </w:pPr>
            <w:r>
              <w:t>经济效益指标</w:t>
            </w:r>
          </w:p>
        </w:tc>
        <w:tc>
          <w:tcPr>
            <w:tcW w:w="1039" w:type="dxa"/>
            <w:shd w:val="clear" w:color="auto" w:fill="auto"/>
            <w:noWrap/>
            <w:vAlign w:val="center"/>
          </w:tcPr>
          <w:p w14:paraId="20FC1F6C">
            <w:pPr>
              <w:pStyle w:val="12"/>
              <w:jc w:val="center"/>
            </w:pPr>
            <w:r>
              <w:t> </w:t>
            </w:r>
          </w:p>
        </w:tc>
        <w:tc>
          <w:tcPr>
            <w:tcW w:w="1078" w:type="dxa"/>
            <w:shd w:val="clear" w:color="auto" w:fill="auto"/>
            <w:noWrap/>
            <w:vAlign w:val="center"/>
          </w:tcPr>
          <w:p w14:paraId="35C09E0A">
            <w:pPr>
              <w:pStyle w:val="12"/>
              <w:jc w:val="center"/>
            </w:pPr>
            <w:r>
              <w:t> </w:t>
            </w:r>
          </w:p>
        </w:tc>
        <w:tc>
          <w:tcPr>
            <w:tcW w:w="2087" w:type="dxa"/>
            <w:shd w:val="clear" w:color="auto" w:fill="auto"/>
            <w:noWrap/>
            <w:vAlign w:val="center"/>
          </w:tcPr>
          <w:p w14:paraId="54EF28CE">
            <w:pPr>
              <w:pStyle w:val="12"/>
              <w:jc w:val="center"/>
            </w:pPr>
            <w:r>
              <w:t> </w:t>
            </w:r>
          </w:p>
        </w:tc>
      </w:tr>
      <w:tr w14:paraId="79F073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17" w:type="dxa"/>
            <w:vMerge w:val="continue"/>
            <w:shd w:val="clear" w:color="auto" w:fill="auto"/>
            <w:noWrap/>
            <w:vAlign w:val="center"/>
          </w:tcPr>
          <w:p w14:paraId="30B37B7D">
            <w:pPr>
              <w:rPr>
                <w:rFonts w:ascii="宋体"/>
              </w:rPr>
            </w:pPr>
          </w:p>
        </w:tc>
        <w:tc>
          <w:tcPr>
            <w:tcW w:w="1001" w:type="dxa"/>
            <w:vMerge w:val="continue"/>
            <w:shd w:val="clear" w:color="auto" w:fill="auto"/>
            <w:noWrap/>
            <w:vAlign w:val="center"/>
          </w:tcPr>
          <w:p w14:paraId="22F56256">
            <w:pPr>
              <w:rPr>
                <w:rFonts w:ascii="宋体"/>
              </w:rPr>
            </w:pPr>
          </w:p>
        </w:tc>
        <w:tc>
          <w:tcPr>
            <w:tcW w:w="1423" w:type="dxa"/>
            <w:shd w:val="clear" w:color="auto" w:fill="auto"/>
            <w:noWrap/>
            <w:vAlign w:val="center"/>
          </w:tcPr>
          <w:p w14:paraId="632AE30F">
            <w:pPr>
              <w:pStyle w:val="12"/>
              <w:jc w:val="center"/>
            </w:pPr>
            <w:r>
              <w:t>社会效益指标</w:t>
            </w:r>
          </w:p>
        </w:tc>
        <w:tc>
          <w:tcPr>
            <w:tcW w:w="1039" w:type="dxa"/>
            <w:shd w:val="clear" w:color="auto" w:fill="auto"/>
            <w:noWrap/>
            <w:vAlign w:val="center"/>
          </w:tcPr>
          <w:p w14:paraId="39C28DC5">
            <w:pPr>
              <w:pStyle w:val="12"/>
              <w:jc w:val="center"/>
            </w:pPr>
            <w:r>
              <w:t> </w:t>
            </w:r>
          </w:p>
        </w:tc>
        <w:tc>
          <w:tcPr>
            <w:tcW w:w="1078" w:type="dxa"/>
            <w:shd w:val="clear" w:color="auto" w:fill="auto"/>
            <w:noWrap/>
            <w:vAlign w:val="center"/>
          </w:tcPr>
          <w:p w14:paraId="7199FEF4">
            <w:pPr>
              <w:pStyle w:val="12"/>
              <w:jc w:val="center"/>
            </w:pPr>
            <w:r>
              <w:t> </w:t>
            </w:r>
          </w:p>
        </w:tc>
        <w:tc>
          <w:tcPr>
            <w:tcW w:w="2087" w:type="dxa"/>
            <w:shd w:val="clear" w:color="auto" w:fill="auto"/>
            <w:noWrap/>
            <w:vAlign w:val="center"/>
          </w:tcPr>
          <w:p w14:paraId="00587D6D">
            <w:pPr>
              <w:pStyle w:val="12"/>
              <w:jc w:val="center"/>
            </w:pPr>
            <w:r>
              <w:t> </w:t>
            </w:r>
          </w:p>
        </w:tc>
      </w:tr>
      <w:tr w14:paraId="4BC83D0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70" w:hRule="atLeast"/>
          <w:tblCellSpacing w:w="0" w:type="dxa"/>
        </w:trPr>
        <w:tc>
          <w:tcPr>
            <w:tcW w:w="1717" w:type="dxa"/>
            <w:vMerge w:val="continue"/>
            <w:shd w:val="clear" w:color="auto" w:fill="auto"/>
            <w:noWrap/>
            <w:vAlign w:val="center"/>
          </w:tcPr>
          <w:p w14:paraId="62D52A3E">
            <w:pPr>
              <w:rPr>
                <w:rFonts w:ascii="宋体"/>
              </w:rPr>
            </w:pPr>
          </w:p>
        </w:tc>
        <w:tc>
          <w:tcPr>
            <w:tcW w:w="1001" w:type="dxa"/>
            <w:vMerge w:val="continue"/>
            <w:shd w:val="clear" w:color="auto" w:fill="auto"/>
            <w:noWrap/>
            <w:vAlign w:val="center"/>
          </w:tcPr>
          <w:p w14:paraId="6203BDE8">
            <w:pPr>
              <w:rPr>
                <w:rFonts w:ascii="宋体"/>
              </w:rPr>
            </w:pPr>
          </w:p>
        </w:tc>
        <w:tc>
          <w:tcPr>
            <w:tcW w:w="1423" w:type="dxa"/>
            <w:shd w:val="clear" w:color="auto" w:fill="auto"/>
            <w:noWrap/>
            <w:vAlign w:val="center"/>
          </w:tcPr>
          <w:p w14:paraId="4ABDED32">
            <w:pPr>
              <w:pStyle w:val="12"/>
              <w:ind w:left="423"/>
              <w:jc w:val="both"/>
            </w:pPr>
            <w:r>
              <w:t>生态效益指标</w:t>
            </w:r>
          </w:p>
        </w:tc>
        <w:tc>
          <w:tcPr>
            <w:tcW w:w="1039" w:type="dxa"/>
            <w:shd w:val="clear" w:color="auto" w:fill="auto"/>
            <w:noWrap/>
            <w:vAlign w:val="center"/>
          </w:tcPr>
          <w:p w14:paraId="1451B7C8">
            <w:pPr>
              <w:pStyle w:val="12"/>
              <w:jc w:val="center"/>
            </w:pPr>
            <w:r>
              <w:t> </w:t>
            </w:r>
          </w:p>
        </w:tc>
        <w:tc>
          <w:tcPr>
            <w:tcW w:w="1078" w:type="dxa"/>
            <w:shd w:val="clear" w:color="auto" w:fill="auto"/>
            <w:noWrap/>
            <w:vAlign w:val="center"/>
          </w:tcPr>
          <w:p w14:paraId="01D3CDA8">
            <w:pPr>
              <w:pStyle w:val="12"/>
              <w:jc w:val="center"/>
            </w:pPr>
            <w:r>
              <w:t> </w:t>
            </w:r>
          </w:p>
        </w:tc>
        <w:tc>
          <w:tcPr>
            <w:tcW w:w="2087" w:type="dxa"/>
            <w:shd w:val="clear" w:color="auto" w:fill="auto"/>
            <w:noWrap/>
            <w:vAlign w:val="center"/>
          </w:tcPr>
          <w:p w14:paraId="1FA9C1A2">
            <w:pPr>
              <w:pStyle w:val="12"/>
              <w:jc w:val="center"/>
            </w:pPr>
            <w:r>
              <w:t> </w:t>
            </w:r>
          </w:p>
        </w:tc>
      </w:tr>
      <w:tr w14:paraId="7EF9E32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480" w:hRule="atLeast"/>
          <w:tblCellSpacing w:w="0" w:type="dxa"/>
        </w:trPr>
        <w:tc>
          <w:tcPr>
            <w:tcW w:w="1717" w:type="dxa"/>
            <w:vMerge w:val="continue"/>
            <w:shd w:val="clear" w:color="auto" w:fill="auto"/>
            <w:noWrap/>
            <w:vAlign w:val="center"/>
          </w:tcPr>
          <w:p w14:paraId="22B2ED9B">
            <w:pPr>
              <w:rPr>
                <w:rFonts w:ascii="宋体"/>
              </w:rPr>
            </w:pPr>
          </w:p>
        </w:tc>
        <w:tc>
          <w:tcPr>
            <w:tcW w:w="1001" w:type="dxa"/>
            <w:vMerge w:val="continue"/>
            <w:shd w:val="clear" w:color="auto" w:fill="auto"/>
            <w:noWrap/>
            <w:vAlign w:val="center"/>
          </w:tcPr>
          <w:p w14:paraId="6C40D579">
            <w:pPr>
              <w:rPr>
                <w:rFonts w:ascii="宋体"/>
              </w:rPr>
            </w:pPr>
          </w:p>
        </w:tc>
        <w:tc>
          <w:tcPr>
            <w:tcW w:w="1423" w:type="dxa"/>
            <w:shd w:val="clear" w:color="auto" w:fill="auto"/>
            <w:noWrap/>
            <w:vAlign w:val="center"/>
          </w:tcPr>
          <w:p w14:paraId="60B6C785">
            <w:pPr>
              <w:pStyle w:val="12"/>
              <w:jc w:val="center"/>
            </w:pPr>
            <w:r>
              <w:t>可持续影响指标</w:t>
            </w:r>
          </w:p>
        </w:tc>
        <w:tc>
          <w:tcPr>
            <w:tcW w:w="1039" w:type="dxa"/>
            <w:shd w:val="clear" w:color="auto" w:fill="auto"/>
            <w:noWrap/>
            <w:vAlign w:val="center"/>
          </w:tcPr>
          <w:p w14:paraId="5A4BD7D9">
            <w:pPr>
              <w:pStyle w:val="12"/>
              <w:jc w:val="center"/>
            </w:pPr>
            <w:r>
              <w:t> </w:t>
            </w:r>
          </w:p>
        </w:tc>
        <w:tc>
          <w:tcPr>
            <w:tcW w:w="1078" w:type="dxa"/>
            <w:shd w:val="clear" w:color="auto" w:fill="auto"/>
            <w:noWrap/>
            <w:vAlign w:val="center"/>
          </w:tcPr>
          <w:p w14:paraId="5DCCF7E1">
            <w:pPr>
              <w:pStyle w:val="12"/>
              <w:jc w:val="center"/>
            </w:pPr>
            <w:r>
              <w:t> </w:t>
            </w:r>
          </w:p>
        </w:tc>
        <w:tc>
          <w:tcPr>
            <w:tcW w:w="2087" w:type="dxa"/>
            <w:shd w:val="clear" w:color="auto" w:fill="auto"/>
            <w:noWrap/>
            <w:vAlign w:val="center"/>
          </w:tcPr>
          <w:p w14:paraId="5234D3AD">
            <w:pPr>
              <w:pStyle w:val="12"/>
              <w:jc w:val="center"/>
            </w:pPr>
            <w:r>
              <w:t> </w:t>
            </w:r>
          </w:p>
        </w:tc>
      </w:tr>
      <w:tr w14:paraId="7DF593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5" w:hRule="atLeast"/>
          <w:tblCellSpacing w:w="0" w:type="dxa"/>
        </w:trPr>
        <w:tc>
          <w:tcPr>
            <w:tcW w:w="1717" w:type="dxa"/>
            <w:vMerge w:val="continue"/>
            <w:shd w:val="clear" w:color="auto" w:fill="auto"/>
            <w:noWrap/>
            <w:vAlign w:val="center"/>
          </w:tcPr>
          <w:p w14:paraId="627F16BB">
            <w:pPr>
              <w:rPr>
                <w:rFonts w:ascii="宋体"/>
              </w:rPr>
            </w:pPr>
          </w:p>
        </w:tc>
        <w:tc>
          <w:tcPr>
            <w:tcW w:w="1001" w:type="dxa"/>
            <w:shd w:val="clear" w:color="auto" w:fill="auto"/>
            <w:noWrap/>
            <w:vAlign w:val="center"/>
          </w:tcPr>
          <w:p w14:paraId="146BDB42">
            <w:pPr>
              <w:pStyle w:val="12"/>
              <w:jc w:val="center"/>
            </w:pPr>
            <w:r>
              <w:t>满意</w:t>
            </w:r>
          </w:p>
          <w:p w14:paraId="1E3967C6">
            <w:pPr>
              <w:pStyle w:val="12"/>
              <w:jc w:val="center"/>
            </w:pPr>
            <w:r>
              <w:t>度指标</w:t>
            </w:r>
          </w:p>
        </w:tc>
        <w:tc>
          <w:tcPr>
            <w:tcW w:w="1423" w:type="dxa"/>
            <w:shd w:val="clear" w:color="auto" w:fill="auto"/>
            <w:noWrap/>
            <w:vAlign w:val="center"/>
          </w:tcPr>
          <w:p w14:paraId="6B9013B3">
            <w:pPr>
              <w:pStyle w:val="12"/>
              <w:jc w:val="center"/>
            </w:pPr>
            <w:r>
              <w:t>满意度</w:t>
            </w:r>
          </w:p>
          <w:p w14:paraId="037843BB">
            <w:pPr>
              <w:pStyle w:val="12"/>
              <w:jc w:val="center"/>
            </w:pPr>
            <w:r>
              <w:t>指标</w:t>
            </w:r>
          </w:p>
        </w:tc>
        <w:tc>
          <w:tcPr>
            <w:tcW w:w="1039" w:type="dxa"/>
            <w:shd w:val="clear" w:color="auto" w:fill="auto"/>
            <w:noWrap/>
            <w:vAlign w:val="center"/>
          </w:tcPr>
          <w:p w14:paraId="2928972F">
            <w:pPr>
              <w:pStyle w:val="12"/>
              <w:jc w:val="center"/>
            </w:pPr>
            <w:r>
              <w:t> </w:t>
            </w:r>
          </w:p>
        </w:tc>
        <w:tc>
          <w:tcPr>
            <w:tcW w:w="1078" w:type="dxa"/>
            <w:shd w:val="clear" w:color="auto" w:fill="auto"/>
            <w:noWrap/>
            <w:vAlign w:val="center"/>
          </w:tcPr>
          <w:p w14:paraId="2392FA80">
            <w:pPr>
              <w:pStyle w:val="12"/>
              <w:jc w:val="center"/>
            </w:pPr>
            <w:r>
              <w:t> </w:t>
            </w:r>
          </w:p>
        </w:tc>
        <w:tc>
          <w:tcPr>
            <w:tcW w:w="2087" w:type="dxa"/>
            <w:shd w:val="clear" w:color="auto" w:fill="auto"/>
            <w:noWrap/>
            <w:vAlign w:val="center"/>
          </w:tcPr>
          <w:p w14:paraId="56D42230">
            <w:pPr>
              <w:pStyle w:val="12"/>
              <w:jc w:val="center"/>
            </w:pPr>
            <w:r>
              <w:t> </w:t>
            </w:r>
          </w:p>
        </w:tc>
      </w:tr>
    </w:tbl>
    <w:p w14:paraId="4685CE56">
      <w:pPr>
        <w:pStyle w:val="12"/>
        <w:spacing w:beforeAutospacing="0"/>
      </w:pPr>
      <w:r>
        <w:rPr>
          <w:shd w:val="clear" w:color="auto" w:fill="FFFFFF"/>
        </w:rPr>
        <w:t>（注：有两个及以上100万元以上（含）特定目标类部门预算项目的，需分别开展绩效目标自评并填写附表）</w:t>
      </w:r>
    </w:p>
    <w:p w14:paraId="2F18DB4F">
      <w:pPr>
        <w:pStyle w:val="12"/>
        <w:spacing w:beforeAutospacing="0"/>
      </w:pPr>
      <w:r>
        <w:rPr>
          <w:shd w:val="clear" w:color="auto" w:fill="FFFFFF"/>
        </w:rPr>
        <w:t> </w:t>
      </w:r>
    </w:p>
    <w:p w14:paraId="7B1C7E2F">
      <w:pPr>
        <w:pStyle w:val="12"/>
        <w:spacing w:beforeAutospacing="0"/>
      </w:pPr>
      <w:r>
        <w:rPr>
          <w:shd w:val="clear" w:color="auto" w:fill="FFFFFF"/>
        </w:rPr>
        <w:t> </w:t>
      </w:r>
    </w:p>
    <w:p w14:paraId="2007D9ED">
      <w:pPr>
        <w:pStyle w:val="12"/>
        <w:spacing w:beforeAutospacing="0"/>
      </w:pPr>
      <w:r>
        <w:rPr>
          <w:shd w:val="clear" w:color="auto" w:fill="FFFFFF"/>
        </w:rPr>
        <w:t> </w:t>
      </w:r>
    </w:p>
    <w:p w14:paraId="359DDEEC">
      <w:pPr>
        <w:pStyle w:val="12"/>
        <w:spacing w:beforeAutospacing="0"/>
        <w:jc w:val="center"/>
      </w:pPr>
      <w:r>
        <w:rPr>
          <w:rStyle w:val="16"/>
          <w:sz w:val="39"/>
          <w:szCs w:val="39"/>
          <w:shd w:val="clear" w:color="auto" w:fill="FFFFFF"/>
        </w:rPr>
        <w:t>第五部分 附表</w:t>
      </w:r>
    </w:p>
    <w:p w14:paraId="7A379546">
      <w:pPr>
        <w:pStyle w:val="3"/>
        <w:spacing w:beforeAutospacing="0"/>
        <w:rPr>
          <w:rFonts w:hint="default"/>
        </w:rPr>
      </w:pPr>
      <w:r>
        <w:rPr>
          <w:shd w:val="clear" w:color="auto" w:fill="FFFFFF"/>
        </w:rPr>
        <w:t>一、收入支出决算总表</w:t>
      </w:r>
    </w:p>
    <w:p w14:paraId="428D914B">
      <w:pPr>
        <w:pStyle w:val="3"/>
        <w:spacing w:beforeAutospacing="0"/>
        <w:rPr>
          <w:rFonts w:hint="default"/>
        </w:rPr>
      </w:pPr>
      <w:r>
        <w:rPr>
          <w:shd w:val="clear" w:color="auto" w:fill="FFFFFF"/>
        </w:rPr>
        <w:t>二、收入决算表</w:t>
      </w:r>
    </w:p>
    <w:p w14:paraId="53B01685">
      <w:pPr>
        <w:pStyle w:val="3"/>
        <w:spacing w:beforeAutospacing="0"/>
        <w:rPr>
          <w:rFonts w:hint="default"/>
        </w:rPr>
      </w:pPr>
      <w:r>
        <w:rPr>
          <w:shd w:val="clear" w:color="auto" w:fill="FFFFFF"/>
        </w:rPr>
        <w:t>三、支出决算表</w:t>
      </w:r>
    </w:p>
    <w:p w14:paraId="36741C2E">
      <w:pPr>
        <w:pStyle w:val="3"/>
        <w:spacing w:beforeAutospacing="0"/>
        <w:rPr>
          <w:rFonts w:hint="default"/>
        </w:rPr>
      </w:pPr>
      <w:r>
        <w:rPr>
          <w:shd w:val="clear" w:color="auto" w:fill="FFFFFF"/>
        </w:rPr>
        <w:t>四、财政拨款收入支出决算总表</w:t>
      </w:r>
    </w:p>
    <w:p w14:paraId="0DED1302">
      <w:pPr>
        <w:pStyle w:val="3"/>
        <w:spacing w:beforeAutospacing="0"/>
        <w:rPr>
          <w:rFonts w:hint="default"/>
        </w:rPr>
      </w:pPr>
      <w:r>
        <w:rPr>
          <w:shd w:val="clear" w:color="auto" w:fill="FFFFFF"/>
        </w:rPr>
        <w:t>五、财政拨款支出决算明细表</w:t>
      </w:r>
    </w:p>
    <w:p w14:paraId="34B8794A">
      <w:pPr>
        <w:pStyle w:val="3"/>
        <w:spacing w:beforeAutospacing="0"/>
        <w:rPr>
          <w:rFonts w:hint="default"/>
        </w:rPr>
      </w:pPr>
      <w:r>
        <w:rPr>
          <w:shd w:val="clear" w:color="auto" w:fill="FFFFFF"/>
        </w:rPr>
        <w:t>六、一般公共预算财政拨款支出决算表</w:t>
      </w:r>
    </w:p>
    <w:p w14:paraId="375DC5AC">
      <w:pPr>
        <w:pStyle w:val="3"/>
        <w:spacing w:beforeAutospacing="0"/>
        <w:rPr>
          <w:rFonts w:hint="default"/>
        </w:rPr>
      </w:pPr>
      <w:r>
        <w:rPr>
          <w:shd w:val="clear" w:color="auto" w:fill="FFFFFF"/>
        </w:rPr>
        <w:t>七、一般公共预算财政拨款支出决算明细表</w:t>
      </w:r>
    </w:p>
    <w:p w14:paraId="3AEE502F">
      <w:pPr>
        <w:pStyle w:val="3"/>
        <w:spacing w:beforeAutospacing="0"/>
        <w:rPr>
          <w:rFonts w:hint="default"/>
        </w:rPr>
      </w:pPr>
      <w:r>
        <w:rPr>
          <w:shd w:val="clear" w:color="auto" w:fill="FFFFFF"/>
        </w:rPr>
        <w:t>八、一般公共预算财政拨款基本支出决算表</w:t>
      </w:r>
    </w:p>
    <w:p w14:paraId="105E55C0">
      <w:pPr>
        <w:pStyle w:val="3"/>
        <w:spacing w:beforeAutospacing="0"/>
        <w:rPr>
          <w:rFonts w:hint="default"/>
        </w:rPr>
      </w:pPr>
      <w:r>
        <w:rPr>
          <w:shd w:val="clear" w:color="auto" w:fill="FFFFFF"/>
        </w:rPr>
        <w:t>九、一般公共预算财政拨款项目支出决算表</w:t>
      </w:r>
    </w:p>
    <w:p w14:paraId="4E9E9537">
      <w:pPr>
        <w:pStyle w:val="3"/>
        <w:spacing w:beforeAutospacing="0"/>
        <w:rPr>
          <w:rFonts w:hint="default"/>
        </w:rPr>
      </w:pPr>
      <w:r>
        <w:rPr>
          <w:shd w:val="clear" w:color="auto" w:fill="FFFFFF"/>
        </w:rPr>
        <w:t>十、政府性基金预算财政拨款收入支出决算表</w:t>
      </w:r>
    </w:p>
    <w:p w14:paraId="028E30B5">
      <w:pPr>
        <w:pStyle w:val="3"/>
        <w:spacing w:beforeAutospacing="0"/>
        <w:rPr>
          <w:rFonts w:hint="default"/>
        </w:rPr>
      </w:pPr>
      <w:r>
        <w:rPr>
          <w:shd w:val="clear" w:color="auto" w:fill="FFFFFF"/>
        </w:rPr>
        <w:t>十一、国有资本经营预算财政拨款收入支出决算表</w:t>
      </w:r>
    </w:p>
    <w:p w14:paraId="73900E1F">
      <w:pPr>
        <w:pStyle w:val="3"/>
        <w:spacing w:beforeAutospacing="0"/>
        <w:rPr>
          <w:rFonts w:hint="default"/>
        </w:rPr>
      </w:pPr>
      <w:r>
        <w:rPr>
          <w:shd w:val="clear" w:color="auto" w:fill="FFFFFF"/>
        </w:rPr>
        <w:t>十二、国有资本经营预算财政拨款支出决算表</w:t>
      </w:r>
    </w:p>
    <w:p w14:paraId="5ACFF912">
      <w:pPr>
        <w:pStyle w:val="3"/>
        <w:spacing w:beforeAutospacing="0"/>
        <w:rPr>
          <w:rFonts w:hint="default"/>
        </w:rPr>
      </w:pPr>
      <w:r>
        <w:rPr>
          <w:shd w:val="clear" w:color="auto" w:fill="FFFFFF"/>
        </w:rPr>
        <w:t>十三、财政拨款“三公”经费支出决算表</w:t>
      </w:r>
    </w:p>
    <w:sectPr>
      <w:pgSz w:w="11915" w:h="16851"/>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useFELayout/>
    <w:compatSetting w:name="compatibilityMode" w:uri="http://schemas.microsoft.com/office/word" w:val="12"/>
  </w:compat>
  <w:docVars>
    <w:docVar w:name="commondata" w:val="eyJoZGlkIjoiYmMxYmIxOGQyMmFkYzIxMGJmYTcyYWQyNzc5MmRhZDEifQ=="/>
  </w:docVars>
  <w:rsids>
    <w:rsidRoot w:val="008E3BFD"/>
    <w:rsid w:val="00011562"/>
    <w:rsid w:val="0007191C"/>
    <w:rsid w:val="00091A84"/>
    <w:rsid w:val="000F07EE"/>
    <w:rsid w:val="001366BF"/>
    <w:rsid w:val="00153C21"/>
    <w:rsid w:val="00160EC7"/>
    <w:rsid w:val="001A7F10"/>
    <w:rsid w:val="00311E43"/>
    <w:rsid w:val="00335DAC"/>
    <w:rsid w:val="00416FCF"/>
    <w:rsid w:val="005D155E"/>
    <w:rsid w:val="007D70E8"/>
    <w:rsid w:val="008E3BFD"/>
    <w:rsid w:val="00B03977"/>
    <w:rsid w:val="00B709F0"/>
    <w:rsid w:val="00C1201B"/>
    <w:rsid w:val="00CE00E7"/>
    <w:rsid w:val="00D95BD3"/>
    <w:rsid w:val="00DA090B"/>
    <w:rsid w:val="00F72718"/>
    <w:rsid w:val="00F808A0"/>
    <w:rsid w:val="05EC4A70"/>
    <w:rsid w:val="0B9B4744"/>
    <w:rsid w:val="11691689"/>
    <w:rsid w:val="1E8D0CAE"/>
    <w:rsid w:val="30E50EAD"/>
    <w:rsid w:val="45A5332E"/>
    <w:rsid w:val="47B4367E"/>
    <w:rsid w:val="66140709"/>
    <w:rsid w:val="75DB36AE"/>
    <w:rsid w:val="78965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EastAsia" w:hAnsiTheme="minorEastAsia"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2"/>
    <w:basedOn w:val="1"/>
    <w:next w:val="1"/>
    <w:semiHidden/>
    <w:unhideWhenUsed/>
    <w:qFormat/>
    <w:uiPriority w:val="0"/>
    <w:pPr>
      <w:spacing w:beforeAutospacing="1" w:afterAutospacing="1"/>
      <w:outlineLvl w:val="1"/>
    </w:pPr>
    <w:rPr>
      <w:rFonts w:hint="eastAsia" w:ascii="宋体" w:hAnsi="宋体" w:eastAsia="宋体"/>
      <w:b/>
      <w:sz w:val="36"/>
      <w:szCs w:val="36"/>
    </w:rPr>
  </w:style>
  <w:style w:type="paragraph" w:styleId="4">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paragraph" w:styleId="5">
    <w:name w:val="heading 4"/>
    <w:basedOn w:val="1"/>
    <w:next w:val="1"/>
    <w:semiHidden/>
    <w:unhideWhenUsed/>
    <w:qFormat/>
    <w:uiPriority w:val="0"/>
    <w:pPr>
      <w:spacing w:beforeAutospacing="1" w:afterAutospacing="1"/>
      <w:outlineLvl w:val="3"/>
    </w:pPr>
    <w:rPr>
      <w:rFonts w:hint="eastAsia" w:ascii="宋体" w:hAnsi="宋体" w:eastAsia="宋体"/>
      <w:b/>
    </w:rPr>
  </w:style>
  <w:style w:type="paragraph" w:styleId="6">
    <w:name w:val="heading 5"/>
    <w:basedOn w:val="1"/>
    <w:next w:val="1"/>
    <w:semiHidden/>
    <w:unhideWhenUsed/>
    <w:qFormat/>
    <w:uiPriority w:val="0"/>
    <w:pPr>
      <w:spacing w:beforeAutospacing="1" w:afterAutospacing="1"/>
      <w:outlineLvl w:val="4"/>
    </w:pPr>
    <w:rPr>
      <w:rFonts w:hint="eastAsia" w:ascii="宋体" w:hAnsi="宋体" w:eastAsia="宋体"/>
      <w:b/>
      <w:sz w:val="20"/>
      <w:szCs w:val="20"/>
    </w:rPr>
  </w:style>
  <w:style w:type="paragraph" w:styleId="7">
    <w:name w:val="heading 6"/>
    <w:basedOn w:val="1"/>
    <w:next w:val="1"/>
    <w:semiHidden/>
    <w:unhideWhenUsed/>
    <w:qFormat/>
    <w:uiPriority w:val="0"/>
    <w:pPr>
      <w:spacing w:beforeAutospacing="1" w:afterAutospacing="1"/>
      <w:outlineLvl w:val="5"/>
    </w:pPr>
    <w:rPr>
      <w:rFonts w:hint="eastAsia" w:ascii="宋体" w:hAnsi="宋体" w:eastAsia="宋体"/>
      <w:b/>
      <w:sz w:val="15"/>
      <w:szCs w:val="15"/>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8">
    <w:name w:val="Body Text Indent"/>
    <w:basedOn w:val="1"/>
    <w:link w:val="17"/>
    <w:qFormat/>
    <w:uiPriority w:val="0"/>
    <w:pPr>
      <w:spacing w:after="120"/>
      <w:ind w:left="420" w:leftChars="200"/>
    </w:pPr>
  </w:style>
  <w:style w:type="paragraph" w:styleId="9">
    <w:name w:val="footer"/>
    <w:basedOn w:val="1"/>
    <w:link w:val="20"/>
    <w:qFormat/>
    <w:uiPriority w:val="0"/>
    <w:pPr>
      <w:tabs>
        <w:tab w:val="center" w:pos="4153"/>
        <w:tab w:val="right" w:pos="8306"/>
      </w:tabs>
      <w:snapToGrid w:val="0"/>
    </w:pPr>
    <w:rPr>
      <w:sz w:val="18"/>
      <w:szCs w:val="18"/>
    </w:rPr>
  </w:style>
  <w:style w:type="paragraph" w:styleId="10">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rPr>
  </w:style>
  <w:style w:type="paragraph" w:styleId="12">
    <w:name w:val="Normal (Web)"/>
    <w:basedOn w:val="1"/>
    <w:qFormat/>
    <w:uiPriority w:val="0"/>
    <w:pPr>
      <w:spacing w:beforeAutospacing="1" w:afterAutospacing="1"/>
    </w:pPr>
  </w:style>
  <w:style w:type="paragraph" w:styleId="13">
    <w:name w:val="Body Text First Indent 2"/>
    <w:basedOn w:val="8"/>
    <w:next w:val="1"/>
    <w:link w:val="18"/>
    <w:qFormat/>
    <w:uiPriority w:val="0"/>
    <w:pPr>
      <w:widowControl w:val="0"/>
      <w:ind w:firstLine="420" w:firstLineChars="200"/>
      <w:jc w:val="both"/>
    </w:pPr>
    <w:rPr>
      <w:rFonts w:asciiTheme="minorHAnsi" w:hAnsiTheme="minorHAnsi" w:cstheme="minorBidi"/>
      <w:kern w:val="2"/>
      <w:sz w:val="21"/>
    </w:rPr>
  </w:style>
  <w:style w:type="character" w:styleId="16">
    <w:name w:val="Strong"/>
    <w:basedOn w:val="15"/>
    <w:qFormat/>
    <w:uiPriority w:val="0"/>
    <w:rPr>
      <w:b/>
    </w:rPr>
  </w:style>
  <w:style w:type="character" w:customStyle="1" w:styleId="17">
    <w:name w:val="正文文本缩进 Char"/>
    <w:basedOn w:val="15"/>
    <w:link w:val="8"/>
    <w:qFormat/>
    <w:uiPriority w:val="0"/>
    <w:rPr>
      <w:rFonts w:asciiTheme="minorEastAsia" w:hAnsiTheme="minorEastAsia" w:eastAsiaTheme="minorEastAsia"/>
      <w:sz w:val="24"/>
      <w:szCs w:val="24"/>
    </w:rPr>
  </w:style>
  <w:style w:type="character" w:customStyle="1" w:styleId="18">
    <w:name w:val="正文首行缩进 2 Char"/>
    <w:basedOn w:val="17"/>
    <w:link w:val="13"/>
    <w:qFormat/>
    <w:uiPriority w:val="0"/>
    <w:rPr>
      <w:rFonts w:asciiTheme="minorHAnsi" w:hAnsiTheme="minorHAnsi" w:cstheme="minorBidi"/>
      <w:kern w:val="2"/>
      <w:sz w:val="21"/>
    </w:rPr>
  </w:style>
  <w:style w:type="character" w:customStyle="1" w:styleId="19">
    <w:name w:val="页眉 Char"/>
    <w:basedOn w:val="15"/>
    <w:link w:val="10"/>
    <w:qFormat/>
    <w:uiPriority w:val="0"/>
    <w:rPr>
      <w:rFonts w:asciiTheme="minorEastAsia" w:hAnsiTheme="minorEastAsia" w:eastAsiaTheme="minorEastAsia"/>
      <w:sz w:val="18"/>
      <w:szCs w:val="18"/>
    </w:rPr>
  </w:style>
  <w:style w:type="character" w:customStyle="1" w:styleId="20">
    <w:name w:val="页脚 Char"/>
    <w:basedOn w:val="15"/>
    <w:link w:val="9"/>
    <w:qFormat/>
    <w:uiPriority w:val="0"/>
    <w:rPr>
      <w:rFonts w:asciiTheme="minorEastAsia" w:hAnsiTheme="minorEastAsia" w:eastAsiaTheme="minorEastAsi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8009</Words>
  <Characters>8667</Characters>
  <Lines>65</Lines>
  <Paragraphs>18</Paragraphs>
  <TotalTime>0</TotalTime>
  <ScaleCrop>false</ScaleCrop>
  <LinksUpToDate>false</LinksUpToDate>
  <CharactersWithSpaces>8831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2023-09-09T02:49:00Z</dcterms:created>
  <dc:creator>Administrator</dc:creator>
  <cp:lastModifiedBy>对影成三人</cp:lastModifiedBy>
  <dcterms:modified xsi:type="dcterms:W3CDTF">2026-08-19T09:30:31Z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DB51537D28B242A88D8BFA51A1FD6AE9_12</vt:lpwstr>
  </property>
  <property fmtid="{D5CDD505-2E9C-101B-9397-08002B2CF9AE}" pid="4" name="KSOTemplateDocerSaveRecord">
    <vt:lpwstr>eyJoZGlkIjoiYjA1ZDg3Y2Y1MzJlNDVjZjA5NTk4YjViYTliYmM3NTYiLCJ1c2VySWQiOiIyNDIyNDYwNDUifQ==</vt:lpwstr>
  </property>
</Properties>
</file>