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6F2CE">
      <w:pPr>
        <w:pStyle w:val="8"/>
        <w:spacing w:before="93"/>
        <w:rPr>
          <w:rFonts w:ascii="黑体" w:hAnsi="黑体" w:eastAsia="黑体" w:cs="黑体"/>
          <w:kern w:val="2"/>
          <w:sz w:val="32"/>
          <w:szCs w:val="32"/>
        </w:rPr>
      </w:pPr>
      <w:bookmarkStart w:id="0" w:name="_Toc15378441"/>
      <w:bookmarkStart w:id="1" w:name="_Toc15396475"/>
      <w:bookmarkStart w:id="2" w:name="_Toc15377425"/>
      <w:bookmarkStart w:id="3" w:name="_Toc15396597"/>
      <w:bookmarkStart w:id="4" w:name="_Toc15377193"/>
      <w:bookmarkStart w:id="5" w:name="_Toc15306267"/>
      <w:r>
        <w:rPr>
          <w:rFonts w:hint="eastAsia" w:ascii="黑体" w:hAnsi="黑体" w:eastAsia="黑体" w:cs="黑体"/>
          <w:kern w:val="2"/>
          <w:sz w:val="32"/>
          <w:szCs w:val="32"/>
        </w:rPr>
        <w:t>附件4</w:t>
      </w:r>
    </w:p>
    <w:p w14:paraId="07FB31FA">
      <w:pPr>
        <w:pStyle w:val="8"/>
        <w:spacing w:before="93"/>
        <w:rPr>
          <w:rFonts w:ascii="Times New Roman" w:eastAsia="方正小标宋简体"/>
          <w:kern w:val="2"/>
          <w:sz w:val="72"/>
          <w:szCs w:val="72"/>
        </w:rPr>
      </w:pPr>
    </w:p>
    <w:p w14:paraId="2D9720CB">
      <w:pPr>
        <w:pStyle w:val="8"/>
        <w:spacing w:before="93"/>
        <w:rPr>
          <w:rFonts w:ascii="Times New Roman" w:eastAsia="方正小标宋简体"/>
          <w:kern w:val="2"/>
          <w:sz w:val="72"/>
          <w:szCs w:val="72"/>
        </w:rPr>
      </w:pPr>
    </w:p>
    <w:p w14:paraId="08CD7338">
      <w:pPr>
        <w:pStyle w:val="8"/>
        <w:spacing w:before="93"/>
        <w:rPr>
          <w:rFonts w:ascii="Times New Roman" w:eastAsia="方正小标宋简体"/>
          <w:kern w:val="2"/>
          <w:sz w:val="72"/>
          <w:szCs w:val="72"/>
        </w:rPr>
      </w:pPr>
    </w:p>
    <w:p w14:paraId="5894D0A4">
      <w:pPr>
        <w:pStyle w:val="8"/>
        <w:spacing w:before="93"/>
        <w:rPr>
          <w:rFonts w:ascii="Times New Roman" w:eastAsia="方正小标宋简体"/>
          <w:kern w:val="2"/>
          <w:sz w:val="72"/>
          <w:szCs w:val="72"/>
        </w:rPr>
      </w:pPr>
    </w:p>
    <w:p w14:paraId="4B53175B">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2025年度省级部门（单位）决算</w:t>
      </w:r>
    </w:p>
    <w:p w14:paraId="78582BE0">
      <w:pPr>
        <w:spacing w:line="600" w:lineRule="exact"/>
        <w:jc w:val="center"/>
        <w:outlineLvl w:val="0"/>
        <w:rPr>
          <w:rFonts w:eastAsia="方正小标宋简体"/>
          <w:sz w:val="72"/>
          <w:szCs w:val="72"/>
        </w:rPr>
      </w:pPr>
    </w:p>
    <w:p w14:paraId="133AFDB9">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785AD14C"/>
    <w:p w14:paraId="763666F1">
      <w:pPr>
        <w:pStyle w:val="8"/>
        <w:spacing w:before="93"/>
        <w:jc w:val="center"/>
        <w:rPr>
          <w:rFonts w:ascii="Times New Roman" w:eastAsia="方正小标宋简体"/>
          <w:kern w:val="2"/>
          <w:sz w:val="44"/>
          <w:szCs w:val="44"/>
        </w:rPr>
      </w:pPr>
    </w:p>
    <w:p w14:paraId="03E39A18">
      <w:pPr>
        <w:pStyle w:val="8"/>
        <w:spacing w:before="93"/>
        <w:jc w:val="center"/>
        <w:rPr>
          <w:rFonts w:ascii="Times New Roman" w:eastAsia="方正小标宋简体"/>
          <w:kern w:val="2"/>
          <w:sz w:val="44"/>
          <w:szCs w:val="44"/>
        </w:rPr>
      </w:pPr>
    </w:p>
    <w:p w14:paraId="1CF2F77E">
      <w:pPr>
        <w:pStyle w:val="8"/>
        <w:spacing w:before="93"/>
        <w:jc w:val="center"/>
        <w:rPr>
          <w:rFonts w:ascii="Times New Roman" w:eastAsia="方正小标宋简体"/>
          <w:kern w:val="2"/>
          <w:sz w:val="44"/>
          <w:szCs w:val="44"/>
        </w:rPr>
      </w:pPr>
    </w:p>
    <w:p w14:paraId="766118A1">
      <w:pPr>
        <w:pStyle w:val="8"/>
        <w:spacing w:before="93"/>
        <w:jc w:val="center"/>
        <w:rPr>
          <w:rFonts w:ascii="Times New Roman" w:eastAsia="方正小标宋简体"/>
          <w:kern w:val="2"/>
          <w:sz w:val="44"/>
          <w:szCs w:val="44"/>
        </w:rPr>
      </w:pPr>
    </w:p>
    <w:bookmarkEnd w:id="0"/>
    <w:bookmarkEnd w:id="1"/>
    <w:bookmarkEnd w:id="2"/>
    <w:bookmarkEnd w:id="3"/>
    <w:bookmarkEnd w:id="4"/>
    <w:p w14:paraId="4187AE67">
      <w:pPr>
        <w:pStyle w:val="8"/>
        <w:spacing w:before="93"/>
        <w:jc w:val="center"/>
        <w:rPr>
          <w:rFonts w:ascii="Times New Roman" w:eastAsia="方正小标宋简体"/>
          <w:kern w:val="2"/>
          <w:sz w:val="44"/>
          <w:szCs w:val="44"/>
        </w:rPr>
      </w:pPr>
      <w:bookmarkStart w:id="6" w:name="_Toc15396598"/>
      <w:bookmarkStart w:id="7" w:name="_Toc15377426"/>
      <w:bookmarkStart w:id="8" w:name="_Toc15396476"/>
      <w:bookmarkStart w:id="9" w:name="_Toc15378442"/>
      <w:bookmarkStart w:id="10" w:name="_Toc15377194"/>
      <w:r>
        <w:rPr>
          <w:rFonts w:hint="eastAsia" w:ascii="Times New Roman" w:eastAsia="方正小标宋简体"/>
          <w:kern w:val="2"/>
          <w:sz w:val="44"/>
          <w:szCs w:val="44"/>
        </w:rPr>
        <w:t>2025年度四川省</w:t>
      </w:r>
      <w:bookmarkEnd w:id="5"/>
      <w:bookmarkStart w:id="11" w:name="_Toc15306268"/>
      <w:r>
        <w:rPr>
          <w:rFonts w:hint="eastAsia" w:ascii="Times New Roman" w:eastAsia="方正小标宋简体"/>
          <w:kern w:val="2"/>
          <w:sz w:val="44"/>
          <w:szCs w:val="44"/>
        </w:rPr>
        <w:t>松潘县公务服务中心</w:t>
      </w:r>
    </w:p>
    <w:p w14:paraId="493F1646">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w:t>
      </w:r>
      <w:bookmarkEnd w:id="6"/>
      <w:bookmarkEnd w:id="7"/>
      <w:bookmarkEnd w:id="8"/>
      <w:bookmarkEnd w:id="9"/>
      <w:bookmarkEnd w:id="10"/>
      <w:bookmarkEnd w:id="11"/>
      <w:r>
        <w:rPr>
          <w:rFonts w:hint="eastAsia" w:ascii="Times New Roman" w:eastAsia="方正小标宋简体"/>
          <w:kern w:val="2"/>
          <w:sz w:val="44"/>
          <w:szCs w:val="44"/>
        </w:rPr>
        <w:t>公开</w:t>
      </w:r>
    </w:p>
    <w:p w14:paraId="54FB93A5">
      <w:pPr>
        <w:widowControl/>
        <w:jc w:val="center"/>
        <w:rPr>
          <w:rFonts w:eastAsia="黑体"/>
          <w:sz w:val="48"/>
          <w:szCs w:val="48"/>
        </w:rPr>
      </w:pPr>
    </w:p>
    <w:p w14:paraId="53E713E1">
      <w:pPr>
        <w:widowControl/>
        <w:jc w:val="center"/>
        <w:rPr>
          <w:rFonts w:eastAsia="黑体"/>
          <w:sz w:val="48"/>
          <w:szCs w:val="48"/>
        </w:rPr>
      </w:pPr>
    </w:p>
    <w:p w14:paraId="5349DD10">
      <w:pPr>
        <w:widowControl/>
        <w:jc w:val="center"/>
        <w:rPr>
          <w:rFonts w:eastAsia="黑体"/>
          <w:sz w:val="48"/>
          <w:szCs w:val="48"/>
        </w:rPr>
      </w:pPr>
    </w:p>
    <w:p w14:paraId="38AC3E26">
      <w:pPr>
        <w:widowControl/>
        <w:jc w:val="center"/>
        <w:rPr>
          <w:rFonts w:eastAsia="黑体"/>
          <w:sz w:val="48"/>
          <w:szCs w:val="48"/>
        </w:rPr>
      </w:pPr>
    </w:p>
    <w:p w14:paraId="6592AAF6">
      <w:pPr>
        <w:widowControl/>
        <w:jc w:val="center"/>
        <w:rPr>
          <w:rFonts w:eastAsia="黑体"/>
          <w:sz w:val="48"/>
          <w:szCs w:val="48"/>
        </w:rPr>
      </w:pPr>
    </w:p>
    <w:p w14:paraId="7D37BA65">
      <w:pPr>
        <w:widowControl/>
        <w:jc w:val="center"/>
        <w:rPr>
          <w:rFonts w:eastAsia="黑体"/>
          <w:sz w:val="48"/>
          <w:szCs w:val="48"/>
        </w:rPr>
      </w:pPr>
    </w:p>
    <w:p w14:paraId="17C4650A">
      <w:pPr>
        <w:widowControl/>
        <w:jc w:val="center"/>
        <w:rPr>
          <w:rFonts w:eastAsia="黑体"/>
          <w:sz w:val="48"/>
          <w:szCs w:val="48"/>
        </w:rPr>
      </w:pPr>
    </w:p>
    <w:p w14:paraId="4D2CFF83">
      <w:pPr>
        <w:widowControl/>
        <w:jc w:val="center"/>
        <w:rPr>
          <w:rFonts w:eastAsia="黑体"/>
          <w:sz w:val="48"/>
          <w:szCs w:val="48"/>
        </w:rPr>
      </w:pPr>
    </w:p>
    <w:p w14:paraId="7CEBDDB5">
      <w:pPr>
        <w:widowControl/>
        <w:jc w:val="center"/>
        <w:rPr>
          <w:rFonts w:eastAsia="黑体"/>
          <w:sz w:val="48"/>
          <w:szCs w:val="48"/>
        </w:rPr>
      </w:pPr>
    </w:p>
    <w:p w14:paraId="1F9D6C69">
      <w:pPr>
        <w:widowControl/>
        <w:jc w:val="center"/>
        <w:rPr>
          <w:rFonts w:eastAsia="黑体"/>
          <w:sz w:val="48"/>
          <w:szCs w:val="48"/>
        </w:rPr>
      </w:pPr>
    </w:p>
    <w:p w14:paraId="5EE5D9B7">
      <w:pPr>
        <w:widowControl/>
        <w:jc w:val="center"/>
        <w:rPr>
          <w:rFonts w:eastAsia="黑体"/>
          <w:sz w:val="48"/>
          <w:szCs w:val="48"/>
        </w:rPr>
      </w:pPr>
    </w:p>
    <w:p w14:paraId="6E6A66E6">
      <w:pPr>
        <w:widowControl/>
        <w:jc w:val="center"/>
        <w:rPr>
          <w:rFonts w:eastAsia="黑体"/>
          <w:sz w:val="48"/>
          <w:szCs w:val="48"/>
        </w:rPr>
      </w:pPr>
    </w:p>
    <w:p w14:paraId="32B76FCB">
      <w:pPr>
        <w:widowControl/>
        <w:jc w:val="center"/>
        <w:rPr>
          <w:rFonts w:eastAsia="黑体"/>
          <w:sz w:val="48"/>
          <w:szCs w:val="48"/>
        </w:rPr>
      </w:pPr>
    </w:p>
    <w:p w14:paraId="27F0052B">
      <w:pPr>
        <w:widowControl/>
        <w:jc w:val="center"/>
        <w:rPr>
          <w:rFonts w:eastAsia="黑体"/>
          <w:sz w:val="48"/>
          <w:szCs w:val="48"/>
        </w:rPr>
      </w:pPr>
      <w:r>
        <w:rPr>
          <w:rFonts w:hint="eastAsia" w:eastAsia="黑体"/>
          <w:sz w:val="48"/>
          <w:szCs w:val="48"/>
        </w:rPr>
        <w:t>目录</w:t>
      </w:r>
    </w:p>
    <w:p w14:paraId="7F920027">
      <w:pPr>
        <w:widowControl/>
        <w:jc w:val="center"/>
        <w:rPr>
          <w:rFonts w:eastAsia="黑体" w:cstheme="minorBidi"/>
          <w:sz w:val="28"/>
          <w:szCs w:val="28"/>
        </w:rPr>
      </w:pPr>
    </w:p>
    <w:p w14:paraId="62F8DD87">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公开时间：2026年10月15日</w:t>
      </w:r>
    </w:p>
    <w:p w14:paraId="781AB012"/>
    <w:p w14:paraId="32B6726E">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3B87C64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p>
    <w:p w14:paraId="79147C0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p>
    <w:p w14:paraId="1F0CCE7D">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p>
    <w:p w14:paraId="6C53990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p>
    <w:p w14:paraId="3C1C0F5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p>
    <w:p w14:paraId="094AD6D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p>
    <w:p w14:paraId="3FCC1DC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p>
    <w:p w14:paraId="583F5C9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p>
    <w:p w14:paraId="4CFE4A9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p>
    <w:p w14:paraId="71A029A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p>
    <w:p w14:paraId="68FA4EA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p>
    <w:p w14:paraId="482C03B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p>
    <w:p w14:paraId="57D9392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p>
    <w:p w14:paraId="33A2BA90">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p>
    <w:p w14:paraId="65A515EF">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p>
    <w:p w14:paraId="2A04745A">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p>
    <w:p w14:paraId="223E20B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7FCF0DF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4C10026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282499C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3F98380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289B350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6566E68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39E822F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7AF23AA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2DE9A9A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64ACA47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32D5051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3CE259D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1D1B0D9F">
      <w:pPr>
        <w:widowControl/>
        <w:spacing w:line="560" w:lineRule="exact"/>
        <w:jc w:val="left"/>
        <w:rPr>
          <w:rFonts w:eastAsia="仿宋_GB2312" w:cs="仿宋_GB2312"/>
          <w:bCs/>
          <w:kern w:val="44"/>
          <w:sz w:val="32"/>
          <w:szCs w:val="32"/>
        </w:rPr>
      </w:pPr>
      <w:bookmarkStart w:id="12" w:name="_Toc15396599"/>
      <w:bookmarkStart w:id="13" w:name="_Toc15377196"/>
      <w:r>
        <w:rPr>
          <w:rFonts w:hint="eastAsia" w:eastAsia="仿宋_GB2312" w:cs="仿宋_GB2312"/>
          <w:b/>
          <w:sz w:val="32"/>
          <w:szCs w:val="32"/>
        </w:rPr>
        <w:br w:type="page"/>
      </w:r>
    </w:p>
    <w:p w14:paraId="653D20CB">
      <w:pPr>
        <w:pStyle w:val="5"/>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12"/>
      <w:bookmarkEnd w:id="13"/>
    </w:p>
    <w:p w14:paraId="3BB44413">
      <w:pPr>
        <w:widowControl/>
        <w:jc w:val="left"/>
        <w:rPr>
          <w:rFonts w:eastAsia="黑体"/>
          <w:sz w:val="32"/>
          <w:szCs w:val="32"/>
        </w:rPr>
      </w:pPr>
    </w:p>
    <w:p w14:paraId="089C5F09">
      <w:pPr>
        <w:pStyle w:val="6"/>
        <w:numPr>
          <w:ilvl w:val="0"/>
          <w:numId w:val="1"/>
        </w:numPr>
        <w:rPr>
          <w:rFonts w:ascii="Times New Roman" w:hAnsi="Times New Roman" w:eastAsia="黑体"/>
          <w:b w:val="0"/>
        </w:rPr>
      </w:pPr>
      <w:r>
        <w:rPr>
          <w:rFonts w:hint="eastAsia" w:ascii="Times New Roman" w:hAnsi="Times New Roman" w:eastAsia="黑体"/>
          <w:b w:val="0"/>
        </w:rPr>
        <w:t>部门职责</w:t>
      </w:r>
    </w:p>
    <w:p w14:paraId="505616CF">
      <w:pPr>
        <w:snapToGrid w:val="0"/>
        <w:spacing w:line="520" w:lineRule="exact"/>
        <w:ind w:firstLine="640" w:firstLineChars="200"/>
        <w:rPr>
          <w:rFonts w:ascii="黑体" w:eastAsia="黑体"/>
          <w:sz w:val="32"/>
          <w:szCs w:val="32"/>
        </w:rPr>
      </w:pPr>
      <w:bookmarkStart w:id="14" w:name="YS060101"/>
      <w:r>
        <w:rPr>
          <w:rFonts w:hint="eastAsia" w:ascii="黑体" w:eastAsia="黑体"/>
          <w:sz w:val="32"/>
          <w:szCs w:val="32"/>
        </w:rPr>
        <w:t>一、部门情况</w:t>
      </w:r>
    </w:p>
    <w:bookmarkEnd w:id="14"/>
    <w:p w14:paraId="0A81E078">
      <w:pPr>
        <w:snapToGrid w:val="0"/>
        <w:spacing w:line="520" w:lineRule="exact"/>
        <w:ind w:firstLine="643" w:firstLineChars="200"/>
        <w:rPr>
          <w:rFonts w:ascii="楷体_GB2312" w:eastAsia="楷体_GB2312"/>
          <w:b/>
          <w:sz w:val="32"/>
          <w:szCs w:val="32"/>
        </w:rPr>
      </w:pPr>
      <w:r>
        <w:rPr>
          <w:rFonts w:hint="eastAsia" w:ascii="楷体_GB2312" w:eastAsia="楷体_GB2312"/>
          <w:b/>
          <w:sz w:val="32"/>
          <w:szCs w:val="32"/>
        </w:rPr>
        <w:t>（一）基本情况。</w:t>
      </w:r>
    </w:p>
    <w:p w14:paraId="6EBE21AA">
      <w:pPr>
        <w:numPr>
          <w:ilvl w:val="0"/>
          <w:numId w:val="2"/>
        </w:numPr>
        <w:snapToGrid w:val="0"/>
        <w:spacing w:line="520" w:lineRule="exact"/>
        <w:rPr>
          <w:rFonts w:ascii="仿宋_GB2312" w:eastAsia="仿宋_GB2312"/>
          <w:sz w:val="32"/>
          <w:szCs w:val="32"/>
        </w:rPr>
      </w:pPr>
      <w:r>
        <w:rPr>
          <w:rFonts w:hint="eastAsia" w:ascii="仿宋_GB2312" w:eastAsia="仿宋_GB2312"/>
          <w:sz w:val="32"/>
          <w:szCs w:val="32"/>
        </w:rPr>
        <w:t>主要职能。</w:t>
      </w:r>
    </w:p>
    <w:p w14:paraId="69EB1075">
      <w:pPr>
        <w:spacing w:line="580" w:lineRule="exact"/>
        <w:ind w:firstLine="640" w:firstLineChars="200"/>
        <w:rPr>
          <w:rFonts w:ascii="仿宋_GB2312" w:eastAsia="仿宋_GB2312"/>
          <w:kern w:val="0"/>
          <w:sz w:val="32"/>
          <w:szCs w:val="32"/>
        </w:rPr>
      </w:pPr>
      <w:r>
        <w:rPr>
          <w:rFonts w:hint="eastAsia" w:ascii="仿宋_GB2312" w:eastAsia="仿宋_GB2312"/>
          <w:kern w:val="0"/>
          <w:sz w:val="32"/>
          <w:szCs w:val="32"/>
        </w:rPr>
        <w:t>（1）负责党和国家领导人（含曾经担任）、省委、省人大、省政府、省政协副厅（局）级以上领导（含曾经担任）、州委、州人大、州政府、州政协副厅（局）级以上领导（含曾经担任）来县的服务保障。</w:t>
      </w:r>
    </w:p>
    <w:p w14:paraId="2808860C">
      <w:pPr>
        <w:spacing w:line="580" w:lineRule="exact"/>
        <w:ind w:firstLine="640" w:firstLineChars="200"/>
        <w:rPr>
          <w:rFonts w:ascii="仿宋_GB2312" w:eastAsia="仿宋_GB2312"/>
          <w:kern w:val="0"/>
          <w:sz w:val="32"/>
          <w:szCs w:val="32"/>
        </w:rPr>
      </w:pPr>
      <w:r>
        <w:rPr>
          <w:rFonts w:hint="eastAsia" w:ascii="仿宋_GB2312" w:eastAsia="仿宋_GB2312"/>
          <w:kern w:val="0"/>
          <w:sz w:val="32"/>
          <w:szCs w:val="32"/>
        </w:rPr>
        <w:t>（2）按照有关规定负责和参与党中央、国务院、省委、省政府、州委、州政府巡视、检查、督查（督导、督察）、考察、调研、考核、审计等工作组来县的服务保障。</w:t>
      </w:r>
    </w:p>
    <w:p w14:paraId="7B2569E9">
      <w:pPr>
        <w:spacing w:line="580" w:lineRule="exact"/>
        <w:ind w:firstLine="640" w:firstLineChars="200"/>
        <w:rPr>
          <w:rFonts w:ascii="仿宋_GB2312" w:eastAsia="仿宋_GB2312"/>
          <w:kern w:val="0"/>
          <w:sz w:val="32"/>
          <w:szCs w:val="32"/>
        </w:rPr>
      </w:pPr>
      <w:r>
        <w:rPr>
          <w:rFonts w:hint="eastAsia" w:ascii="仿宋_GB2312" w:eastAsia="仿宋_GB2312"/>
          <w:kern w:val="0"/>
          <w:sz w:val="32"/>
          <w:szCs w:val="32"/>
        </w:rPr>
        <w:t>（3）负责外省（区、市、州、县）党委、政府副厅（局）级以上领导干部来县的服务保障；会同县级有关部门承担中央和国家机关各部委副厅（局）级以上领导干部、省委、省政府及省级部门副厅（局）级以上领导干部、州委、州政府副厅（局）级以上领导干部来县的服务保障；参与县人大常委会办公室、县政协办公室牵头对口接待副厅（局）级以上领导干部来县的服务保障。</w:t>
      </w:r>
    </w:p>
    <w:p w14:paraId="3A4E88AD">
      <w:pPr>
        <w:spacing w:line="580" w:lineRule="exact"/>
        <w:ind w:firstLine="640" w:firstLineChars="200"/>
        <w:rPr>
          <w:rFonts w:ascii="仿宋_GB2312" w:eastAsia="仿宋_GB2312"/>
          <w:kern w:val="0"/>
          <w:sz w:val="32"/>
          <w:szCs w:val="32"/>
        </w:rPr>
      </w:pPr>
      <w:r>
        <w:rPr>
          <w:rFonts w:hint="eastAsia" w:ascii="仿宋_GB2312" w:eastAsia="仿宋_GB2312"/>
          <w:kern w:val="0"/>
          <w:sz w:val="32"/>
          <w:szCs w:val="32"/>
        </w:rPr>
        <w:t>（4）负责或参与外省（区、市、州、县）党政代表团来县考察的协调联络和服务保障。</w:t>
      </w:r>
    </w:p>
    <w:p w14:paraId="52877C1B">
      <w:pPr>
        <w:spacing w:line="580" w:lineRule="exact"/>
        <w:ind w:firstLine="640" w:firstLineChars="200"/>
        <w:rPr>
          <w:rFonts w:ascii="仿宋_GB2312" w:eastAsia="仿宋_GB2312"/>
          <w:kern w:val="0"/>
          <w:sz w:val="32"/>
          <w:szCs w:val="32"/>
        </w:rPr>
      </w:pPr>
      <w:r>
        <w:rPr>
          <w:rFonts w:hint="eastAsia" w:ascii="仿宋_GB2312" w:eastAsia="仿宋_GB2312"/>
          <w:kern w:val="0"/>
          <w:sz w:val="32"/>
          <w:szCs w:val="32"/>
        </w:rPr>
        <w:t>（5）负责我县党政代表团赴外省（州、市、区、县）考察的协调联络和服务保障。</w:t>
      </w:r>
    </w:p>
    <w:p w14:paraId="1C7E8E4A">
      <w:pPr>
        <w:spacing w:line="580" w:lineRule="exact"/>
        <w:ind w:firstLine="640" w:firstLineChars="200"/>
        <w:rPr>
          <w:rFonts w:ascii="仿宋_GB2312" w:eastAsia="仿宋_GB2312"/>
          <w:kern w:val="0"/>
          <w:sz w:val="32"/>
          <w:szCs w:val="32"/>
        </w:rPr>
      </w:pPr>
      <w:r>
        <w:rPr>
          <w:rFonts w:hint="eastAsia" w:ascii="仿宋_GB2312" w:eastAsia="仿宋_GB2312"/>
          <w:kern w:val="0"/>
          <w:sz w:val="32"/>
          <w:szCs w:val="32"/>
        </w:rPr>
        <w:t>（6）负责县委、县政府交办的由县公务服务中心承担的外事接待和招商引资事项的服务保障。</w:t>
      </w:r>
    </w:p>
    <w:p w14:paraId="5DD29430">
      <w:pPr>
        <w:spacing w:line="580" w:lineRule="exact"/>
        <w:ind w:firstLine="640" w:firstLineChars="200"/>
        <w:rPr>
          <w:rFonts w:ascii="仿宋_GB2312" w:eastAsia="仿宋_GB2312"/>
          <w:kern w:val="0"/>
          <w:sz w:val="32"/>
          <w:szCs w:val="32"/>
        </w:rPr>
      </w:pPr>
      <w:r>
        <w:rPr>
          <w:rFonts w:hint="eastAsia" w:ascii="仿宋_GB2312" w:eastAsia="仿宋_GB2312"/>
          <w:kern w:val="0"/>
          <w:sz w:val="32"/>
          <w:szCs w:val="32"/>
        </w:rPr>
        <w:t>（7）按照中央八项规定、</w:t>
      </w:r>
      <w:r>
        <w:rPr>
          <w:rFonts w:hint="eastAsia" w:ascii="仿宋_GB2312" w:eastAsia="仿宋_GB2312"/>
          <w:kern w:val="0"/>
          <w:sz w:val="32"/>
          <w:szCs w:val="32"/>
          <w:lang w:eastAsia="zh-CN"/>
        </w:rPr>
        <w:t>省委、省政府</w:t>
      </w:r>
      <w:r>
        <w:rPr>
          <w:rFonts w:hint="eastAsia" w:ascii="仿宋_GB2312" w:eastAsia="仿宋_GB2312"/>
          <w:kern w:val="0"/>
          <w:sz w:val="32"/>
          <w:szCs w:val="32"/>
        </w:rPr>
        <w:t>十项规定、</w:t>
      </w:r>
      <w:r>
        <w:rPr>
          <w:rFonts w:hint="eastAsia" w:ascii="仿宋_GB2312" w:eastAsia="仿宋_GB2312"/>
          <w:kern w:val="0"/>
          <w:sz w:val="32"/>
          <w:szCs w:val="32"/>
          <w:lang w:eastAsia="zh-CN"/>
        </w:rPr>
        <w:t>州委、州政府</w:t>
      </w:r>
      <w:r>
        <w:rPr>
          <w:rFonts w:hint="eastAsia" w:ascii="仿宋_GB2312" w:eastAsia="仿宋_GB2312"/>
          <w:kern w:val="0"/>
          <w:sz w:val="32"/>
          <w:szCs w:val="32"/>
        </w:rPr>
        <w:t>八条意见和</w:t>
      </w:r>
      <w:r>
        <w:rPr>
          <w:rFonts w:hint="eastAsia" w:ascii="仿宋_GB2312" w:eastAsia="仿宋_GB2312"/>
          <w:kern w:val="0"/>
          <w:sz w:val="32"/>
          <w:szCs w:val="32"/>
          <w:lang w:eastAsia="zh-CN"/>
        </w:rPr>
        <w:t>县委、县政府</w:t>
      </w:r>
      <w:r>
        <w:rPr>
          <w:rFonts w:hint="eastAsia" w:ascii="仿宋_GB2312" w:eastAsia="仿宋_GB2312"/>
          <w:kern w:val="0"/>
          <w:sz w:val="32"/>
          <w:szCs w:val="32"/>
        </w:rPr>
        <w:t>十二条意见及其实施细则要求，负责联系协调县级有关部门及关联单位承办县委、县政府重大公务活动的服务工作。</w:t>
      </w:r>
    </w:p>
    <w:p w14:paraId="628762D1">
      <w:pPr>
        <w:spacing w:line="580" w:lineRule="exact"/>
        <w:ind w:firstLine="640" w:firstLineChars="200"/>
        <w:rPr>
          <w:rFonts w:ascii="仿宋_GB2312" w:eastAsia="仿宋_GB2312"/>
          <w:kern w:val="0"/>
          <w:sz w:val="32"/>
          <w:szCs w:val="32"/>
        </w:rPr>
      </w:pPr>
      <w:r>
        <w:rPr>
          <w:rFonts w:hint="eastAsia" w:ascii="仿宋_GB2312" w:eastAsia="仿宋_GB2312"/>
          <w:kern w:val="0"/>
          <w:sz w:val="32"/>
          <w:szCs w:val="32"/>
        </w:rPr>
        <w:t>（8）会同县级有关部门承担县委、县政府交办的大型会议、活动的接待服务保障工作。</w:t>
      </w:r>
    </w:p>
    <w:p w14:paraId="214280A7">
      <w:pPr>
        <w:spacing w:line="580" w:lineRule="exact"/>
        <w:ind w:firstLine="640" w:firstLineChars="200"/>
        <w:rPr>
          <w:rFonts w:ascii="仿宋_GB2312" w:eastAsia="仿宋_GB2312"/>
          <w:kern w:val="0"/>
          <w:sz w:val="32"/>
          <w:szCs w:val="32"/>
        </w:rPr>
      </w:pPr>
      <w:r>
        <w:rPr>
          <w:rFonts w:hint="eastAsia" w:ascii="仿宋_GB2312" w:eastAsia="仿宋_GB2312"/>
          <w:kern w:val="0"/>
          <w:sz w:val="32"/>
          <w:szCs w:val="32"/>
        </w:rPr>
        <w:t>（9）指导乡（镇）、县级部门的公务活动服务保障工作，参与拟定全县公务服务相关规定。</w:t>
      </w:r>
    </w:p>
    <w:p w14:paraId="312F21FB">
      <w:pPr>
        <w:spacing w:line="580" w:lineRule="exact"/>
        <w:ind w:firstLine="640" w:firstLineChars="200"/>
        <w:rPr>
          <w:rFonts w:ascii="仿宋_GB2312" w:eastAsia="仿宋_GB2312"/>
          <w:kern w:val="0"/>
          <w:sz w:val="32"/>
          <w:szCs w:val="32"/>
        </w:rPr>
      </w:pPr>
      <w:r>
        <w:rPr>
          <w:rFonts w:hint="eastAsia" w:ascii="仿宋_GB2312" w:eastAsia="仿宋_GB2312"/>
          <w:kern w:val="0"/>
          <w:sz w:val="32"/>
          <w:szCs w:val="32"/>
        </w:rPr>
        <w:t>（10）负责办理中办警卫局、省警卫局安排的有关在县事务。</w:t>
      </w:r>
    </w:p>
    <w:p w14:paraId="2CDE166D">
      <w:pPr>
        <w:pStyle w:val="35"/>
        <w:ind w:firstLine="640"/>
      </w:pPr>
      <w:r>
        <w:rPr>
          <w:rFonts w:hint="eastAsia" w:ascii="仿宋_GB2312" w:eastAsia="仿宋_GB2312"/>
          <w:kern w:val="0"/>
          <w:sz w:val="32"/>
          <w:szCs w:val="32"/>
        </w:rPr>
        <w:t>（11）完成县委、县政府交办的其他任务。</w:t>
      </w:r>
    </w:p>
    <w:p w14:paraId="4A030900">
      <w:pPr>
        <w:spacing w:line="580" w:lineRule="exact"/>
        <w:ind w:firstLine="640" w:firstLineChars="200"/>
        <w:rPr>
          <w:rFonts w:ascii="仿宋_GB2312" w:eastAsia="仿宋_GB2312"/>
          <w:kern w:val="0"/>
          <w:sz w:val="32"/>
          <w:szCs w:val="32"/>
        </w:rPr>
      </w:pPr>
      <w:r>
        <w:rPr>
          <w:rFonts w:hint="eastAsia" w:ascii="仿宋_GB2312" w:eastAsia="仿宋_GB2312"/>
          <w:sz w:val="32"/>
          <w:szCs w:val="32"/>
          <w:lang w:eastAsia="zh-CN"/>
        </w:rPr>
        <w:t>2.</w:t>
      </w:r>
      <w:r>
        <w:rPr>
          <w:rFonts w:hint="eastAsia" w:ascii="仿宋_GB2312" w:eastAsia="仿宋_GB2312"/>
          <w:bCs/>
          <w:kern w:val="0"/>
          <w:sz w:val="32"/>
          <w:szCs w:val="32"/>
        </w:rPr>
        <w:t>本部门本年度纳入本套决算编制范围的独立编制机构数共1个，比上年增加0个，独立核算机构数共1个，比上年增加0个。</w:t>
      </w:r>
    </w:p>
    <w:p w14:paraId="1D884CAF">
      <w:pPr>
        <w:snapToGrid w:val="0"/>
        <w:spacing w:line="520" w:lineRule="exact"/>
        <w:ind w:firstLine="640" w:firstLineChars="200"/>
        <w:rPr>
          <w:rFonts w:ascii="仿宋_GB2312" w:eastAsia="仿宋_GB2312"/>
          <w:sz w:val="32"/>
          <w:szCs w:val="32"/>
        </w:rPr>
      </w:pPr>
      <w:r>
        <w:rPr>
          <w:rFonts w:hint="eastAsia" w:ascii="仿宋_GB2312" w:eastAsia="仿宋_GB2312"/>
          <w:sz w:val="32"/>
          <w:szCs w:val="32"/>
          <w:lang w:eastAsia="zh-CN"/>
        </w:rPr>
        <w:t>3.</w:t>
      </w:r>
      <w:r>
        <w:rPr>
          <w:rFonts w:eastAsia="仿宋_GB2312"/>
          <w:bCs/>
          <w:sz w:val="32"/>
          <w:szCs w:val="32"/>
        </w:rPr>
        <w:t>本部门本年度年末实有人数为</w:t>
      </w:r>
      <w:r>
        <w:rPr>
          <w:rFonts w:hint="eastAsia" w:eastAsia="仿宋_GB2312"/>
          <w:bCs/>
          <w:sz w:val="32"/>
          <w:szCs w:val="32"/>
        </w:rPr>
        <w:t>7</w:t>
      </w:r>
      <w:r>
        <w:rPr>
          <w:rFonts w:eastAsia="仿宋_GB2312"/>
          <w:bCs/>
          <w:sz w:val="32"/>
          <w:szCs w:val="32"/>
        </w:rPr>
        <w:t>人，比上年增加</w:t>
      </w:r>
      <w:r>
        <w:rPr>
          <w:rFonts w:hint="eastAsia" w:eastAsia="仿宋_GB2312"/>
          <w:bCs/>
          <w:sz w:val="32"/>
          <w:szCs w:val="32"/>
        </w:rPr>
        <w:t>1</w:t>
      </w:r>
      <w:r>
        <w:rPr>
          <w:rFonts w:eastAsia="仿宋_GB2312"/>
          <w:bCs/>
          <w:sz w:val="32"/>
          <w:szCs w:val="32"/>
        </w:rPr>
        <w:t>人；年末实有离退休人数为0人，比上年增加0人；年末实有其他人数为0人，比上年增加0人</w:t>
      </w:r>
      <w:r>
        <w:rPr>
          <w:rFonts w:eastAsia="仿宋_GB2312"/>
          <w:sz w:val="32"/>
          <w:szCs w:val="32"/>
        </w:rPr>
        <w:t>。</w:t>
      </w:r>
    </w:p>
    <w:p w14:paraId="74180E27">
      <w:pPr>
        <w:pStyle w:val="6"/>
        <w:rPr>
          <w:rFonts w:ascii="Times New Roman" w:hAnsi="Times New Roman" w:eastAsia="黑体"/>
          <w:b w:val="0"/>
          <w:bCs w:val="0"/>
        </w:rPr>
      </w:pPr>
      <w:bookmarkStart w:id="15" w:name="_Toc15396601"/>
      <w:bookmarkStart w:id="16" w:name="_Toc15377200"/>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5"/>
      <w:bookmarkEnd w:id="16"/>
    </w:p>
    <w:p w14:paraId="7D224148">
      <w:pPr>
        <w:spacing w:line="580" w:lineRule="exact"/>
        <w:ind w:firstLine="640" w:firstLineChars="200"/>
        <w:rPr>
          <w:rFonts w:ascii="仿宋_GB2312" w:eastAsia="仿宋_GB2312"/>
          <w:kern w:val="0"/>
          <w:sz w:val="32"/>
          <w:szCs w:val="32"/>
        </w:rPr>
      </w:pPr>
      <w:bookmarkStart w:id="17" w:name="_Toc15377204"/>
      <w:bookmarkStart w:id="18" w:name="_Toc15396602"/>
      <w:r>
        <w:rPr>
          <w:rFonts w:hint="eastAsia" w:ascii="仿宋_GB2312" w:eastAsia="仿宋_GB2312"/>
          <w:sz w:val="32"/>
          <w:szCs w:val="32"/>
        </w:rPr>
        <w:t>1.</w:t>
      </w:r>
      <w:r>
        <w:rPr>
          <w:rFonts w:hint="eastAsia" w:ascii="仿宋_GB2312" w:eastAsia="仿宋_GB2312"/>
          <w:bCs/>
          <w:kern w:val="0"/>
          <w:sz w:val="32"/>
          <w:szCs w:val="32"/>
        </w:rPr>
        <w:t>本部门本年度纳入本套决算编制范围的独立编制机构数共1个，比上年增加0个，独立核算机构数共1个，比上年增加0个。</w:t>
      </w:r>
    </w:p>
    <w:p w14:paraId="55CDA627">
      <w:pPr>
        <w:snapToGrid w:val="0"/>
        <w:spacing w:line="520" w:lineRule="exact"/>
        <w:ind w:firstLine="640" w:firstLineChars="200"/>
        <w:rPr>
          <w:rFonts w:ascii="仿宋_GB2312" w:eastAsia="仿宋_GB2312"/>
          <w:sz w:val="32"/>
          <w:szCs w:val="32"/>
        </w:rPr>
      </w:pPr>
      <w:r>
        <w:rPr>
          <w:rFonts w:hint="eastAsia" w:ascii="仿宋_GB2312" w:eastAsia="仿宋_GB2312"/>
          <w:sz w:val="32"/>
          <w:szCs w:val="32"/>
          <w:lang w:eastAsia="zh-CN"/>
        </w:rPr>
        <w:t>2.</w:t>
      </w:r>
      <w:r>
        <w:rPr>
          <w:rFonts w:eastAsia="仿宋_GB2312"/>
          <w:bCs/>
          <w:sz w:val="32"/>
          <w:szCs w:val="32"/>
        </w:rPr>
        <w:t>本部门本年度年末实有人数为</w:t>
      </w:r>
      <w:r>
        <w:rPr>
          <w:rFonts w:hint="eastAsia" w:eastAsia="仿宋_GB2312"/>
          <w:bCs/>
          <w:sz w:val="32"/>
          <w:szCs w:val="32"/>
        </w:rPr>
        <w:t>7</w:t>
      </w:r>
      <w:r>
        <w:rPr>
          <w:rFonts w:eastAsia="仿宋_GB2312"/>
          <w:bCs/>
          <w:sz w:val="32"/>
          <w:szCs w:val="32"/>
        </w:rPr>
        <w:t>人，比上年增加</w:t>
      </w:r>
      <w:r>
        <w:rPr>
          <w:rFonts w:hint="eastAsia" w:eastAsia="仿宋_GB2312"/>
          <w:bCs/>
          <w:sz w:val="32"/>
          <w:szCs w:val="32"/>
        </w:rPr>
        <w:t>1</w:t>
      </w:r>
      <w:r>
        <w:rPr>
          <w:rFonts w:eastAsia="仿宋_GB2312"/>
          <w:bCs/>
          <w:sz w:val="32"/>
          <w:szCs w:val="32"/>
        </w:rPr>
        <w:t>人；年末实有离退休人数为0人，比上年增加0人；年末实有其他人数为0人，比上年增加0人</w:t>
      </w:r>
      <w:r>
        <w:rPr>
          <w:rFonts w:eastAsia="仿宋_GB2312"/>
          <w:sz w:val="32"/>
          <w:szCs w:val="32"/>
        </w:rPr>
        <w:t>。</w:t>
      </w:r>
    </w:p>
    <w:p w14:paraId="3EB5EE40">
      <w:pPr>
        <w:pStyle w:val="5"/>
        <w:jc w:val="center"/>
        <w:rPr>
          <w:rFonts w:eastAsia="方正小标宋简体" w:cs="方正小标宋简体"/>
          <w:b w:val="0"/>
        </w:rPr>
      </w:pPr>
      <w:r>
        <w:rPr>
          <w:rFonts w:hint="eastAsia" w:eastAsia="方正小标宋简体" w:cs="方正小标宋简体"/>
          <w:b w:val="0"/>
        </w:rPr>
        <w:t>第二部分  2025年度部门决算情况说明</w:t>
      </w:r>
      <w:bookmarkEnd w:id="17"/>
      <w:bookmarkEnd w:id="18"/>
    </w:p>
    <w:p w14:paraId="6F2172D9">
      <w:pPr>
        <w:pStyle w:val="27"/>
        <w:spacing w:line="600" w:lineRule="exact"/>
        <w:ind w:firstLine="640"/>
        <w:outlineLvl w:val="1"/>
        <w:rPr>
          <w:rStyle w:val="29"/>
          <w:rFonts w:ascii="Times New Roman" w:hAnsi="Times New Roman" w:eastAsia="黑体"/>
          <w:b w:val="0"/>
        </w:rPr>
      </w:pPr>
      <w:bookmarkStart w:id="19" w:name="_Toc15377205"/>
      <w:bookmarkStart w:id="20"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9"/>
      <w:bookmarkEnd w:id="20"/>
    </w:p>
    <w:p w14:paraId="6FA3A358">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w:t>
      </w:r>
      <w:r>
        <w:rPr>
          <w:rFonts w:hint="eastAsia" w:ascii="仿宋_GB2312" w:hAnsi="仿宋_GB2312" w:eastAsia="仿宋_GB2312" w:cs="仿宋_GB2312"/>
          <w:sz w:val="32"/>
          <w:szCs w:val="32"/>
        </w:rPr>
        <w:t>352.22</w:t>
      </w:r>
      <w:r>
        <w:rPr>
          <w:rFonts w:hint="eastAsia" w:eastAsia="仿宋_GB2312" w:cs="仿宋_GB2312"/>
          <w:sz w:val="32"/>
          <w:szCs w:val="32"/>
        </w:rPr>
        <w:t>万元。与上年度相比，收入、支出总计各减少329.07万元，下降48.30%。主要变动原因是全年公务接待较上年接待批次和人数减少一半，项目活动资金减少、经费减少。</w:t>
      </w:r>
    </w:p>
    <w:p w14:paraId="6C9DE742">
      <w:pPr>
        <w:pStyle w:val="27"/>
        <w:spacing w:line="600" w:lineRule="exact"/>
        <w:ind w:firstLine="640"/>
        <w:outlineLvl w:val="1"/>
        <w:rPr>
          <w:rFonts w:eastAsia="黑体"/>
          <w:sz w:val="32"/>
          <w:szCs w:val="32"/>
        </w:rPr>
      </w:pPr>
      <w:bookmarkStart w:id="21" w:name="_Toc15377206"/>
      <w:bookmarkStart w:id="22" w:name="_Toc15396604"/>
      <w:r>
        <w:rPr>
          <w:rFonts w:hint="eastAsia" w:eastAsia="黑体"/>
          <w:sz w:val="32"/>
          <w:szCs w:val="32"/>
        </w:rPr>
        <w:t>二、收入决算情况说明</w:t>
      </w:r>
      <w:bookmarkEnd w:id="21"/>
      <w:bookmarkEnd w:id="22"/>
    </w:p>
    <w:p w14:paraId="1C2DF70D">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2025年度本年收入合计</w:t>
      </w:r>
      <w:r>
        <w:rPr>
          <w:rFonts w:hint="eastAsia" w:ascii="仿宋_GB2312" w:hAnsi="仿宋_GB2312" w:eastAsia="仿宋_GB2312" w:cs="仿宋_GB2312"/>
          <w:sz w:val="32"/>
          <w:szCs w:val="32"/>
        </w:rPr>
        <w:t>352.22</w:t>
      </w:r>
      <w:r>
        <w:rPr>
          <w:rFonts w:hint="eastAsia" w:eastAsia="仿宋_GB2312" w:cs="仿宋_GB2312"/>
          <w:sz w:val="32"/>
          <w:szCs w:val="32"/>
        </w:rPr>
        <w:t>万元，其中：一般公共预算财政拨款收入</w:t>
      </w:r>
      <w:r>
        <w:rPr>
          <w:rFonts w:hint="eastAsia" w:ascii="仿宋_GB2312" w:hAnsi="仿宋_GB2312" w:eastAsia="仿宋_GB2312" w:cs="仿宋_GB2312"/>
          <w:sz w:val="32"/>
          <w:szCs w:val="32"/>
        </w:rPr>
        <w:t>352.22</w:t>
      </w:r>
      <w:r>
        <w:rPr>
          <w:rFonts w:hint="eastAsia" w:eastAsia="仿宋_GB2312" w:cs="仿宋_GB2312"/>
          <w:sz w:val="32"/>
          <w:szCs w:val="32"/>
        </w:rPr>
        <w:t>万元，占</w:t>
      </w:r>
      <w:r>
        <w:rPr>
          <w:rFonts w:hint="eastAsia" w:ascii="仿宋_GB2312" w:hAnsi="仿宋_GB2312" w:eastAsia="仿宋_GB2312" w:cs="仿宋_GB2312"/>
          <w:sz w:val="32"/>
          <w:szCs w:val="32"/>
        </w:rPr>
        <w:t>100</w:t>
      </w:r>
      <w:r>
        <w:rPr>
          <w:rFonts w:hint="eastAsia" w:eastAsia="仿宋_GB2312" w:cs="仿宋_GB2312"/>
          <w:sz w:val="32"/>
          <w:szCs w:val="32"/>
        </w:rPr>
        <w:t>%</w:t>
      </w:r>
      <w:bookmarkStart w:id="23" w:name="_Toc15377207"/>
      <w:bookmarkStart w:id="24" w:name="_Toc15396605"/>
      <w:r>
        <w:rPr>
          <w:rFonts w:hint="eastAsia" w:eastAsia="仿宋_GB2312" w:cs="仿宋_GB2312"/>
          <w:sz w:val="32"/>
          <w:szCs w:val="32"/>
        </w:rPr>
        <w:t>。</w:t>
      </w:r>
    </w:p>
    <w:p w14:paraId="2B353CFA">
      <w:pPr>
        <w:pStyle w:val="27"/>
        <w:spacing w:line="600" w:lineRule="exact"/>
        <w:ind w:firstLine="640"/>
        <w:outlineLvl w:val="1"/>
        <w:rPr>
          <w:rStyle w:val="29"/>
          <w:rFonts w:ascii="Times New Roman" w:hAnsi="Times New Roman" w:eastAsia="黑体"/>
          <w:b w:val="0"/>
        </w:rPr>
      </w:pPr>
      <w:r>
        <w:rPr>
          <w:rFonts w:hint="eastAsia" w:eastAsia="黑体"/>
          <w:sz w:val="32"/>
          <w:szCs w:val="32"/>
        </w:rPr>
        <w:t>三、支</w:t>
      </w:r>
      <w:r>
        <w:rPr>
          <w:rStyle w:val="29"/>
          <w:rFonts w:hint="eastAsia" w:ascii="Times New Roman" w:hAnsi="Times New Roman" w:eastAsia="黑体"/>
          <w:b w:val="0"/>
        </w:rPr>
        <w:t>出决算情况说明</w:t>
      </w:r>
      <w:bookmarkEnd w:id="23"/>
      <w:bookmarkEnd w:id="24"/>
    </w:p>
    <w:p w14:paraId="66EA3449">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2025年度本年支出合计</w:t>
      </w:r>
      <w:r>
        <w:rPr>
          <w:rFonts w:hint="eastAsia" w:ascii="仿宋_GB2312" w:hAnsi="仿宋_GB2312" w:eastAsia="仿宋_GB2312" w:cs="仿宋_GB2312"/>
          <w:sz w:val="32"/>
          <w:szCs w:val="32"/>
        </w:rPr>
        <w:t>352.22</w:t>
      </w:r>
      <w:r>
        <w:rPr>
          <w:rFonts w:hint="eastAsia" w:eastAsia="仿宋_GB2312" w:cs="仿宋_GB2312"/>
          <w:sz w:val="32"/>
          <w:szCs w:val="32"/>
        </w:rPr>
        <w:t>万元，其中：基本支出</w:t>
      </w:r>
      <w:r>
        <w:rPr>
          <w:rFonts w:hint="eastAsia" w:ascii="仿宋_GB2312" w:hAnsi="仿宋_GB2312" w:eastAsia="仿宋_GB2312" w:cs="仿宋_GB2312"/>
          <w:sz w:val="32"/>
          <w:szCs w:val="32"/>
        </w:rPr>
        <w:t>252.41</w:t>
      </w:r>
      <w:r>
        <w:rPr>
          <w:rFonts w:hint="eastAsia" w:eastAsia="仿宋_GB2312" w:cs="仿宋_GB2312"/>
          <w:sz w:val="32"/>
          <w:szCs w:val="32"/>
        </w:rPr>
        <w:t>万元，占</w:t>
      </w:r>
      <w:r>
        <w:rPr>
          <w:rFonts w:hint="eastAsia" w:ascii="仿宋_GB2312" w:hAnsi="仿宋_GB2312" w:eastAsia="仿宋_GB2312" w:cs="仿宋_GB2312"/>
          <w:sz w:val="32"/>
          <w:szCs w:val="32"/>
        </w:rPr>
        <w:t>71.66</w:t>
      </w:r>
      <w:r>
        <w:rPr>
          <w:rFonts w:hint="eastAsia" w:eastAsia="仿宋_GB2312" w:cs="仿宋_GB2312"/>
          <w:sz w:val="32"/>
          <w:szCs w:val="32"/>
        </w:rPr>
        <w:t>%；项目支出</w:t>
      </w:r>
      <w:r>
        <w:rPr>
          <w:rFonts w:hint="eastAsia" w:ascii="仿宋_GB2312" w:hAnsi="仿宋_GB2312" w:eastAsia="仿宋_GB2312" w:cs="仿宋_GB2312"/>
          <w:sz w:val="32"/>
          <w:szCs w:val="32"/>
        </w:rPr>
        <w:t>99.82</w:t>
      </w:r>
      <w:r>
        <w:rPr>
          <w:rFonts w:hint="eastAsia" w:eastAsia="仿宋_GB2312" w:cs="仿宋_GB2312"/>
          <w:sz w:val="32"/>
          <w:szCs w:val="32"/>
        </w:rPr>
        <w:t>万元，占</w:t>
      </w:r>
      <w:r>
        <w:rPr>
          <w:rFonts w:hint="eastAsia" w:ascii="仿宋_GB2312" w:hAnsi="仿宋_GB2312" w:eastAsia="仿宋_GB2312" w:cs="仿宋_GB2312"/>
          <w:sz w:val="32"/>
          <w:szCs w:val="32"/>
        </w:rPr>
        <w:t>28.33</w:t>
      </w:r>
      <w:r>
        <w:rPr>
          <w:rFonts w:hint="eastAsia" w:eastAsia="仿宋_GB2312" w:cs="仿宋_GB2312"/>
          <w:sz w:val="32"/>
          <w:szCs w:val="32"/>
        </w:rPr>
        <w:t>%。</w:t>
      </w:r>
    </w:p>
    <w:p w14:paraId="62A6A7D7">
      <w:pPr>
        <w:spacing w:line="600" w:lineRule="exact"/>
        <w:ind w:firstLine="640" w:firstLineChars="200"/>
        <w:outlineLvl w:val="1"/>
        <w:rPr>
          <w:rStyle w:val="29"/>
          <w:rFonts w:ascii="Times New Roman" w:hAnsi="Times New Roman" w:eastAsia="黑体"/>
          <w:b w:val="0"/>
        </w:rPr>
      </w:pPr>
      <w:bookmarkStart w:id="25" w:name="_Toc15396606"/>
      <w:bookmarkStart w:id="26"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25"/>
      <w:bookmarkEnd w:id="26"/>
    </w:p>
    <w:p w14:paraId="6773B74A">
      <w:pPr>
        <w:pStyle w:val="27"/>
        <w:spacing w:line="600" w:lineRule="exact"/>
        <w:ind w:firstLine="640"/>
        <w:outlineLvl w:val="1"/>
        <w:rPr>
          <w:rFonts w:eastAsia="仿宋_GB2312" w:cs="仿宋_GB2312"/>
          <w:sz w:val="32"/>
          <w:szCs w:val="32"/>
        </w:rPr>
      </w:pPr>
      <w:r>
        <w:rPr>
          <w:rFonts w:hint="eastAsia" w:eastAsia="仿宋_GB2312" w:cs="仿宋_GB2312"/>
          <w:sz w:val="32"/>
          <w:szCs w:val="32"/>
        </w:rPr>
        <w:t>2025年度收入、支出总计均为</w:t>
      </w:r>
      <w:r>
        <w:rPr>
          <w:rFonts w:hint="eastAsia" w:ascii="仿宋_GB2312" w:hAnsi="仿宋_GB2312" w:eastAsia="仿宋_GB2312" w:cs="仿宋_GB2312"/>
          <w:sz w:val="32"/>
          <w:szCs w:val="32"/>
        </w:rPr>
        <w:t>352.22</w:t>
      </w:r>
      <w:r>
        <w:rPr>
          <w:rFonts w:hint="eastAsia" w:eastAsia="仿宋_GB2312" w:cs="仿宋_GB2312"/>
          <w:sz w:val="32"/>
          <w:szCs w:val="32"/>
        </w:rPr>
        <w:t>万元。与上年度相比，收入、支出总计各减少329.07万元，下降48.30%。主要变动原因是全年公务接待较上年接待批次和人数减少一半，项目活动资金减少、经费减少。</w:t>
      </w:r>
    </w:p>
    <w:p w14:paraId="3DF7A206">
      <w:pPr>
        <w:spacing w:line="600" w:lineRule="exact"/>
        <w:ind w:firstLine="640" w:firstLineChars="200"/>
        <w:outlineLvl w:val="1"/>
        <w:rPr>
          <w:rStyle w:val="29"/>
          <w:rFonts w:ascii="Times New Roman" w:hAnsi="Times New Roman" w:eastAsia="黑体"/>
          <w:b w:val="0"/>
        </w:rPr>
      </w:pPr>
      <w:bookmarkStart w:id="27" w:name="_Toc15377209"/>
      <w:bookmarkStart w:id="28" w:name="_Toc15396607"/>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7"/>
      <w:bookmarkEnd w:id="28"/>
    </w:p>
    <w:p w14:paraId="3B10348C">
      <w:pPr>
        <w:spacing w:line="600" w:lineRule="exact"/>
        <w:ind w:firstLine="643" w:firstLineChars="200"/>
        <w:outlineLvl w:val="2"/>
        <w:rPr>
          <w:rFonts w:eastAsia="楷体_GB2312" w:cs="楷体_GB2312"/>
          <w:b/>
          <w:sz w:val="32"/>
          <w:szCs w:val="32"/>
        </w:rPr>
      </w:pPr>
      <w:bookmarkStart w:id="29" w:name="_Toc15377210"/>
      <w:r>
        <w:rPr>
          <w:rFonts w:hint="eastAsia" w:eastAsia="楷体_GB2312" w:cs="楷体_GB2312"/>
          <w:b/>
          <w:sz w:val="32"/>
          <w:szCs w:val="32"/>
        </w:rPr>
        <w:t>（一）一般公共预算财政拨款支出决算总体情况</w:t>
      </w:r>
      <w:bookmarkEnd w:id="29"/>
      <w:r>
        <w:rPr>
          <w:rFonts w:hint="eastAsia" w:eastAsia="楷体_GB2312" w:cs="楷体_GB2312"/>
          <w:b/>
          <w:sz w:val="32"/>
          <w:szCs w:val="32"/>
        </w:rPr>
        <w:t>及结构情况</w:t>
      </w:r>
    </w:p>
    <w:p w14:paraId="68B0E294">
      <w:pPr>
        <w:snapToGrid w:val="0"/>
        <w:spacing w:line="520" w:lineRule="exact"/>
        <w:ind w:firstLine="720"/>
      </w:pPr>
      <w:r>
        <w:rPr>
          <w:rFonts w:hint="eastAsia" w:eastAsia="仿宋_GB2312" w:cs="仿宋_GB2312"/>
          <w:sz w:val="32"/>
          <w:szCs w:val="32"/>
        </w:rPr>
        <w:t>2025年度一般公共预算财政拨款支出</w:t>
      </w:r>
      <w:r>
        <w:rPr>
          <w:rFonts w:hint="eastAsia" w:ascii="仿宋_GB2312" w:hAnsi="仿宋_GB2312" w:eastAsia="仿宋_GB2312" w:cs="仿宋_GB2312"/>
          <w:sz w:val="32"/>
          <w:szCs w:val="32"/>
        </w:rPr>
        <w:t>352.22</w:t>
      </w:r>
      <w:r>
        <w:rPr>
          <w:rFonts w:hint="eastAsia" w:eastAsia="仿宋_GB2312" w:cs="仿宋_GB2312"/>
          <w:sz w:val="32"/>
          <w:szCs w:val="32"/>
        </w:rPr>
        <w:t>万元，主要用于以下方面：</w:t>
      </w:r>
      <w:r>
        <w:rPr>
          <w:rFonts w:hint="eastAsia" w:ascii="仿宋_GB2312" w:eastAsia="仿宋_GB2312"/>
          <w:sz w:val="32"/>
          <w:szCs w:val="32"/>
        </w:rPr>
        <w:t>一般公共预算财政拨款收入为352.22万元。本年度支出总计352.22万元，其中：一般公共服务支出为316.76万元，占比89.93%；社会</w:t>
      </w:r>
      <w:r>
        <w:rPr>
          <w:rFonts w:hint="eastAsia" w:ascii="仿宋_GB2312" w:eastAsia="仿宋_GB2312"/>
          <w:kern w:val="0"/>
          <w:sz w:val="32"/>
          <w:szCs w:val="32"/>
        </w:rPr>
        <w:t>保障和就</w:t>
      </w:r>
      <w:r>
        <w:rPr>
          <w:rFonts w:hint="eastAsia" w:ascii="仿宋_GB2312" w:eastAsia="仿宋_GB2312"/>
          <w:sz w:val="32"/>
          <w:szCs w:val="32"/>
        </w:rPr>
        <w:t>业支出为18.73万元，占比5.32%；卫生</w:t>
      </w:r>
      <w:r>
        <w:rPr>
          <w:rFonts w:hint="eastAsia" w:ascii="仿宋_GB2312" w:eastAsia="仿宋_GB2312"/>
          <w:kern w:val="0"/>
          <w:sz w:val="32"/>
          <w:szCs w:val="32"/>
        </w:rPr>
        <w:t>健康</w:t>
      </w:r>
      <w:r>
        <w:rPr>
          <w:rFonts w:hint="eastAsia" w:ascii="仿宋_GB2312" w:eastAsia="仿宋_GB2312"/>
          <w:sz w:val="32"/>
          <w:szCs w:val="32"/>
        </w:rPr>
        <w:t>支出为6.91万元</w:t>
      </w:r>
      <w:r>
        <w:rPr>
          <w:rFonts w:hint="eastAsia" w:ascii="仿宋_GB2312" w:eastAsia="仿宋_GB2312"/>
          <w:sz w:val="32"/>
          <w:szCs w:val="32"/>
          <w:lang w:eastAsia="zh-CN"/>
        </w:rPr>
        <w:t>，</w:t>
      </w:r>
      <w:r>
        <w:rPr>
          <w:rFonts w:hint="eastAsia" w:ascii="仿宋_GB2312" w:eastAsia="仿宋_GB2312"/>
          <w:sz w:val="32"/>
          <w:szCs w:val="32"/>
        </w:rPr>
        <w:t>占比1.96%；住房保障支出为9.82万元，占比2.79%。</w:t>
      </w:r>
    </w:p>
    <w:p w14:paraId="29C4883C">
      <w:pPr>
        <w:snapToGrid w:val="0"/>
        <w:spacing w:line="520" w:lineRule="exact"/>
        <w:ind w:firstLine="640" w:firstLineChars="200"/>
        <w:rPr>
          <w:rFonts w:ascii="仿宋_GB2312" w:eastAsia="仿宋_GB2312"/>
          <w:sz w:val="32"/>
          <w:szCs w:val="32"/>
        </w:rPr>
      </w:pPr>
      <w:r>
        <w:rPr>
          <w:rFonts w:hint="eastAsia" w:ascii="仿宋_GB2312" w:eastAsia="仿宋_GB2312"/>
          <w:sz w:val="32"/>
          <w:szCs w:val="32"/>
        </w:rPr>
        <w:t>收入支出与上年度对比情况及原因分析，本年度收入支出决算数352.22万元，上年收入支出决算数681.30，差异为329.08万元，主要原因为公务接待批次减少一半、项目支出减少、上年新购买两辆公务用车。</w:t>
      </w:r>
    </w:p>
    <w:p w14:paraId="14324D4B">
      <w:pPr>
        <w:pStyle w:val="2"/>
      </w:pPr>
    </w:p>
    <w:p w14:paraId="6AC7DD20">
      <w:pPr>
        <w:tabs>
          <w:tab w:val="right" w:pos="8306"/>
        </w:tabs>
        <w:spacing w:line="600" w:lineRule="exact"/>
        <w:ind w:firstLine="640"/>
        <w:outlineLvl w:val="1"/>
        <w:rPr>
          <w:rStyle w:val="29"/>
          <w:rFonts w:ascii="Times New Roman" w:hAnsi="Times New Roman"/>
        </w:rPr>
      </w:pPr>
      <w:bookmarkStart w:id="30" w:name="_Toc15377214"/>
      <w:bookmarkStart w:id="31" w:name="_Toc15396608"/>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0"/>
      <w:bookmarkEnd w:id="31"/>
      <w:r>
        <w:rPr>
          <w:rStyle w:val="29"/>
          <w:rFonts w:ascii="Times New Roman" w:hAnsi="Times New Roman" w:eastAsia="黑体"/>
          <w:b w:val="0"/>
        </w:rPr>
        <w:tab/>
      </w:r>
    </w:p>
    <w:p w14:paraId="7F811D70">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ascii="仿宋_GB2312" w:hAnsi="仿宋_GB2312" w:eastAsia="仿宋_GB2312" w:cs="仿宋_GB2312"/>
          <w:sz w:val="32"/>
          <w:szCs w:val="32"/>
        </w:rPr>
        <w:t>252.41</w:t>
      </w:r>
      <w:r>
        <w:rPr>
          <w:rFonts w:hint="eastAsia" w:eastAsia="仿宋_GB2312" w:cs="仿宋_GB2312"/>
          <w:sz w:val="32"/>
          <w:szCs w:val="32"/>
        </w:rPr>
        <w:t>万元，其中：</w:t>
      </w:r>
    </w:p>
    <w:p w14:paraId="7BF44545">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126.57</w:t>
      </w:r>
      <w:r>
        <w:rPr>
          <w:rFonts w:hint="eastAsia" w:eastAsia="仿宋_GB2312" w:cs="仿宋_GB2312"/>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125.84</w:t>
      </w:r>
      <w:r>
        <w:rPr>
          <w:rFonts w:hint="eastAsia" w:eastAsia="仿宋_GB2312" w:cs="仿宋_GB2312"/>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567A0B4">
      <w:pPr>
        <w:spacing w:line="600" w:lineRule="exact"/>
        <w:ind w:firstLine="640"/>
        <w:outlineLvl w:val="1"/>
        <w:rPr>
          <w:rStyle w:val="29"/>
          <w:rFonts w:ascii="Times New Roman" w:hAnsi="Times New Roman" w:eastAsia="黑体"/>
          <w:b w:val="0"/>
        </w:rPr>
      </w:pPr>
      <w:bookmarkStart w:id="32" w:name="_Toc15377215"/>
      <w:bookmarkStart w:id="33" w:name="_Toc15396609"/>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2"/>
      <w:bookmarkEnd w:id="33"/>
    </w:p>
    <w:p w14:paraId="4F081E8E">
      <w:pPr>
        <w:spacing w:line="600" w:lineRule="exact"/>
        <w:ind w:firstLine="643" w:firstLineChars="200"/>
        <w:outlineLvl w:val="2"/>
        <w:rPr>
          <w:rFonts w:eastAsia="楷体_GB2312" w:cs="楷体_GB2312"/>
          <w:b/>
          <w:sz w:val="32"/>
          <w:szCs w:val="32"/>
        </w:rPr>
      </w:pPr>
      <w:bookmarkStart w:id="34" w:name="_Toc15377216"/>
      <w:r>
        <w:rPr>
          <w:rFonts w:hint="eastAsia" w:eastAsia="楷体_GB2312" w:cs="楷体_GB2312"/>
          <w:b/>
          <w:sz w:val="32"/>
          <w:szCs w:val="32"/>
        </w:rPr>
        <w:t>（一）财政拨款“三公”经费支出决算总体情况说明</w:t>
      </w:r>
      <w:bookmarkEnd w:id="34"/>
    </w:p>
    <w:p w14:paraId="65EB29DC">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w:t>
      </w:r>
      <w:r>
        <w:rPr>
          <w:rFonts w:hint="eastAsia" w:ascii="仿宋_GB2312" w:hAnsi="仿宋_GB2312" w:eastAsia="仿宋_GB2312" w:cs="仿宋_GB2312"/>
          <w:sz w:val="32"/>
          <w:szCs w:val="32"/>
        </w:rPr>
        <w:t>120.84</w:t>
      </w:r>
      <w:r>
        <w:rPr>
          <w:rFonts w:hint="eastAsia" w:eastAsia="仿宋_GB2312" w:cs="仿宋_GB2312"/>
          <w:sz w:val="32"/>
          <w:szCs w:val="32"/>
        </w:rPr>
        <w:t>万元，完成预算</w:t>
      </w:r>
      <w:r>
        <w:rPr>
          <w:rFonts w:hint="eastAsia" w:ascii="仿宋_GB2312" w:hAnsi="仿宋_GB2312" w:eastAsia="仿宋_GB2312" w:cs="仿宋_GB2312"/>
          <w:sz w:val="32"/>
          <w:szCs w:val="32"/>
        </w:rPr>
        <w:t>99.82</w:t>
      </w:r>
      <w:r>
        <w:rPr>
          <w:rFonts w:hint="eastAsia" w:eastAsia="仿宋_GB2312" w:cs="仿宋_GB2312"/>
          <w:sz w:val="32"/>
          <w:szCs w:val="32"/>
        </w:rPr>
        <w:t>%，较上年度减少255.76万元，下降67.91%。决算数小于预算数（或与预算数持平）的主要原因是上年新购置车辆4台、加之公务接待批次较上年减少一半。</w:t>
      </w:r>
    </w:p>
    <w:p w14:paraId="6214D92E">
      <w:pPr>
        <w:spacing w:line="600" w:lineRule="exact"/>
        <w:ind w:firstLine="643" w:firstLineChars="200"/>
        <w:outlineLvl w:val="2"/>
        <w:rPr>
          <w:rFonts w:eastAsia="楷体_GB2312" w:cs="楷体_GB2312"/>
          <w:b/>
          <w:sz w:val="32"/>
          <w:szCs w:val="32"/>
        </w:rPr>
      </w:pPr>
      <w:bookmarkStart w:id="35" w:name="_Toc15377217"/>
      <w:r>
        <w:rPr>
          <w:rFonts w:hint="eastAsia" w:eastAsia="楷体_GB2312" w:cs="楷体_GB2312"/>
          <w:b/>
          <w:sz w:val="32"/>
          <w:szCs w:val="32"/>
        </w:rPr>
        <w:t>（二）财政拨款“三公”经费支出决算具体情况说明</w:t>
      </w:r>
      <w:bookmarkEnd w:id="35"/>
    </w:p>
    <w:p w14:paraId="3055D25F">
      <w:pPr>
        <w:snapToGrid w:val="0"/>
        <w:spacing w:line="520" w:lineRule="exact"/>
        <w:ind w:firstLine="640" w:firstLineChars="200"/>
        <w:rPr>
          <w:rFonts w:eastAsia="仿宋_GB2312" w:cs="仿宋_GB2312"/>
          <w:sz w:val="32"/>
          <w:szCs w:val="32"/>
        </w:rPr>
      </w:pPr>
      <w:r>
        <w:rPr>
          <w:rFonts w:hint="eastAsia" w:eastAsia="仿宋_GB2312" w:cs="仿宋_GB2312"/>
          <w:sz w:val="32"/>
          <w:szCs w:val="32"/>
        </w:rPr>
        <w:t>2025年度财政拨款“三公”经费支出决算，</w:t>
      </w:r>
      <w:bookmarkStart w:id="36" w:name="_Toc15377218"/>
      <w:bookmarkStart w:id="37" w:name="_Toc15396610"/>
    </w:p>
    <w:p w14:paraId="5450197C">
      <w:pPr>
        <w:snapToGrid w:val="0"/>
        <w:spacing w:line="520" w:lineRule="exact"/>
        <w:ind w:firstLine="640" w:firstLineChars="200"/>
        <w:rPr>
          <w:rFonts w:ascii="仿宋_GB2312" w:eastAsia="仿宋_GB2312" w:cs="仿宋"/>
          <w:sz w:val="32"/>
          <w:szCs w:val="32"/>
        </w:rPr>
      </w:pPr>
      <w:r>
        <w:rPr>
          <w:rFonts w:hint="eastAsia" w:ascii="仿宋_GB2312" w:eastAsia="仿宋_GB2312"/>
          <w:sz w:val="32"/>
          <w:szCs w:val="32"/>
        </w:rPr>
        <w:t>（1）“三公”经费支出情况：</w:t>
      </w:r>
      <w:r>
        <w:rPr>
          <w:rFonts w:hint="eastAsia" w:ascii="仿宋_GB2312" w:eastAsia="仿宋_GB2312" w:cs="仿宋"/>
          <w:sz w:val="32"/>
          <w:szCs w:val="32"/>
        </w:rPr>
        <w:t>本部门本年度“三公”经费支出决算数为120.84万元。其中</w:t>
      </w:r>
      <w:r>
        <w:rPr>
          <w:rFonts w:hint="eastAsia" w:ascii="仿宋_GB2312" w:eastAsia="仿宋_GB2312" w:cs="仿宋"/>
          <w:sz w:val="32"/>
          <w:szCs w:val="32"/>
          <w:lang w:eastAsia="zh-CN"/>
        </w:rPr>
        <w:t>：</w:t>
      </w:r>
      <w:r>
        <w:rPr>
          <w:rFonts w:hint="eastAsia" w:ascii="仿宋_GB2312" w:eastAsia="仿宋_GB2312" w:cs="仿宋"/>
          <w:sz w:val="32"/>
          <w:szCs w:val="32"/>
        </w:rPr>
        <w:t>因公出国（境）费支出决算数为0.00元。</w:t>
      </w:r>
    </w:p>
    <w:p w14:paraId="2BAD9509">
      <w:pPr>
        <w:spacing w:line="576" w:lineRule="exact"/>
        <w:ind w:firstLine="640" w:firstLineChars="200"/>
      </w:pPr>
      <w:r>
        <w:rPr>
          <w:rFonts w:hint="eastAsia" w:ascii="仿宋_GB2312" w:eastAsia="仿宋_GB2312" w:cs="仿宋"/>
          <w:bCs/>
          <w:sz w:val="32"/>
          <w:szCs w:val="32"/>
        </w:rPr>
        <w:t>公务用车购置及运行维护费支出决算数为10.11万元，其中公务用车购置费0万元，上年无公务用车购置费147.49万元；公务用车运行维护费10.11万元，相比上年度增加9.85万元，主要</w:t>
      </w:r>
      <w:r>
        <w:rPr>
          <w:rFonts w:hint="eastAsia" w:ascii="仿宋_GB2312" w:eastAsia="仿宋_GB2312" w:cs="仿宋"/>
          <w:bCs/>
          <w:sz w:val="32"/>
          <w:szCs w:val="32"/>
          <w:lang w:eastAsia="zh-CN"/>
        </w:rPr>
        <w:t>原因是</w:t>
      </w:r>
      <w:r>
        <w:rPr>
          <w:rFonts w:hint="eastAsia" w:ascii="仿宋_GB2312" w:eastAsia="仿宋_GB2312" w:cs="仿宋"/>
          <w:bCs/>
          <w:sz w:val="32"/>
          <w:szCs w:val="32"/>
        </w:rPr>
        <w:t>上年新增车辆2辆，运行维护费增加。公务接待费支出决算数为110.73万元，其中公务接待198批次、2836人次，相比上年减少118.11万元，减少227批次、3579人次，</w:t>
      </w:r>
      <w:r>
        <w:rPr>
          <w:rFonts w:hint="eastAsia" w:eastAsia="仿宋_GB2312"/>
          <w:kern w:val="0"/>
          <w:sz w:val="32"/>
          <w:szCs w:val="32"/>
          <w:shd w:val="clear" w:color="auto" w:fill="FFFFFF"/>
        </w:rPr>
        <w:t>费用变动主要原因：因厉行节约措施及新调整的用餐标准见效，费用总额和人均费用实现“双下降”等。</w:t>
      </w:r>
    </w:p>
    <w:p w14:paraId="3C28113F">
      <w:pPr>
        <w:snapToGrid w:val="0"/>
        <w:spacing w:line="520" w:lineRule="exact"/>
        <w:ind w:firstLine="640" w:firstLineChars="200"/>
        <w:rPr>
          <w:rFonts w:ascii="仿宋_GB2312" w:eastAsia="仿宋_GB2312"/>
          <w:sz w:val="32"/>
          <w:szCs w:val="32"/>
        </w:rPr>
      </w:pPr>
      <w:r>
        <w:rPr>
          <w:rFonts w:hint="eastAsia" w:ascii="仿宋_GB2312" w:eastAsia="仿宋_GB2312"/>
          <w:sz w:val="32"/>
          <w:szCs w:val="32"/>
        </w:rPr>
        <w:t>（2）会议费支出情况：</w:t>
      </w:r>
      <w:r>
        <w:rPr>
          <w:rFonts w:hint="eastAsia" w:ascii="仿宋_GB2312" w:eastAsia="仿宋_GB2312" w:cs="仿宋"/>
          <w:bCs/>
          <w:sz w:val="32"/>
          <w:szCs w:val="32"/>
        </w:rPr>
        <w:t>本部门本年度会议费支出决算数为0.00万元</w:t>
      </w:r>
      <w:r>
        <w:rPr>
          <w:rFonts w:hint="eastAsia" w:ascii="仿宋_GB2312" w:eastAsia="仿宋_GB2312" w:cs="仿宋"/>
          <w:bCs/>
          <w:sz w:val="32"/>
          <w:szCs w:val="32"/>
          <w:lang w:eastAsia="zh-CN"/>
        </w:rPr>
        <w:t>，</w:t>
      </w:r>
      <w:r>
        <w:rPr>
          <w:rFonts w:hint="eastAsia" w:ascii="仿宋_GB2312" w:eastAsia="仿宋_GB2312" w:cs="仿宋"/>
          <w:bCs/>
          <w:sz w:val="32"/>
          <w:szCs w:val="32"/>
        </w:rPr>
        <w:t>会议费人均支出决算为0.00万元。</w:t>
      </w:r>
    </w:p>
    <w:p w14:paraId="521555B4">
      <w:pPr>
        <w:snapToGrid w:val="0"/>
        <w:spacing w:line="520" w:lineRule="exact"/>
        <w:ind w:firstLine="640" w:firstLineChars="200"/>
        <w:rPr>
          <w:rFonts w:ascii="仿宋_GB2312" w:eastAsia="仿宋_GB2312"/>
          <w:sz w:val="32"/>
          <w:szCs w:val="32"/>
        </w:rPr>
      </w:pPr>
      <w:r>
        <w:rPr>
          <w:rFonts w:hint="eastAsia" w:ascii="仿宋_GB2312" w:eastAsia="仿宋_GB2312"/>
          <w:sz w:val="32"/>
          <w:szCs w:val="32"/>
        </w:rPr>
        <w:t>（3）培训费支出情况：本年度培训费支出决算为0万元，上年度培训费支出决算为0.1万元。</w:t>
      </w:r>
    </w:p>
    <w:p w14:paraId="4CC0041E">
      <w:pPr>
        <w:pStyle w:val="35"/>
        <w:ind w:firstLine="420"/>
      </w:pPr>
    </w:p>
    <w:p w14:paraId="73EEA982">
      <w:pPr>
        <w:snapToGrid w:val="0"/>
        <w:spacing w:line="520" w:lineRule="exact"/>
        <w:ind w:firstLine="629"/>
      </w:pPr>
      <w:r>
        <w:rPr>
          <w:rFonts w:hint="eastAsia" w:ascii="仿宋_GB2312" w:eastAsia="仿宋_GB2312"/>
          <w:sz w:val="32"/>
          <w:szCs w:val="32"/>
        </w:rPr>
        <w:t>（4）差旅费支出情况：本年度差旅费支出决算为16.51万元，上年度差旅费支出为13.61万元，相比上年增加2.9万元，主要原因为本年人员增加，差旅增加。</w:t>
      </w:r>
    </w:p>
    <w:p w14:paraId="525C2DAE">
      <w:pPr>
        <w:snapToGrid w:val="0"/>
        <w:spacing w:line="520" w:lineRule="exact"/>
        <w:rPr>
          <w:rFonts w:ascii="仿宋_GB2312" w:eastAsia="仿宋_GB2312"/>
          <w:sz w:val="32"/>
          <w:szCs w:val="32"/>
        </w:rPr>
      </w:pPr>
      <w:r>
        <w:rPr>
          <w:rFonts w:hint="eastAsia" w:ascii="仿宋_GB2312" w:eastAsia="仿宋_GB2312"/>
          <w:sz w:val="32"/>
          <w:szCs w:val="32"/>
        </w:rPr>
        <w:t xml:space="preserve">    （5）其他对单位影响较大的支出情况。无</w:t>
      </w:r>
    </w:p>
    <w:p w14:paraId="5E09C705">
      <w:pPr>
        <w:snapToGrid w:val="0"/>
        <w:spacing w:line="520" w:lineRule="exact"/>
        <w:rPr>
          <w:rFonts w:ascii="仿宋_GB2312" w:eastAsia="仿宋_GB2312"/>
          <w:sz w:val="32"/>
          <w:szCs w:val="32"/>
        </w:rPr>
      </w:pPr>
      <w:r>
        <w:rPr>
          <w:rFonts w:hint="eastAsia" w:ascii="仿宋_GB2312" w:eastAsia="仿宋_GB2312"/>
          <w:sz w:val="32"/>
          <w:szCs w:val="32"/>
        </w:rPr>
        <w:t xml:space="preserve">    （6）重点经济分类支出中存在的问题及改进措施。无</w:t>
      </w:r>
    </w:p>
    <w:bookmarkEnd w:id="36"/>
    <w:bookmarkEnd w:id="37"/>
    <w:p w14:paraId="122EE59C">
      <w:pPr>
        <w:spacing w:line="600" w:lineRule="exact"/>
        <w:ind w:left="630"/>
        <w:outlineLvl w:val="1"/>
        <w:rPr>
          <w:rStyle w:val="29"/>
          <w:rFonts w:ascii="Times New Roman" w:hAnsi="Times New Roman" w:eastAsia="黑体"/>
          <w:b w:val="0"/>
        </w:rPr>
      </w:pPr>
      <w:bookmarkStart w:id="38" w:name="_Toc15377221"/>
      <w:bookmarkStart w:id="39" w:name="_Toc15396612"/>
      <w:r>
        <w:rPr>
          <w:rStyle w:val="29"/>
          <w:rFonts w:hint="eastAsia" w:ascii="Times New Roman" w:hAnsi="Times New Roman" w:eastAsia="黑体"/>
          <w:b w:val="0"/>
        </w:rPr>
        <w:t>八、其他重要事项的情况说明</w:t>
      </w:r>
      <w:bookmarkEnd w:id="38"/>
      <w:bookmarkEnd w:id="39"/>
    </w:p>
    <w:p w14:paraId="624A9153">
      <w:pPr>
        <w:spacing w:line="600" w:lineRule="exact"/>
        <w:ind w:firstLine="643" w:firstLineChars="200"/>
        <w:outlineLvl w:val="2"/>
        <w:rPr>
          <w:rFonts w:eastAsia="楷体_GB2312" w:cs="楷体_GB2312"/>
          <w:b/>
          <w:sz w:val="32"/>
          <w:szCs w:val="32"/>
        </w:rPr>
      </w:pPr>
      <w:bookmarkStart w:id="40" w:name="_Toc15377224"/>
      <w:r>
        <w:rPr>
          <w:rFonts w:hint="eastAsia" w:eastAsia="楷体_GB2312" w:cs="楷体_GB2312"/>
          <w:b/>
          <w:sz w:val="32"/>
          <w:szCs w:val="32"/>
        </w:rPr>
        <w:t>（一）国有资产占有使用情况</w:t>
      </w:r>
      <w:bookmarkEnd w:id="40"/>
    </w:p>
    <w:p w14:paraId="4A8581F1">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松潘县公务</w:t>
      </w:r>
      <w:r>
        <w:rPr>
          <w:rFonts w:hint="eastAsia" w:ascii="仿宋_GB2312" w:hAnsi="仿宋_GB2312" w:eastAsia="仿宋_GB2312" w:cs="仿宋_GB2312"/>
          <w:sz w:val="32"/>
          <w:szCs w:val="32"/>
          <w:lang w:eastAsia="zh-CN"/>
        </w:rPr>
        <w:t>服务中心</w:t>
      </w:r>
      <w:r>
        <w:rPr>
          <w:rFonts w:hint="eastAsia" w:eastAsia="仿宋_GB2312" w:cs="仿宋_GB2312"/>
          <w:sz w:val="32"/>
          <w:szCs w:val="32"/>
        </w:rPr>
        <w:t>共有车辆</w:t>
      </w:r>
      <w:r>
        <w:rPr>
          <w:rFonts w:hint="eastAsia" w:ascii="仿宋_GB2312" w:hAnsi="仿宋_GB2312" w:eastAsia="仿宋_GB2312" w:cs="仿宋_GB2312"/>
          <w:sz w:val="32"/>
          <w:szCs w:val="32"/>
        </w:rPr>
        <w:t>6</w:t>
      </w:r>
      <w:r>
        <w:rPr>
          <w:rFonts w:hint="eastAsia" w:eastAsia="仿宋_GB2312" w:cs="仿宋_GB2312"/>
          <w:sz w:val="32"/>
          <w:szCs w:val="32"/>
        </w:rPr>
        <w:t>辆。</w:t>
      </w:r>
      <w:r>
        <w:rPr>
          <w:rFonts w:eastAsia="仿宋_GB2312" w:cs="仿宋_GB2312"/>
          <w:sz w:val="32"/>
          <w:szCs w:val="32"/>
        </w:rPr>
        <w:t xml:space="preserve"> </w:t>
      </w:r>
    </w:p>
    <w:p w14:paraId="22C5A21B">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71E608C6">
      <w:pPr>
        <w:spacing w:line="600" w:lineRule="exact"/>
        <w:ind w:firstLine="640"/>
        <w:rPr>
          <w:rFonts w:eastAsia="仿宋_GB2312" w:cs="仿宋_GB2312"/>
          <w:sz w:val="32"/>
          <w:szCs w:val="32"/>
        </w:rPr>
      </w:pPr>
      <w:r>
        <w:rPr>
          <w:rFonts w:hint="eastAsia" w:eastAsia="仿宋_GB2312" w:cs="仿宋_GB2312"/>
          <w:sz w:val="32"/>
          <w:szCs w:val="32"/>
        </w:rPr>
        <w:t>根据预算绩效管理要求，县公务服务中心在2025年度，组织对政务中心3、4号楼等3个项目涉及金额99.82万元开展了事前绩效评估，对3个项目编制了绩效目标</w:t>
      </w:r>
      <w:r>
        <w:rPr>
          <w:rFonts w:hint="eastAsia" w:eastAsia="仿宋_GB2312" w:cs="仿宋_GB2312"/>
          <w:sz w:val="32"/>
          <w:szCs w:val="32"/>
          <w:lang w:eastAsia="zh-CN"/>
        </w:rPr>
        <w:t>，在</w:t>
      </w:r>
      <w:r>
        <w:rPr>
          <w:rFonts w:hint="eastAsia" w:eastAsia="仿宋_GB2312" w:cs="仿宋_GB2312"/>
          <w:sz w:val="32"/>
          <w:szCs w:val="32"/>
        </w:rPr>
        <w:t>预算执行过程中，选取3个项目开展绩效监控。</w:t>
      </w:r>
      <w:bookmarkStart w:id="41" w:name="_Toc15377225"/>
      <w:bookmarkStart w:id="42" w:name="_Toc15396613"/>
    </w:p>
    <w:p w14:paraId="7DAE7E25">
      <w:pPr>
        <w:spacing w:line="600" w:lineRule="exact"/>
        <w:jc w:val="center"/>
        <w:outlineLvl w:val="0"/>
        <w:rPr>
          <w:rFonts w:eastAsia="仿宋_GB2312" w:cs="仿宋_GB2312"/>
          <w:sz w:val="32"/>
          <w:szCs w:val="32"/>
        </w:rPr>
      </w:pPr>
    </w:p>
    <w:p w14:paraId="1B4E4A80">
      <w:pPr>
        <w:spacing w:line="600" w:lineRule="exact"/>
        <w:jc w:val="center"/>
        <w:outlineLvl w:val="0"/>
        <w:rPr>
          <w:rFonts w:eastAsia="黑体"/>
          <w:sz w:val="44"/>
          <w:szCs w:val="44"/>
        </w:rPr>
      </w:pPr>
      <w:r>
        <w:rPr>
          <w:rFonts w:hint="eastAsia" w:eastAsia="黑体"/>
          <w:sz w:val="44"/>
          <w:szCs w:val="44"/>
        </w:rPr>
        <w:t>第三部分  名词解释</w:t>
      </w:r>
      <w:bookmarkEnd w:id="41"/>
      <w:bookmarkEnd w:id="42"/>
    </w:p>
    <w:p w14:paraId="2F51E950">
      <w:pPr>
        <w:spacing w:line="600" w:lineRule="exact"/>
        <w:jc w:val="left"/>
        <w:rPr>
          <w:b/>
          <w:sz w:val="44"/>
          <w:szCs w:val="44"/>
        </w:rPr>
      </w:pPr>
    </w:p>
    <w:p w14:paraId="387FDF17">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72EEF4F5">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2.事业收入：指事业单位开展专业业务活动及辅助活动取得的收入。如……（二级预算单位事业收入情况）等。</w:t>
      </w:r>
    </w:p>
    <w:p w14:paraId="719DBB88">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3.经营收入：指事业单位在专业业务活动及其辅助活动之外开展非独立核算经营活动取得的收入。如……（二级预算单位经营收入情况）等。</w:t>
      </w:r>
    </w:p>
    <w:p w14:paraId="1B7B2755">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4.其他收入：指单位取得的除上述收入以外的各项收入。主要是……（收入类型）等。 </w:t>
      </w:r>
    </w:p>
    <w:p w14:paraId="6EA56964">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38A6F691">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0595D054">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20667E28">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4D9511CD">
      <w:pPr>
        <w:spacing w:line="600" w:lineRule="exact"/>
        <w:ind w:firstLine="640"/>
        <w:rPr>
          <w:rFonts w:eastAsia="仿宋_GB2312" w:cs="仿宋_GB2312"/>
          <w:sz w:val="32"/>
          <w:szCs w:val="32"/>
        </w:rPr>
      </w:pPr>
      <w:r>
        <w:rPr>
          <w:rFonts w:hint="eastAsia" w:eastAsia="仿宋_GB2312" w:cs="仿宋_GB2312"/>
          <w:sz w:val="32"/>
          <w:szCs w:val="32"/>
        </w:rPr>
        <w:t>9.一般公共服务（类）……（款）……（项）：指……</w:t>
      </w:r>
    </w:p>
    <w:p w14:paraId="7671752A">
      <w:pPr>
        <w:spacing w:line="600" w:lineRule="exact"/>
        <w:ind w:firstLine="640"/>
        <w:rPr>
          <w:rFonts w:eastAsia="仿宋_GB2312" w:cs="仿宋_GB2312"/>
          <w:sz w:val="32"/>
          <w:szCs w:val="32"/>
        </w:rPr>
      </w:pPr>
      <w:r>
        <w:rPr>
          <w:rFonts w:hint="eastAsia" w:eastAsia="仿宋_GB2312" w:cs="仿宋_GB2312"/>
          <w:sz w:val="32"/>
          <w:szCs w:val="32"/>
        </w:rPr>
        <w:t>10.外交（类）……（款）……（项）：指……</w:t>
      </w:r>
    </w:p>
    <w:p w14:paraId="45434AE3">
      <w:pPr>
        <w:spacing w:line="600" w:lineRule="exact"/>
        <w:ind w:firstLine="640"/>
        <w:rPr>
          <w:rFonts w:eastAsia="仿宋_GB2312" w:cs="仿宋_GB2312"/>
          <w:sz w:val="32"/>
          <w:szCs w:val="32"/>
        </w:rPr>
      </w:pPr>
      <w:r>
        <w:rPr>
          <w:rFonts w:hint="eastAsia" w:eastAsia="仿宋_GB2312" w:cs="仿宋_GB2312"/>
          <w:sz w:val="32"/>
          <w:szCs w:val="32"/>
        </w:rPr>
        <w:t>11.公共安全（类）……（款）……（项）：指……</w:t>
      </w:r>
    </w:p>
    <w:p w14:paraId="300D104C">
      <w:pPr>
        <w:spacing w:line="600" w:lineRule="exact"/>
        <w:ind w:firstLine="640"/>
        <w:rPr>
          <w:rFonts w:eastAsia="仿宋_GB2312" w:cs="仿宋_GB2312"/>
          <w:sz w:val="32"/>
          <w:szCs w:val="32"/>
        </w:rPr>
      </w:pPr>
      <w:r>
        <w:rPr>
          <w:rFonts w:hint="eastAsia" w:eastAsia="仿宋_GB2312" w:cs="仿宋_GB2312"/>
          <w:sz w:val="32"/>
          <w:szCs w:val="32"/>
        </w:rPr>
        <w:t>12.教育（类）……（款）……（项）：指……</w:t>
      </w:r>
    </w:p>
    <w:p w14:paraId="40FC280F">
      <w:pPr>
        <w:spacing w:line="600" w:lineRule="exact"/>
        <w:ind w:firstLine="640"/>
        <w:rPr>
          <w:rFonts w:eastAsia="仿宋_GB2312" w:cs="仿宋_GB2312"/>
          <w:sz w:val="32"/>
          <w:szCs w:val="32"/>
        </w:rPr>
      </w:pPr>
      <w:r>
        <w:rPr>
          <w:rFonts w:hint="eastAsia" w:eastAsia="仿宋_GB2312" w:cs="仿宋_GB2312"/>
          <w:sz w:val="32"/>
          <w:szCs w:val="32"/>
        </w:rPr>
        <w:t>13.科学技术（类）……（款）……（项）：指……</w:t>
      </w:r>
    </w:p>
    <w:p w14:paraId="7F8F51A7">
      <w:pPr>
        <w:spacing w:line="600" w:lineRule="exact"/>
        <w:ind w:firstLine="640"/>
        <w:rPr>
          <w:rFonts w:eastAsia="仿宋_GB2312" w:cs="仿宋_GB2312"/>
          <w:sz w:val="32"/>
          <w:szCs w:val="32"/>
        </w:rPr>
      </w:pPr>
      <w:r>
        <w:rPr>
          <w:rFonts w:hint="eastAsia" w:eastAsia="仿宋_GB2312" w:cs="仿宋_GB2312"/>
          <w:sz w:val="32"/>
          <w:szCs w:val="32"/>
        </w:rPr>
        <w:t>14.文化旅游体育与传媒（类）……（款）……（项）：指……</w:t>
      </w:r>
    </w:p>
    <w:p w14:paraId="0AE31226">
      <w:pPr>
        <w:spacing w:line="600" w:lineRule="exact"/>
        <w:ind w:firstLine="640"/>
        <w:rPr>
          <w:rFonts w:eastAsia="仿宋_GB2312" w:cs="仿宋_GB2312"/>
          <w:sz w:val="32"/>
          <w:szCs w:val="32"/>
        </w:rPr>
      </w:pPr>
      <w:r>
        <w:rPr>
          <w:rFonts w:hint="eastAsia" w:eastAsia="仿宋_GB2312" w:cs="仿宋_GB2312"/>
          <w:sz w:val="32"/>
          <w:szCs w:val="32"/>
        </w:rPr>
        <w:t>15.社会保障和就业（类）……（款）……（项）：指……</w:t>
      </w:r>
    </w:p>
    <w:p w14:paraId="1F431725">
      <w:pPr>
        <w:spacing w:line="600" w:lineRule="exact"/>
        <w:ind w:firstLine="640"/>
        <w:rPr>
          <w:rFonts w:eastAsia="仿宋_GB2312" w:cs="仿宋_GB2312"/>
          <w:sz w:val="32"/>
          <w:szCs w:val="32"/>
        </w:rPr>
      </w:pPr>
      <w:r>
        <w:rPr>
          <w:rFonts w:hint="eastAsia" w:eastAsia="仿宋_GB2312" w:cs="仿宋_GB2312"/>
          <w:sz w:val="32"/>
          <w:szCs w:val="32"/>
        </w:rPr>
        <w:t>16.卫生健康（类）……（款）……（项）：指……</w:t>
      </w:r>
    </w:p>
    <w:p w14:paraId="0A0A4BF5">
      <w:pPr>
        <w:spacing w:line="600" w:lineRule="exact"/>
        <w:ind w:firstLine="640"/>
        <w:rPr>
          <w:rFonts w:eastAsia="仿宋_GB2312" w:cs="仿宋_GB2312"/>
          <w:sz w:val="32"/>
          <w:szCs w:val="32"/>
        </w:rPr>
      </w:pPr>
      <w:r>
        <w:rPr>
          <w:rFonts w:hint="eastAsia" w:eastAsia="仿宋_GB2312" w:cs="仿宋_GB2312"/>
          <w:sz w:val="32"/>
          <w:szCs w:val="32"/>
        </w:rPr>
        <w:t>17.节能环保（类）……（款）……（项）：指……</w:t>
      </w:r>
    </w:p>
    <w:p w14:paraId="2D86A699">
      <w:pPr>
        <w:spacing w:line="600" w:lineRule="exact"/>
        <w:ind w:firstLine="640"/>
        <w:rPr>
          <w:rFonts w:eastAsia="仿宋_GB2312" w:cs="仿宋_GB2312"/>
          <w:sz w:val="32"/>
          <w:szCs w:val="32"/>
        </w:rPr>
      </w:pPr>
      <w:r>
        <w:rPr>
          <w:rFonts w:hint="eastAsia" w:eastAsia="仿宋_GB2312" w:cs="仿宋_GB2312"/>
          <w:sz w:val="32"/>
          <w:szCs w:val="32"/>
        </w:rPr>
        <w:t>18.城乡社区（类）……（款）……（项）：指……</w:t>
      </w:r>
    </w:p>
    <w:p w14:paraId="7B5460AA">
      <w:pPr>
        <w:spacing w:line="600" w:lineRule="exact"/>
        <w:ind w:firstLine="640"/>
        <w:rPr>
          <w:rFonts w:eastAsia="仿宋_GB2312" w:cs="仿宋_GB2312"/>
          <w:sz w:val="32"/>
          <w:szCs w:val="32"/>
        </w:rPr>
      </w:pPr>
      <w:r>
        <w:rPr>
          <w:rFonts w:hint="eastAsia" w:eastAsia="仿宋_GB2312" w:cs="仿宋_GB2312"/>
          <w:sz w:val="32"/>
          <w:szCs w:val="32"/>
        </w:rPr>
        <w:t>19.农林水（类）……（款）……（项）：指……</w:t>
      </w:r>
    </w:p>
    <w:p w14:paraId="2F0DE6F7">
      <w:pPr>
        <w:spacing w:line="600" w:lineRule="exact"/>
        <w:ind w:firstLine="640"/>
        <w:rPr>
          <w:rFonts w:eastAsia="仿宋_GB2312" w:cs="仿宋_GB2312"/>
          <w:sz w:val="32"/>
          <w:szCs w:val="32"/>
        </w:rPr>
      </w:pPr>
      <w:r>
        <w:rPr>
          <w:rFonts w:hint="eastAsia" w:eastAsia="仿宋_GB2312" w:cs="仿宋_GB2312"/>
          <w:sz w:val="32"/>
          <w:szCs w:val="32"/>
        </w:rPr>
        <w:t>20.交通运输（类）……（款）……（项）：指……</w:t>
      </w:r>
    </w:p>
    <w:p w14:paraId="239E3A9F">
      <w:pPr>
        <w:spacing w:line="600" w:lineRule="exact"/>
        <w:ind w:firstLine="640"/>
        <w:rPr>
          <w:rFonts w:eastAsia="仿宋_GB2312" w:cs="仿宋_GB2312"/>
          <w:sz w:val="32"/>
          <w:szCs w:val="32"/>
        </w:rPr>
      </w:pPr>
      <w:r>
        <w:rPr>
          <w:rFonts w:hint="eastAsia" w:eastAsia="仿宋_GB2312" w:cs="仿宋_GB2312"/>
          <w:sz w:val="32"/>
          <w:szCs w:val="32"/>
        </w:rPr>
        <w:t>21.资源勘探工业信息等（类）……（款）……（项）：指……</w:t>
      </w:r>
    </w:p>
    <w:p w14:paraId="7670D914">
      <w:pPr>
        <w:spacing w:line="600" w:lineRule="exact"/>
        <w:ind w:firstLine="640"/>
        <w:rPr>
          <w:rFonts w:eastAsia="仿宋_GB2312" w:cs="仿宋_GB2312"/>
          <w:sz w:val="32"/>
          <w:szCs w:val="32"/>
        </w:rPr>
      </w:pPr>
      <w:r>
        <w:rPr>
          <w:rFonts w:hint="eastAsia" w:eastAsia="仿宋_GB2312" w:cs="仿宋_GB2312"/>
          <w:sz w:val="32"/>
          <w:szCs w:val="32"/>
        </w:rPr>
        <w:t>22.商业服务业（类）……（款）……（项）：指……</w:t>
      </w:r>
    </w:p>
    <w:p w14:paraId="123D3372">
      <w:pPr>
        <w:spacing w:line="600" w:lineRule="exact"/>
        <w:ind w:firstLine="640"/>
        <w:rPr>
          <w:rFonts w:eastAsia="仿宋_GB2312" w:cs="仿宋_GB2312"/>
          <w:sz w:val="32"/>
          <w:szCs w:val="32"/>
        </w:rPr>
      </w:pPr>
      <w:r>
        <w:rPr>
          <w:rFonts w:hint="eastAsia" w:eastAsia="仿宋_GB2312" w:cs="仿宋_GB2312"/>
          <w:sz w:val="32"/>
          <w:szCs w:val="32"/>
        </w:rPr>
        <w:t>23.金融（类）……（款）……（项）：指……</w:t>
      </w:r>
    </w:p>
    <w:p w14:paraId="3E56A1A1">
      <w:pPr>
        <w:spacing w:line="600" w:lineRule="exact"/>
        <w:ind w:firstLine="640"/>
        <w:rPr>
          <w:rFonts w:eastAsia="仿宋_GB2312" w:cs="仿宋_GB2312"/>
          <w:sz w:val="32"/>
          <w:szCs w:val="32"/>
        </w:rPr>
      </w:pPr>
      <w:r>
        <w:rPr>
          <w:rFonts w:hint="eastAsia" w:eastAsia="仿宋_GB2312" w:cs="仿宋_GB2312"/>
          <w:sz w:val="32"/>
          <w:szCs w:val="32"/>
        </w:rPr>
        <w:t>24.自然资源海洋气象等（类）……（款）……（项）：指……</w:t>
      </w:r>
    </w:p>
    <w:p w14:paraId="401FDF4E">
      <w:pPr>
        <w:spacing w:line="600" w:lineRule="exact"/>
        <w:ind w:firstLine="640"/>
        <w:rPr>
          <w:rFonts w:eastAsia="仿宋_GB2312" w:cs="仿宋_GB2312"/>
          <w:sz w:val="32"/>
          <w:szCs w:val="32"/>
        </w:rPr>
      </w:pPr>
      <w:r>
        <w:rPr>
          <w:rFonts w:hint="eastAsia" w:eastAsia="仿宋_GB2312" w:cs="仿宋_GB2312"/>
          <w:sz w:val="32"/>
          <w:szCs w:val="32"/>
        </w:rPr>
        <w:t>25.住房保障（类）……（款）……（项）：指……</w:t>
      </w:r>
    </w:p>
    <w:p w14:paraId="2DF6813E">
      <w:pPr>
        <w:spacing w:line="600" w:lineRule="exact"/>
        <w:ind w:firstLine="640"/>
        <w:rPr>
          <w:rFonts w:eastAsia="仿宋_GB2312" w:cs="仿宋_GB2312"/>
          <w:sz w:val="32"/>
          <w:szCs w:val="32"/>
        </w:rPr>
      </w:pPr>
      <w:r>
        <w:rPr>
          <w:rFonts w:hint="eastAsia" w:eastAsia="仿宋_GB2312" w:cs="仿宋_GB2312"/>
          <w:sz w:val="32"/>
          <w:szCs w:val="32"/>
        </w:rPr>
        <w:t>26.粮油物资储备（类）……（款）……（项）：指……</w:t>
      </w:r>
    </w:p>
    <w:p w14:paraId="7A94491F">
      <w:pPr>
        <w:spacing w:line="600" w:lineRule="exact"/>
        <w:ind w:firstLine="640"/>
        <w:rPr>
          <w:rFonts w:eastAsia="仿宋_GB2312" w:cs="仿宋_GB2312"/>
          <w:sz w:val="32"/>
          <w:szCs w:val="32"/>
        </w:rPr>
      </w:pPr>
      <w:r>
        <w:rPr>
          <w:rFonts w:hint="eastAsia" w:eastAsia="仿宋_GB2312" w:cs="仿宋_GB2312"/>
          <w:sz w:val="32"/>
          <w:szCs w:val="32"/>
        </w:rPr>
        <w:t>27.基本支出：指为保障机构正常运转、完成日常工作任务而发生的人员支出和公用支出。</w:t>
      </w:r>
    </w:p>
    <w:p w14:paraId="6AA8312E">
      <w:pPr>
        <w:spacing w:line="600" w:lineRule="exact"/>
        <w:ind w:firstLine="640"/>
        <w:rPr>
          <w:rFonts w:eastAsia="仿宋_GB2312" w:cs="仿宋_GB2312"/>
          <w:sz w:val="32"/>
          <w:szCs w:val="32"/>
        </w:rPr>
      </w:pPr>
      <w:r>
        <w:rPr>
          <w:rFonts w:hint="eastAsia" w:eastAsia="仿宋_GB2312" w:cs="仿宋_GB2312"/>
          <w:sz w:val="32"/>
          <w:szCs w:val="32"/>
        </w:rPr>
        <w:t xml:space="preserve">28.项目支出：指在基本支出之外为完成特定行政任务和事业发展目标所发生的支出。 </w:t>
      </w:r>
    </w:p>
    <w:p w14:paraId="14CF7047">
      <w:pPr>
        <w:spacing w:line="600" w:lineRule="exact"/>
        <w:ind w:firstLine="640"/>
        <w:rPr>
          <w:rFonts w:eastAsia="仿宋_GB2312" w:cs="仿宋_GB2312"/>
          <w:sz w:val="32"/>
          <w:szCs w:val="32"/>
        </w:rPr>
      </w:pPr>
      <w:r>
        <w:rPr>
          <w:rFonts w:hint="eastAsia" w:eastAsia="仿宋_GB2312" w:cs="仿宋_GB2312"/>
          <w:sz w:val="32"/>
          <w:szCs w:val="32"/>
        </w:rPr>
        <w:t>29.经营支出：指事业单位在专业业务活动及其辅助活动之外开展非独立核算经营活动发生的支出。</w:t>
      </w:r>
    </w:p>
    <w:p w14:paraId="3DE8E2AD">
      <w:pPr>
        <w:spacing w:line="600" w:lineRule="exact"/>
        <w:ind w:firstLine="640"/>
        <w:rPr>
          <w:rFonts w:eastAsia="仿宋_GB2312" w:cs="仿宋_GB2312"/>
          <w:sz w:val="32"/>
          <w:szCs w:val="32"/>
        </w:rPr>
      </w:pPr>
      <w:r>
        <w:rPr>
          <w:rFonts w:hint="eastAsia" w:eastAsia="仿宋_GB2312" w:cs="仿宋_GB2312"/>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14276FE">
      <w:pPr>
        <w:spacing w:line="600" w:lineRule="exact"/>
        <w:ind w:firstLine="640"/>
        <w:rPr>
          <w:rFonts w:eastAsia="仿宋_GB2312" w:cs="仿宋_GB2312"/>
          <w:sz w:val="32"/>
          <w:szCs w:val="32"/>
        </w:rPr>
      </w:pPr>
      <w:r>
        <w:rPr>
          <w:rFonts w:hint="eastAsia" w:eastAsia="仿宋_GB2312" w:cs="仿宋_GB2312"/>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1F9FB6B">
      <w:pPr>
        <w:spacing w:line="600" w:lineRule="exact"/>
        <w:jc w:val="center"/>
        <w:rPr>
          <w:rStyle w:val="28"/>
          <w:rFonts w:eastAsia="黑体"/>
          <w:b w:val="0"/>
        </w:rPr>
      </w:pPr>
      <w:bookmarkStart w:id="43" w:name="_Toc15377226"/>
      <w:r>
        <w:rPr>
          <w:rFonts w:hint="eastAsia" w:eastAsia="仿宋_GB2312" w:cs="仿宋_GB2312"/>
          <w:sz w:val="32"/>
          <w:szCs w:val="32"/>
        </w:rPr>
        <w:br w:type="page"/>
      </w:r>
      <w:bookmarkStart w:id="44" w:name="_Toc15396614"/>
      <w:r>
        <w:rPr>
          <w:rFonts w:hint="eastAsia" w:eastAsia="黑体"/>
          <w:sz w:val="44"/>
          <w:szCs w:val="44"/>
        </w:rPr>
        <w:t>第四部分  附件</w:t>
      </w:r>
      <w:bookmarkEnd w:id="44"/>
    </w:p>
    <w:p w14:paraId="4140CF5C">
      <w:pPr>
        <w:spacing w:line="572" w:lineRule="exact"/>
        <w:jc w:val="left"/>
        <w:outlineLvl w:val="0"/>
        <w:rPr>
          <w:rFonts w:eastAsia="黑体" w:cs="黑体"/>
          <w:color w:val="FF0000"/>
          <w:sz w:val="32"/>
          <w:szCs w:val="32"/>
        </w:rPr>
      </w:pPr>
    </w:p>
    <w:p w14:paraId="12A9CF2A">
      <w:pPr>
        <w:spacing w:line="572" w:lineRule="exact"/>
        <w:jc w:val="left"/>
        <w:outlineLvl w:val="0"/>
        <w:rPr>
          <w:rFonts w:eastAsia="黑体" w:cs="方正小标宋简体"/>
          <w:sz w:val="44"/>
          <w:szCs w:val="44"/>
        </w:rPr>
      </w:pPr>
      <w:r>
        <w:rPr>
          <w:rFonts w:hint="eastAsia" w:eastAsia="黑体" w:cs="黑体"/>
          <w:sz w:val="32"/>
          <w:szCs w:val="32"/>
        </w:rPr>
        <w:t>附件1</w:t>
      </w:r>
    </w:p>
    <w:p w14:paraId="274972C4">
      <w:pPr>
        <w:widowControl/>
        <w:spacing w:line="578" w:lineRule="exact"/>
        <w:contextualSpacing/>
        <w:jc w:val="center"/>
        <w:rPr>
          <w:rFonts w:eastAsia="方正小标宋简体"/>
          <w:bCs/>
          <w:sz w:val="44"/>
          <w:szCs w:val="44"/>
          <w:shd w:val="clear" w:color="auto" w:fill="FFFFFF"/>
        </w:rPr>
      </w:pPr>
    </w:p>
    <w:p w14:paraId="62C81BAB">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报告范本</w:t>
      </w:r>
    </w:p>
    <w:p w14:paraId="7AE01463">
      <w:pPr>
        <w:widowControl/>
        <w:spacing w:line="578" w:lineRule="exact"/>
        <w:contextualSpacing/>
        <w:jc w:val="center"/>
        <w:rPr>
          <w:rFonts w:eastAsia="仿宋_GB2312"/>
          <w:sz w:val="32"/>
          <w:szCs w:val="32"/>
          <w:shd w:val="clear" w:color="auto" w:fill="FFFFFF"/>
        </w:rPr>
      </w:pPr>
      <w:r>
        <w:rPr>
          <w:rFonts w:eastAsia="仿宋_GB2312"/>
          <w:sz w:val="32"/>
          <w:szCs w:val="32"/>
          <w:shd w:val="clear" w:color="auto" w:fill="FFFFFF"/>
        </w:rPr>
        <w:t>（报告范围包括机关和下属单位）</w:t>
      </w:r>
    </w:p>
    <w:p w14:paraId="69A5B6D6">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66A803AF">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14:paraId="6EB485A9">
      <w:pPr>
        <w:widowControl/>
        <w:adjustRightInd w:val="0"/>
        <w:snapToGrid w:val="0"/>
        <w:spacing w:line="578" w:lineRule="exact"/>
        <w:ind w:firstLine="643" w:firstLineChars="200"/>
        <w:contextualSpacing/>
        <w:jc w:val="left"/>
        <w:rPr>
          <w:szCs w:val="32"/>
        </w:rPr>
      </w:pPr>
      <w:r>
        <w:rPr>
          <w:rFonts w:hint="eastAsia" w:eastAsia="楷体_GB2312" w:cs="楷体_GB2312"/>
          <w:b/>
          <w:sz w:val="32"/>
          <w:szCs w:val="32"/>
          <w:lang w:val="zh-CN"/>
        </w:rPr>
        <w:t>（一）</w:t>
      </w:r>
      <w:r>
        <w:rPr>
          <w:rFonts w:eastAsia="楷体_GB2312" w:cs="楷体_GB2312"/>
          <w:b/>
          <w:sz w:val="32"/>
          <w:szCs w:val="32"/>
          <w:lang w:val="zh-CN"/>
        </w:rPr>
        <w:t>机构组成。</w:t>
      </w:r>
      <w:r>
        <w:rPr>
          <w:rFonts w:hint="eastAsia" w:eastAsia="仿宋_GB2312" w:cs="仿宋_GB2312"/>
          <w:sz w:val="32"/>
          <w:szCs w:val="32"/>
        </w:rPr>
        <w:t>松潘县公务服务中心内设</w:t>
      </w:r>
      <w:r>
        <w:rPr>
          <w:rFonts w:eastAsia="仿宋_GB2312" w:cs="仿宋_GB2312"/>
          <w:sz w:val="32"/>
          <w:szCs w:val="32"/>
        </w:rPr>
        <w:t>处室</w:t>
      </w:r>
      <w:r>
        <w:rPr>
          <w:rFonts w:hint="eastAsia" w:eastAsia="仿宋_GB2312" w:cs="仿宋_GB2312"/>
          <w:sz w:val="32"/>
          <w:szCs w:val="32"/>
        </w:rPr>
        <w:t>及下属单位情况</w:t>
      </w:r>
      <w:r>
        <w:rPr>
          <w:rFonts w:eastAsia="仿宋_GB2312" w:cs="仿宋_GB2312"/>
          <w:sz w:val="32"/>
          <w:szCs w:val="32"/>
        </w:rPr>
        <w:t>。</w:t>
      </w:r>
    </w:p>
    <w:p w14:paraId="1DC26659">
      <w:pPr>
        <w:widowControl/>
        <w:adjustRightInd w:val="0"/>
        <w:snapToGrid w:val="0"/>
        <w:spacing w:line="578" w:lineRule="exact"/>
        <w:ind w:firstLine="643" w:firstLineChars="200"/>
        <w:contextualSpacing/>
        <w:jc w:val="left"/>
        <w:rPr>
          <w:rFonts w:eastAsia="楷体_GB2312"/>
          <w:b/>
          <w:bCs/>
          <w:color w:val="000000"/>
          <w:kern w:val="0"/>
          <w:szCs w:val="32"/>
          <w:shd w:val="clear" w:color="auto" w:fill="FFFFFF"/>
          <w:lang w:val="zh-CN"/>
        </w:rPr>
      </w:pPr>
      <w:r>
        <w:rPr>
          <w:rFonts w:eastAsia="楷体_GB2312" w:cs="楷体_GB2312"/>
          <w:b/>
          <w:sz w:val="32"/>
          <w:szCs w:val="32"/>
          <w:lang w:val="zh-CN"/>
        </w:rPr>
        <w:t>（二）机构职能</w:t>
      </w:r>
      <w:r>
        <w:rPr>
          <w:rFonts w:hint="eastAsia" w:eastAsia="楷体_GB2312" w:cs="楷体_GB2312"/>
          <w:b/>
          <w:sz w:val="32"/>
          <w:szCs w:val="32"/>
          <w:lang w:val="zh-CN"/>
        </w:rPr>
        <w:t>。</w:t>
      </w:r>
      <w:r>
        <w:rPr>
          <w:rFonts w:hint="eastAsia" w:eastAsia="仿宋_GB2312" w:cs="仿宋_GB2312"/>
          <w:sz w:val="32"/>
          <w:szCs w:val="32"/>
        </w:rPr>
        <w:t>松潘县公务服务中心</w:t>
      </w:r>
      <w:r>
        <w:rPr>
          <w:rFonts w:hint="eastAsia" w:eastAsia="仿宋_GB2312"/>
          <w:sz w:val="32"/>
          <w:szCs w:val="32"/>
        </w:rPr>
        <w:t>职责和功能。</w:t>
      </w:r>
    </w:p>
    <w:p w14:paraId="765D8A69">
      <w:pPr>
        <w:spacing w:line="600" w:lineRule="exact"/>
        <w:ind w:firstLine="643" w:firstLineChars="200"/>
        <w:rPr>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hint="eastAsia" w:eastAsia="楷体_GB2312"/>
          <w:b/>
          <w:bCs/>
          <w:color w:val="000000"/>
          <w:kern w:val="0"/>
          <w:sz w:val="32"/>
          <w:szCs w:val="32"/>
          <w:shd w:val="clear" w:color="auto" w:fill="FFFFFF"/>
          <w:lang w:val="zh-CN"/>
        </w:rPr>
        <w:t>。</w:t>
      </w:r>
      <w:r>
        <w:rPr>
          <w:rFonts w:eastAsia="仿宋_GB2312"/>
          <w:sz w:val="32"/>
          <w:szCs w:val="32"/>
        </w:rPr>
        <w:t>截至202</w:t>
      </w:r>
      <w:r>
        <w:rPr>
          <w:rFonts w:hint="eastAsia" w:eastAsia="仿宋_GB2312"/>
          <w:sz w:val="32"/>
          <w:szCs w:val="32"/>
        </w:rPr>
        <w:t>5</w:t>
      </w:r>
      <w:r>
        <w:rPr>
          <w:rFonts w:eastAsia="仿宋_GB2312"/>
          <w:sz w:val="32"/>
          <w:szCs w:val="32"/>
        </w:rPr>
        <w:t>年末，</w:t>
      </w:r>
      <w:r>
        <w:rPr>
          <w:rFonts w:hint="eastAsia" w:eastAsia="仿宋_GB2312" w:cs="仿宋_GB2312"/>
          <w:sz w:val="32"/>
          <w:szCs w:val="32"/>
        </w:rPr>
        <w:t>松潘县公务服务中心</w:t>
      </w:r>
      <w:r>
        <w:rPr>
          <w:rFonts w:eastAsia="仿宋_GB2312"/>
          <w:sz w:val="32"/>
          <w:szCs w:val="32"/>
        </w:rPr>
        <w:t>及下属单位编制</w:t>
      </w:r>
      <w:r>
        <w:rPr>
          <w:rFonts w:hint="eastAsia" w:eastAsia="仿宋_GB2312"/>
          <w:sz w:val="32"/>
          <w:szCs w:val="32"/>
        </w:rPr>
        <w:t>情况、</w:t>
      </w:r>
      <w:r>
        <w:rPr>
          <w:rFonts w:eastAsia="仿宋_GB2312"/>
          <w:sz w:val="32"/>
          <w:szCs w:val="32"/>
        </w:rPr>
        <w:t>年末实有人数</w:t>
      </w:r>
      <w:r>
        <w:rPr>
          <w:rFonts w:hint="eastAsia" w:eastAsia="仿宋_GB2312"/>
          <w:sz w:val="32"/>
          <w:szCs w:val="32"/>
        </w:rPr>
        <w:t>情况：</w:t>
      </w:r>
      <w:r>
        <w:rPr>
          <w:rFonts w:eastAsia="仿宋_GB2312"/>
          <w:bCs/>
          <w:sz w:val="32"/>
          <w:szCs w:val="32"/>
        </w:rPr>
        <w:t>本部门本年度年末实有人数为</w:t>
      </w:r>
      <w:r>
        <w:rPr>
          <w:rFonts w:hint="eastAsia" w:eastAsia="仿宋_GB2312"/>
          <w:bCs/>
          <w:sz w:val="32"/>
          <w:szCs w:val="32"/>
        </w:rPr>
        <w:t>7</w:t>
      </w:r>
      <w:r>
        <w:rPr>
          <w:rFonts w:eastAsia="仿宋_GB2312"/>
          <w:bCs/>
          <w:sz w:val="32"/>
          <w:szCs w:val="32"/>
        </w:rPr>
        <w:t>人，比上年增加</w:t>
      </w:r>
      <w:r>
        <w:rPr>
          <w:rFonts w:hint="eastAsia" w:eastAsia="仿宋_GB2312"/>
          <w:bCs/>
          <w:sz w:val="32"/>
          <w:szCs w:val="32"/>
        </w:rPr>
        <w:t>1</w:t>
      </w:r>
      <w:r>
        <w:rPr>
          <w:rFonts w:eastAsia="仿宋_GB2312"/>
          <w:bCs/>
          <w:sz w:val="32"/>
          <w:szCs w:val="32"/>
        </w:rPr>
        <w:t>人；年末实有离退休人数为0人，比上年增加0人；年末实有其他人数为0人，比上年增加0人</w:t>
      </w:r>
      <w:r>
        <w:rPr>
          <w:rFonts w:eastAsia="仿宋_GB2312"/>
          <w:sz w:val="32"/>
          <w:szCs w:val="32"/>
        </w:rPr>
        <w:t>。</w:t>
      </w:r>
    </w:p>
    <w:p w14:paraId="71378D54">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14:paraId="0B63368C">
      <w:pPr>
        <w:widowControl/>
        <w:adjustRightInd w:val="0"/>
        <w:snapToGrid w:val="0"/>
        <w:spacing w:line="578" w:lineRule="exact"/>
        <w:ind w:firstLine="643" w:firstLineChars="200"/>
        <w:contextualSpacing/>
        <w:jc w:val="left"/>
        <w:rPr>
          <w:rFonts w:eastAsia="楷体_GB2312"/>
          <w:b/>
          <w:bCs/>
          <w:color w:val="000000"/>
          <w:kern w:val="0"/>
          <w:szCs w:val="32"/>
          <w:shd w:val="clear" w:color="auto" w:fill="FFFFFF"/>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hint="eastAsia" w:eastAsia="仿宋_GB2312"/>
          <w:sz w:val="32"/>
          <w:szCs w:val="32"/>
        </w:rPr>
        <w:t>2025年年初预算收入情况、决算报表收入情况。</w:t>
      </w:r>
    </w:p>
    <w:p w14:paraId="419E1C3E">
      <w:pPr>
        <w:widowControl/>
        <w:adjustRightInd w:val="0"/>
        <w:snapToGrid w:val="0"/>
        <w:spacing w:line="578" w:lineRule="exact"/>
        <w:ind w:firstLine="643" w:firstLineChars="200"/>
        <w:contextualSpacing/>
        <w:jc w:val="left"/>
        <w:rPr>
          <w:szCs w:val="32"/>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hint="eastAsia" w:eastAsia="仿宋_GB2312"/>
          <w:sz w:val="32"/>
          <w:szCs w:val="32"/>
        </w:rPr>
        <w:t>2025年年初预算支出情况、决算报表支出情况。</w:t>
      </w:r>
    </w:p>
    <w:p w14:paraId="46BF942E">
      <w:pPr>
        <w:widowControl/>
        <w:adjustRightInd w:val="0"/>
        <w:snapToGrid w:val="0"/>
        <w:spacing w:line="578" w:lineRule="exact"/>
        <w:ind w:firstLine="643" w:firstLineChars="200"/>
        <w:contextualSpacing/>
        <w:jc w:val="left"/>
        <w:rPr>
          <w:rFonts w:eastAsia="仿宋_GB2312"/>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r>
        <w:rPr>
          <w:rFonts w:hint="eastAsia" w:eastAsia="仿宋_GB2312"/>
          <w:sz w:val="32"/>
          <w:szCs w:val="32"/>
        </w:rPr>
        <w:t>2025年决算报表</w:t>
      </w:r>
      <w:r>
        <w:rPr>
          <w:rFonts w:eastAsia="仿宋_GB2312"/>
          <w:sz w:val="32"/>
          <w:szCs w:val="32"/>
        </w:rPr>
        <w:t>结转结余</w:t>
      </w:r>
      <w:r>
        <w:rPr>
          <w:rFonts w:hint="eastAsia" w:eastAsia="仿宋_GB2312"/>
          <w:sz w:val="32"/>
          <w:szCs w:val="32"/>
        </w:rPr>
        <w:t>情况</w:t>
      </w:r>
      <w:r>
        <w:rPr>
          <w:rFonts w:eastAsia="仿宋_GB2312"/>
          <w:sz w:val="32"/>
          <w:szCs w:val="32"/>
        </w:rPr>
        <w:t>。</w:t>
      </w:r>
    </w:p>
    <w:p w14:paraId="2C10D3BC">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14:paraId="47B2F0E9">
      <w:pPr>
        <w:adjustRightInd w:val="0"/>
        <w:snapToGrid w:val="0"/>
        <w:spacing w:line="578" w:lineRule="exact"/>
        <w:ind w:firstLine="643" w:firstLineChars="200"/>
        <w:contextualSpacing/>
        <w:jc w:val="left"/>
        <w:rPr>
          <w:rFonts w:eastAsia="仿宋_GB2312" w:cs="仿宋_GB2312"/>
          <w:sz w:val="32"/>
          <w:szCs w:val="32"/>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r>
        <w:rPr>
          <w:rFonts w:eastAsia="仿宋_GB2312" w:cs="仿宋_GB2312"/>
          <w:sz w:val="32"/>
          <w:szCs w:val="32"/>
          <w:lang w:val="zh-CN"/>
        </w:rPr>
        <w:t>根据部门预算绩效评价指标体系</w:t>
      </w:r>
      <w:r>
        <w:rPr>
          <w:rFonts w:hint="eastAsia" w:eastAsia="仿宋_GB2312" w:cs="仿宋_GB2312"/>
          <w:sz w:val="32"/>
          <w:szCs w:val="32"/>
          <w:lang w:val="zh-CN"/>
        </w:rPr>
        <w:t>“</w:t>
      </w:r>
      <w:r>
        <w:rPr>
          <w:rFonts w:eastAsia="仿宋_GB2312" w:cs="仿宋_GB2312"/>
          <w:sz w:val="32"/>
          <w:szCs w:val="32"/>
          <w:lang w:val="zh-CN"/>
        </w:rPr>
        <w:t>总体绩效</w:t>
      </w:r>
      <w:r>
        <w:rPr>
          <w:rFonts w:hint="eastAsia" w:eastAsia="仿宋_GB2312" w:cs="仿宋_GB2312"/>
          <w:sz w:val="32"/>
          <w:szCs w:val="32"/>
          <w:lang w:val="zh-CN"/>
        </w:rPr>
        <w:t>”</w:t>
      </w:r>
      <w:r>
        <w:rPr>
          <w:rFonts w:eastAsia="仿宋_GB2312" w:cs="仿宋_GB2312"/>
          <w:sz w:val="32"/>
          <w:szCs w:val="32"/>
          <w:lang w:val="zh-CN"/>
        </w:rPr>
        <w:t>涉及</w:t>
      </w:r>
      <w:r>
        <w:rPr>
          <w:rFonts w:hint="eastAsia" w:eastAsia="仿宋_GB2312" w:cs="仿宋_GB2312"/>
          <w:sz w:val="32"/>
          <w:szCs w:val="32"/>
          <w:lang w:val="zh-CN"/>
        </w:rPr>
        <w:t>二、三级</w:t>
      </w:r>
      <w:r>
        <w:rPr>
          <w:rFonts w:eastAsia="仿宋_GB2312" w:cs="仿宋_GB2312"/>
          <w:sz w:val="32"/>
          <w:szCs w:val="32"/>
          <w:lang w:val="zh-CN"/>
        </w:rPr>
        <w:t>指标进行</w:t>
      </w:r>
      <w:r>
        <w:rPr>
          <w:rFonts w:hint="eastAsia" w:eastAsia="仿宋_GB2312" w:cs="仿宋_GB2312"/>
          <w:sz w:val="32"/>
          <w:szCs w:val="32"/>
          <w:lang w:val="zh-CN"/>
        </w:rPr>
        <w:t>逐项</w:t>
      </w:r>
      <w:r>
        <w:rPr>
          <w:rFonts w:eastAsia="仿宋_GB2312" w:cs="仿宋_GB2312"/>
          <w:sz w:val="32"/>
          <w:szCs w:val="32"/>
          <w:lang w:val="zh-CN"/>
        </w:rPr>
        <w:t>绩效分析</w:t>
      </w:r>
      <w:r>
        <w:rPr>
          <w:rFonts w:hint="eastAsia" w:eastAsia="仿宋_GB2312" w:cs="仿宋_GB2312"/>
          <w:sz w:val="32"/>
          <w:szCs w:val="32"/>
          <w:lang w:val="zh-CN"/>
        </w:rPr>
        <w:t>并评分</w:t>
      </w:r>
      <w:r>
        <w:rPr>
          <w:rFonts w:eastAsia="仿宋_GB2312" w:cs="仿宋_GB2312"/>
          <w:sz w:val="32"/>
          <w:szCs w:val="32"/>
          <w:lang w:val="zh-CN"/>
        </w:rPr>
        <w:t>，依次包括履职效能、预算管理、财务管理、资产管理、采购管理等情况。</w:t>
      </w:r>
    </w:p>
    <w:p w14:paraId="7F79A47A">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rPr>
        <w:t>1.</w:t>
      </w:r>
      <w:r>
        <w:rPr>
          <w:rFonts w:hint="eastAsia" w:eastAsia="仿宋_GB2312" w:cs="仿宋_GB2312"/>
          <w:sz w:val="32"/>
          <w:szCs w:val="32"/>
          <w:lang w:val="zh-CN"/>
        </w:rPr>
        <w:t>履职效能。部门整体绩效目标中选定3—5个核心职能目标，对职能目标完成效果情况绩效分析。</w:t>
      </w:r>
    </w:p>
    <w:p w14:paraId="4FA8D1B7">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rPr>
        <w:t>2.</w:t>
      </w:r>
      <w:r>
        <w:rPr>
          <w:rFonts w:eastAsia="仿宋_GB2312" w:cs="仿宋_GB2312"/>
          <w:sz w:val="32"/>
          <w:szCs w:val="32"/>
          <w:lang w:val="zh-CN"/>
        </w:rPr>
        <w:t>预算管理</w:t>
      </w:r>
      <w:r>
        <w:rPr>
          <w:rFonts w:hint="eastAsia" w:eastAsia="仿宋_GB2312" w:cs="仿宋_GB2312"/>
          <w:sz w:val="32"/>
          <w:szCs w:val="32"/>
          <w:lang w:val="zh-CN"/>
        </w:rPr>
        <w:t>。围绕预算编制质量、单位收入统筹、支出执行进度、预算年终结余、严控一般性支出</w:t>
      </w:r>
      <w:r>
        <w:rPr>
          <w:rFonts w:eastAsia="仿宋_GB2312" w:cs="仿宋_GB2312"/>
          <w:sz w:val="32"/>
          <w:szCs w:val="32"/>
          <w:lang w:val="zh-CN"/>
        </w:rPr>
        <w:t>进行绩效分析</w:t>
      </w:r>
      <w:r>
        <w:rPr>
          <w:rFonts w:hint="eastAsia" w:eastAsia="仿宋_GB2312" w:cs="仿宋_GB2312"/>
          <w:sz w:val="32"/>
          <w:szCs w:val="32"/>
          <w:lang w:val="zh-CN"/>
        </w:rPr>
        <w:t>。</w:t>
      </w:r>
    </w:p>
    <w:p w14:paraId="34DD1374">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rPr>
        <w:t>3.</w:t>
      </w:r>
      <w:r>
        <w:rPr>
          <w:rFonts w:eastAsia="仿宋_GB2312" w:cs="仿宋_GB2312"/>
          <w:sz w:val="32"/>
          <w:szCs w:val="32"/>
          <w:lang w:val="zh-CN"/>
        </w:rPr>
        <w:t>财务管理</w:t>
      </w:r>
      <w:r>
        <w:rPr>
          <w:rFonts w:hint="eastAsia" w:eastAsia="仿宋_GB2312" w:cs="仿宋_GB2312"/>
          <w:sz w:val="32"/>
          <w:szCs w:val="32"/>
          <w:lang w:val="zh-CN"/>
        </w:rPr>
        <w:t>。围绕财务管理制度、财务岗位设置、资金使用规范</w:t>
      </w:r>
      <w:r>
        <w:rPr>
          <w:rFonts w:eastAsia="仿宋_GB2312" w:cs="仿宋_GB2312"/>
          <w:sz w:val="32"/>
          <w:szCs w:val="32"/>
          <w:lang w:val="zh-CN"/>
        </w:rPr>
        <w:t>进行绩效分析</w:t>
      </w:r>
      <w:r>
        <w:rPr>
          <w:rFonts w:hint="eastAsia" w:eastAsia="仿宋_GB2312" w:cs="仿宋_GB2312"/>
          <w:sz w:val="32"/>
          <w:szCs w:val="32"/>
          <w:lang w:val="zh-CN"/>
        </w:rPr>
        <w:t>。</w:t>
      </w:r>
    </w:p>
    <w:p w14:paraId="25D11B0F">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rPr>
        <w:t>4.</w:t>
      </w:r>
      <w:r>
        <w:rPr>
          <w:rFonts w:eastAsia="仿宋_GB2312" w:cs="仿宋_GB2312"/>
          <w:sz w:val="32"/>
          <w:szCs w:val="32"/>
          <w:lang w:val="zh-CN"/>
        </w:rPr>
        <w:t>资产管理</w:t>
      </w:r>
      <w:r>
        <w:rPr>
          <w:rFonts w:hint="eastAsia" w:eastAsia="仿宋_GB2312" w:cs="仿宋_GB2312"/>
          <w:sz w:val="32"/>
          <w:szCs w:val="32"/>
          <w:lang w:val="zh-CN"/>
        </w:rPr>
        <w:t>。围绕人均资产变化率、资产利用率、资产盘活率</w:t>
      </w:r>
      <w:r>
        <w:rPr>
          <w:rFonts w:eastAsia="仿宋_GB2312" w:cs="仿宋_GB2312"/>
          <w:sz w:val="32"/>
          <w:szCs w:val="32"/>
          <w:lang w:val="zh-CN"/>
        </w:rPr>
        <w:t>进行绩效分析</w:t>
      </w:r>
      <w:r>
        <w:rPr>
          <w:rFonts w:hint="eastAsia" w:eastAsia="仿宋_GB2312" w:cs="仿宋_GB2312"/>
          <w:sz w:val="32"/>
          <w:szCs w:val="32"/>
          <w:lang w:val="zh-CN"/>
        </w:rPr>
        <w:t>。</w:t>
      </w:r>
    </w:p>
    <w:p w14:paraId="690AA90A">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rPr>
        <w:t>5.</w:t>
      </w:r>
      <w:r>
        <w:rPr>
          <w:rFonts w:eastAsia="仿宋_GB2312" w:cs="仿宋_GB2312"/>
          <w:sz w:val="32"/>
          <w:szCs w:val="32"/>
          <w:lang w:val="zh-CN"/>
        </w:rPr>
        <w:t>采购管理</w:t>
      </w:r>
      <w:r>
        <w:rPr>
          <w:rFonts w:hint="eastAsia" w:eastAsia="仿宋_GB2312" w:cs="仿宋_GB2312"/>
          <w:sz w:val="32"/>
          <w:szCs w:val="32"/>
          <w:lang w:val="zh-CN"/>
        </w:rPr>
        <w:t>。围绕支持中小企业发展、采购执行率</w:t>
      </w:r>
      <w:r>
        <w:rPr>
          <w:rFonts w:eastAsia="仿宋_GB2312" w:cs="仿宋_GB2312"/>
          <w:sz w:val="32"/>
          <w:szCs w:val="32"/>
          <w:lang w:val="zh-CN"/>
        </w:rPr>
        <w:t>进行绩效分析</w:t>
      </w:r>
      <w:r>
        <w:rPr>
          <w:rFonts w:hint="eastAsia" w:eastAsia="仿宋_GB2312" w:cs="仿宋_GB2312"/>
          <w:sz w:val="32"/>
          <w:szCs w:val="32"/>
          <w:lang w:val="zh-CN"/>
        </w:rPr>
        <w:t>。</w:t>
      </w:r>
    </w:p>
    <w:p w14:paraId="5B8CB2EB">
      <w:pPr>
        <w:adjustRightInd w:val="0"/>
        <w:snapToGrid w:val="0"/>
        <w:spacing w:line="578" w:lineRule="exact"/>
        <w:ind w:firstLine="643" w:firstLineChars="200"/>
        <w:contextualSpacing/>
        <w:rPr>
          <w:rFonts w:eastAsia="仿宋_GB2312" w:cs="仿宋_GB2312"/>
          <w:sz w:val="32"/>
          <w:szCs w:val="32"/>
        </w:rPr>
      </w:pPr>
      <w:r>
        <w:rPr>
          <w:rFonts w:eastAsia="楷体_GB2312"/>
          <w:b/>
          <w:bCs/>
          <w:color w:val="000000"/>
          <w:kern w:val="0"/>
          <w:sz w:val="32"/>
          <w:szCs w:val="32"/>
          <w:shd w:val="clear" w:color="auto" w:fill="FFFFFF"/>
          <w:lang w:val="zh-CN"/>
        </w:rPr>
        <w:t>（二）部门预算项目绩效分析。</w:t>
      </w:r>
      <w:r>
        <w:rPr>
          <w:rFonts w:hint="eastAsia" w:eastAsia="仿宋_GB2312" w:cs="仿宋_GB2312"/>
          <w:sz w:val="32"/>
          <w:szCs w:val="32"/>
          <w:lang w:val="zh-CN"/>
        </w:rPr>
        <w:t>填报以下数据，并</w:t>
      </w:r>
      <w:r>
        <w:rPr>
          <w:rFonts w:eastAsia="仿宋_GB2312" w:cs="仿宋_GB2312"/>
          <w:sz w:val="32"/>
          <w:szCs w:val="32"/>
          <w:lang w:val="zh-CN"/>
        </w:rPr>
        <w:t>根据部门预算绩效评价指标体系</w:t>
      </w:r>
      <w:r>
        <w:rPr>
          <w:rFonts w:hint="eastAsia" w:eastAsia="仿宋_GB2312" w:cs="仿宋_GB2312"/>
          <w:sz w:val="32"/>
          <w:szCs w:val="32"/>
          <w:lang w:val="zh-CN"/>
        </w:rPr>
        <w:t>“</w:t>
      </w:r>
      <w:r>
        <w:rPr>
          <w:rFonts w:eastAsia="仿宋_GB2312" w:cs="仿宋_GB2312"/>
          <w:sz w:val="32"/>
          <w:szCs w:val="32"/>
          <w:lang w:val="zh-CN"/>
        </w:rPr>
        <w:t>项目绩效</w:t>
      </w:r>
      <w:r>
        <w:rPr>
          <w:rFonts w:hint="eastAsia" w:eastAsia="仿宋_GB2312" w:cs="仿宋_GB2312"/>
          <w:sz w:val="32"/>
          <w:szCs w:val="32"/>
          <w:lang w:val="zh-CN"/>
        </w:rPr>
        <w:t>”</w:t>
      </w:r>
      <w:r>
        <w:rPr>
          <w:rFonts w:eastAsia="仿宋_GB2312" w:cs="仿宋_GB2312"/>
          <w:sz w:val="32"/>
          <w:szCs w:val="32"/>
          <w:lang w:val="zh-CN"/>
        </w:rPr>
        <w:t>涉及</w:t>
      </w:r>
      <w:r>
        <w:rPr>
          <w:rFonts w:hint="eastAsia" w:eastAsia="仿宋_GB2312" w:cs="仿宋_GB2312"/>
          <w:sz w:val="32"/>
          <w:szCs w:val="32"/>
          <w:lang w:val="zh-CN"/>
        </w:rPr>
        <w:t>二、三级</w:t>
      </w:r>
      <w:r>
        <w:rPr>
          <w:rFonts w:eastAsia="仿宋_GB2312" w:cs="仿宋_GB2312"/>
          <w:sz w:val="32"/>
          <w:szCs w:val="32"/>
          <w:lang w:val="zh-CN"/>
        </w:rPr>
        <w:t>指标进行</w:t>
      </w:r>
      <w:r>
        <w:rPr>
          <w:rFonts w:hint="eastAsia" w:eastAsia="仿宋_GB2312" w:cs="仿宋_GB2312"/>
          <w:sz w:val="32"/>
          <w:szCs w:val="32"/>
          <w:lang w:val="zh-CN"/>
        </w:rPr>
        <w:t>逐项</w:t>
      </w:r>
      <w:r>
        <w:rPr>
          <w:rFonts w:eastAsia="仿宋_GB2312" w:cs="仿宋_GB2312"/>
          <w:sz w:val="32"/>
          <w:szCs w:val="32"/>
          <w:lang w:val="zh-CN"/>
        </w:rPr>
        <w:t>绩效分析</w:t>
      </w:r>
      <w:r>
        <w:rPr>
          <w:rFonts w:hint="eastAsia" w:eastAsia="仿宋_GB2312" w:cs="仿宋_GB2312"/>
          <w:sz w:val="32"/>
          <w:szCs w:val="32"/>
          <w:lang w:val="zh-CN"/>
        </w:rPr>
        <w:t>并评分</w:t>
      </w:r>
      <w:r>
        <w:rPr>
          <w:rFonts w:eastAsia="仿宋_GB2312" w:cs="仿宋_GB2312"/>
          <w:sz w:val="32"/>
          <w:szCs w:val="32"/>
          <w:lang w:val="zh-CN"/>
        </w:rPr>
        <w:t>，依次包括项目</w:t>
      </w:r>
      <w:r>
        <w:rPr>
          <w:rFonts w:eastAsia="仿宋_GB2312" w:cs="仿宋_GB2312"/>
          <w:sz w:val="32"/>
          <w:szCs w:val="32"/>
        </w:rPr>
        <w:t>决策、项目执行、目标实现等情况</w:t>
      </w:r>
      <w:r>
        <w:rPr>
          <w:rFonts w:hint="eastAsia" w:eastAsia="仿宋_GB2312" w:cs="仿宋_GB2312"/>
          <w:sz w:val="32"/>
          <w:szCs w:val="32"/>
        </w:rPr>
        <w:t>。</w:t>
      </w:r>
    </w:p>
    <w:p w14:paraId="621FAA51">
      <w:pPr>
        <w:adjustRightInd w:val="0"/>
        <w:snapToGrid w:val="0"/>
        <w:spacing w:line="578" w:lineRule="exact"/>
        <w:ind w:firstLine="640" w:firstLineChars="200"/>
        <w:contextualSpacing/>
        <w:rPr>
          <w:rFonts w:eastAsia="仿宋_GB2312" w:cs="仿宋_GB2312"/>
          <w:sz w:val="32"/>
          <w:szCs w:val="32"/>
          <w:lang w:val="zh-CN"/>
        </w:rPr>
      </w:pPr>
      <w:r>
        <w:rPr>
          <w:rFonts w:eastAsia="仿宋_GB2312" w:cs="仿宋_GB2312"/>
          <w:sz w:val="32"/>
          <w:szCs w:val="32"/>
        </w:rPr>
        <w:t>常年项目绩效分析。</w:t>
      </w:r>
      <w:r>
        <w:rPr>
          <w:rFonts w:eastAsia="仿宋_GB2312" w:cs="仿宋_GB2312"/>
          <w:sz w:val="32"/>
          <w:szCs w:val="32"/>
          <w:lang w:val="zh-CN"/>
        </w:rPr>
        <w:t>该类项目总数</w:t>
      </w:r>
      <w:r>
        <w:rPr>
          <w:rFonts w:hint="eastAsia" w:eastAsia="仿宋_GB2312" w:cs="仿宋_GB2312"/>
          <w:sz w:val="32"/>
          <w:szCs w:val="32"/>
        </w:rPr>
        <w:t>3</w:t>
      </w:r>
      <w:r>
        <w:rPr>
          <w:rFonts w:eastAsia="仿宋_GB2312" w:cs="仿宋_GB2312"/>
          <w:sz w:val="32"/>
          <w:szCs w:val="32"/>
          <w:lang w:val="zh-CN"/>
        </w:rPr>
        <w:t>个，涉及预算总金额万元，1</w:t>
      </w:r>
      <w:r>
        <w:rPr>
          <w:rFonts w:hint="eastAsia" w:eastAsia="仿宋_GB2312" w:cs="仿宋_GB2312"/>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月预算执行总体进度为%，其中：预算结余率大于</w:t>
      </w:r>
      <w:r>
        <w:rPr>
          <w:rFonts w:eastAsia="仿宋_GB2312" w:cs="仿宋_GB2312"/>
          <w:sz w:val="32"/>
          <w:szCs w:val="32"/>
        </w:rPr>
        <w:t>10%</w:t>
      </w:r>
      <w:r>
        <w:rPr>
          <w:rFonts w:eastAsia="仿宋_GB2312" w:cs="仿宋_GB2312"/>
          <w:sz w:val="32"/>
          <w:szCs w:val="32"/>
          <w:lang w:val="zh-CN"/>
        </w:rPr>
        <w:t>的项目共计</w:t>
      </w:r>
      <w:r>
        <w:rPr>
          <w:rFonts w:hint="eastAsia" w:eastAsia="仿宋_GB2312" w:cs="仿宋_GB2312"/>
          <w:sz w:val="32"/>
          <w:szCs w:val="32"/>
        </w:rPr>
        <w:t>3</w:t>
      </w:r>
      <w:r>
        <w:rPr>
          <w:rFonts w:eastAsia="仿宋_GB2312" w:cs="仿宋_GB2312"/>
          <w:sz w:val="32"/>
          <w:szCs w:val="32"/>
          <w:lang w:val="zh-CN"/>
        </w:rPr>
        <w:t>个。</w:t>
      </w:r>
    </w:p>
    <w:p w14:paraId="1AF6CCBA">
      <w:pPr>
        <w:adjustRightInd w:val="0"/>
        <w:snapToGrid w:val="0"/>
        <w:spacing w:line="578" w:lineRule="exact"/>
        <w:ind w:firstLine="640" w:firstLineChars="200"/>
        <w:contextualSpacing/>
        <w:rPr>
          <w:rFonts w:eastAsia="仿宋_GB2312" w:cs="仿宋_GB2312"/>
          <w:sz w:val="32"/>
          <w:szCs w:val="32"/>
          <w:lang w:val="zh-CN"/>
        </w:rPr>
      </w:pPr>
      <w:r>
        <w:rPr>
          <w:rFonts w:hint="eastAsia" w:eastAsia="仿宋_GB2312" w:cs="仿宋_GB2312"/>
          <w:sz w:val="32"/>
          <w:szCs w:val="32"/>
        </w:rPr>
        <w:t>1.</w:t>
      </w:r>
      <w:r>
        <w:rPr>
          <w:rFonts w:hint="eastAsia" w:eastAsia="仿宋_GB2312" w:cs="仿宋_GB2312"/>
          <w:sz w:val="32"/>
          <w:szCs w:val="32"/>
          <w:lang w:val="zh-CN"/>
        </w:rPr>
        <w:t>项目决策。围绕决策程序、目标设置、项目入库</w:t>
      </w:r>
      <w:r>
        <w:rPr>
          <w:rFonts w:eastAsia="仿宋_GB2312" w:cs="仿宋_GB2312"/>
          <w:sz w:val="32"/>
          <w:szCs w:val="32"/>
          <w:lang w:val="zh-CN"/>
        </w:rPr>
        <w:t>进行绩效分析</w:t>
      </w:r>
      <w:r>
        <w:rPr>
          <w:rFonts w:hint="eastAsia" w:eastAsia="仿宋_GB2312" w:cs="仿宋_GB2312"/>
          <w:sz w:val="32"/>
          <w:szCs w:val="32"/>
          <w:lang w:val="zh-CN"/>
        </w:rPr>
        <w:t>。</w:t>
      </w:r>
    </w:p>
    <w:p w14:paraId="4E7EE591">
      <w:pPr>
        <w:adjustRightInd w:val="0"/>
        <w:snapToGrid w:val="0"/>
        <w:spacing w:line="578" w:lineRule="exact"/>
        <w:ind w:firstLine="640" w:firstLineChars="200"/>
        <w:contextualSpacing/>
        <w:rPr>
          <w:rFonts w:eastAsia="仿宋_GB2312" w:cs="仿宋_GB2312"/>
          <w:sz w:val="32"/>
          <w:szCs w:val="32"/>
          <w:lang w:val="zh-CN"/>
        </w:rPr>
      </w:pPr>
      <w:r>
        <w:rPr>
          <w:rFonts w:hint="eastAsia" w:eastAsia="仿宋_GB2312" w:cs="仿宋_GB2312"/>
          <w:sz w:val="32"/>
          <w:szCs w:val="32"/>
        </w:rPr>
        <w:t>2.项目执行</w:t>
      </w:r>
      <w:r>
        <w:rPr>
          <w:rFonts w:hint="eastAsia" w:eastAsia="仿宋_GB2312" w:cs="仿宋_GB2312"/>
          <w:sz w:val="32"/>
          <w:szCs w:val="32"/>
          <w:lang w:val="zh-CN"/>
        </w:rPr>
        <w:t>。围绕资金执行同向、项目调整、执行结果</w:t>
      </w:r>
      <w:r>
        <w:rPr>
          <w:rFonts w:eastAsia="仿宋_GB2312" w:cs="仿宋_GB2312"/>
          <w:sz w:val="32"/>
          <w:szCs w:val="32"/>
          <w:lang w:val="zh-CN"/>
        </w:rPr>
        <w:t>进行绩效分析</w:t>
      </w:r>
      <w:r>
        <w:rPr>
          <w:rFonts w:hint="eastAsia" w:eastAsia="仿宋_GB2312" w:cs="仿宋_GB2312"/>
          <w:sz w:val="32"/>
          <w:szCs w:val="32"/>
          <w:lang w:val="zh-CN"/>
        </w:rPr>
        <w:t>。</w:t>
      </w:r>
    </w:p>
    <w:p w14:paraId="76084839">
      <w:pPr>
        <w:adjustRightInd w:val="0"/>
        <w:snapToGrid w:val="0"/>
        <w:spacing w:line="578" w:lineRule="exact"/>
        <w:ind w:firstLine="640" w:firstLineChars="200"/>
        <w:contextualSpacing/>
        <w:rPr>
          <w:rFonts w:eastAsia="仿宋_GB2312" w:cs="仿宋_GB2312"/>
          <w:sz w:val="32"/>
          <w:szCs w:val="32"/>
          <w:lang w:val="zh-CN"/>
        </w:rPr>
      </w:pPr>
      <w:r>
        <w:rPr>
          <w:rFonts w:hint="eastAsia" w:eastAsia="仿宋_GB2312" w:cs="仿宋_GB2312"/>
          <w:sz w:val="32"/>
          <w:szCs w:val="32"/>
        </w:rPr>
        <w:t>3.</w:t>
      </w:r>
      <w:r>
        <w:rPr>
          <w:rFonts w:hint="eastAsia" w:eastAsia="仿宋_GB2312" w:cs="仿宋_GB2312"/>
          <w:sz w:val="32"/>
          <w:szCs w:val="32"/>
          <w:lang w:val="zh-CN"/>
        </w:rPr>
        <w:t>目标实现。围绕目标完成、目标偏离、实现效果</w:t>
      </w:r>
      <w:r>
        <w:rPr>
          <w:rFonts w:eastAsia="仿宋_GB2312" w:cs="仿宋_GB2312"/>
          <w:sz w:val="32"/>
          <w:szCs w:val="32"/>
          <w:lang w:val="zh-CN"/>
        </w:rPr>
        <w:t>进行绩效分析</w:t>
      </w:r>
      <w:r>
        <w:rPr>
          <w:rFonts w:hint="eastAsia" w:eastAsia="仿宋_GB2312" w:cs="仿宋_GB2312"/>
          <w:sz w:val="32"/>
          <w:szCs w:val="32"/>
          <w:lang w:val="zh-CN"/>
        </w:rPr>
        <w:t>。</w:t>
      </w:r>
    </w:p>
    <w:p w14:paraId="17815E10">
      <w:pPr>
        <w:adjustRightInd w:val="0"/>
        <w:snapToGrid w:val="0"/>
        <w:spacing w:line="578" w:lineRule="exact"/>
        <w:ind w:firstLine="640" w:firstLineChars="200"/>
        <w:contextualSpacing/>
        <w:rPr>
          <w:rFonts w:eastAsia="仿宋_GB2312" w:cs="仿宋_GB2312"/>
          <w:sz w:val="32"/>
          <w:szCs w:val="32"/>
        </w:rPr>
      </w:pPr>
      <w:r>
        <w:rPr>
          <w:rFonts w:eastAsia="仿宋_GB2312" w:cs="仿宋_GB2312"/>
          <w:sz w:val="32"/>
          <w:szCs w:val="32"/>
        </w:rPr>
        <w:t>省级部门对</w:t>
      </w:r>
      <w:r>
        <w:rPr>
          <w:rFonts w:hint="eastAsia" w:eastAsia="仿宋_GB2312" w:cs="仿宋_GB2312"/>
          <w:sz w:val="32"/>
          <w:szCs w:val="32"/>
        </w:rPr>
        <w:t>2025年度</w:t>
      </w:r>
      <w:r>
        <w:rPr>
          <w:rFonts w:eastAsia="仿宋_GB2312" w:cs="仿宋_GB2312"/>
          <w:sz w:val="32"/>
          <w:szCs w:val="32"/>
        </w:rPr>
        <w:t>一般公共预算、政府性基金预算、国有资本经营预算安排的常年项目、阶段项目绩效目标完成情况，以及债券资金、政府购买服务有关情况进行梳理阐述</w:t>
      </w:r>
      <w:r>
        <w:rPr>
          <w:rFonts w:hint="eastAsia" w:eastAsia="仿宋_GB2312" w:cs="仿宋_GB2312"/>
          <w:sz w:val="32"/>
          <w:szCs w:val="32"/>
        </w:rPr>
        <w:t>。</w:t>
      </w:r>
    </w:p>
    <w:p w14:paraId="291EDC44">
      <w:pPr>
        <w:adjustRightInd w:val="0"/>
        <w:snapToGrid w:val="0"/>
        <w:spacing w:line="578" w:lineRule="exact"/>
        <w:ind w:firstLine="643" w:firstLineChars="200"/>
        <w:contextualSpacing/>
        <w:rPr>
          <w:rFonts w:eastAsia="仿宋_GB2312" w:cs="仿宋_GB2312"/>
          <w:sz w:val="32"/>
          <w:szCs w:val="32"/>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rPr>
        <w:t>三</w:t>
      </w:r>
      <w:r>
        <w:rPr>
          <w:rFonts w:eastAsia="楷体_GB2312"/>
          <w:b/>
          <w:bCs/>
          <w:color w:val="000000"/>
          <w:kern w:val="0"/>
          <w:sz w:val="32"/>
          <w:szCs w:val="32"/>
          <w:shd w:val="clear" w:color="auto" w:fill="FFFFFF"/>
          <w:lang w:val="zh-CN"/>
        </w:rPr>
        <w:t>）绩效结果应用情况</w:t>
      </w:r>
      <w:r>
        <w:rPr>
          <w:rFonts w:hint="eastAsia" w:eastAsia="楷体_GB2312"/>
          <w:b/>
          <w:bCs/>
          <w:color w:val="000000"/>
          <w:kern w:val="0"/>
          <w:sz w:val="32"/>
          <w:szCs w:val="32"/>
          <w:shd w:val="clear" w:color="auto" w:fill="FFFFFF"/>
          <w:lang w:val="zh-CN"/>
        </w:rPr>
        <w:t>。</w:t>
      </w:r>
      <w:r>
        <w:rPr>
          <w:rFonts w:hint="eastAsia" w:eastAsia="仿宋_GB2312" w:cs="仿宋_GB2312"/>
          <w:sz w:val="32"/>
          <w:szCs w:val="32"/>
          <w:lang w:val="zh-CN"/>
        </w:rPr>
        <w:t>围绕内部应用情况、</w:t>
      </w:r>
      <w:r>
        <w:rPr>
          <w:rFonts w:eastAsia="仿宋_GB2312" w:cs="仿宋_GB2312"/>
          <w:sz w:val="32"/>
          <w:szCs w:val="32"/>
          <w:lang w:val="zh-CN"/>
        </w:rPr>
        <w:t>信息公开情况</w:t>
      </w:r>
      <w:r>
        <w:rPr>
          <w:rFonts w:hint="eastAsia" w:eastAsia="仿宋_GB2312" w:cs="仿宋_GB2312"/>
          <w:sz w:val="32"/>
          <w:szCs w:val="32"/>
          <w:lang w:val="zh-CN"/>
        </w:rPr>
        <w:t>、</w:t>
      </w:r>
      <w:r>
        <w:rPr>
          <w:rFonts w:eastAsia="仿宋_GB2312" w:cs="仿宋_GB2312"/>
          <w:sz w:val="32"/>
          <w:szCs w:val="32"/>
          <w:lang w:val="zh-CN"/>
        </w:rPr>
        <w:t>整改反馈情况</w:t>
      </w:r>
      <w:r>
        <w:rPr>
          <w:rFonts w:hint="eastAsia" w:eastAsia="仿宋_GB2312" w:cs="仿宋_GB2312"/>
          <w:sz w:val="32"/>
          <w:szCs w:val="32"/>
          <w:lang w:val="zh-CN"/>
        </w:rPr>
        <w:t>进行分析。</w:t>
      </w:r>
    </w:p>
    <w:p w14:paraId="478247CC">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14:paraId="36CE22CA">
      <w:pPr>
        <w:widowControl/>
        <w:adjustRightInd w:val="0"/>
        <w:snapToGrid w:val="0"/>
        <w:spacing w:line="578" w:lineRule="exact"/>
        <w:ind w:firstLine="643" w:firstLineChars="200"/>
        <w:contextualSpacing/>
        <w:jc w:val="left"/>
        <w:rPr>
          <w:rFonts w:eastAsia="仿宋_GB2312"/>
          <w:sz w:val="32"/>
          <w:szCs w:val="32"/>
        </w:rPr>
      </w:pPr>
      <w:r>
        <w:rPr>
          <w:rFonts w:eastAsia="楷体_GB2312"/>
          <w:b/>
          <w:bCs/>
          <w:color w:val="000000"/>
          <w:kern w:val="0"/>
          <w:sz w:val="32"/>
          <w:szCs w:val="32"/>
          <w:shd w:val="clear" w:color="auto" w:fill="FFFFFF"/>
          <w:lang w:val="zh-CN"/>
        </w:rPr>
        <w:t>（一）评价结论。</w:t>
      </w:r>
      <w:r>
        <w:rPr>
          <w:rFonts w:hint="eastAsia" w:eastAsia="仿宋_GB2312"/>
          <w:sz w:val="32"/>
          <w:szCs w:val="32"/>
        </w:rPr>
        <w:t>简要阐述部门预算绩效自评总体结论，其中必须包含自评得分。</w:t>
      </w:r>
    </w:p>
    <w:p w14:paraId="2F9B0407">
      <w:pPr>
        <w:widowControl/>
        <w:adjustRightInd w:val="0"/>
        <w:snapToGrid w:val="0"/>
        <w:spacing w:line="578" w:lineRule="exact"/>
        <w:ind w:firstLine="643" w:firstLineChars="200"/>
        <w:contextualSpacing/>
        <w:jc w:val="left"/>
        <w:rPr>
          <w:rFonts w:eastAsia="仿宋_GB2312"/>
          <w:sz w:val="32"/>
          <w:szCs w:val="32"/>
        </w:rPr>
      </w:pPr>
      <w:r>
        <w:rPr>
          <w:rFonts w:eastAsia="楷体_GB2312"/>
          <w:b/>
          <w:bCs/>
          <w:color w:val="000000"/>
          <w:kern w:val="0"/>
          <w:sz w:val="32"/>
          <w:szCs w:val="32"/>
          <w:shd w:val="clear" w:color="auto" w:fill="FFFFFF"/>
          <w:lang w:val="zh-CN"/>
        </w:rPr>
        <w:t>（二）存在问题。</w:t>
      </w:r>
      <w:r>
        <w:rPr>
          <w:rFonts w:hint="eastAsia" w:eastAsia="仿宋_GB2312"/>
          <w:sz w:val="32"/>
          <w:szCs w:val="32"/>
        </w:rPr>
        <w:t>简要阐述部门预算绩效自评发现的主要问题。</w:t>
      </w:r>
    </w:p>
    <w:p w14:paraId="2F339487">
      <w:pPr>
        <w:widowControl/>
        <w:adjustRightInd w:val="0"/>
        <w:snapToGrid w:val="0"/>
        <w:spacing w:line="578" w:lineRule="exact"/>
        <w:ind w:firstLine="643" w:firstLineChars="200"/>
        <w:contextualSpacing/>
        <w:jc w:val="left"/>
        <w:rPr>
          <w:rFonts w:eastAsia="仿宋_GB2312"/>
          <w:sz w:val="32"/>
          <w:szCs w:val="32"/>
        </w:rPr>
      </w:pPr>
      <w:r>
        <w:rPr>
          <w:rFonts w:eastAsia="楷体_GB2312"/>
          <w:b/>
          <w:bCs/>
          <w:color w:val="000000"/>
          <w:kern w:val="0"/>
          <w:sz w:val="32"/>
          <w:szCs w:val="32"/>
          <w:shd w:val="clear" w:color="auto" w:fill="FFFFFF"/>
          <w:lang w:val="zh-CN"/>
        </w:rPr>
        <w:t>（三）改进建议。</w:t>
      </w:r>
      <w:r>
        <w:rPr>
          <w:rFonts w:hint="eastAsia" w:eastAsia="仿宋_GB2312"/>
          <w:sz w:val="32"/>
          <w:szCs w:val="32"/>
        </w:rPr>
        <w:t>简要阐述</w:t>
      </w:r>
      <w:bookmarkStart w:id="45" w:name="_Hlk110546638"/>
      <w:r>
        <w:rPr>
          <w:rFonts w:hint="eastAsia" w:eastAsia="仿宋_GB2312"/>
          <w:sz w:val="32"/>
          <w:szCs w:val="32"/>
        </w:rPr>
        <w:t>预算安排、完善政策、改进管理等方面的措施建议，其中必须对应评价发现的主要问题一一提出措施建议。</w:t>
      </w:r>
    </w:p>
    <w:bookmarkEnd w:id="45"/>
    <w:p w14:paraId="396C3723">
      <w:pPr>
        <w:pStyle w:val="3"/>
        <w:spacing w:line="560" w:lineRule="exact"/>
        <w:ind w:left="0" w:leftChars="0" w:firstLine="640"/>
        <w:rPr>
          <w:rFonts w:ascii="Times New Roman" w:eastAsia="仿宋_GB2312"/>
          <w:sz w:val="32"/>
          <w:lang w:val="zh-CN"/>
        </w:rPr>
      </w:pPr>
    </w:p>
    <w:p w14:paraId="0CF667CC">
      <w:pPr>
        <w:pStyle w:val="3"/>
        <w:spacing w:line="560" w:lineRule="exact"/>
        <w:ind w:left="0" w:leftChars="0" w:firstLine="640"/>
        <w:rPr>
          <w:rFonts w:ascii="Times New Roman" w:eastAsia="仿宋_GB2312"/>
          <w:sz w:val="32"/>
          <w:lang w:val="zh-CN"/>
        </w:rPr>
      </w:pPr>
      <w:r>
        <w:rPr>
          <w:rFonts w:hint="eastAsia" w:ascii="Times New Roman" w:eastAsia="仿宋_GB2312"/>
          <w:sz w:val="32"/>
          <w:lang w:val="zh-CN"/>
        </w:rPr>
        <w:t>附表：</w:t>
      </w:r>
      <w:r>
        <w:rPr>
          <w:rFonts w:hint="eastAsia" w:ascii="Times New Roman" w:eastAsia="仿宋_GB2312"/>
          <w:sz w:val="32"/>
        </w:rPr>
        <w:t>部门预算项目支出绩效自评表（2025年度）</w:t>
      </w:r>
    </w:p>
    <w:p w14:paraId="3616A36B">
      <w:pPr>
        <w:pStyle w:val="3"/>
        <w:spacing w:line="560" w:lineRule="exact"/>
        <w:ind w:left="0" w:leftChars="0" w:firstLine="640"/>
        <w:rPr>
          <w:rFonts w:ascii="Times New Roman" w:eastAsia="仿宋_GB2312" w:cs="仿宋_GB2312"/>
          <w:kern w:val="0"/>
          <w:sz w:val="32"/>
        </w:rPr>
      </w:pPr>
      <w:r>
        <w:rPr>
          <w:rFonts w:hint="eastAsia" w:ascii="Times New Roman" w:eastAsia="仿宋_GB2312" w:cs="仿宋_GB2312"/>
          <w:kern w:val="0"/>
          <w:sz w:val="32"/>
        </w:rPr>
        <w:t>（注：部门需公开部门预算绩效自评报告和部门预算项目支出绩效自评表（2025年度</w:t>
      </w:r>
      <w:bookmarkStart w:id="60" w:name="_GoBack"/>
      <w:r>
        <w:rPr>
          <w:rFonts w:hint="eastAsia" w:ascii="Times New Roman" w:eastAsia="仿宋_GB2312" w:cs="仿宋_GB2312"/>
          <w:kern w:val="0"/>
          <w:sz w:val="32"/>
        </w:rPr>
        <w:t>）</w:t>
      </w:r>
      <w:bookmarkEnd w:id="60"/>
      <w:r>
        <w:rPr>
          <w:rFonts w:hint="eastAsia" w:ascii="Times New Roman" w:eastAsia="仿宋_GB2312" w:cs="仿宋_GB2312"/>
          <w:kern w:val="0"/>
          <w:sz w:val="32"/>
        </w:rPr>
        <w:t>，各下属单位需公开部门预算项目支出绩效自评表（2025年度）。</w:t>
      </w:r>
    </w:p>
    <w:p w14:paraId="25EA1B7B">
      <w:pPr>
        <w:pStyle w:val="3"/>
        <w:spacing w:line="560" w:lineRule="exact"/>
        <w:ind w:left="0" w:leftChars="0" w:firstLine="640"/>
        <w:rPr>
          <w:rFonts w:ascii="Times New Roman" w:eastAsia="仿宋_GB2312" w:cs="仿宋_GB2312"/>
          <w:kern w:val="0"/>
          <w:sz w:val="32"/>
          <w:lang w:val="zh-CN"/>
        </w:rPr>
      </w:pPr>
      <w:r>
        <w:rPr>
          <w:rFonts w:hint="eastAsia" w:ascii="Times New Roman" w:eastAsia="仿宋_GB2312" w:cs="仿宋_GB2312"/>
          <w:kern w:val="0"/>
          <w:sz w:val="32"/>
        </w:rPr>
        <w:t>部门预算项目支出绩效自评表（2025年度）为各部门在预算管理一体化系统绩效自评模块上传的表格，该表格应作为附表予以公开）</w:t>
      </w:r>
    </w:p>
    <w:p w14:paraId="1F4D4991">
      <w:pPr>
        <w:pStyle w:val="3"/>
        <w:spacing w:line="560" w:lineRule="exact"/>
        <w:ind w:left="0" w:leftChars="0" w:firstLine="0" w:firstLineChars="0"/>
        <w:rPr>
          <w:rFonts w:ascii="Times New Roman"/>
          <w:sz w:val="32"/>
          <w:highlight w:val="yellow"/>
          <w:lang w:val="zh-CN"/>
        </w:rPr>
      </w:pPr>
    </w:p>
    <w:p w14:paraId="1D0C8993">
      <w:pPr>
        <w:pStyle w:val="8"/>
        <w:spacing w:before="93"/>
        <w:rPr>
          <w:rFonts w:ascii="Times New Roman" w:cs="宋体"/>
          <w:color w:val="FF0000"/>
          <w:sz w:val="32"/>
          <w:szCs w:val="32"/>
          <w:highlight w:val="yellow"/>
          <w:shd w:val="clear" w:color="auto" w:fill="FFFFFF"/>
          <w:lang w:val="zh-CN"/>
        </w:rPr>
      </w:pPr>
    </w:p>
    <w:p w14:paraId="4B8836C3">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14:paraId="3793EABD">
      <w:pPr>
        <w:pStyle w:val="8"/>
        <w:spacing w:before="93"/>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6C79ED6A">
      <w:pPr>
        <w:pStyle w:val="34"/>
        <w:spacing w:line="578" w:lineRule="exact"/>
        <w:jc w:val="center"/>
        <w:rPr>
          <w:rFonts w:ascii="Times New Roman" w:hAnsi="Times New Roman" w:eastAsia="方正小标宋简体" w:cs="方正小标宋简体"/>
          <w:color w:val="auto"/>
          <w:kern w:val="2"/>
          <w:sz w:val="44"/>
          <w:szCs w:val="44"/>
          <w:lang w:val="en-US"/>
        </w:rPr>
      </w:pPr>
    </w:p>
    <w:p w14:paraId="54E82E14">
      <w:pPr>
        <w:pStyle w:val="34"/>
        <w:spacing w:line="578" w:lineRule="exact"/>
        <w:jc w:val="center"/>
        <w:rPr>
          <w:rFonts w:ascii="Times New Roman" w:hAnsi="Times New Roman" w:eastAsia="方正小标宋简体" w:cs="方正小标宋简体"/>
          <w:color w:val="auto"/>
          <w:kern w:val="2"/>
          <w:sz w:val="44"/>
          <w:szCs w:val="44"/>
          <w:lang w:val="en-US"/>
        </w:rPr>
      </w:pPr>
      <w:r>
        <w:rPr>
          <w:rFonts w:hint="eastAsia" w:ascii="Times New Roman" w:hAnsi="Times New Roman" w:eastAsia="方正小标宋简体" w:cs="方正小标宋简体"/>
          <w:color w:val="auto"/>
          <w:kern w:val="2"/>
          <w:sz w:val="44"/>
          <w:szCs w:val="44"/>
          <w:lang w:val="en-US"/>
        </w:rPr>
        <w:t>专项预算项目绩效评价报告范本</w:t>
      </w:r>
    </w:p>
    <w:p w14:paraId="2F6D6F7B">
      <w:pPr>
        <w:pStyle w:val="34"/>
        <w:spacing w:line="578" w:lineRule="exact"/>
        <w:ind w:firstLine="640"/>
        <w:jc w:val="center"/>
        <w:rPr>
          <w:rFonts w:ascii="Times New Roman" w:hAnsi="Times New Roman"/>
          <w:color w:val="auto"/>
          <w:kern w:val="2"/>
          <w:sz w:val="32"/>
          <w:szCs w:val="32"/>
        </w:rPr>
      </w:pPr>
    </w:p>
    <w:p w14:paraId="5E08A410">
      <w:pPr>
        <w:adjustRightInd w:val="0"/>
        <w:snapToGrid w:val="0"/>
        <w:spacing w:line="578" w:lineRule="exact"/>
        <w:ind w:firstLine="640" w:firstLineChars="200"/>
        <w:rPr>
          <w:rFonts w:eastAsia="黑体"/>
          <w:sz w:val="32"/>
          <w:szCs w:val="32"/>
          <w:lang w:val="zh-CN"/>
        </w:rPr>
      </w:pPr>
      <w:r>
        <w:rPr>
          <w:rFonts w:hint="eastAsia" w:eastAsia="黑体"/>
          <w:sz w:val="32"/>
          <w:szCs w:val="32"/>
        </w:rPr>
        <w:t>一、</w:t>
      </w:r>
      <w:r>
        <w:rPr>
          <w:rFonts w:hint="eastAsia" w:eastAsia="黑体"/>
          <w:sz w:val="32"/>
          <w:szCs w:val="32"/>
          <w:lang w:val="zh-CN"/>
        </w:rPr>
        <w:t>项目概况</w:t>
      </w:r>
    </w:p>
    <w:p w14:paraId="74743696">
      <w:pPr>
        <w:widowControl/>
        <w:adjustRightInd w:val="0"/>
        <w:snapToGrid w:val="0"/>
        <w:spacing w:line="578" w:lineRule="exact"/>
        <w:ind w:firstLine="643" w:firstLineChars="200"/>
        <w:contextualSpacing/>
        <w:jc w:val="left"/>
        <w:rPr>
          <w:rFonts w:eastAsia="仿宋_GB2312" w:cs="仿宋_GB2312"/>
          <w:kern w:val="0"/>
          <w:sz w:val="32"/>
          <w:szCs w:val="32"/>
          <w:shd w:val="clear" w:color="auto" w:fill="FFFFFF"/>
          <w:lang w:val="zh-CN"/>
        </w:rPr>
      </w:pPr>
      <w:r>
        <w:rPr>
          <w:rFonts w:hint="eastAsia" w:eastAsia="楷体_GB2312"/>
          <w:b/>
          <w:sz w:val="32"/>
          <w:szCs w:val="32"/>
          <w:lang w:val="zh-CN"/>
        </w:rPr>
        <w:t>（一）设立背景及基本情况。</w:t>
      </w:r>
      <w:r>
        <w:rPr>
          <w:rFonts w:hint="eastAsia" w:eastAsia="仿宋_GB2312" w:cs="仿宋_GB2312"/>
          <w:kern w:val="0"/>
          <w:sz w:val="32"/>
          <w:szCs w:val="32"/>
        </w:rPr>
        <w:t>项目设立原因及背景，</w:t>
      </w:r>
      <w:r>
        <w:rPr>
          <w:rFonts w:hint="eastAsia" w:eastAsia="仿宋_GB2312" w:cs="仿宋_GB2312"/>
          <w:kern w:val="0"/>
          <w:sz w:val="32"/>
          <w:szCs w:val="32"/>
          <w:lang w:val="zh-CN"/>
        </w:rPr>
        <w:t>项目立项、资金申报的依据，项目主要内容</w:t>
      </w:r>
      <w:r>
        <w:rPr>
          <w:rFonts w:hint="eastAsia" w:eastAsia="仿宋_GB2312" w:cs="仿宋_GB2312"/>
          <w:kern w:val="0"/>
          <w:sz w:val="32"/>
          <w:szCs w:val="32"/>
        </w:rPr>
        <w:t>。</w:t>
      </w:r>
      <w:r>
        <w:rPr>
          <w:rFonts w:hint="eastAsia" w:eastAsia="仿宋_GB2312" w:cs="仿宋_GB2312"/>
          <w:kern w:val="0"/>
          <w:sz w:val="32"/>
          <w:szCs w:val="32"/>
          <w:lang w:val="zh-CN"/>
        </w:rPr>
        <w:t>主管部门职能</w:t>
      </w:r>
      <w:r>
        <w:rPr>
          <w:rFonts w:hint="eastAsia" w:eastAsia="仿宋_GB2312" w:cs="仿宋_GB2312"/>
          <w:kern w:val="0"/>
          <w:sz w:val="32"/>
          <w:szCs w:val="32"/>
          <w:shd w:val="clear" w:color="auto" w:fill="FFFFFF"/>
          <w:lang w:val="zh-CN"/>
        </w:rPr>
        <w:t>。</w:t>
      </w:r>
    </w:p>
    <w:p w14:paraId="4F3C9D98">
      <w:pPr>
        <w:adjustRightInd w:val="0"/>
        <w:snapToGrid w:val="0"/>
        <w:spacing w:line="578" w:lineRule="exact"/>
        <w:ind w:firstLine="643" w:firstLineChars="200"/>
        <w:rPr>
          <w:rFonts w:eastAsia="仿宋_GB2312" w:cs="仿宋_GB2312"/>
          <w:kern w:val="0"/>
          <w:sz w:val="32"/>
          <w:szCs w:val="32"/>
          <w:lang w:val="zh-CN"/>
        </w:rPr>
      </w:pPr>
      <w:r>
        <w:rPr>
          <w:rFonts w:hint="eastAsia" w:eastAsia="楷体_GB2312"/>
          <w:b/>
          <w:sz w:val="32"/>
          <w:szCs w:val="32"/>
          <w:lang w:val="zh-CN"/>
        </w:rPr>
        <w:t>（二）</w:t>
      </w:r>
      <w:r>
        <w:rPr>
          <w:rFonts w:eastAsia="楷体_GB2312"/>
          <w:b/>
          <w:sz w:val="32"/>
          <w:szCs w:val="32"/>
        </w:rPr>
        <w:t>实施目的及支持方向</w:t>
      </w:r>
      <w:r>
        <w:rPr>
          <w:rFonts w:hint="eastAsia" w:eastAsia="楷体_GB2312"/>
          <w:b/>
          <w:sz w:val="32"/>
          <w:szCs w:val="32"/>
        </w:rPr>
        <w:t>。</w:t>
      </w:r>
      <w:r>
        <w:rPr>
          <w:rFonts w:hint="eastAsia" w:eastAsia="仿宋_GB2312" w:cs="仿宋_GB2312"/>
          <w:kern w:val="0"/>
          <w:sz w:val="32"/>
          <w:szCs w:val="32"/>
        </w:rPr>
        <w:t>项目资金</w:t>
      </w:r>
      <w:r>
        <w:rPr>
          <w:rFonts w:hint="eastAsia" w:eastAsia="仿宋_GB2312" w:cs="仿宋_GB2312"/>
          <w:kern w:val="0"/>
          <w:sz w:val="32"/>
          <w:szCs w:val="32"/>
          <w:lang w:val="zh-CN"/>
        </w:rPr>
        <w:t>管理办法制定情况，项目实施目的和主要工作任务，项目支持方向。</w:t>
      </w:r>
    </w:p>
    <w:p w14:paraId="60733B9C">
      <w:pPr>
        <w:widowControl/>
        <w:adjustRightInd w:val="0"/>
        <w:snapToGrid w:val="0"/>
        <w:spacing w:line="578" w:lineRule="exact"/>
        <w:ind w:firstLine="643" w:firstLineChars="200"/>
        <w:contextualSpacing/>
        <w:jc w:val="left"/>
        <w:rPr>
          <w:rFonts w:eastAsia="仿宋_GB2312" w:cs="仿宋_GB2312"/>
          <w:kern w:val="0"/>
          <w:sz w:val="32"/>
          <w:szCs w:val="32"/>
          <w:lang w:val="zh-CN"/>
        </w:rPr>
      </w:pPr>
      <w:r>
        <w:rPr>
          <w:rFonts w:hint="eastAsia" w:eastAsia="楷体_GB2312"/>
          <w:b/>
          <w:sz w:val="32"/>
          <w:szCs w:val="32"/>
          <w:lang w:val="zh-CN"/>
        </w:rPr>
        <w:t>（三）</w:t>
      </w:r>
      <w:r>
        <w:rPr>
          <w:rFonts w:eastAsia="楷体_GB2312"/>
          <w:b/>
          <w:sz w:val="32"/>
          <w:szCs w:val="32"/>
        </w:rPr>
        <w:t>预算安排及分配管理</w:t>
      </w:r>
      <w:r>
        <w:rPr>
          <w:rFonts w:hint="eastAsia" w:eastAsia="楷体_GB2312"/>
          <w:b/>
          <w:sz w:val="32"/>
          <w:szCs w:val="32"/>
          <w:lang w:val="zh-CN"/>
        </w:rPr>
        <w:t>。</w:t>
      </w:r>
      <w:r>
        <w:rPr>
          <w:rFonts w:hint="eastAsia" w:eastAsia="仿宋_GB2312" w:cs="仿宋_GB2312"/>
          <w:kern w:val="0"/>
          <w:sz w:val="32"/>
          <w:szCs w:val="32"/>
          <w:lang w:val="zh-CN"/>
        </w:rPr>
        <w:t>项目预算安排情况，项目资金分配原则及考虑因素，项目资金分配情况。</w:t>
      </w:r>
    </w:p>
    <w:p w14:paraId="27133A86">
      <w:pPr>
        <w:adjustRightInd w:val="0"/>
        <w:snapToGrid w:val="0"/>
        <w:spacing w:line="578" w:lineRule="exact"/>
        <w:ind w:firstLine="643" w:firstLineChars="200"/>
        <w:rPr>
          <w:rFonts w:eastAsia="仿宋_GB2312" w:cs="仿宋_GB2312"/>
          <w:kern w:val="0"/>
          <w:sz w:val="32"/>
          <w:szCs w:val="32"/>
          <w:lang w:val="zh-CN"/>
        </w:rPr>
      </w:pPr>
      <w:r>
        <w:rPr>
          <w:rFonts w:hint="eastAsia" w:eastAsia="楷体_GB2312"/>
          <w:b/>
          <w:sz w:val="32"/>
          <w:szCs w:val="32"/>
          <w:lang w:val="zh-CN"/>
        </w:rPr>
        <w:t>（四）项目绩效目标设置。</w:t>
      </w:r>
      <w:r>
        <w:rPr>
          <w:rFonts w:hint="eastAsia" w:eastAsia="仿宋_GB2312" w:cs="仿宋_GB2312"/>
          <w:kern w:val="0"/>
          <w:sz w:val="32"/>
          <w:szCs w:val="32"/>
          <w:lang w:val="zh-CN"/>
        </w:rPr>
        <w:t>项目整体、区域和具体绩效目标设置情况，项目自评工作开展情况。</w:t>
      </w:r>
    </w:p>
    <w:p w14:paraId="6BFF44C0">
      <w:pPr>
        <w:adjustRightInd w:val="0"/>
        <w:snapToGrid w:val="0"/>
        <w:spacing w:line="578" w:lineRule="exact"/>
        <w:ind w:firstLine="640" w:firstLineChars="200"/>
        <w:rPr>
          <w:rFonts w:eastAsia="黑体"/>
          <w:sz w:val="32"/>
          <w:szCs w:val="32"/>
        </w:rPr>
      </w:pPr>
      <w:r>
        <w:rPr>
          <w:rFonts w:hint="eastAsia" w:eastAsia="黑体"/>
          <w:sz w:val="32"/>
          <w:szCs w:val="32"/>
        </w:rPr>
        <w:t>二、评价实施</w:t>
      </w:r>
    </w:p>
    <w:p w14:paraId="11E0905F">
      <w:pPr>
        <w:spacing w:line="578" w:lineRule="exact"/>
        <w:ind w:firstLine="640"/>
        <w:rPr>
          <w:rFonts w:eastAsia="仿宋_GB2312" w:cs="仿宋_GB2312"/>
          <w:kern w:val="0"/>
          <w:sz w:val="32"/>
          <w:szCs w:val="32"/>
          <w:lang w:val="zh-CN"/>
        </w:rPr>
      </w:pPr>
      <w:r>
        <w:rPr>
          <w:rFonts w:hint="eastAsia" w:eastAsia="楷体_GB2312"/>
          <w:b/>
          <w:sz w:val="32"/>
          <w:szCs w:val="32"/>
          <w:lang w:val="zh-CN"/>
        </w:rPr>
        <w:t>（一）评价目的。</w:t>
      </w:r>
      <w:r>
        <w:rPr>
          <w:rFonts w:hint="eastAsia" w:eastAsia="仿宋_GB2312" w:cs="仿宋_GB2312"/>
          <w:kern w:val="0"/>
          <w:sz w:val="32"/>
          <w:szCs w:val="32"/>
          <w:lang w:val="zh-CN"/>
        </w:rPr>
        <w:t>通过项目绩效自评要实现的目的。</w:t>
      </w:r>
    </w:p>
    <w:p w14:paraId="2E12CB9B">
      <w:pPr>
        <w:adjustRightInd w:val="0"/>
        <w:snapToGrid w:val="0"/>
        <w:spacing w:line="578" w:lineRule="exact"/>
        <w:ind w:firstLine="643" w:firstLineChars="200"/>
        <w:rPr>
          <w:rFonts w:eastAsia="仿宋_GB2312" w:cs="仿宋_GB2312"/>
          <w:kern w:val="0"/>
          <w:sz w:val="32"/>
          <w:szCs w:val="32"/>
          <w:lang w:val="zh-CN"/>
        </w:rPr>
      </w:pPr>
      <w:r>
        <w:rPr>
          <w:rFonts w:hint="eastAsia" w:eastAsia="楷体_GB2312"/>
          <w:b/>
          <w:sz w:val="32"/>
          <w:szCs w:val="32"/>
          <w:lang w:val="zh-CN"/>
        </w:rPr>
        <w:t>（二）预设问题及评价重点。</w:t>
      </w:r>
      <w:r>
        <w:rPr>
          <w:rFonts w:hint="eastAsia" w:eastAsia="仿宋_GB2312" w:cs="仿宋_GB2312"/>
          <w:kern w:val="0"/>
          <w:sz w:val="32"/>
          <w:szCs w:val="32"/>
          <w:lang w:val="zh-CN"/>
        </w:rPr>
        <w:t>按照绩效评价指标体系，对资金支出使用全过程及其实施效果进行综合评价和判断。</w:t>
      </w:r>
    </w:p>
    <w:p w14:paraId="00CC0B50">
      <w:pPr>
        <w:adjustRightInd w:val="0"/>
        <w:snapToGrid w:val="0"/>
        <w:spacing w:line="578" w:lineRule="exact"/>
        <w:ind w:firstLine="643" w:firstLineChars="200"/>
        <w:rPr>
          <w:rFonts w:eastAsia="仿宋_GB2312" w:cs="仿宋_GB2312"/>
          <w:kern w:val="0"/>
          <w:sz w:val="32"/>
          <w:szCs w:val="32"/>
          <w:lang w:val="zh-CN"/>
        </w:rPr>
      </w:pPr>
      <w:r>
        <w:rPr>
          <w:rFonts w:hint="eastAsia" w:eastAsia="楷体_GB2312"/>
          <w:b/>
          <w:sz w:val="32"/>
          <w:szCs w:val="32"/>
          <w:lang w:val="zh-CN"/>
        </w:rPr>
        <w:t>（三）评价选点。</w:t>
      </w:r>
      <w:r>
        <w:rPr>
          <w:rFonts w:hint="eastAsia" w:eastAsia="仿宋_GB2312" w:cs="仿宋_GB2312"/>
          <w:kern w:val="0"/>
          <w:sz w:val="32"/>
          <w:szCs w:val="32"/>
          <w:lang w:val="zh-CN"/>
        </w:rPr>
        <w:t>项目绩效自评所抽样点位情况。每个专项预算项目应选取专项资金分配涉及市县总数的20%、总计不超过20个的市县点位进行实地踏勘，且点位清单应作为自评附表。</w:t>
      </w:r>
    </w:p>
    <w:p w14:paraId="2850C83C">
      <w:pPr>
        <w:spacing w:line="578" w:lineRule="exact"/>
        <w:ind w:firstLine="640"/>
        <w:rPr>
          <w:rFonts w:eastAsia="仿宋_GB2312" w:cs="仿宋_GB2312"/>
          <w:kern w:val="0"/>
          <w:sz w:val="32"/>
          <w:szCs w:val="32"/>
          <w:lang w:val="zh-CN"/>
        </w:rPr>
      </w:pPr>
      <w:r>
        <w:rPr>
          <w:rFonts w:hint="eastAsia" w:eastAsia="楷体_GB2312"/>
          <w:b/>
          <w:sz w:val="32"/>
          <w:szCs w:val="32"/>
          <w:lang w:val="zh-CN"/>
        </w:rPr>
        <w:t>（四）评价方法。</w:t>
      </w:r>
      <w:r>
        <w:rPr>
          <w:rFonts w:hint="eastAsia" w:eastAsia="仿宋_GB2312" w:cs="仿宋_GB2312"/>
          <w:kern w:val="0"/>
          <w:sz w:val="32"/>
          <w:szCs w:val="32"/>
          <w:lang w:val="zh-CN"/>
        </w:rPr>
        <w:t>根据项目情况和评价重点，用于收集相关材料和开展具体评价的方法。包括：采用成本效益分析法、标杆管理法、案卷研究法、单位自评法、实地勘察法、问卷调查法、座谈调研法等多种方法。</w:t>
      </w:r>
    </w:p>
    <w:p w14:paraId="08559EE1">
      <w:pPr>
        <w:spacing w:line="578" w:lineRule="exact"/>
        <w:ind w:firstLine="640"/>
        <w:rPr>
          <w:rFonts w:eastAsia="仿宋_GB2312"/>
          <w:bCs/>
        </w:rPr>
      </w:pPr>
      <w:r>
        <w:rPr>
          <w:rFonts w:hint="eastAsia" w:eastAsia="楷体_GB2312"/>
          <w:b/>
          <w:sz w:val="32"/>
          <w:szCs w:val="32"/>
          <w:lang w:val="zh-CN"/>
        </w:rPr>
        <w:t>（五）评价组织。</w:t>
      </w:r>
      <w:r>
        <w:rPr>
          <w:rFonts w:hint="eastAsia" w:eastAsia="仿宋_GB2312" w:cs="仿宋_GB2312"/>
          <w:kern w:val="0"/>
          <w:sz w:val="32"/>
          <w:szCs w:val="32"/>
          <w:lang w:val="zh-CN"/>
        </w:rPr>
        <w:t>评价组人员构成和职责分工。</w:t>
      </w:r>
    </w:p>
    <w:p w14:paraId="1642F840">
      <w:pPr>
        <w:adjustRightInd w:val="0"/>
        <w:snapToGrid w:val="0"/>
        <w:spacing w:line="578" w:lineRule="exact"/>
        <w:ind w:firstLine="640" w:firstLineChars="200"/>
        <w:rPr>
          <w:sz w:val="32"/>
          <w:szCs w:val="32"/>
          <w:lang w:val="zh-CN"/>
        </w:rPr>
      </w:pPr>
      <w:r>
        <w:rPr>
          <w:rFonts w:hint="eastAsia" w:eastAsia="黑体"/>
          <w:sz w:val="32"/>
          <w:szCs w:val="32"/>
        </w:rPr>
        <w:t>三、绩效分析</w:t>
      </w:r>
      <w:r>
        <w:rPr>
          <w:rFonts w:hint="eastAsia"/>
          <w:sz w:val="32"/>
          <w:szCs w:val="32"/>
          <w:lang w:val="zh-CN"/>
        </w:rPr>
        <w:tab/>
      </w:r>
    </w:p>
    <w:p w14:paraId="279B26D4">
      <w:pPr>
        <w:spacing w:line="578" w:lineRule="exact"/>
        <w:ind w:firstLine="640"/>
        <w:rPr>
          <w:rFonts w:eastAsia="仿宋_GB2312" w:cs="仿宋_GB2312"/>
          <w:kern w:val="0"/>
          <w:sz w:val="32"/>
          <w:szCs w:val="32"/>
        </w:rPr>
      </w:pPr>
      <w:r>
        <w:rPr>
          <w:rFonts w:eastAsia="仿宋_GB2312" w:cs="仿宋_GB2312"/>
          <w:kern w:val="0"/>
          <w:sz w:val="32"/>
          <w:szCs w:val="32"/>
          <w:lang w:val="zh-CN"/>
        </w:rPr>
        <w:t>根据</w:t>
      </w:r>
      <w:r>
        <w:rPr>
          <w:rFonts w:hint="eastAsia" w:eastAsia="仿宋_GB2312" w:cs="仿宋_GB2312"/>
          <w:kern w:val="0"/>
          <w:sz w:val="32"/>
          <w:szCs w:val="32"/>
          <w:lang w:val="zh-CN"/>
        </w:rPr>
        <w:t>项目</w:t>
      </w:r>
      <w:r>
        <w:rPr>
          <w:rFonts w:eastAsia="仿宋_GB2312" w:cs="仿宋_GB2312"/>
          <w:kern w:val="0"/>
          <w:sz w:val="32"/>
          <w:szCs w:val="32"/>
          <w:lang w:val="zh-CN"/>
        </w:rPr>
        <w:t>预算绩效评价指标体系</w:t>
      </w:r>
      <w:r>
        <w:rPr>
          <w:rFonts w:hint="eastAsia" w:eastAsia="仿宋_GB2312" w:cs="仿宋_GB2312"/>
          <w:kern w:val="0"/>
          <w:sz w:val="32"/>
          <w:szCs w:val="32"/>
          <w:lang w:val="zh-CN"/>
        </w:rPr>
        <w:t>通用指标、专用指标、个性指标</w:t>
      </w:r>
      <w:r>
        <w:rPr>
          <w:rFonts w:eastAsia="仿宋_GB2312" w:cs="仿宋_GB2312"/>
          <w:kern w:val="0"/>
          <w:sz w:val="32"/>
          <w:szCs w:val="32"/>
          <w:lang w:val="zh-CN"/>
        </w:rPr>
        <w:t>涉及</w:t>
      </w:r>
      <w:r>
        <w:rPr>
          <w:rFonts w:hint="eastAsia" w:eastAsia="仿宋_GB2312" w:cs="仿宋_GB2312"/>
          <w:kern w:val="0"/>
          <w:sz w:val="32"/>
          <w:szCs w:val="32"/>
          <w:lang w:val="zh-CN"/>
        </w:rPr>
        <w:t>二、三级</w:t>
      </w:r>
      <w:r>
        <w:rPr>
          <w:rFonts w:eastAsia="仿宋_GB2312" w:cs="仿宋_GB2312"/>
          <w:kern w:val="0"/>
          <w:sz w:val="32"/>
          <w:szCs w:val="32"/>
          <w:lang w:val="zh-CN"/>
        </w:rPr>
        <w:t>指标进行</w:t>
      </w:r>
      <w:r>
        <w:rPr>
          <w:rFonts w:hint="eastAsia" w:eastAsia="仿宋_GB2312" w:cs="仿宋_GB2312"/>
          <w:kern w:val="0"/>
          <w:sz w:val="32"/>
          <w:szCs w:val="32"/>
          <w:lang w:val="zh-CN"/>
        </w:rPr>
        <w:t>逐项</w:t>
      </w:r>
      <w:r>
        <w:rPr>
          <w:rFonts w:eastAsia="仿宋_GB2312" w:cs="仿宋_GB2312"/>
          <w:kern w:val="0"/>
          <w:sz w:val="32"/>
          <w:szCs w:val="32"/>
          <w:lang w:val="zh-CN"/>
        </w:rPr>
        <w:t>绩效分析</w:t>
      </w:r>
      <w:r>
        <w:rPr>
          <w:rFonts w:hint="eastAsia" w:eastAsia="仿宋_GB2312" w:cs="仿宋_GB2312"/>
          <w:kern w:val="0"/>
          <w:sz w:val="32"/>
          <w:szCs w:val="32"/>
          <w:lang w:val="zh-CN"/>
        </w:rPr>
        <w:t>并评分</w:t>
      </w:r>
      <w:r>
        <w:rPr>
          <w:rFonts w:hint="eastAsia" w:eastAsia="仿宋_GB2312" w:cs="仿宋_GB2312"/>
          <w:kern w:val="0"/>
          <w:sz w:val="32"/>
          <w:szCs w:val="32"/>
        </w:rPr>
        <w:t>。</w:t>
      </w:r>
    </w:p>
    <w:p w14:paraId="3EAEB75C">
      <w:pPr>
        <w:spacing w:line="578" w:lineRule="exact"/>
        <w:ind w:firstLine="640"/>
        <w:rPr>
          <w:rFonts w:eastAsia="楷体_GB2312"/>
          <w:b/>
          <w:sz w:val="32"/>
          <w:szCs w:val="32"/>
        </w:rPr>
      </w:pPr>
      <w:r>
        <w:rPr>
          <w:rFonts w:hint="eastAsia" w:eastAsia="楷体_GB2312"/>
          <w:b/>
          <w:sz w:val="32"/>
          <w:szCs w:val="32"/>
          <w:lang w:val="zh-CN"/>
        </w:rPr>
        <w:t>（一）</w:t>
      </w:r>
      <w:r>
        <w:rPr>
          <w:rFonts w:hint="eastAsia" w:eastAsia="楷体_GB2312"/>
          <w:b/>
          <w:sz w:val="32"/>
          <w:szCs w:val="32"/>
        </w:rPr>
        <w:t>通用指标</w:t>
      </w:r>
      <w:r>
        <w:rPr>
          <w:rFonts w:eastAsia="楷体_GB2312"/>
          <w:b/>
          <w:bCs/>
          <w:color w:val="000000"/>
          <w:kern w:val="0"/>
          <w:sz w:val="32"/>
          <w:szCs w:val="32"/>
          <w:shd w:val="clear" w:color="auto" w:fill="FFFFFF"/>
          <w:lang w:val="zh-CN"/>
        </w:rPr>
        <w:t>绩效分析。</w:t>
      </w:r>
    </w:p>
    <w:p w14:paraId="0FA7FD94">
      <w:pPr>
        <w:spacing w:line="578" w:lineRule="exact"/>
        <w:ind w:firstLine="640"/>
        <w:rPr>
          <w:rFonts w:eastAsia="仿宋_GB2312" w:cs="仿宋_GB2312"/>
          <w:kern w:val="0"/>
          <w:sz w:val="32"/>
          <w:szCs w:val="32"/>
          <w:lang w:val="zh-CN"/>
        </w:rPr>
      </w:pPr>
      <w:r>
        <w:rPr>
          <w:rFonts w:hint="eastAsia" w:eastAsia="仿宋_GB2312" w:cs="仿宋_GB2312"/>
          <w:kern w:val="0"/>
          <w:sz w:val="32"/>
          <w:szCs w:val="32"/>
        </w:rPr>
        <w:t>1.</w:t>
      </w:r>
      <w:r>
        <w:rPr>
          <w:rFonts w:hint="eastAsia" w:eastAsia="仿宋_GB2312" w:cs="仿宋_GB2312"/>
          <w:kern w:val="0"/>
          <w:sz w:val="32"/>
          <w:szCs w:val="32"/>
          <w:lang w:val="zh-CN"/>
        </w:rPr>
        <w:t>项目决策。围绕决策程序、规划论证、资金投向进行绩效分析。</w:t>
      </w:r>
    </w:p>
    <w:p w14:paraId="25D20E2D">
      <w:pPr>
        <w:spacing w:line="578" w:lineRule="exact"/>
        <w:ind w:firstLine="640"/>
        <w:rPr>
          <w:rFonts w:eastAsia="仿宋_GB2312" w:cs="仿宋_GB2312"/>
          <w:kern w:val="0"/>
          <w:sz w:val="32"/>
          <w:szCs w:val="32"/>
          <w:lang w:val="zh-CN"/>
        </w:rPr>
      </w:pPr>
      <w:r>
        <w:rPr>
          <w:rFonts w:hint="eastAsia" w:eastAsia="仿宋_GB2312" w:cs="仿宋_GB2312"/>
          <w:kern w:val="0"/>
          <w:sz w:val="32"/>
          <w:szCs w:val="32"/>
        </w:rPr>
        <w:t>2.</w:t>
      </w:r>
      <w:r>
        <w:rPr>
          <w:rFonts w:hint="eastAsia" w:eastAsia="仿宋_GB2312" w:cs="仿宋_GB2312"/>
          <w:kern w:val="0"/>
          <w:sz w:val="32"/>
          <w:szCs w:val="32"/>
          <w:lang w:val="zh-CN"/>
        </w:rPr>
        <w:t>项目管理。围绕制度办法、分配管理、绩效监管进行绩效分析。</w:t>
      </w:r>
    </w:p>
    <w:p w14:paraId="760F7365">
      <w:pPr>
        <w:spacing w:line="578" w:lineRule="exact"/>
        <w:ind w:firstLine="640"/>
        <w:rPr>
          <w:rFonts w:eastAsia="仿宋_GB2312" w:cs="仿宋_GB2312"/>
          <w:kern w:val="0"/>
          <w:sz w:val="32"/>
          <w:szCs w:val="32"/>
          <w:lang w:val="zh-CN"/>
        </w:rPr>
      </w:pPr>
      <w:r>
        <w:rPr>
          <w:rFonts w:hint="eastAsia" w:eastAsia="仿宋_GB2312" w:cs="仿宋_GB2312"/>
          <w:kern w:val="0"/>
          <w:sz w:val="32"/>
          <w:szCs w:val="32"/>
        </w:rPr>
        <w:t>3.项目实施。</w:t>
      </w:r>
      <w:r>
        <w:rPr>
          <w:rFonts w:hint="eastAsia" w:eastAsia="仿宋_GB2312" w:cs="仿宋_GB2312"/>
          <w:kern w:val="0"/>
          <w:sz w:val="32"/>
          <w:szCs w:val="32"/>
          <w:lang w:val="zh-CN"/>
        </w:rPr>
        <w:t>围绕预算执行、资金使用进行绩效分析。</w:t>
      </w:r>
    </w:p>
    <w:p w14:paraId="0AC12569">
      <w:pPr>
        <w:spacing w:line="578" w:lineRule="exact"/>
        <w:ind w:firstLine="640"/>
        <w:rPr>
          <w:rFonts w:eastAsia="仿宋_GB2312" w:cs="仿宋_GB2312"/>
          <w:kern w:val="0"/>
          <w:sz w:val="32"/>
          <w:szCs w:val="32"/>
          <w:lang w:val="zh-CN"/>
        </w:rPr>
      </w:pPr>
      <w:r>
        <w:rPr>
          <w:rFonts w:hint="eastAsia" w:eastAsia="仿宋_GB2312" w:cs="仿宋_GB2312"/>
          <w:kern w:val="0"/>
          <w:sz w:val="32"/>
          <w:szCs w:val="32"/>
        </w:rPr>
        <w:t>4.项目结果。围绕</w:t>
      </w:r>
      <w:r>
        <w:rPr>
          <w:rFonts w:hint="eastAsia" w:eastAsia="仿宋_GB2312" w:cs="仿宋_GB2312"/>
          <w:kern w:val="0"/>
          <w:sz w:val="32"/>
          <w:szCs w:val="32"/>
          <w:lang w:val="zh-CN"/>
        </w:rPr>
        <w:t>目标完成、完成时效进行绩效分析。</w:t>
      </w:r>
    </w:p>
    <w:p w14:paraId="48F078AC">
      <w:pPr>
        <w:spacing w:line="578" w:lineRule="exact"/>
        <w:ind w:firstLine="640"/>
        <w:rPr>
          <w:rFonts w:eastAsia="仿宋_GB2312" w:cs="仿宋_GB2312"/>
          <w:kern w:val="0"/>
          <w:sz w:val="32"/>
          <w:szCs w:val="32"/>
          <w:lang w:val="zh-CN"/>
        </w:rPr>
      </w:pPr>
      <w:r>
        <w:rPr>
          <w:rFonts w:hint="eastAsia" w:eastAsia="楷体_GB2312"/>
          <w:b/>
          <w:sz w:val="32"/>
          <w:szCs w:val="32"/>
          <w:lang w:val="zh-CN"/>
        </w:rPr>
        <w:t>（二）</w:t>
      </w:r>
      <w:r>
        <w:rPr>
          <w:rFonts w:hint="eastAsia" w:eastAsia="楷体_GB2312"/>
          <w:b/>
          <w:sz w:val="32"/>
          <w:szCs w:val="32"/>
        </w:rPr>
        <w:t>专用指标</w:t>
      </w:r>
      <w:r>
        <w:rPr>
          <w:rFonts w:eastAsia="楷体_GB2312"/>
          <w:b/>
          <w:bCs/>
          <w:color w:val="000000"/>
          <w:kern w:val="0"/>
          <w:sz w:val="32"/>
          <w:szCs w:val="32"/>
          <w:shd w:val="clear" w:color="auto" w:fill="FFFFFF"/>
          <w:lang w:val="zh-CN"/>
        </w:rPr>
        <w:t>绩效分析。</w:t>
      </w:r>
      <w:r>
        <w:rPr>
          <w:rFonts w:hint="eastAsia" w:eastAsia="仿宋_GB2312" w:cs="仿宋_GB2312"/>
          <w:kern w:val="0"/>
          <w:sz w:val="32"/>
          <w:szCs w:val="32"/>
          <w:lang w:val="zh-CN"/>
        </w:rPr>
        <w:t>根据</w:t>
      </w:r>
      <w:r>
        <w:rPr>
          <w:rFonts w:hint="eastAsia" w:eastAsia="仿宋_GB2312" w:cs="仿宋_GB2312"/>
          <w:kern w:val="0"/>
          <w:sz w:val="32"/>
          <w:szCs w:val="32"/>
        </w:rPr>
        <w:t>专项预算项目资金支持对象选择所属指标进行绩效分析。支持对象</w:t>
      </w:r>
      <w:r>
        <w:rPr>
          <w:rFonts w:hint="eastAsia" w:eastAsia="仿宋_GB2312" w:cs="仿宋_GB2312"/>
          <w:kern w:val="0"/>
          <w:sz w:val="32"/>
          <w:szCs w:val="32"/>
          <w:lang w:val="zh-CN"/>
        </w:rPr>
        <w:t>包括产业发展、民生保障、基础设施、行政运转等方面。</w:t>
      </w:r>
    </w:p>
    <w:p w14:paraId="41E5648A">
      <w:pPr>
        <w:spacing w:line="578" w:lineRule="exact"/>
        <w:ind w:firstLine="640"/>
        <w:rPr>
          <w:rFonts w:eastAsia="仿宋_GB2312" w:cs="仿宋_GB2312"/>
          <w:kern w:val="0"/>
          <w:sz w:val="32"/>
          <w:szCs w:val="32"/>
        </w:rPr>
      </w:pPr>
      <w:r>
        <w:rPr>
          <w:rFonts w:hint="eastAsia" w:eastAsia="仿宋_GB2312" w:cs="仿宋_GB2312"/>
          <w:kern w:val="0"/>
          <w:sz w:val="32"/>
          <w:szCs w:val="32"/>
        </w:rPr>
        <w:t>1.产业发展。围绕符合性、成长性、经济性进行绩效分析。</w:t>
      </w:r>
    </w:p>
    <w:p w14:paraId="05CADBD3">
      <w:pPr>
        <w:spacing w:line="578" w:lineRule="exact"/>
        <w:ind w:firstLine="640"/>
        <w:rPr>
          <w:rFonts w:eastAsia="仿宋_GB2312" w:cs="仿宋_GB2312"/>
          <w:kern w:val="0"/>
          <w:sz w:val="32"/>
          <w:szCs w:val="32"/>
        </w:rPr>
      </w:pPr>
      <w:r>
        <w:rPr>
          <w:rFonts w:hint="eastAsia" w:eastAsia="仿宋_GB2312" w:cs="仿宋_GB2312"/>
          <w:kern w:val="0"/>
          <w:sz w:val="32"/>
          <w:szCs w:val="32"/>
        </w:rPr>
        <w:t>2.</w:t>
      </w:r>
      <w:r>
        <w:rPr>
          <w:rFonts w:hint="eastAsia" w:eastAsia="仿宋_GB2312" w:cs="仿宋_GB2312"/>
          <w:kern w:val="0"/>
          <w:sz w:val="32"/>
          <w:szCs w:val="32"/>
          <w:lang w:val="zh-CN"/>
        </w:rPr>
        <w:t>民生保障。</w:t>
      </w:r>
      <w:r>
        <w:rPr>
          <w:rFonts w:hint="eastAsia" w:eastAsia="仿宋_GB2312" w:cs="仿宋_GB2312"/>
          <w:kern w:val="0"/>
          <w:sz w:val="32"/>
          <w:szCs w:val="32"/>
        </w:rPr>
        <w:t>围绕区域均衡性、对象精准性、标准合理性、群众满意度进行绩效分析。</w:t>
      </w:r>
    </w:p>
    <w:p w14:paraId="289B7CB3">
      <w:pPr>
        <w:spacing w:line="578" w:lineRule="exact"/>
        <w:ind w:firstLine="640"/>
        <w:rPr>
          <w:rFonts w:eastAsia="仿宋_GB2312" w:cs="仿宋_GB2312"/>
          <w:kern w:val="0"/>
          <w:sz w:val="32"/>
          <w:szCs w:val="32"/>
        </w:rPr>
      </w:pPr>
      <w:r>
        <w:rPr>
          <w:rFonts w:hint="eastAsia" w:eastAsia="仿宋_GB2312" w:cs="仿宋_GB2312"/>
          <w:kern w:val="0"/>
          <w:sz w:val="32"/>
          <w:szCs w:val="32"/>
        </w:rPr>
        <w:t>3.基础设施。在建项目围绕工程进度和资金拨付进行绩效分析；建成项目围绕项目验收、功能实现、后续管护进行</w:t>
      </w:r>
      <w:r>
        <w:rPr>
          <w:rFonts w:hint="eastAsia" w:eastAsia="仿宋_GB2312" w:cs="仿宋_GB2312"/>
          <w:kern w:val="0"/>
          <w:sz w:val="32"/>
          <w:szCs w:val="32"/>
          <w:lang w:val="zh-CN"/>
        </w:rPr>
        <w:t>绩效分析。</w:t>
      </w:r>
    </w:p>
    <w:p w14:paraId="53B5328C">
      <w:pPr>
        <w:spacing w:line="578" w:lineRule="exact"/>
        <w:ind w:firstLine="640"/>
        <w:rPr>
          <w:rFonts w:eastAsia="仿宋_GB2312" w:cs="仿宋_GB2312"/>
          <w:kern w:val="0"/>
          <w:sz w:val="32"/>
          <w:szCs w:val="32"/>
        </w:rPr>
      </w:pPr>
      <w:r>
        <w:rPr>
          <w:rFonts w:hint="eastAsia" w:eastAsia="仿宋_GB2312" w:cs="仿宋_GB2312"/>
          <w:kern w:val="0"/>
          <w:sz w:val="32"/>
          <w:szCs w:val="32"/>
        </w:rPr>
        <w:t>4.</w:t>
      </w:r>
      <w:r>
        <w:rPr>
          <w:rFonts w:hint="eastAsia" w:eastAsia="仿宋_GB2312" w:cs="仿宋_GB2312"/>
          <w:kern w:val="0"/>
          <w:sz w:val="32"/>
          <w:szCs w:val="32"/>
          <w:lang w:val="zh-CN"/>
        </w:rPr>
        <w:t>行政运转。围绕用途合规性、程序合规性、标准合规性进行绩效分析。</w:t>
      </w:r>
    </w:p>
    <w:p w14:paraId="6F8A553A">
      <w:pPr>
        <w:spacing w:line="578" w:lineRule="exact"/>
        <w:ind w:firstLine="640"/>
        <w:rPr>
          <w:rFonts w:eastAsia="仿宋_GB2312" w:cs="仿宋_GB2312"/>
          <w:kern w:val="0"/>
          <w:sz w:val="32"/>
          <w:szCs w:val="32"/>
        </w:rPr>
      </w:pPr>
      <w:r>
        <w:rPr>
          <w:rFonts w:hint="eastAsia" w:eastAsia="楷体_GB2312"/>
          <w:b/>
          <w:sz w:val="32"/>
          <w:szCs w:val="32"/>
          <w:lang w:val="zh-CN"/>
        </w:rPr>
        <w:t>（三）</w:t>
      </w:r>
      <w:r>
        <w:rPr>
          <w:rFonts w:hint="eastAsia" w:eastAsia="楷体_GB2312"/>
          <w:b/>
          <w:sz w:val="32"/>
          <w:szCs w:val="32"/>
        </w:rPr>
        <w:t>个性指标</w:t>
      </w:r>
      <w:r>
        <w:rPr>
          <w:rFonts w:eastAsia="楷体_GB2312"/>
          <w:b/>
          <w:bCs/>
          <w:color w:val="000000"/>
          <w:kern w:val="0"/>
          <w:sz w:val="32"/>
          <w:szCs w:val="32"/>
          <w:shd w:val="clear" w:color="auto" w:fill="FFFFFF"/>
          <w:lang w:val="zh-CN"/>
        </w:rPr>
        <w:t>绩效分析。</w:t>
      </w:r>
      <w:r>
        <w:rPr>
          <w:rFonts w:hint="eastAsia" w:eastAsia="仿宋_GB2312" w:cs="仿宋_GB2312"/>
          <w:kern w:val="0"/>
          <w:sz w:val="32"/>
          <w:szCs w:val="32"/>
          <w:lang w:val="zh-CN"/>
        </w:rPr>
        <w:t>根据项目个性自行设定部分指标，反映该项指标执行完成情况。</w:t>
      </w:r>
    </w:p>
    <w:p w14:paraId="10CACA80">
      <w:pPr>
        <w:spacing w:line="578" w:lineRule="exact"/>
        <w:ind w:firstLine="640"/>
        <w:rPr>
          <w:rFonts w:ascii="黑体" w:hAnsi="黑体" w:eastAsia="黑体" w:cs="黑体"/>
          <w:kern w:val="0"/>
          <w:sz w:val="32"/>
          <w:szCs w:val="32"/>
        </w:rPr>
      </w:pPr>
      <w:r>
        <w:rPr>
          <w:rFonts w:hint="eastAsia" w:ascii="黑体" w:hAnsi="黑体" w:eastAsia="黑体" w:cs="黑体"/>
          <w:kern w:val="0"/>
          <w:sz w:val="32"/>
          <w:szCs w:val="32"/>
        </w:rPr>
        <w:t>四、评价结论</w:t>
      </w:r>
    </w:p>
    <w:p w14:paraId="1D875AF3">
      <w:pPr>
        <w:spacing w:line="578" w:lineRule="exact"/>
        <w:ind w:firstLine="640"/>
        <w:rPr>
          <w:rFonts w:eastAsia="仿宋_GB2312" w:cs="仿宋_GB2312"/>
          <w:kern w:val="0"/>
          <w:sz w:val="32"/>
          <w:szCs w:val="32"/>
        </w:rPr>
      </w:pPr>
      <w:r>
        <w:rPr>
          <w:rFonts w:hint="eastAsia" w:eastAsia="仿宋_GB2312" w:cs="仿宋_GB2312"/>
          <w:kern w:val="0"/>
          <w:sz w:val="32"/>
          <w:szCs w:val="32"/>
        </w:rPr>
        <w:t>简要阐述专项预算项目绩效自评总体结论，包含评价总分、</w:t>
      </w:r>
      <w:r>
        <w:rPr>
          <w:rFonts w:hint="eastAsia" w:eastAsia="仿宋_GB2312" w:cs="仿宋_GB2312"/>
          <w:kern w:val="0"/>
          <w:sz w:val="32"/>
          <w:szCs w:val="32"/>
          <w:lang w:val="zh-CN"/>
        </w:rPr>
        <w:t>项目实施情况。</w:t>
      </w:r>
    </w:p>
    <w:p w14:paraId="143B3780">
      <w:pPr>
        <w:spacing w:line="578" w:lineRule="exact"/>
        <w:ind w:firstLine="640"/>
        <w:rPr>
          <w:rFonts w:ascii="黑体" w:hAnsi="黑体" w:eastAsia="黑体" w:cs="黑体"/>
          <w:kern w:val="0"/>
          <w:sz w:val="32"/>
          <w:szCs w:val="32"/>
        </w:rPr>
      </w:pPr>
      <w:r>
        <w:rPr>
          <w:rFonts w:hint="eastAsia" w:ascii="黑体" w:hAnsi="黑体" w:eastAsia="黑体" w:cs="黑体"/>
          <w:kern w:val="0"/>
          <w:sz w:val="32"/>
          <w:szCs w:val="32"/>
        </w:rPr>
        <w:t>五、存在主要问题</w:t>
      </w:r>
    </w:p>
    <w:p w14:paraId="327ABB64">
      <w:pPr>
        <w:spacing w:line="578" w:lineRule="exact"/>
        <w:ind w:firstLine="640"/>
        <w:rPr>
          <w:rFonts w:eastAsia="仿宋_GB2312" w:cs="仿宋_GB2312"/>
          <w:kern w:val="0"/>
          <w:sz w:val="32"/>
          <w:szCs w:val="32"/>
        </w:rPr>
      </w:pPr>
      <w:r>
        <w:rPr>
          <w:rFonts w:hint="eastAsia" w:eastAsia="仿宋_GB2312" w:cs="仿宋_GB2312"/>
          <w:kern w:val="0"/>
          <w:sz w:val="32"/>
          <w:szCs w:val="32"/>
        </w:rPr>
        <w:t>简要阐述专项预算项目绩效自评发现的主要问题。</w:t>
      </w:r>
    </w:p>
    <w:p w14:paraId="6A781D54">
      <w:pPr>
        <w:spacing w:line="578" w:lineRule="exact"/>
        <w:ind w:firstLine="640"/>
        <w:rPr>
          <w:rFonts w:ascii="黑体" w:hAnsi="黑体" w:eastAsia="黑体" w:cs="黑体"/>
          <w:kern w:val="0"/>
          <w:sz w:val="32"/>
          <w:szCs w:val="32"/>
          <w:lang w:val="zh-CN"/>
        </w:rPr>
      </w:pPr>
      <w:r>
        <w:rPr>
          <w:rFonts w:hint="eastAsia" w:ascii="黑体" w:hAnsi="黑体" w:eastAsia="黑体" w:cs="黑体"/>
          <w:kern w:val="0"/>
          <w:sz w:val="32"/>
          <w:szCs w:val="32"/>
          <w:lang w:val="zh-CN"/>
        </w:rPr>
        <w:t>六、改进建议</w:t>
      </w:r>
    </w:p>
    <w:p w14:paraId="466AE221">
      <w:pPr>
        <w:spacing w:line="578" w:lineRule="exact"/>
        <w:ind w:firstLine="640"/>
        <w:rPr>
          <w:rFonts w:eastAsia="仿宋_GB2312" w:cs="仿宋_GB2312"/>
          <w:kern w:val="0"/>
          <w:sz w:val="32"/>
          <w:szCs w:val="32"/>
        </w:rPr>
      </w:pPr>
      <w:r>
        <w:rPr>
          <w:rFonts w:hint="eastAsia" w:eastAsia="仿宋_GB2312" w:cs="仿宋_GB2312"/>
          <w:kern w:val="0"/>
          <w:sz w:val="32"/>
          <w:szCs w:val="32"/>
        </w:rPr>
        <w:t>简要阐述专项预算项目在预算安排、完善政策、改进管理等方面的措施建议，其中必须对应评价发现的主要问题一一提出措施建议。</w:t>
      </w:r>
    </w:p>
    <w:p w14:paraId="44AAD7B1">
      <w:pPr>
        <w:spacing w:line="578" w:lineRule="exact"/>
        <w:ind w:firstLine="640"/>
        <w:rPr>
          <w:rFonts w:eastAsia="仿宋_GB2312" w:cs="仿宋_GB2312"/>
          <w:kern w:val="0"/>
          <w:sz w:val="32"/>
          <w:szCs w:val="32"/>
        </w:rPr>
      </w:pPr>
    </w:p>
    <w:p w14:paraId="35F629A6">
      <w:pPr>
        <w:spacing w:line="578" w:lineRule="exact"/>
        <w:ind w:firstLine="640"/>
        <w:rPr>
          <w:rFonts w:eastAsia="仿宋_GB2312" w:cs="仿宋_GB2312"/>
          <w:kern w:val="0"/>
          <w:sz w:val="32"/>
          <w:szCs w:val="32"/>
        </w:rPr>
      </w:pPr>
    </w:p>
    <w:p w14:paraId="6613FD8E">
      <w:pPr>
        <w:spacing w:line="578" w:lineRule="exact"/>
        <w:ind w:firstLine="640"/>
        <w:rPr>
          <w:rFonts w:eastAsia="仿宋_GB2312" w:cs="仿宋_GB2312"/>
          <w:kern w:val="0"/>
          <w:sz w:val="32"/>
          <w:szCs w:val="32"/>
        </w:rPr>
      </w:pPr>
      <w:bookmarkStart w:id="46" w:name="_Toc15396618"/>
      <w:r>
        <w:rPr>
          <w:rFonts w:hint="eastAsia" w:eastAsia="仿宋_GB2312" w:cs="仿宋_GB2312"/>
          <w:kern w:val="0"/>
          <w:sz w:val="32"/>
          <w:szCs w:val="32"/>
        </w:rPr>
        <w:br w:type="page"/>
      </w:r>
    </w:p>
    <w:p w14:paraId="70E5EB88">
      <w:pPr>
        <w:widowControl/>
        <w:jc w:val="center"/>
        <w:rPr>
          <w:rFonts w:eastAsia="仿宋"/>
        </w:rPr>
      </w:pPr>
      <w:r>
        <w:rPr>
          <w:rFonts w:hint="eastAsia" w:eastAsia="黑体"/>
          <w:sz w:val="44"/>
          <w:szCs w:val="44"/>
        </w:rPr>
        <w:t>第</w:t>
      </w:r>
      <w:r>
        <w:rPr>
          <w:rStyle w:val="28"/>
          <w:rFonts w:hint="eastAsia" w:eastAsia="黑体"/>
          <w:b w:val="0"/>
        </w:rPr>
        <w:t>五部分 附表</w:t>
      </w:r>
      <w:bookmarkEnd w:id="43"/>
      <w:bookmarkEnd w:id="46"/>
      <w:bookmarkStart w:id="47" w:name="_Toc15396619"/>
    </w:p>
    <w:p w14:paraId="49B77FF0">
      <w:pPr>
        <w:pStyle w:val="14"/>
        <w:adjustRightInd w:val="0"/>
        <w:snapToGrid w:val="0"/>
        <w:spacing w:line="560" w:lineRule="exact"/>
        <w:jc w:val="left"/>
        <w:rPr>
          <w:rFonts w:eastAsia="仿宋_GB2312" w:cs="仿宋_GB2312"/>
          <w:sz w:val="32"/>
          <w:szCs w:val="32"/>
        </w:rPr>
      </w:pPr>
    </w:p>
    <w:p w14:paraId="10AA871D">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47"/>
    </w:p>
    <w:p w14:paraId="02A2D653">
      <w:pPr>
        <w:pStyle w:val="14"/>
        <w:adjustRightInd w:val="0"/>
        <w:snapToGrid w:val="0"/>
        <w:spacing w:line="560" w:lineRule="exact"/>
        <w:jc w:val="left"/>
        <w:rPr>
          <w:rFonts w:eastAsia="仿宋_GB2312" w:cs="仿宋_GB2312"/>
          <w:sz w:val="32"/>
          <w:szCs w:val="32"/>
        </w:rPr>
      </w:pPr>
      <w:bookmarkStart w:id="48" w:name="_Toc15396620"/>
      <w:r>
        <w:rPr>
          <w:rFonts w:hint="eastAsia" w:eastAsia="仿宋_GB2312" w:cs="仿宋_GB2312"/>
          <w:sz w:val="32"/>
          <w:szCs w:val="32"/>
        </w:rPr>
        <w:t>二、收入决算表</w:t>
      </w:r>
      <w:bookmarkEnd w:id="48"/>
    </w:p>
    <w:p w14:paraId="5FEC494E">
      <w:pPr>
        <w:pStyle w:val="14"/>
        <w:adjustRightInd w:val="0"/>
        <w:snapToGrid w:val="0"/>
        <w:spacing w:line="560" w:lineRule="exact"/>
        <w:jc w:val="left"/>
        <w:rPr>
          <w:rFonts w:eastAsia="仿宋_GB2312" w:cs="仿宋_GB2312"/>
          <w:sz w:val="32"/>
          <w:szCs w:val="32"/>
        </w:rPr>
      </w:pPr>
      <w:bookmarkStart w:id="49" w:name="_Toc15396621"/>
      <w:r>
        <w:rPr>
          <w:rFonts w:hint="eastAsia" w:eastAsia="仿宋_GB2312" w:cs="仿宋_GB2312"/>
          <w:sz w:val="32"/>
          <w:szCs w:val="32"/>
        </w:rPr>
        <w:t>三、支出决算表</w:t>
      </w:r>
      <w:bookmarkEnd w:id="49"/>
    </w:p>
    <w:p w14:paraId="126311CC">
      <w:pPr>
        <w:pStyle w:val="14"/>
        <w:adjustRightInd w:val="0"/>
        <w:snapToGrid w:val="0"/>
        <w:spacing w:line="560" w:lineRule="exact"/>
        <w:jc w:val="left"/>
        <w:rPr>
          <w:rFonts w:eastAsia="仿宋_GB2312" w:cs="仿宋_GB2312"/>
          <w:sz w:val="32"/>
          <w:szCs w:val="32"/>
        </w:rPr>
      </w:pPr>
      <w:bookmarkStart w:id="50" w:name="_Toc15396622"/>
      <w:r>
        <w:rPr>
          <w:rFonts w:hint="eastAsia" w:eastAsia="仿宋_GB2312" w:cs="仿宋_GB2312"/>
          <w:sz w:val="32"/>
          <w:szCs w:val="32"/>
        </w:rPr>
        <w:t>四、财政拨款收入支出决算总表</w:t>
      </w:r>
      <w:bookmarkEnd w:id="50"/>
    </w:p>
    <w:p w14:paraId="248F7BC0">
      <w:pPr>
        <w:pStyle w:val="14"/>
        <w:adjustRightInd w:val="0"/>
        <w:snapToGrid w:val="0"/>
        <w:spacing w:line="560" w:lineRule="exact"/>
        <w:jc w:val="left"/>
        <w:rPr>
          <w:rFonts w:eastAsia="仿宋_GB2312" w:cs="仿宋_GB2312"/>
          <w:sz w:val="32"/>
          <w:szCs w:val="32"/>
        </w:rPr>
      </w:pPr>
      <w:bookmarkStart w:id="51" w:name="_Toc15396623"/>
      <w:r>
        <w:rPr>
          <w:rFonts w:hint="eastAsia" w:eastAsia="仿宋_GB2312" w:cs="仿宋_GB2312"/>
          <w:sz w:val="32"/>
          <w:szCs w:val="32"/>
        </w:rPr>
        <w:t>五、财政拨款支出决算明细表</w:t>
      </w:r>
      <w:bookmarkEnd w:id="51"/>
      <w:bookmarkStart w:id="52" w:name="_Toc15396624"/>
    </w:p>
    <w:p w14:paraId="058107C2">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2"/>
    </w:p>
    <w:p w14:paraId="18BB646E">
      <w:pPr>
        <w:pStyle w:val="14"/>
        <w:adjustRightInd w:val="0"/>
        <w:snapToGrid w:val="0"/>
        <w:spacing w:line="560" w:lineRule="exact"/>
        <w:jc w:val="left"/>
        <w:rPr>
          <w:rFonts w:eastAsia="仿宋_GB2312" w:cs="仿宋_GB2312"/>
          <w:sz w:val="32"/>
          <w:szCs w:val="32"/>
        </w:rPr>
      </w:pPr>
      <w:bookmarkStart w:id="53" w:name="_Toc15396625"/>
      <w:r>
        <w:rPr>
          <w:rFonts w:hint="eastAsia" w:eastAsia="仿宋_GB2312" w:cs="仿宋_GB2312"/>
          <w:sz w:val="32"/>
          <w:szCs w:val="32"/>
        </w:rPr>
        <w:t>七、一般公共预算财政拨款支出决算明细表</w:t>
      </w:r>
      <w:bookmarkEnd w:id="53"/>
    </w:p>
    <w:p w14:paraId="3F40E7FE">
      <w:pPr>
        <w:pStyle w:val="14"/>
        <w:adjustRightInd w:val="0"/>
        <w:snapToGrid w:val="0"/>
        <w:spacing w:line="560" w:lineRule="exact"/>
        <w:jc w:val="left"/>
        <w:rPr>
          <w:rFonts w:eastAsia="仿宋_GB2312" w:cs="仿宋_GB2312"/>
          <w:sz w:val="32"/>
          <w:szCs w:val="32"/>
        </w:rPr>
      </w:pPr>
      <w:bookmarkStart w:id="54" w:name="_Toc15396626"/>
      <w:r>
        <w:rPr>
          <w:rFonts w:hint="eastAsia" w:eastAsia="仿宋_GB2312" w:cs="仿宋_GB2312"/>
          <w:sz w:val="32"/>
          <w:szCs w:val="32"/>
        </w:rPr>
        <w:t>八、一般公共预算财政拨款基本支出决算表</w:t>
      </w:r>
      <w:bookmarkEnd w:id="54"/>
    </w:p>
    <w:p w14:paraId="69F3E3A0">
      <w:pPr>
        <w:pStyle w:val="14"/>
        <w:adjustRightInd w:val="0"/>
        <w:snapToGrid w:val="0"/>
        <w:spacing w:line="560" w:lineRule="exact"/>
        <w:jc w:val="left"/>
        <w:rPr>
          <w:rFonts w:eastAsia="仿宋_GB2312" w:cs="仿宋_GB2312"/>
          <w:sz w:val="32"/>
          <w:szCs w:val="32"/>
        </w:rPr>
      </w:pPr>
      <w:bookmarkStart w:id="55" w:name="_Toc15396627"/>
      <w:r>
        <w:rPr>
          <w:rFonts w:hint="eastAsia" w:eastAsia="仿宋_GB2312" w:cs="仿宋_GB2312"/>
          <w:sz w:val="32"/>
          <w:szCs w:val="32"/>
        </w:rPr>
        <w:t>九、一般公共预算财政拨款项目支出决算表</w:t>
      </w:r>
      <w:bookmarkEnd w:id="55"/>
    </w:p>
    <w:p w14:paraId="0E63420B">
      <w:pPr>
        <w:pStyle w:val="14"/>
        <w:adjustRightInd w:val="0"/>
        <w:snapToGrid w:val="0"/>
        <w:spacing w:line="560" w:lineRule="exact"/>
        <w:jc w:val="left"/>
        <w:rPr>
          <w:rFonts w:eastAsia="仿宋_GB2312" w:cs="仿宋_GB2312"/>
          <w:sz w:val="32"/>
          <w:szCs w:val="32"/>
        </w:rPr>
      </w:pPr>
      <w:bookmarkStart w:id="56" w:name="_Toc15396628"/>
      <w:r>
        <w:rPr>
          <w:rFonts w:hint="eastAsia" w:eastAsia="仿宋_GB2312" w:cs="仿宋_GB2312"/>
          <w:sz w:val="32"/>
          <w:szCs w:val="32"/>
        </w:rPr>
        <w:t>十、</w:t>
      </w:r>
      <w:bookmarkEnd w:id="56"/>
      <w:r>
        <w:rPr>
          <w:rFonts w:hint="eastAsia" w:eastAsia="仿宋_GB2312" w:cs="仿宋_GB2312"/>
          <w:sz w:val="32"/>
          <w:szCs w:val="32"/>
        </w:rPr>
        <w:t>政府性基金预算财政拨款收入支出决算表</w:t>
      </w:r>
    </w:p>
    <w:p w14:paraId="2823FFA7">
      <w:pPr>
        <w:pStyle w:val="14"/>
        <w:adjustRightInd w:val="0"/>
        <w:snapToGrid w:val="0"/>
        <w:spacing w:line="560" w:lineRule="exact"/>
        <w:jc w:val="left"/>
        <w:rPr>
          <w:rFonts w:eastAsia="仿宋_GB2312" w:cs="仿宋_GB2312"/>
          <w:sz w:val="32"/>
          <w:szCs w:val="32"/>
        </w:rPr>
      </w:pPr>
      <w:bookmarkStart w:id="57" w:name="_Toc15396629"/>
      <w:r>
        <w:rPr>
          <w:rFonts w:hint="eastAsia" w:eastAsia="仿宋_GB2312" w:cs="仿宋_GB2312"/>
          <w:sz w:val="32"/>
          <w:szCs w:val="32"/>
        </w:rPr>
        <w:t>十一、</w:t>
      </w:r>
      <w:bookmarkEnd w:id="57"/>
      <w:r>
        <w:rPr>
          <w:rFonts w:hint="eastAsia" w:eastAsia="仿宋_GB2312" w:cs="仿宋_GB2312"/>
          <w:sz w:val="32"/>
          <w:szCs w:val="32"/>
        </w:rPr>
        <w:t>国有资本经营预算财政拨款收入支出决算表</w:t>
      </w:r>
    </w:p>
    <w:p w14:paraId="05751DE7">
      <w:pPr>
        <w:pStyle w:val="14"/>
        <w:adjustRightInd w:val="0"/>
        <w:snapToGrid w:val="0"/>
        <w:spacing w:line="560" w:lineRule="exact"/>
        <w:jc w:val="left"/>
        <w:rPr>
          <w:rFonts w:eastAsia="仿宋_GB2312" w:cs="仿宋_GB2312"/>
          <w:sz w:val="32"/>
          <w:szCs w:val="32"/>
        </w:rPr>
      </w:pPr>
      <w:bookmarkStart w:id="58" w:name="_Toc15396630"/>
      <w:r>
        <w:rPr>
          <w:rFonts w:hint="eastAsia" w:eastAsia="仿宋_GB2312" w:cs="仿宋_GB2312"/>
          <w:sz w:val="32"/>
          <w:szCs w:val="32"/>
        </w:rPr>
        <w:t>十二、</w:t>
      </w:r>
      <w:bookmarkEnd w:id="58"/>
      <w:r>
        <w:rPr>
          <w:rFonts w:hint="eastAsia" w:eastAsia="仿宋_GB2312" w:cs="仿宋_GB2312"/>
          <w:sz w:val="32"/>
          <w:szCs w:val="32"/>
        </w:rPr>
        <w:t>国有资本经营预算财政拨款支出决算表</w:t>
      </w:r>
    </w:p>
    <w:p w14:paraId="6445EAAF">
      <w:pPr>
        <w:pStyle w:val="14"/>
        <w:adjustRightInd w:val="0"/>
        <w:snapToGrid w:val="0"/>
        <w:spacing w:line="560" w:lineRule="exact"/>
        <w:jc w:val="left"/>
        <w:rPr>
          <w:rFonts w:eastAsia="仿宋_GB2312" w:cs="仿宋_GB2312"/>
          <w:sz w:val="32"/>
          <w:szCs w:val="32"/>
        </w:rPr>
      </w:pPr>
      <w:bookmarkStart w:id="59" w:name="_Toc15396631"/>
      <w:r>
        <w:rPr>
          <w:rFonts w:hint="eastAsia" w:eastAsia="仿宋_GB2312" w:cs="仿宋_GB2312"/>
          <w:sz w:val="32"/>
          <w:szCs w:val="32"/>
        </w:rPr>
        <w:t>十三、</w:t>
      </w:r>
      <w:bookmarkEnd w:id="59"/>
      <w:r>
        <w:rPr>
          <w:rFonts w:hint="eastAsia" w:eastAsia="仿宋_GB2312" w:cs="仿宋_GB2312"/>
          <w:sz w:val="32"/>
          <w:szCs w:val="32"/>
        </w:rPr>
        <w:t>财政拨款“三公”经费支出决算表</w:t>
      </w:r>
    </w:p>
    <w:p w14:paraId="4A5BB2D8"/>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6FADFF9-00FE-4578-9487-37C2BE8276B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24489657-F0B9-4554-9A16-B1DAD11A9B6A}"/>
  </w:font>
  <w:font w:name="仿宋">
    <w:panose1 w:val="02010609060101010101"/>
    <w:charset w:val="86"/>
    <w:family w:val="modern"/>
    <w:pitch w:val="default"/>
    <w:sig w:usb0="800002BF" w:usb1="38CF7CFA" w:usb2="00000016" w:usb3="00000000" w:csb0="00040001" w:csb1="00000000"/>
    <w:embedRegular r:id="rId3" w:fontKey="{1F9B6873-E5FE-4324-AD35-D966698BBA21}"/>
  </w:font>
  <w:font w:name="Arial">
    <w:panose1 w:val="020B0604020202020204"/>
    <w:charset w:val="00"/>
    <w:family w:val="swiss"/>
    <w:pitch w:val="default"/>
    <w:sig w:usb0="E0002EFF" w:usb1="C000785B" w:usb2="00000009" w:usb3="00000000" w:csb0="400001FF" w:csb1="FFFF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auto"/>
    <w:pitch w:val="default"/>
    <w:sig w:usb0="00000001" w:usb1="080E0000" w:usb2="00000000" w:usb3="00000000" w:csb0="00040000" w:csb1="00000000"/>
    <w:embedRegular r:id="rId4" w:fontKey="{3D3FF126-7A5B-42A7-9D0C-1FECD73131FB}"/>
  </w:font>
  <w:font w:name="楷体_GB2312">
    <w:panose1 w:val="02010609030101010101"/>
    <w:charset w:val="86"/>
    <w:family w:val="modern"/>
    <w:pitch w:val="default"/>
    <w:sig w:usb0="00000001" w:usb1="080E0000" w:usb2="00000000" w:usb3="00000000" w:csb0="00040000" w:csb1="00000000"/>
    <w:embedRegular r:id="rId5" w:fontKey="{A72ED061-C571-416A-B5A2-2F751E35E29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1A6B1">
    <w:pPr>
      <w:pStyle w:val="11"/>
      <w:jc w:val="center"/>
    </w:pPr>
  </w:p>
  <w:p w14:paraId="4EF3285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8F445">
    <w:pPr>
      <w:pStyle w:val="11"/>
      <w:jc w:val="center"/>
    </w:pPr>
  </w:p>
  <w:p w14:paraId="3A4F5D05">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0E7F6">
    <w:pPr>
      <w:pStyle w:val="11"/>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14:paraId="5D6D0E22">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64A6C">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6D3531"/>
    <w:multiLevelType w:val="multilevel"/>
    <w:tmpl w:val="0C6D3531"/>
    <w:lvl w:ilvl="0" w:tentative="0">
      <w:start w:val="1"/>
      <w:numFmt w:val="decimal"/>
      <w:lvlText w:val="%1．"/>
      <w:legacy w:legacy="1" w:legacySpace="0" w:legacyIndent="480"/>
      <w:lvlJc w:val="left"/>
      <w:pPr>
        <w:ind w:left="1120" w:hanging="480"/>
      </w:pPr>
      <w:rPr>
        <w:rFonts w:hint="default" w:ascii="仿宋_GB2312" w:hAnsi="仿宋_GB2312" w:eastAsia="仿宋_GB2312"/>
        <w:sz w:val="32"/>
        <w:szCs w:val="32"/>
      </w:rPr>
    </w:lvl>
    <w:lvl w:ilvl="1" w:tentative="0">
      <w:start w:val="1"/>
      <w:numFmt w:val="lowerLetter"/>
      <w:lvlText w:val="%2)"/>
      <w:legacy w:legacy="1" w:legacySpace="0" w:legacyIndent="420"/>
      <w:lvlJc w:val="left"/>
      <w:pPr>
        <w:ind w:left="1480" w:hanging="420"/>
      </w:pPr>
    </w:lvl>
    <w:lvl w:ilvl="2" w:tentative="0">
      <w:start w:val="1"/>
      <w:numFmt w:val="lowerRoman"/>
      <w:lvlText w:val="%3."/>
      <w:legacy w:legacy="1" w:legacySpace="0" w:legacyIndent="420"/>
      <w:lvlJc w:val="right"/>
      <w:pPr>
        <w:ind w:left="1900" w:hanging="420"/>
      </w:pPr>
    </w:lvl>
    <w:lvl w:ilvl="3" w:tentative="0">
      <w:start w:val="1"/>
      <w:numFmt w:val="decimal"/>
      <w:lvlText w:val="%4."/>
      <w:legacy w:legacy="1" w:legacySpace="0" w:legacyIndent="420"/>
      <w:lvlJc w:val="left"/>
      <w:pPr>
        <w:ind w:left="2320" w:hanging="420"/>
      </w:pPr>
    </w:lvl>
    <w:lvl w:ilvl="4" w:tentative="0">
      <w:start w:val="1"/>
      <w:numFmt w:val="lowerLetter"/>
      <w:lvlText w:val="%5)"/>
      <w:legacy w:legacy="1" w:legacySpace="0" w:legacyIndent="420"/>
      <w:lvlJc w:val="left"/>
      <w:pPr>
        <w:ind w:left="2740" w:hanging="420"/>
      </w:pPr>
    </w:lvl>
    <w:lvl w:ilvl="5" w:tentative="0">
      <w:start w:val="1"/>
      <w:numFmt w:val="lowerRoman"/>
      <w:lvlText w:val="%6."/>
      <w:legacy w:legacy="1" w:legacySpace="0" w:legacyIndent="420"/>
      <w:lvlJc w:val="right"/>
      <w:pPr>
        <w:ind w:left="3160" w:hanging="420"/>
      </w:pPr>
    </w:lvl>
    <w:lvl w:ilvl="6" w:tentative="0">
      <w:start w:val="1"/>
      <w:numFmt w:val="decimal"/>
      <w:lvlText w:val="%7."/>
      <w:legacy w:legacy="1" w:legacySpace="0" w:legacyIndent="420"/>
      <w:lvlJc w:val="left"/>
      <w:pPr>
        <w:ind w:left="3580" w:hanging="420"/>
      </w:pPr>
    </w:lvl>
    <w:lvl w:ilvl="7" w:tentative="0">
      <w:start w:val="1"/>
      <w:numFmt w:val="lowerLetter"/>
      <w:lvlText w:val="%8)"/>
      <w:legacy w:legacy="1" w:legacySpace="0" w:legacyIndent="420"/>
      <w:lvlJc w:val="left"/>
      <w:pPr>
        <w:ind w:left="4000" w:hanging="420"/>
      </w:pPr>
    </w:lvl>
    <w:lvl w:ilvl="8" w:tentative="0">
      <w:start w:val="1"/>
      <w:numFmt w:val="lowerRoman"/>
      <w:lvlText w:val="%9."/>
      <w:legacy w:legacy="1" w:legacySpace="0" w:legacyIndent="420"/>
      <w:lvlJc w:val="right"/>
      <w:pPr>
        <w:ind w:left="4420" w:hanging="420"/>
      </w:pPr>
    </w:lvl>
  </w:abstractNum>
  <w:abstractNum w:abstractNumId="1">
    <w:nsid w:val="7E5F450F"/>
    <w:multiLevelType w:val="multilevel"/>
    <w:tmpl w:val="7E5F450F"/>
    <w:lvl w:ilvl="0" w:tentative="0">
      <w:start w:val="1"/>
      <w:numFmt w:val="japaneseCounting"/>
      <w:lvlText w:val="%1、"/>
      <w:lvlJc w:val="left"/>
      <w:pPr>
        <w:ind w:left="660" w:hanging="6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1E18"/>
    <w:rsid w:val="001F7506"/>
    <w:rsid w:val="002006CD"/>
    <w:rsid w:val="00202B36"/>
    <w:rsid w:val="00204B7A"/>
    <w:rsid w:val="00204CDE"/>
    <w:rsid w:val="0021101A"/>
    <w:rsid w:val="00220536"/>
    <w:rsid w:val="00235629"/>
    <w:rsid w:val="00260C38"/>
    <w:rsid w:val="002616C0"/>
    <w:rsid w:val="00265372"/>
    <w:rsid w:val="002662AA"/>
    <w:rsid w:val="00280496"/>
    <w:rsid w:val="00294C9D"/>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92A23"/>
    <w:rsid w:val="005B5C64"/>
    <w:rsid w:val="005C15C2"/>
    <w:rsid w:val="005C5337"/>
    <w:rsid w:val="005C6271"/>
    <w:rsid w:val="005C6BD0"/>
    <w:rsid w:val="005D1C8B"/>
    <w:rsid w:val="005D468D"/>
    <w:rsid w:val="005D5CED"/>
    <w:rsid w:val="005E496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770BB"/>
    <w:rsid w:val="00681A31"/>
    <w:rsid w:val="00683E73"/>
    <w:rsid w:val="006855AF"/>
    <w:rsid w:val="006A3141"/>
    <w:rsid w:val="006A5E34"/>
    <w:rsid w:val="006B2422"/>
    <w:rsid w:val="006B2B9A"/>
    <w:rsid w:val="006C1937"/>
    <w:rsid w:val="006F020C"/>
    <w:rsid w:val="007127B7"/>
    <w:rsid w:val="0071798E"/>
    <w:rsid w:val="00731424"/>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D7AE0"/>
    <w:rsid w:val="007E23B0"/>
    <w:rsid w:val="007E23E5"/>
    <w:rsid w:val="007F1991"/>
    <w:rsid w:val="007F2C2F"/>
    <w:rsid w:val="007F55FC"/>
    <w:rsid w:val="007F5665"/>
    <w:rsid w:val="00800112"/>
    <w:rsid w:val="0080361B"/>
    <w:rsid w:val="00813348"/>
    <w:rsid w:val="008253BB"/>
    <w:rsid w:val="0083706E"/>
    <w:rsid w:val="008408F6"/>
    <w:rsid w:val="008423A5"/>
    <w:rsid w:val="00850625"/>
    <w:rsid w:val="00853718"/>
    <w:rsid w:val="00855221"/>
    <w:rsid w:val="00860645"/>
    <w:rsid w:val="00871CA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35FBF"/>
    <w:rsid w:val="00946945"/>
    <w:rsid w:val="00951248"/>
    <w:rsid w:val="0095152F"/>
    <w:rsid w:val="0095153E"/>
    <w:rsid w:val="00954C49"/>
    <w:rsid w:val="00955E37"/>
    <w:rsid w:val="0097099F"/>
    <w:rsid w:val="00971997"/>
    <w:rsid w:val="00971FFC"/>
    <w:rsid w:val="00981961"/>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CEC"/>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B627A"/>
    <w:rsid w:val="00BC25EF"/>
    <w:rsid w:val="00BC289F"/>
    <w:rsid w:val="00BC2D50"/>
    <w:rsid w:val="00BC5361"/>
    <w:rsid w:val="00BC5460"/>
    <w:rsid w:val="00BC6B50"/>
    <w:rsid w:val="00BD0E25"/>
    <w:rsid w:val="00BF5BD6"/>
    <w:rsid w:val="00C03E31"/>
    <w:rsid w:val="00C33E72"/>
    <w:rsid w:val="00C354B2"/>
    <w:rsid w:val="00C35554"/>
    <w:rsid w:val="00C42709"/>
    <w:rsid w:val="00C43861"/>
    <w:rsid w:val="00C533CC"/>
    <w:rsid w:val="00C5751C"/>
    <w:rsid w:val="00C61BFC"/>
    <w:rsid w:val="00C62B85"/>
    <w:rsid w:val="00C65438"/>
    <w:rsid w:val="00C74D05"/>
    <w:rsid w:val="00C87FD8"/>
    <w:rsid w:val="00C91381"/>
    <w:rsid w:val="00C91CBB"/>
    <w:rsid w:val="00CB4E70"/>
    <w:rsid w:val="00CC09B6"/>
    <w:rsid w:val="00CC666F"/>
    <w:rsid w:val="00CD1E3F"/>
    <w:rsid w:val="00CE44F6"/>
    <w:rsid w:val="00CE49DA"/>
    <w:rsid w:val="00CE7B61"/>
    <w:rsid w:val="00D00095"/>
    <w:rsid w:val="00D06AB7"/>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1264B20"/>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B0973"/>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正文-公1"/>
    <w:basedOn w:val="1"/>
    <w:next w:val="1"/>
    <w:uiPriority w:val="0"/>
    <w:pPr>
      <w:ind w:firstLine="200" w:firstLineChars="200"/>
    </w:pPr>
    <w:rPr>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b0d4a7d1-8c07-494e-9317-80c560280be8</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5DD29430</paraID>
      <start>12</start>
      <end>18</end>
      <status>modified</status>
      <modifiedWord>省委、省政府</modifiedWord>
      <trackRevisions>false</trackRevisions>
    </reviewItem>
    <reviewItem>
      <errorID>806e4a1f-f37c-4cf9-a410-d08b3212855d</errorID>
      <errorWord>州委州政府</errorWord>
      <group>L1_Political</group>
      <groupName>政治性问题</groupName>
      <ability>L2_Unpolitical</ability>
      <abilityName>政治敏感错误</abilityName>
      <candidateList>
        <item>州委、州政府</item>
      </candidateList>
      <explain/>
      <paraID>5DD29430</paraID>
      <start>23</start>
      <end>29</end>
      <status>modified</status>
      <modifiedWord>州委、州政府</modifiedWord>
      <trackRevisions>false</trackRevisions>
    </reviewItem>
    <reviewItem>
      <errorID>3a432d7c-d9cd-425b-8f08-14b17378d425</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5DD29430</paraID>
      <start>34</start>
      <end>40</end>
      <status>modified</status>
      <modifiedWord>县委、县政府</modifiedWord>
      <trackRevisions>false</trackRevisions>
    </reviewItem>
    <reviewItem>
      <errorID>dbf09b4b-37fc-4d55-9f77-3e1d8f8e6419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4A030900</paraID>
      <start>0</start>
      <end>2</end>
      <status>modified</status>
      <modifiedWord>2.</modifiedWord>
      <trackRevisions>false</trackRevisions>
    </reviewItem>
    <reviewItem>
      <errorID>8954e767-491f-47b6-8c8c-ea3bd22dfcdb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1D884CAF</paraID>
      <start>0</start>
      <end>2</end>
      <status>modified</status>
      <modifiedWord>3.</modifiedWord>
      <trackRevisions>false</trackRevisions>
    </reviewItem>
    <reviewItem>
      <errorID>596af8e4-6a5e-4b48-976e-340855f25bb1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55CDA627</paraID>
      <start>0</start>
      <end>2</end>
      <status>modified</status>
      <modifiedWord>2.</modifiedWord>
      <trackRevisions>false</trackRevisions>
    </reviewItem>
    <reviewItem>
      <errorID>1d02f41b-baa8-4a78-a295-c77a2208ff08</errorID>
      <errorWord>,</errorWord>
      <group>L1_Format</group>
      <groupName>格式问题</groupName>
      <ability>L2_HalfPunc_CN</ability>
      <abilityName>全半角问题</abilityName>
      <candidateList>
        <item>，</item>
      </candidateList>
      <explain>文本全半角错误。</explain>
      <paraID>68B0E294</paraID>
      <start>143</start>
      <end>144</end>
      <status>modified</status>
      <modifiedWord>，</modifiedWord>
      <trackRevisions>false</trackRevisions>
    </reviewItem>
    <reviewItem>
      <errorID>80335035-b785-486e-9711-a835dd79f60a</errorID>
      <errorWord>:</errorWord>
      <group>L1_Format</group>
      <groupName>格式问题</groupName>
      <ability>L2_HalfPunc_CN</ability>
      <abilityName>全半角问题</abilityName>
      <candidateList>
        <item>：</item>
      </candidateList>
      <explain>文本全半角错误。</explain>
      <paraID>5450197C</paraID>
      <start>43</start>
      <end>44</end>
      <status>modified</status>
      <modifiedWord>：</modifiedWord>
      <trackRevisions>false</trackRevisions>
    </reviewItem>
    <reviewItem>
      <errorID>0d7491ca-fbc3-411e-8675-5dbd3192952f</errorID>
      <errorWord>原因是因为</errorWord>
      <group>L1_Grammar</group>
      <groupName>语法问题</groupName>
      <ability>L2_Grammar</ability>
      <abilityName>语法错误</abilityName>
      <candidateList>
        <item>原因是</item>
      </candidateList>
      <explain>该表达中的“原因是因为”存在语义重复。【词汇解析】原因：一指原来因为，二指造成某种结果或者引发某种事情的条件。包含了“因为”的意思。</explain>
      <paraID>2BAD9509</paraID>
      <start>91</start>
      <end>94</end>
      <status>modified</status>
      <modifiedWord>原因是</modifiedWord>
      <trackRevisions>false</trackRevisions>
    </reviewItem>
    <reviewItem>
      <errorID>40fb6249-33c3-4b6f-9e70-6402a430123e</errorID>
      <errorWord>,</errorWord>
      <group>L1_Format</group>
      <groupName>格式问题</groupName>
      <ability>L2_HalfPunc_CN</ability>
      <abilityName>全半角问题</abilityName>
      <candidateList>
        <item>，</item>
      </candidateList>
      <explain>文本全半角错误。</explain>
      <paraID>3C28113F</paraID>
      <start>32</start>
      <end>33</end>
      <status>modified</status>
      <modifiedWord>，</modifiedWord>
      <trackRevisions>false</trackRevisions>
    </reviewItem>
    <reviewItem>
      <errorID>0a090267-dc41-4a97-9602-9d58fda261d0</errorID>
      <errorWord>服务中心本</errorWord>
      <group>L1_Word</group>
      <groupName>字词问题</groupName>
      <ability>L2_Typo</ability>
      <abilityName>字词错误</abilityName>
      <candidateList>
        <item>服务中心</item>
      </candidateList>
      <explain/>
      <paraID>4A8581F1</paraID>
      <start>19</start>
      <end>23</end>
      <status>modified</status>
      <modifiedWord>服务中心</modifiedWord>
      <trackRevisions>false</trackRevisions>
    </reviewItem>
    <reviewItem>
      <errorID>be901f1f-2694-4e4d-89e3-e58f291f6eec</errorID>
      <errorWord>，</errorWord>
      <group>L1_Word</group>
      <groupName>字词问题</groupName>
      <ability>L2_Typo</ability>
      <abilityName>字词错误</abilityName>
      <candidateList>
        <item>，在</item>
      </candidateList>
      <explain/>
      <paraID>71E608C6</paraID>
      <start>76</start>
      <end>78</end>
      <status>modified</status>
      <modifiedWord>，在</modifiedWord>
      <trackRevisions>false</trackRevisions>
    </reviewItem>
    <reviewItem>
      <errorID>3e613e5a-4b16-423b-9bbf-571d37e324ee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7F79A47A</paraID>
      <start>19</start>
      <end>20</end>
      <status>modified</status>
      <modifiedWord>—</modifiedWord>
      <trackRevisions>false</trackRevisions>
    </reviewItem>
    <reviewItem>
      <errorID>e1c31643-7db5-4766-b08c-08910ee8d55a</errorID>
      <errorWord>（</errorWord>
      <group>L1_Punc</group>
      <groupName>标点问题</groupName>
      <ability>L2_Punc_CN</ability>
      <abilityName>标点符号问题</abilityName>
      <candidateList/>
      <explain>同一形式括号套用。</explain>
      <paraID>3616A36B</paraID>
      <start>32</start>
      <end>33</end>
      <status>ignored</status>
      <modifiedWord/>
      <trackRevisions>false</trackRevisions>
    </reviewItem>
    <reviewItem>
      <errorID>f9891a91-07f9-4b91-a648-8a44ab08c716</errorID>
      <errorWord>）</errorWord>
      <group>L1_Punc</group>
      <groupName>标点问题</groupName>
      <ability>L2_Punc_CN</ability>
      <abilityName>标点符号问题</abilityName>
      <candidateList/>
      <explain>同一形式括号套用。</explain>
      <paraID>3616A36B</paraID>
      <start>39</start>
      <end>40</end>
      <status>ignored</status>
      <modifiedWord/>
      <trackRevisions>false</trackRevisions>
    </reviewItem>
    <reviewItem>
      <errorID>105d66d8-84d9-4176-83c6-8a8c6b9bd6f6</errorID>
      <errorWord>（</errorWord>
      <group>L1_Punc</group>
      <groupName>标点问题</groupName>
      <ability>L2_Punc_CN</ability>
      <abilityName>标点符号问题</abilityName>
      <candidateList/>
      <explain>同一形式括号套用。</explain>
      <paraID>3616A36B</paraID>
      <start>62</start>
      <end>63</end>
      <status>ignored</status>
      <modifiedWord/>
      <trackRevisions>false</trackRevisions>
    </reviewItem>
    <reviewItem>
      <errorID>7ae25fd5-07ac-4536-bd23-159c6fee2814</errorID>
      <errorWord>）</errorWord>
      <group>L1_Punc</group>
      <groupName>标点问题</groupName>
      <ability>L2_Punc_CN</ability>
      <abilityName>标点符号问题</abilityName>
      <candidateList/>
      <explain>同一形式括号套用。</explain>
      <paraID>3616A36B</paraID>
      <start>69</start>
      <end>70</end>
      <status>ignored</status>
      <modifiedWord/>
      <trackRevisions>false</trackRevisions>
    </reviewItem>
    <reviewItem>
      <errorID>21f4f4c8-a9a2-4a5f-952f-9f528fd0846c</errorID>
      <errorWord>（</errorWord>
      <group>L1_Punc</group>
      <groupName>标点问题</groupName>
      <ability>L2_Punc_CN</ability>
      <abilityName>标点符号问题</abilityName>
      <candidateList/>
      <explain>同一形式括号套用。</explain>
      <paraID>25EA1B7B</paraID>
      <start>13</start>
      <end>14</end>
      <status>ignored</status>
      <modifiedWord/>
      <trackRevisions>false</trackRevisions>
    </reviewItem>
    <reviewItem>
      <errorID>fc7a4510-dc8c-45e4-88f6-664ddd8c647d</errorID>
      <errorWord>）</errorWord>
      <group>L1_Punc</group>
      <groupName>标点问题</groupName>
      <ability>L2_Punc_CN</ability>
      <abilityName>标点符号问题</abilityName>
      <candidateList/>
      <explain>同一形式括号套用。</explain>
      <paraID>25EA1B7B</paraID>
      <start>20</start>
      <end>21</end>
      <status>ignored</status>
      <modifiedWord/>
      <trackRevisions>false</trackRevisions>
    </reviewItem>
    <reviewItem>
      <errorID>5d43a2bf-5336-49d7-9e31-2d2424b43255</errorID>
      <errorWord>用来</errorWord>
      <group>L1_Grammar</group>
      <groupName>语法问题</groupName>
      <ability>L2_Grammar</ability>
      <abilityName>语法错误</abilityName>
      <candidateList>
        <item>用于</item>
      </candidateList>
      <explain>“用来～开展”搭配不当，建议修改为“用于～开展”。</explain>
      <paraID>2850C83C</paraID>
      <start>20</start>
      <end>22</end>
      <status>modified</status>
      <modifiedWord>用于</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5b5f7b-3075-43af-8beb-0ce05c4f8ad8}">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21</Pages>
  <Words>6781</Words>
  <Characters>7167</Characters>
  <Lines>52</Lines>
  <Paragraphs>14</Paragraphs>
  <TotalTime>2</TotalTime>
  <ScaleCrop>false</ScaleCrop>
  <LinksUpToDate>false</LinksUpToDate>
  <CharactersWithSpaces>7198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2026-10-15T06:53:00Z</dcterms:created>
  <dc:creator>曹颖</dc:creator>
  <cp:lastModifiedBy>奕夕^_^</cp:lastModifiedBy>
  <cp:lastPrinted>2026-08-03T09:27:00Z</cp:lastPrinted>
  <dcterms:modified xsi:type="dcterms:W3CDTF">2026-10-15T08:42:19Z</dcterms:modified>
  <dc:title>四川省***</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