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2946D3">
      <w:pPr>
        <w:pStyle w:val="8"/>
        <w:rPr>
          <w:rFonts w:hint="eastAsia" w:ascii="黑体" w:hAnsi="黑体" w:eastAsia="黑体" w:cs="黑体"/>
          <w:color w:val="auto"/>
          <w:kern w:val="2"/>
          <w:sz w:val="32"/>
          <w:szCs w:val="32"/>
          <w:highlight w:val="none"/>
          <w:lang w:val="en-US" w:eastAsia="zh-CN" w:bidi="ar-SA"/>
        </w:rPr>
      </w:pPr>
      <w:bookmarkStart w:id="0" w:name="_Toc15377193"/>
      <w:bookmarkStart w:id="1" w:name="_Toc15396597"/>
      <w:bookmarkStart w:id="2" w:name="_Toc15396475"/>
      <w:bookmarkStart w:id="3" w:name="_Toc15377425"/>
      <w:bookmarkStart w:id="4" w:name="_Toc15378441"/>
      <w:bookmarkStart w:id="5" w:name="_Toc15306267"/>
      <w:r>
        <w:rPr>
          <w:rFonts w:hint="eastAsia" w:ascii="黑体" w:hAnsi="黑体" w:eastAsia="黑体" w:cs="黑体"/>
          <w:color w:val="auto"/>
          <w:kern w:val="2"/>
          <w:sz w:val="32"/>
          <w:szCs w:val="32"/>
          <w:highlight w:val="none"/>
          <w:lang w:val="en-US" w:eastAsia="zh-CN" w:bidi="ar-SA"/>
        </w:rPr>
        <w:t>附件4</w:t>
      </w:r>
    </w:p>
    <w:p w14:paraId="77A5D945">
      <w:pPr>
        <w:pStyle w:val="8"/>
        <w:rPr>
          <w:rFonts w:hint="eastAsia" w:ascii="Times New Roman" w:hAnsi="Times New Roman" w:eastAsia="方正小标宋简体" w:cs="Times New Roman"/>
          <w:color w:val="auto"/>
          <w:kern w:val="2"/>
          <w:sz w:val="72"/>
          <w:szCs w:val="72"/>
          <w:highlight w:val="none"/>
          <w:lang w:val="en-US" w:eastAsia="zh-CN" w:bidi="ar-SA"/>
        </w:rPr>
      </w:pPr>
    </w:p>
    <w:p w14:paraId="5459D766">
      <w:pPr>
        <w:pStyle w:val="8"/>
        <w:rPr>
          <w:rFonts w:hint="eastAsia" w:ascii="Times New Roman" w:hAnsi="Times New Roman" w:eastAsia="方正小标宋简体" w:cs="Times New Roman"/>
          <w:color w:val="auto"/>
          <w:kern w:val="2"/>
          <w:sz w:val="72"/>
          <w:szCs w:val="72"/>
          <w:highlight w:val="none"/>
          <w:lang w:val="en-US" w:eastAsia="zh-CN" w:bidi="ar-SA"/>
        </w:rPr>
      </w:pPr>
    </w:p>
    <w:p w14:paraId="43DA4216">
      <w:pPr>
        <w:pStyle w:val="8"/>
        <w:rPr>
          <w:rFonts w:hint="eastAsia" w:ascii="Times New Roman" w:hAnsi="Times New Roman" w:eastAsia="方正小标宋简体" w:cs="Times New Roman"/>
          <w:color w:val="auto"/>
          <w:kern w:val="2"/>
          <w:sz w:val="72"/>
          <w:szCs w:val="72"/>
          <w:highlight w:val="none"/>
          <w:lang w:val="en-US" w:eastAsia="zh-CN" w:bidi="ar-SA"/>
        </w:rPr>
      </w:pPr>
    </w:p>
    <w:p w14:paraId="4A4010D1">
      <w:pPr>
        <w:pStyle w:val="8"/>
        <w:rPr>
          <w:rFonts w:hint="eastAsia" w:ascii="Times New Roman" w:hAnsi="Times New Roman" w:eastAsia="方正小标宋简体" w:cs="Times New Roman"/>
          <w:color w:val="auto"/>
          <w:kern w:val="2"/>
          <w:sz w:val="72"/>
          <w:szCs w:val="72"/>
          <w:highlight w:val="none"/>
          <w:lang w:val="en-US" w:eastAsia="zh-CN" w:bidi="ar-SA"/>
        </w:rPr>
      </w:pPr>
    </w:p>
    <w:p w14:paraId="17ED3EC0">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省级部门（单位）决算</w:t>
      </w:r>
    </w:p>
    <w:p w14:paraId="4D8839B7">
      <w:pPr>
        <w:pStyle w:val="8"/>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w:t>
      </w:r>
    </w:p>
    <w:p w14:paraId="414736F2">
      <w:pPr>
        <w:spacing w:line="600" w:lineRule="exact"/>
        <w:jc w:val="center"/>
        <w:outlineLvl w:val="0"/>
        <w:rPr>
          <w:rFonts w:ascii="Times New Roman" w:hAnsi="Times New Roman" w:eastAsia="方正小标宋简体"/>
          <w:color w:val="auto"/>
          <w:sz w:val="72"/>
          <w:szCs w:val="72"/>
          <w:highlight w:val="none"/>
        </w:rPr>
      </w:pPr>
    </w:p>
    <w:p w14:paraId="7F41269E">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3D8F5149">
      <w:pPr>
        <w:rPr>
          <w:rFonts w:ascii="Times New Roman" w:hAnsi="Times New Roman"/>
        </w:rPr>
      </w:pPr>
    </w:p>
    <w:p w14:paraId="50D56CFD">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516D56AD">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1DDC1644">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1398FC0C">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4AACC838">
      <w:pPr>
        <w:pStyle w:val="8"/>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96598"/>
      <w:bookmarkStart w:id="7" w:name="_Toc15378442"/>
      <w:bookmarkStart w:id="8" w:name="_Toc15377194"/>
      <w:bookmarkStart w:id="9" w:name="_Toc15377426"/>
      <w:bookmarkStart w:id="10" w:name="_Toc15396476"/>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中共松潘县委机构编制委员会办公室</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2AD35ACC">
      <w:pPr>
        <w:widowControl/>
        <w:jc w:val="center"/>
        <w:rPr>
          <w:rFonts w:hint="eastAsia" w:ascii="Times New Roman" w:hAnsi="Times New Roman" w:eastAsia="黑体"/>
          <w:color w:val="auto"/>
          <w:sz w:val="48"/>
          <w:szCs w:val="48"/>
          <w:highlight w:val="none"/>
        </w:rPr>
      </w:pPr>
    </w:p>
    <w:p w14:paraId="0F128458">
      <w:pPr>
        <w:pStyle w:val="2"/>
        <w:rPr>
          <w:rFonts w:hint="eastAsia" w:ascii="Times New Roman" w:hAnsi="Times New Roman" w:eastAsia="黑体"/>
          <w:color w:val="auto"/>
          <w:sz w:val="48"/>
          <w:szCs w:val="48"/>
          <w:highlight w:val="none"/>
        </w:rPr>
      </w:pPr>
    </w:p>
    <w:p w14:paraId="5136DAD8">
      <w:pPr>
        <w:pStyle w:val="3"/>
        <w:rPr>
          <w:rFonts w:hint="eastAsia" w:ascii="Times New Roman" w:hAnsi="Times New Roman" w:eastAsia="黑体"/>
          <w:color w:val="auto"/>
          <w:sz w:val="48"/>
          <w:szCs w:val="48"/>
          <w:highlight w:val="none"/>
        </w:rPr>
      </w:pPr>
    </w:p>
    <w:p w14:paraId="299F7ADC">
      <w:pPr>
        <w:rPr>
          <w:rFonts w:hint="eastAsia" w:ascii="Times New Roman" w:hAnsi="Times New Roman" w:eastAsia="黑体"/>
          <w:color w:val="auto"/>
          <w:sz w:val="48"/>
          <w:szCs w:val="48"/>
          <w:highlight w:val="none"/>
        </w:rPr>
      </w:pPr>
    </w:p>
    <w:p w14:paraId="2D4CEEE7">
      <w:pPr>
        <w:pStyle w:val="2"/>
        <w:rPr>
          <w:rFonts w:hint="eastAsia" w:ascii="Times New Roman" w:hAnsi="Times New Roman" w:eastAsia="黑体"/>
          <w:color w:val="auto"/>
          <w:sz w:val="48"/>
          <w:szCs w:val="48"/>
          <w:highlight w:val="none"/>
        </w:rPr>
      </w:pPr>
    </w:p>
    <w:p w14:paraId="32F40122">
      <w:pPr>
        <w:pStyle w:val="3"/>
        <w:rPr>
          <w:rFonts w:hint="eastAsia" w:ascii="Times New Roman" w:hAnsi="Times New Roman" w:eastAsia="黑体"/>
          <w:color w:val="auto"/>
          <w:sz w:val="48"/>
          <w:szCs w:val="48"/>
          <w:highlight w:val="none"/>
        </w:rPr>
      </w:pPr>
    </w:p>
    <w:p w14:paraId="0E3BF402">
      <w:pPr>
        <w:rPr>
          <w:rFonts w:hint="eastAsia" w:ascii="Times New Roman" w:hAnsi="Times New Roman" w:eastAsia="黑体"/>
          <w:color w:val="auto"/>
          <w:sz w:val="48"/>
          <w:szCs w:val="48"/>
          <w:highlight w:val="none"/>
        </w:rPr>
      </w:pPr>
    </w:p>
    <w:p w14:paraId="06DC1ACE">
      <w:pPr>
        <w:pStyle w:val="2"/>
        <w:rPr>
          <w:rFonts w:hint="eastAsia" w:ascii="Times New Roman" w:hAnsi="Times New Roman" w:eastAsia="黑体"/>
          <w:color w:val="auto"/>
          <w:sz w:val="48"/>
          <w:szCs w:val="48"/>
          <w:highlight w:val="none"/>
        </w:rPr>
      </w:pPr>
    </w:p>
    <w:p w14:paraId="20BC15A2">
      <w:pPr>
        <w:pStyle w:val="3"/>
        <w:rPr>
          <w:rFonts w:hint="eastAsia" w:ascii="Times New Roman" w:hAnsi="Times New Roman" w:eastAsia="黑体"/>
          <w:color w:val="auto"/>
          <w:sz w:val="48"/>
          <w:szCs w:val="48"/>
          <w:highlight w:val="none"/>
        </w:rPr>
      </w:pPr>
    </w:p>
    <w:p w14:paraId="3A3F5C6A">
      <w:pPr>
        <w:rPr>
          <w:rFonts w:hint="eastAsia" w:ascii="Times New Roman" w:hAnsi="Times New Roman" w:eastAsia="黑体"/>
          <w:color w:val="auto"/>
          <w:sz w:val="48"/>
          <w:szCs w:val="48"/>
          <w:highlight w:val="none"/>
        </w:rPr>
      </w:pPr>
    </w:p>
    <w:p w14:paraId="4860393D">
      <w:pPr>
        <w:pStyle w:val="2"/>
        <w:rPr>
          <w:rFonts w:hint="eastAsia" w:ascii="Times New Roman" w:hAnsi="Times New Roman" w:eastAsia="黑体"/>
          <w:color w:val="auto"/>
          <w:sz w:val="48"/>
          <w:szCs w:val="48"/>
          <w:highlight w:val="none"/>
        </w:rPr>
      </w:pPr>
    </w:p>
    <w:p w14:paraId="7BED911D">
      <w:pPr>
        <w:pStyle w:val="3"/>
        <w:rPr>
          <w:rFonts w:hint="eastAsia" w:ascii="Times New Roman" w:hAnsi="Times New Roman" w:eastAsia="黑体"/>
          <w:color w:val="auto"/>
          <w:sz w:val="48"/>
          <w:szCs w:val="48"/>
          <w:highlight w:val="none"/>
        </w:rPr>
      </w:pPr>
    </w:p>
    <w:p w14:paraId="71F88566">
      <w:pPr>
        <w:rPr>
          <w:rFonts w:hint="eastAsia" w:ascii="Times New Roman" w:hAnsi="Times New Roman" w:eastAsia="黑体"/>
          <w:color w:val="auto"/>
          <w:sz w:val="48"/>
          <w:szCs w:val="48"/>
          <w:highlight w:val="none"/>
        </w:rPr>
      </w:pPr>
    </w:p>
    <w:p w14:paraId="41CD2BB2">
      <w:pPr>
        <w:pStyle w:val="2"/>
        <w:rPr>
          <w:rFonts w:hint="eastAsia"/>
        </w:rPr>
      </w:pPr>
    </w:p>
    <w:p w14:paraId="636BE4EA">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2F2CC35">
      <w:pPr>
        <w:widowControl/>
        <w:jc w:val="center"/>
        <w:rPr>
          <w:rFonts w:ascii="Times New Roman" w:hAnsi="Times New Roman" w:eastAsia="黑体" w:cstheme="minorBidi"/>
          <w:color w:val="auto"/>
          <w:sz w:val="28"/>
          <w:szCs w:val="28"/>
          <w:highlight w:val="none"/>
        </w:rPr>
      </w:pPr>
    </w:p>
    <w:p w14:paraId="792D06B0">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13</w:t>
      </w:r>
      <w:r>
        <w:rPr>
          <w:rFonts w:hint="eastAsia" w:ascii="Times New Roman" w:hAnsi="Times New Roman" w:eastAsia="仿宋_GB2312" w:cs="仿宋_GB2312"/>
          <w:color w:val="auto"/>
          <w:sz w:val="32"/>
          <w:szCs w:val="32"/>
          <w:highlight w:val="none"/>
        </w:rPr>
        <w:t>日</w:t>
      </w:r>
    </w:p>
    <w:p w14:paraId="20F42C0F">
      <w:pPr>
        <w:rPr>
          <w:rFonts w:ascii="Times New Roman" w:hAnsi="Times New Roman"/>
          <w:color w:val="auto"/>
          <w:highlight w:val="none"/>
        </w:rPr>
      </w:pPr>
    </w:p>
    <w:p w14:paraId="7D029679">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0CD67F4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4D49536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58392E61">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2C512EF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2442FDD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7B6DE30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22653C2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222E1FB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6DD064F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67975B7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320AC69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38F51A1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396BC90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13A8968C">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3D9CAECE">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3EF20426">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1E16A17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0A28943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68F7A47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00E2ECE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6EBD91A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6D29795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04107BB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3F726E1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5163965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71893FA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7AD8A03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0A86927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43DB974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6AE55163">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77196"/>
      <w:bookmarkStart w:id="13" w:name="_Toc15396599"/>
      <w:r>
        <w:rPr>
          <w:rFonts w:hint="eastAsia" w:ascii="Times New Roman" w:hAnsi="Times New Roman" w:eastAsia="仿宋_GB2312" w:cs="仿宋_GB2312"/>
          <w:b/>
          <w:color w:val="auto"/>
          <w:sz w:val="32"/>
          <w:szCs w:val="32"/>
          <w:highlight w:val="none"/>
        </w:rPr>
        <w:br w:type="page"/>
      </w:r>
    </w:p>
    <w:p w14:paraId="3859D32C">
      <w:pPr>
        <w:pStyle w:val="5"/>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14:paraId="252C0214">
      <w:pPr>
        <w:pStyle w:val="6"/>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47F0F9A1">
      <w:pPr>
        <w:widowControl/>
        <w:ind w:firstLine="640" w:firstLineChars="200"/>
        <w:jc w:val="left"/>
        <w:rPr>
          <w:rFonts w:ascii="黑体" w:eastAsia="黑体"/>
          <w:sz w:val="32"/>
          <w:szCs w:val="32"/>
        </w:rPr>
      </w:pPr>
      <w:r>
        <w:rPr>
          <w:rFonts w:hint="eastAsia" w:ascii="仿宋_GB2312" w:hAnsi="仿宋_GB2312" w:eastAsia="仿宋_GB2312" w:cs="仿宋_GB2312"/>
          <w:sz w:val="32"/>
          <w:szCs w:val="32"/>
          <w:lang w:val="en-US" w:eastAsia="zh-CN"/>
        </w:rPr>
        <w:t>1.贯彻执行中央、省、州关于行政管理体制改革和机构改革、事业单位改革及机构编制管理的方针政策、法律法规，研究拟定本县的政策规定、管理办法和</w:t>
      </w:r>
    </w:p>
    <w:p w14:paraId="1F7DD411">
      <w:pPr>
        <w:bidi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实施办法。</w:t>
      </w:r>
    </w:p>
    <w:p w14:paraId="1FAE894F">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研究拟定全县行政管理体制改革和机构改革方案，审核县直各部门“三定”规定，拟定县、乡镇机构改革方案，指导县、乡镇行政管理体制改革和机构改革，评估改革方案。参与行政审批制度改革和行政区划调整的有关工作。</w:t>
      </w:r>
    </w:p>
    <w:p w14:paraId="4669D098">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拟定全县各级行政编制、政法专项编制总额分配方案，拟定跨层级调整行政编制事项，并按程序上报州编委。负责全县行政事业编制总量控制、结构调整和机关事业单位机构编制实名制管理工作。对县直机关和县属事业单位使用空缺编制补充人员及进入县级财政供养范围的人员（工勤人员除外）进行核批。</w:t>
      </w:r>
    </w:p>
    <w:p w14:paraId="6F46EECC">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4.负责县委、县政府各部门，县人大、县政协机关，县法院、县检察院机关及县人民团体机关的机构编制管理工作。协调县直各部门之间、县直各部门与乡镇之间的职责分工。</w:t>
      </w:r>
    </w:p>
    <w:p w14:paraId="28655687">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5.审核各部门股级机构的设置、调整，对副科级或按照副科级及以上规格管理机构的设置、调整，进行初步审查，提交县编委会研究后，按程序上报，负责县、乡镇机构编制管理工作。</w:t>
      </w:r>
    </w:p>
    <w:p w14:paraId="68C40E06">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研究拟定全县事业单位改革方案及其实施意见，负责县属事业单位机构编制管理，审核县属事业单位的机构编制方案，负责拟参照公务员法管理事业单位的职责审核工作，拟定县、乡镇事业单位改革总体方案，并按程序报批，指导并协调县、乡镇事业单位改革和机构编制管理工作。</w:t>
      </w:r>
    </w:p>
    <w:p w14:paraId="4F2354E5">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7.监督检查全县行政管理体制改革和机构改革方案及机构编制规定执行情况，建立机构编制工作考核评估制度，会同有关部门查处机构编制违法违纪行为。</w:t>
      </w:r>
    </w:p>
    <w:p w14:paraId="7B375CAB">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8.负责全县事业单位登记管理工作，组织实施县属事业单位登记和年检工作。</w:t>
      </w:r>
    </w:p>
    <w:p w14:paraId="2C46834D">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9.承办县委编委文电、财务、机要、信息、保密工作，档案、接待、财务、内审、资产管理等机关日常运转和综合协调工作，承办综合性文稿的起草和公文的审核工作，承担机构编制统计工作。</w:t>
      </w:r>
    </w:p>
    <w:p w14:paraId="63F9C313">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10.负责全县机构编制统计工作。</w:t>
      </w:r>
    </w:p>
    <w:p w14:paraId="1020CA5C">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11.承办县委、县政府和县委编委交办的其他工作。</w:t>
      </w:r>
    </w:p>
    <w:p w14:paraId="11EB319D">
      <w:pPr>
        <w:numPr>
          <w:ilvl w:val="0"/>
          <w:numId w:val="0"/>
        </w:numPr>
        <w:rPr>
          <w:rFonts w:hint="eastAsia"/>
          <w:lang w:eastAsia="zh-CN"/>
        </w:rPr>
      </w:pPr>
    </w:p>
    <w:p w14:paraId="5F362D6F">
      <w:pPr>
        <w:pStyle w:val="6"/>
        <w:rPr>
          <w:rStyle w:val="29"/>
          <w:rFonts w:ascii="Times New Roman" w:hAnsi="Times New Roman"/>
          <w:b w:val="0"/>
          <w:bCs w:val="0"/>
          <w:color w:val="auto"/>
          <w:highlight w:val="none"/>
        </w:rPr>
      </w:pPr>
      <w:bookmarkStart w:id="14" w:name="_Toc15396601"/>
      <w:bookmarkStart w:id="15"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4"/>
      <w:bookmarkEnd w:id="15"/>
    </w:p>
    <w:p w14:paraId="03AFC5AC">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共松潘县委机构编制委员会办公室为正科级行政单位，中共松潘县委机构编制委员会办公室本级下属二级预算单位2个，松潘县事业单位登记服务中心，为副科级参公事业单位，松潘县机构编制实名制中心事业单位</w:t>
      </w:r>
      <w:bookmarkStart w:id="16" w:name="_Toc11837"/>
      <w:bookmarkStart w:id="17" w:name="_Toc26569"/>
      <w:bookmarkStart w:id="18" w:name="_Toc20742"/>
      <w:r>
        <w:rPr>
          <w:rFonts w:hint="eastAsia" w:ascii="仿宋_GB2312" w:hAnsi="仿宋_GB2312" w:eastAsia="仿宋_GB2312" w:cs="仿宋_GB2312"/>
          <w:sz w:val="32"/>
          <w:szCs w:val="32"/>
          <w:lang w:val="en-US" w:eastAsia="zh-CN"/>
        </w:rPr>
        <w:t>，为副科级事业单位。单位为财政全额拨款。核行政编制3名，其中主任1名，副主任1名，参公事业编制3名（其中副科级领导职数1名），机构编制实名制中心事业编制4名（其中副科级领导职数1名），全单位在岗人员8人。</w:t>
      </w:r>
      <w:bookmarkEnd w:id="16"/>
      <w:bookmarkEnd w:id="17"/>
      <w:bookmarkEnd w:id="18"/>
    </w:p>
    <w:p w14:paraId="4EDEA989">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594B85A8">
      <w:pPr>
        <w:pStyle w:val="5"/>
        <w:jc w:val="center"/>
        <w:rPr>
          <w:rFonts w:hint="eastAsia" w:ascii="Times New Roman" w:hAnsi="Times New Roman" w:eastAsia="方正小标宋简体" w:cs="方正小标宋简体"/>
          <w:b w:val="0"/>
          <w:color w:val="auto"/>
          <w:highlight w:val="none"/>
        </w:rPr>
      </w:pPr>
      <w:bookmarkStart w:id="19" w:name="_Toc15396602"/>
      <w:bookmarkStart w:id="20"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9"/>
      <w:bookmarkEnd w:id="20"/>
    </w:p>
    <w:p w14:paraId="4F3D835E">
      <w:pPr>
        <w:rPr>
          <w:rFonts w:ascii="Times New Roman" w:hAnsi="Times New Roman"/>
          <w:color w:val="auto"/>
          <w:highlight w:val="none"/>
        </w:rPr>
      </w:pPr>
    </w:p>
    <w:p w14:paraId="6C02396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1" w:name="_Toc15377205"/>
      <w:bookmarkStart w:id="22"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1"/>
      <w:bookmarkEnd w:id="22"/>
    </w:p>
    <w:p w14:paraId="0607EA7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133.62</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总计减少</w:t>
      </w:r>
      <w:r>
        <w:rPr>
          <w:rFonts w:hint="eastAsia" w:eastAsia="仿宋_GB2312" w:cs="仿宋_GB2312"/>
          <w:color w:val="auto"/>
          <w:sz w:val="32"/>
          <w:szCs w:val="32"/>
          <w:highlight w:val="none"/>
          <w:lang w:val="en-US" w:eastAsia="zh-CN"/>
        </w:rPr>
        <w:t>7.02</w:t>
      </w:r>
      <w:r>
        <w:rPr>
          <w:rFonts w:hint="eastAsia" w:ascii="Times New Roman" w:hAnsi="Times New Roman" w:eastAsia="仿宋_GB2312" w:cs="仿宋_GB2312"/>
          <w:color w:val="auto"/>
          <w:sz w:val="32"/>
          <w:szCs w:val="32"/>
          <w:highlight w:val="none"/>
        </w:rPr>
        <w:t>万元，主要变动原因是</w:t>
      </w:r>
      <w:r>
        <w:rPr>
          <w:rFonts w:hint="eastAsia" w:eastAsia="仿宋_GB2312" w:cs="仿宋_GB2312"/>
          <w:color w:val="auto"/>
          <w:sz w:val="32"/>
          <w:szCs w:val="32"/>
          <w:highlight w:val="none"/>
          <w:lang w:eastAsia="zh-CN"/>
        </w:rPr>
        <w:t>人员变动。</w:t>
      </w:r>
    </w:p>
    <w:p w14:paraId="17D3623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3" w:name="_Toc15396604"/>
      <w:bookmarkStart w:id="24" w:name="_Toc15377206"/>
      <w:r>
        <w:rPr>
          <w:rFonts w:hint="eastAsia" w:ascii="Times New Roman" w:hAnsi="Times New Roman" w:eastAsia="黑体"/>
          <w:color w:val="auto"/>
          <w:sz w:val="32"/>
          <w:szCs w:val="32"/>
          <w:highlight w:val="none"/>
          <w:lang w:eastAsia="zh-CN"/>
        </w:rPr>
        <w:t>二、收入决算情况说明</w:t>
      </w:r>
      <w:bookmarkEnd w:id="23"/>
      <w:bookmarkEnd w:id="24"/>
    </w:p>
    <w:p w14:paraId="021EA7D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133.62</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133.62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6E558B8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5" w:name="_Toc15396605"/>
      <w:bookmarkStart w:id="26"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5"/>
      <w:bookmarkEnd w:id="26"/>
    </w:p>
    <w:p w14:paraId="7DB7184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133.62</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130.65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97.77</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2.97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2.22</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7898EE2E">
      <w:pPr>
        <w:spacing w:line="600" w:lineRule="exact"/>
        <w:ind w:firstLine="640" w:firstLineChars="200"/>
        <w:outlineLvl w:val="1"/>
        <w:rPr>
          <w:rStyle w:val="29"/>
          <w:rFonts w:ascii="Times New Roman" w:hAnsi="Times New Roman" w:eastAsia="黑体"/>
          <w:b w:val="0"/>
          <w:color w:val="auto"/>
          <w:highlight w:val="none"/>
        </w:rPr>
      </w:pPr>
      <w:bookmarkStart w:id="27" w:name="_Toc15377208"/>
      <w:bookmarkStart w:id="28"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7"/>
      <w:bookmarkEnd w:id="28"/>
    </w:p>
    <w:p w14:paraId="644BE80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133.62</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w:t>
      </w:r>
      <w:r>
        <w:rPr>
          <w:rFonts w:hint="eastAsia" w:ascii="Times New Roman" w:hAnsi="Times New Roman" w:eastAsia="仿宋_GB2312" w:cs="仿宋_GB2312"/>
          <w:color w:val="auto"/>
          <w:sz w:val="32"/>
          <w:szCs w:val="32"/>
          <w:highlight w:val="none"/>
        </w:rPr>
        <w:t>减少</w:t>
      </w:r>
      <w:r>
        <w:rPr>
          <w:rFonts w:hint="eastAsia" w:eastAsia="仿宋_GB2312" w:cs="仿宋_GB2312"/>
          <w:color w:val="auto"/>
          <w:sz w:val="32"/>
          <w:szCs w:val="32"/>
          <w:highlight w:val="none"/>
          <w:lang w:val="en-US" w:eastAsia="zh-CN"/>
        </w:rPr>
        <w:t>7.02</w:t>
      </w:r>
      <w:r>
        <w:rPr>
          <w:rFonts w:hint="eastAsia" w:ascii="Times New Roman" w:hAnsi="Times New Roman" w:eastAsia="仿宋_GB2312" w:cs="仿宋_GB2312"/>
          <w:color w:val="auto"/>
          <w:sz w:val="32"/>
          <w:szCs w:val="32"/>
          <w:highlight w:val="none"/>
        </w:rPr>
        <w:t>万元，主要变动原因是</w:t>
      </w:r>
      <w:r>
        <w:rPr>
          <w:rFonts w:hint="eastAsia" w:eastAsia="仿宋_GB2312" w:cs="仿宋_GB2312"/>
          <w:color w:val="auto"/>
          <w:sz w:val="32"/>
          <w:szCs w:val="32"/>
          <w:highlight w:val="none"/>
          <w:lang w:eastAsia="zh-CN"/>
        </w:rPr>
        <w:t>人员变动。</w:t>
      </w:r>
    </w:p>
    <w:p w14:paraId="62066E30">
      <w:pPr>
        <w:spacing w:line="600" w:lineRule="exact"/>
        <w:ind w:firstLine="640" w:firstLineChars="200"/>
        <w:outlineLvl w:val="1"/>
        <w:rPr>
          <w:rStyle w:val="29"/>
          <w:rFonts w:ascii="Times New Roman" w:hAnsi="Times New Roman" w:eastAsia="黑体"/>
          <w:b w:val="0"/>
          <w:color w:val="auto"/>
          <w:highlight w:val="none"/>
        </w:rPr>
      </w:pPr>
      <w:bookmarkStart w:id="29" w:name="_Toc15396607"/>
      <w:bookmarkStart w:id="30"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9"/>
      <w:bookmarkEnd w:id="30"/>
    </w:p>
    <w:p w14:paraId="55B7882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1"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1"/>
    </w:p>
    <w:p w14:paraId="3E2300F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133.62</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w:t>
      </w:r>
      <w:r>
        <w:rPr>
          <w:rFonts w:hint="eastAsia" w:ascii="Times New Roman" w:hAnsi="Times New Roman" w:eastAsia="仿宋_GB2312" w:cs="仿宋_GB2312"/>
          <w:color w:val="auto"/>
          <w:sz w:val="32"/>
          <w:szCs w:val="32"/>
          <w:highlight w:val="none"/>
        </w:rPr>
        <w:t>减少</w:t>
      </w:r>
      <w:r>
        <w:rPr>
          <w:rFonts w:hint="eastAsia" w:eastAsia="仿宋_GB2312" w:cs="仿宋_GB2312"/>
          <w:color w:val="auto"/>
          <w:sz w:val="32"/>
          <w:szCs w:val="32"/>
          <w:highlight w:val="none"/>
          <w:lang w:val="en-US" w:eastAsia="zh-CN"/>
        </w:rPr>
        <w:t>7.02</w:t>
      </w:r>
      <w:r>
        <w:rPr>
          <w:rFonts w:hint="eastAsia" w:ascii="Times New Roman" w:hAnsi="Times New Roman" w:eastAsia="仿宋_GB2312" w:cs="仿宋_GB2312"/>
          <w:color w:val="auto"/>
          <w:sz w:val="32"/>
          <w:szCs w:val="32"/>
          <w:highlight w:val="none"/>
        </w:rPr>
        <w:t>万元，主要变动原因是</w:t>
      </w:r>
      <w:r>
        <w:rPr>
          <w:rFonts w:hint="eastAsia" w:eastAsia="仿宋_GB2312" w:cs="仿宋_GB2312"/>
          <w:color w:val="auto"/>
          <w:sz w:val="32"/>
          <w:szCs w:val="32"/>
          <w:highlight w:val="none"/>
          <w:lang w:eastAsia="zh-CN"/>
        </w:rPr>
        <w:t>人员变动。</w:t>
      </w:r>
    </w:p>
    <w:p w14:paraId="5BA543D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2"/>
    </w:p>
    <w:p w14:paraId="0C9214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133.62</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102.25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76</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16.5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5.85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9.01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68C573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3"/>
    </w:p>
    <w:p w14:paraId="2273179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4" w:name="_Toc15377213"/>
      <w:bookmarkStart w:id="35" w:name="_Toc15377444"/>
      <w:bookmarkStart w:id="36"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133.62</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4"/>
      <w:bookmarkEnd w:id="35"/>
      <w:bookmarkEnd w:id="36"/>
    </w:p>
    <w:p w14:paraId="3C6043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2013101：</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102.25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32A74AE0">
      <w:pPr>
        <w:spacing w:line="600" w:lineRule="exact"/>
        <w:ind w:firstLine="643" w:firstLineChars="200"/>
        <w:rPr>
          <w:rFonts w:ascii="仿宋" w:hAnsi="仿宋" w:eastAsia="仿宋"/>
          <w:b/>
          <w:sz w:val="32"/>
          <w:szCs w:val="32"/>
        </w:rPr>
      </w:pPr>
      <w:r>
        <w:rPr>
          <w:rStyle w:val="17"/>
          <w:rFonts w:hint="eastAsia" w:ascii="仿宋" w:hAnsi="仿宋" w:eastAsia="仿宋"/>
          <w:bCs/>
          <w:sz w:val="32"/>
          <w:szCs w:val="32"/>
          <w:lang w:val="en-US" w:eastAsia="zh-CN"/>
        </w:rPr>
        <w:t>2</w:t>
      </w:r>
      <w:r>
        <w:rPr>
          <w:rStyle w:val="17"/>
          <w:rFonts w:ascii="仿宋" w:hAnsi="仿宋" w:eastAsia="仿宋"/>
          <w:bCs/>
          <w:sz w:val="32"/>
          <w:szCs w:val="32"/>
        </w:rPr>
        <w:t>.</w:t>
      </w:r>
      <w:r>
        <w:rPr>
          <w:rStyle w:val="17"/>
          <w:rFonts w:hint="eastAsia" w:ascii="仿宋" w:hAnsi="仿宋" w:eastAsia="仿宋"/>
          <w:bCs/>
          <w:sz w:val="32"/>
          <w:szCs w:val="32"/>
        </w:rPr>
        <w:t>社会保障和就业</w:t>
      </w:r>
      <w:bookmarkStart w:id="70" w:name="_GoBack"/>
      <w:r>
        <w:rPr>
          <w:rStyle w:val="17"/>
          <w:rFonts w:hint="eastAsia" w:ascii="仿宋" w:hAnsi="仿宋" w:eastAsia="仿宋"/>
          <w:bCs/>
          <w:sz w:val="32"/>
          <w:szCs w:val="32"/>
          <w:lang w:eastAsia="zh-CN"/>
        </w:rPr>
        <w:t>：</w:t>
      </w:r>
      <w:bookmarkEnd w:id="70"/>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16.5</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w:t>
      </w:r>
    </w:p>
    <w:p w14:paraId="2BDA3700">
      <w:pPr>
        <w:spacing w:line="600" w:lineRule="exact"/>
        <w:ind w:firstLine="643" w:firstLineChars="200"/>
        <w:rPr>
          <w:rFonts w:ascii="仿宋" w:hAnsi="仿宋" w:eastAsia="仿宋"/>
          <w:b/>
          <w:sz w:val="32"/>
          <w:szCs w:val="32"/>
        </w:rPr>
      </w:pPr>
      <w:r>
        <w:rPr>
          <w:rStyle w:val="17"/>
          <w:rFonts w:hint="eastAsia" w:ascii="仿宋" w:hAnsi="仿宋" w:eastAsia="仿宋"/>
          <w:bCs/>
          <w:sz w:val="32"/>
          <w:szCs w:val="32"/>
          <w:lang w:val="en-US" w:eastAsia="zh-CN"/>
        </w:rPr>
        <w:t>3</w:t>
      </w:r>
      <w:r>
        <w:rPr>
          <w:rStyle w:val="17"/>
          <w:rFonts w:ascii="仿宋" w:hAnsi="仿宋" w:eastAsia="仿宋"/>
          <w:bCs/>
          <w:sz w:val="32"/>
          <w:szCs w:val="32"/>
        </w:rPr>
        <w:t>.</w:t>
      </w:r>
      <w:r>
        <w:rPr>
          <w:rFonts w:hint="eastAsia" w:ascii="仿宋" w:hAnsi="仿宋" w:eastAsia="仿宋"/>
          <w:b/>
          <w:bCs/>
          <w:sz w:val="32"/>
          <w:szCs w:val="32"/>
        </w:rPr>
        <w:t>卫生健康</w:t>
      </w:r>
      <w:r>
        <w:rPr>
          <w:rFonts w:hint="eastAsia" w:ascii="仿宋" w:hAnsi="仿宋" w:eastAsia="仿宋"/>
          <w:b/>
          <w:bCs/>
          <w:sz w:val="32"/>
          <w:szCs w:val="32"/>
          <w:lang w:eastAsia="zh-CN"/>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5.85</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w:t>
      </w:r>
    </w:p>
    <w:p w14:paraId="0F424899">
      <w:p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Style w:val="17"/>
          <w:rFonts w:hint="eastAsia" w:ascii="仿宋" w:hAnsi="仿宋" w:eastAsia="仿宋"/>
          <w:bCs/>
          <w:sz w:val="32"/>
          <w:szCs w:val="32"/>
          <w:lang w:val="en-US" w:eastAsia="zh-CN"/>
        </w:rPr>
        <w:t>4</w:t>
      </w:r>
      <w:r>
        <w:rPr>
          <w:rStyle w:val="17"/>
          <w:rFonts w:ascii="仿宋" w:hAnsi="仿宋" w:eastAsia="仿宋"/>
          <w:bCs/>
          <w:sz w:val="32"/>
          <w:szCs w:val="32"/>
        </w:rPr>
        <w:t>.</w:t>
      </w:r>
      <w:r>
        <w:rPr>
          <w:rFonts w:hint="eastAsia" w:ascii="仿宋" w:hAnsi="仿宋" w:eastAsia="仿宋"/>
          <w:b/>
          <w:bCs/>
          <w:sz w:val="32"/>
          <w:szCs w:val="32"/>
          <w:lang w:eastAsia="zh-CN"/>
        </w:rPr>
        <w:t>住房保障类：</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9.01</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w:t>
      </w:r>
    </w:p>
    <w:p w14:paraId="5A76B31E">
      <w:pPr>
        <w:tabs>
          <w:tab w:val="right" w:pos="8306"/>
        </w:tabs>
        <w:spacing w:line="600" w:lineRule="exact"/>
        <w:ind w:firstLine="640"/>
        <w:outlineLvl w:val="1"/>
        <w:rPr>
          <w:rStyle w:val="29"/>
          <w:rFonts w:ascii="Times New Roman" w:hAnsi="Times New Roman"/>
          <w:color w:val="auto"/>
          <w:highlight w:val="none"/>
        </w:rPr>
      </w:pPr>
      <w:bookmarkStart w:id="37" w:name="_Toc15396608"/>
      <w:bookmarkStart w:id="38"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7"/>
      <w:bookmarkEnd w:id="38"/>
      <w:r>
        <w:rPr>
          <w:rStyle w:val="29"/>
          <w:rFonts w:ascii="Times New Roman" w:hAnsi="Times New Roman" w:eastAsia="黑体"/>
          <w:b w:val="0"/>
          <w:color w:val="auto"/>
          <w:highlight w:val="none"/>
        </w:rPr>
        <w:tab/>
      </w:r>
    </w:p>
    <w:p w14:paraId="7398F0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130.65</w:t>
      </w:r>
      <w:r>
        <w:rPr>
          <w:rFonts w:hint="eastAsia" w:ascii="Times New Roman" w:hAnsi="Times New Roman" w:eastAsia="仿宋_GB2312" w:cs="仿宋_GB2312"/>
          <w:color w:val="auto"/>
          <w:kern w:val="2"/>
          <w:sz w:val="32"/>
          <w:szCs w:val="32"/>
          <w:highlight w:val="none"/>
          <w:lang w:val="en-US" w:eastAsia="zh-CN" w:bidi="ar-SA"/>
        </w:rPr>
        <w:t>万元，其中：</w:t>
      </w:r>
    </w:p>
    <w:p w14:paraId="2C0CE8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123.83</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6.83</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30189796">
      <w:pPr>
        <w:spacing w:line="600" w:lineRule="exact"/>
        <w:ind w:firstLine="640"/>
        <w:outlineLvl w:val="1"/>
        <w:rPr>
          <w:rStyle w:val="29"/>
          <w:rFonts w:ascii="Times New Roman" w:hAnsi="Times New Roman" w:eastAsia="黑体"/>
          <w:b w:val="0"/>
          <w:color w:val="auto"/>
          <w:highlight w:val="none"/>
        </w:rPr>
      </w:pPr>
      <w:bookmarkStart w:id="39" w:name="_Toc15377215"/>
      <w:bookmarkStart w:id="40"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9"/>
      <w:bookmarkEnd w:id="40"/>
    </w:p>
    <w:p w14:paraId="5A0475B2">
      <w:pPr>
        <w:spacing w:line="600" w:lineRule="exact"/>
        <w:ind w:firstLine="640"/>
        <w:outlineLvl w:val="2"/>
        <w:rPr>
          <w:rFonts w:ascii="仿宋" w:hAnsi="仿宋" w:eastAsia="仿宋"/>
          <w:b/>
          <w:sz w:val="32"/>
          <w:szCs w:val="32"/>
        </w:rPr>
      </w:pPr>
      <w:bookmarkStart w:id="41" w:name="_Toc15377216"/>
      <w:bookmarkStart w:id="42" w:name="_Toc15396610"/>
      <w:bookmarkStart w:id="43" w:name="_Toc15377218"/>
      <w:r>
        <w:rPr>
          <w:rFonts w:hint="eastAsia" w:ascii="仿宋" w:hAnsi="仿宋" w:eastAsia="仿宋"/>
          <w:b/>
          <w:sz w:val="32"/>
          <w:szCs w:val="32"/>
        </w:rPr>
        <w:t>（一）“三公”经费财政拨款支出决算总体情况说明</w:t>
      </w:r>
      <w:bookmarkEnd w:id="41"/>
    </w:p>
    <w:p w14:paraId="2C5CF3FF">
      <w:pPr>
        <w:spacing w:line="600" w:lineRule="exact"/>
        <w:ind w:firstLine="640"/>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年度“三公”经费财政拨款支出决算为</w:t>
      </w:r>
      <w:r>
        <w:rPr>
          <w:rFonts w:ascii="仿宋" w:hAnsi="仿宋" w:eastAsia="仿宋"/>
          <w:b/>
          <w:sz w:val="32"/>
          <w:szCs w:val="32"/>
        </w:rPr>
        <w:t>0</w:t>
      </w:r>
      <w:r>
        <w:rPr>
          <w:rFonts w:hint="eastAsia" w:ascii="仿宋" w:hAnsi="仿宋" w:eastAsia="仿宋"/>
          <w:sz w:val="32"/>
          <w:szCs w:val="32"/>
        </w:rPr>
        <w:t>万元，完成预算</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sz w:val="32"/>
          <w:szCs w:val="32"/>
          <w:lang w:eastAsia="zh-CN"/>
        </w:rPr>
        <w:t>与上年持平</w:t>
      </w:r>
      <w:r>
        <w:rPr>
          <w:rFonts w:hint="eastAsia" w:ascii="仿宋" w:hAnsi="仿宋" w:eastAsia="仿宋"/>
          <w:sz w:val="32"/>
          <w:szCs w:val="32"/>
        </w:rPr>
        <w:t>。</w:t>
      </w:r>
    </w:p>
    <w:p w14:paraId="23C70D48">
      <w:pPr>
        <w:spacing w:line="600" w:lineRule="exact"/>
        <w:ind w:firstLine="640"/>
        <w:outlineLvl w:val="2"/>
        <w:rPr>
          <w:rFonts w:ascii="仿宋" w:hAnsi="仿宋" w:eastAsia="仿宋"/>
          <w:b/>
          <w:sz w:val="32"/>
          <w:szCs w:val="32"/>
        </w:rPr>
      </w:pPr>
      <w:bookmarkStart w:id="44" w:name="_Toc15377217"/>
      <w:r>
        <w:rPr>
          <w:rFonts w:hint="eastAsia" w:ascii="仿宋" w:hAnsi="仿宋" w:eastAsia="仿宋"/>
          <w:b/>
          <w:sz w:val="32"/>
          <w:szCs w:val="32"/>
        </w:rPr>
        <w:t>（二）“三公”经费财政拨款支出决算具体情况说明</w:t>
      </w:r>
      <w:bookmarkEnd w:id="44"/>
    </w:p>
    <w:p w14:paraId="6DF37A2E">
      <w:pPr>
        <w:spacing w:line="600" w:lineRule="exact"/>
        <w:ind w:firstLine="640"/>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年度“三公”经费财政拨款支出决算中，因公出国（境）费支出决算</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；公务用车购置及运行维护费支出决算</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；公务接待费支出决算</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。具体情况如下：</w:t>
      </w:r>
    </w:p>
    <w:p w14:paraId="39718919">
      <w:pPr>
        <w:spacing w:line="600" w:lineRule="exact"/>
        <w:ind w:firstLine="640"/>
        <w:rPr>
          <w:rFonts w:ascii="仿宋_GB2312" w:eastAsia="仿宋_GB2312"/>
          <w:b/>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rFonts w:ascii="仿宋" w:hAnsi="仿宋" w:eastAsia="仿宋"/>
          <w:b/>
          <w:sz w:val="32"/>
          <w:szCs w:val="32"/>
        </w:rPr>
        <w:t>0</w:t>
      </w:r>
      <w:r>
        <w:rPr>
          <w:rFonts w:hint="eastAsia" w:ascii="仿宋_GB2312" w:eastAsia="仿宋_GB2312"/>
          <w:sz w:val="32"/>
          <w:szCs w:val="32"/>
        </w:rPr>
        <w:t>万元，</w:t>
      </w:r>
      <w:r>
        <w:rPr>
          <w:rStyle w:val="17"/>
          <w:rFonts w:hint="eastAsia" w:ascii="仿宋" w:hAnsi="仿宋" w:eastAsia="仿宋"/>
          <w:b w:val="0"/>
          <w:bCs/>
          <w:sz w:val="32"/>
          <w:szCs w:val="32"/>
        </w:rPr>
        <w:t>完成预算</w:t>
      </w:r>
      <w:r>
        <w:rPr>
          <w:rStyle w:val="17"/>
          <w:rFonts w:ascii="仿宋" w:hAnsi="仿宋" w:eastAsia="仿宋"/>
          <w:bCs/>
          <w:sz w:val="32"/>
          <w:szCs w:val="32"/>
        </w:rPr>
        <w:t>0</w:t>
      </w:r>
      <w:r>
        <w:rPr>
          <w:rStyle w:val="17"/>
          <w:rFonts w:ascii="仿宋" w:hAnsi="仿宋" w:eastAsia="仿宋"/>
          <w:b w:val="0"/>
          <w:bCs/>
          <w:sz w:val="32"/>
          <w:szCs w:val="32"/>
        </w:rPr>
        <w:t>%</w:t>
      </w:r>
      <w:r>
        <w:rPr>
          <w:rStyle w:val="17"/>
          <w:rFonts w:hint="eastAsia" w:ascii="仿宋" w:hAnsi="仿宋" w:eastAsia="仿宋"/>
          <w:b w:val="0"/>
          <w:bCs/>
          <w:sz w:val="32"/>
          <w:szCs w:val="32"/>
        </w:rPr>
        <w:t>。</w:t>
      </w:r>
      <w:r>
        <w:rPr>
          <w:rFonts w:hint="eastAsia" w:ascii="仿宋_GB2312" w:eastAsia="仿宋_GB2312"/>
          <w:sz w:val="32"/>
          <w:szCs w:val="32"/>
        </w:rPr>
        <w:t>全年安排因公出国（境）团组</w:t>
      </w:r>
      <w:r>
        <w:rPr>
          <w:rFonts w:ascii="仿宋_GB2312" w:eastAsia="仿宋_GB2312"/>
          <w:b/>
          <w:sz w:val="32"/>
          <w:szCs w:val="32"/>
        </w:rPr>
        <w:t>0</w:t>
      </w:r>
      <w:r>
        <w:rPr>
          <w:rFonts w:hint="eastAsia" w:ascii="仿宋_GB2312" w:eastAsia="仿宋_GB2312"/>
          <w:sz w:val="32"/>
          <w:szCs w:val="32"/>
        </w:rPr>
        <w:t>次，出国（境）</w:t>
      </w:r>
      <w:r>
        <w:rPr>
          <w:rFonts w:ascii="仿宋_GB2312" w:eastAsia="仿宋_GB2312"/>
          <w:b/>
          <w:sz w:val="32"/>
          <w:szCs w:val="32"/>
        </w:rPr>
        <w:t>0</w:t>
      </w:r>
      <w:r>
        <w:rPr>
          <w:rFonts w:hint="eastAsia" w:ascii="仿宋_GB2312" w:eastAsia="仿宋_GB2312"/>
          <w:sz w:val="32"/>
          <w:szCs w:val="32"/>
        </w:rPr>
        <w:t>人。因公出国（境）支出决算</w:t>
      </w:r>
      <w:r>
        <w:rPr>
          <w:rFonts w:hint="eastAsia" w:ascii="仿宋_GB2312" w:eastAsia="仿宋_GB2312"/>
          <w:sz w:val="32"/>
          <w:szCs w:val="32"/>
          <w:lang w:eastAsia="zh-CN"/>
        </w:rPr>
        <w:t>与</w:t>
      </w: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eastAsia="zh-CN"/>
        </w:rPr>
        <w:t>持平</w:t>
      </w:r>
      <w:r>
        <w:rPr>
          <w:rFonts w:hint="eastAsia" w:ascii="仿宋_GB2312" w:eastAsia="仿宋_GB2312"/>
          <w:sz w:val="32"/>
          <w:szCs w:val="32"/>
        </w:rPr>
        <w:t>。</w:t>
      </w:r>
    </w:p>
    <w:p w14:paraId="72635A53">
      <w:pPr>
        <w:spacing w:line="600" w:lineRule="exact"/>
        <w:ind w:firstLine="64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ascii="仿宋" w:hAnsi="仿宋" w:eastAsia="仿宋"/>
          <w:b/>
          <w:sz w:val="32"/>
          <w:szCs w:val="32"/>
        </w:rPr>
        <w:t>0</w:t>
      </w:r>
      <w:r>
        <w:rPr>
          <w:rFonts w:hint="eastAsia" w:ascii="仿宋_GB2312" w:eastAsia="仿宋_GB2312"/>
          <w:sz w:val="32"/>
          <w:szCs w:val="32"/>
        </w:rPr>
        <w:t>万元</w:t>
      </w:r>
      <w:r>
        <w:rPr>
          <w:rFonts w:hint="eastAsia" w:ascii="仿宋_GB2312" w:eastAsia="仿宋_GB2312"/>
          <w:sz w:val="32"/>
          <w:szCs w:val="32"/>
          <w:lang w:eastAsia="zh-CN"/>
        </w:rPr>
        <w:t>，</w:t>
      </w:r>
      <w:r>
        <w:rPr>
          <w:rStyle w:val="17"/>
          <w:rFonts w:hint="eastAsia" w:ascii="仿宋" w:hAnsi="仿宋" w:eastAsia="仿宋"/>
          <w:b w:val="0"/>
          <w:bCs/>
          <w:sz w:val="32"/>
          <w:szCs w:val="32"/>
        </w:rPr>
        <w:t>完成预算</w:t>
      </w:r>
      <w:r>
        <w:rPr>
          <w:rStyle w:val="17"/>
          <w:rFonts w:ascii="仿宋" w:hAnsi="仿宋" w:eastAsia="仿宋"/>
          <w:bCs/>
          <w:sz w:val="32"/>
          <w:szCs w:val="32"/>
        </w:rPr>
        <w:t>0</w:t>
      </w:r>
      <w:r>
        <w:rPr>
          <w:rStyle w:val="17"/>
          <w:rFonts w:ascii="仿宋" w:hAnsi="仿宋" w:eastAsia="仿宋"/>
          <w:b w:val="0"/>
          <w:bCs/>
          <w:sz w:val="32"/>
          <w:szCs w:val="32"/>
        </w:rPr>
        <w:t>%</w:t>
      </w:r>
      <w:r>
        <w:rPr>
          <w:rStyle w:val="17"/>
          <w:rFonts w:hint="eastAsia" w:ascii="仿宋" w:hAnsi="仿宋" w:eastAsia="仿宋"/>
          <w:b w:val="0"/>
          <w:bCs/>
          <w:sz w:val="32"/>
          <w:szCs w:val="32"/>
        </w:rPr>
        <w:t>。</w:t>
      </w:r>
      <w:r>
        <w:rPr>
          <w:rFonts w:hint="eastAsia" w:ascii="仿宋_GB2312" w:eastAsia="仿宋_GB2312"/>
          <w:sz w:val="32"/>
          <w:szCs w:val="32"/>
        </w:rPr>
        <w:t>公务用车购置及运行维护费支出决算</w:t>
      </w:r>
      <w:r>
        <w:rPr>
          <w:rFonts w:hint="eastAsia" w:ascii="仿宋_GB2312" w:eastAsia="仿宋_GB2312"/>
          <w:sz w:val="32"/>
          <w:szCs w:val="32"/>
          <w:lang w:eastAsia="zh-CN"/>
        </w:rPr>
        <w:t>与</w:t>
      </w:r>
      <w:r>
        <w:rPr>
          <w:rFonts w:hint="eastAsia" w:ascii="仿宋_GB2312" w:eastAsia="仿宋_GB2312"/>
          <w:sz w:val="32"/>
          <w:szCs w:val="32"/>
        </w:rPr>
        <w:t>2022年</w:t>
      </w:r>
      <w:r>
        <w:rPr>
          <w:rFonts w:hint="eastAsia" w:ascii="仿宋_GB2312" w:eastAsia="仿宋_GB2312"/>
          <w:sz w:val="32"/>
          <w:szCs w:val="32"/>
          <w:lang w:eastAsia="zh-CN"/>
        </w:rPr>
        <w:t>持平</w:t>
      </w:r>
      <w:r>
        <w:rPr>
          <w:rFonts w:hint="eastAsia" w:ascii="仿宋_GB2312" w:eastAsia="仿宋_GB2312"/>
          <w:sz w:val="32"/>
          <w:szCs w:val="32"/>
        </w:rPr>
        <w:t>。</w:t>
      </w:r>
    </w:p>
    <w:p w14:paraId="6941CC6C">
      <w:pPr>
        <w:spacing w:line="600" w:lineRule="exact"/>
        <w:ind w:firstLine="640"/>
        <w:rPr>
          <w:rFonts w:ascii="仿宋_GB2312" w:eastAsia="仿宋_GB2312"/>
          <w:b/>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ascii="仿宋" w:hAnsi="仿宋" w:eastAsia="仿宋"/>
          <w:b/>
          <w:sz w:val="32"/>
          <w:szCs w:val="32"/>
        </w:rPr>
        <w:t>0</w:t>
      </w:r>
      <w:r>
        <w:rPr>
          <w:rFonts w:hint="eastAsia" w:ascii="仿宋_GB2312" w:eastAsia="仿宋_GB2312"/>
          <w:sz w:val="32"/>
          <w:szCs w:val="32"/>
        </w:rPr>
        <w:t>万元，</w:t>
      </w:r>
      <w:r>
        <w:rPr>
          <w:rStyle w:val="17"/>
          <w:rFonts w:hint="eastAsia" w:ascii="仿宋" w:hAnsi="仿宋" w:eastAsia="仿宋"/>
          <w:b w:val="0"/>
          <w:bCs/>
          <w:sz w:val="32"/>
          <w:szCs w:val="32"/>
        </w:rPr>
        <w:t>完成预算</w:t>
      </w:r>
      <w:r>
        <w:rPr>
          <w:rStyle w:val="17"/>
          <w:rFonts w:ascii="仿宋" w:hAnsi="仿宋" w:eastAsia="仿宋"/>
          <w:b w:val="0"/>
          <w:bCs/>
          <w:sz w:val="32"/>
          <w:szCs w:val="32"/>
        </w:rPr>
        <w:t>0%</w:t>
      </w:r>
      <w:r>
        <w:rPr>
          <w:rStyle w:val="17"/>
          <w:rFonts w:hint="eastAsia" w:ascii="仿宋" w:hAnsi="仿宋" w:eastAsia="仿宋"/>
          <w:b w:val="0"/>
          <w:bCs/>
          <w:sz w:val="32"/>
          <w:szCs w:val="32"/>
        </w:rPr>
        <w:t>。</w:t>
      </w:r>
      <w:r>
        <w:rPr>
          <w:rFonts w:hint="eastAsia" w:ascii="仿宋_GB2312" w:eastAsia="仿宋_GB2312"/>
          <w:sz w:val="32"/>
          <w:szCs w:val="32"/>
        </w:rPr>
        <w:t>公务接待费支出决算</w:t>
      </w:r>
      <w:r>
        <w:rPr>
          <w:rFonts w:hint="eastAsia" w:ascii="仿宋_GB2312" w:eastAsia="仿宋_GB2312"/>
          <w:sz w:val="32"/>
          <w:szCs w:val="32"/>
          <w:lang w:eastAsia="zh-CN"/>
        </w:rPr>
        <w:t>与</w:t>
      </w: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eastAsia="zh-CN"/>
        </w:rPr>
        <w:t>持平</w:t>
      </w:r>
      <w:r>
        <w:rPr>
          <w:rFonts w:hint="eastAsia" w:ascii="仿宋_GB2312" w:eastAsia="仿宋_GB2312"/>
          <w:sz w:val="32"/>
          <w:szCs w:val="32"/>
        </w:rPr>
        <w:t>。</w:t>
      </w:r>
    </w:p>
    <w:p w14:paraId="619D00C1">
      <w:pPr>
        <w:spacing w:line="600" w:lineRule="exact"/>
        <w:ind w:firstLine="640"/>
        <w:rPr>
          <w:rFonts w:ascii="仿宋_GB2312" w:eastAsia="仿宋_GB2312"/>
          <w:sz w:val="32"/>
          <w:szCs w:val="32"/>
        </w:rPr>
      </w:pPr>
      <w:r>
        <w:rPr>
          <w:rFonts w:hint="eastAsia" w:ascii="仿宋" w:hAnsi="仿宋" w:eastAsia="仿宋"/>
          <w:b/>
          <w:sz w:val="32"/>
          <w:szCs w:val="32"/>
          <w:lang w:val="en-US" w:eastAsia="zh-CN"/>
        </w:rPr>
        <w:t>4.</w:t>
      </w:r>
      <w:r>
        <w:rPr>
          <w:rFonts w:hint="eastAsia" w:ascii="仿宋" w:hAnsi="仿宋" w:eastAsia="仿宋"/>
          <w:b/>
          <w:sz w:val="32"/>
          <w:szCs w:val="32"/>
        </w:rPr>
        <w:t>国内公务接待支出</w:t>
      </w:r>
      <w:r>
        <w:rPr>
          <w:rFonts w:ascii="仿宋" w:hAnsi="仿宋" w:eastAsia="仿宋"/>
          <w:b/>
          <w:sz w:val="32"/>
          <w:szCs w:val="32"/>
        </w:rPr>
        <w:t>0</w:t>
      </w:r>
      <w:r>
        <w:rPr>
          <w:rFonts w:hint="eastAsia" w:ascii="仿宋_GB2312" w:eastAsia="仿宋_GB2312"/>
          <w:sz w:val="32"/>
          <w:szCs w:val="32"/>
        </w:rPr>
        <w:t>万元。</w:t>
      </w:r>
    </w:p>
    <w:p w14:paraId="079C3705">
      <w:pPr>
        <w:spacing w:line="600" w:lineRule="exact"/>
        <w:ind w:firstLine="643" w:firstLineChars="200"/>
        <w:rPr>
          <w:rFonts w:ascii="黑体" w:eastAsia="黑体"/>
          <w:sz w:val="32"/>
          <w:szCs w:val="32"/>
        </w:rPr>
      </w:pPr>
      <w:r>
        <w:rPr>
          <w:rFonts w:hint="eastAsia" w:ascii="仿宋" w:hAnsi="仿宋" w:eastAsia="仿宋"/>
          <w:b/>
          <w:sz w:val="32"/>
          <w:szCs w:val="32"/>
          <w:lang w:val="en-US" w:eastAsia="zh-CN"/>
        </w:rPr>
        <w:t>5.</w:t>
      </w:r>
      <w:r>
        <w:rPr>
          <w:rFonts w:hint="eastAsia" w:ascii="仿宋" w:hAnsi="仿宋" w:eastAsia="仿宋"/>
          <w:b/>
          <w:sz w:val="32"/>
          <w:szCs w:val="32"/>
        </w:rPr>
        <w:t>外事接待支出</w:t>
      </w:r>
      <w:r>
        <w:rPr>
          <w:rFonts w:ascii="仿宋" w:hAnsi="仿宋" w:eastAsia="仿宋"/>
          <w:b/>
          <w:sz w:val="32"/>
          <w:szCs w:val="32"/>
        </w:rPr>
        <w:t>0</w:t>
      </w:r>
      <w:r>
        <w:rPr>
          <w:rFonts w:hint="eastAsia" w:ascii="仿宋_GB2312" w:eastAsia="仿宋_GB2312"/>
          <w:sz w:val="32"/>
          <w:szCs w:val="32"/>
        </w:rPr>
        <w:t>万元。</w:t>
      </w:r>
    </w:p>
    <w:p w14:paraId="39F998DC">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2"/>
      <w:bookmarkEnd w:id="43"/>
    </w:p>
    <w:p w14:paraId="4F6E2EE0">
      <w:pPr>
        <w:spacing w:line="600" w:lineRule="exact"/>
        <w:ind w:firstLine="640"/>
        <w:rPr>
          <w:rFonts w:ascii="仿宋_GB2312" w:eastAsia="仿宋_GB2312"/>
          <w:sz w:val="32"/>
          <w:szCs w:val="32"/>
        </w:rPr>
      </w:pPr>
      <w:bookmarkStart w:id="45" w:name="_Toc15377219"/>
      <w:bookmarkStart w:id="46" w:name="_Toc15396611"/>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年度政府性基金预算财政拨款支出</w:t>
      </w:r>
      <w:r>
        <w:rPr>
          <w:rFonts w:ascii="仿宋" w:hAnsi="仿宋" w:eastAsia="仿宋"/>
          <w:b/>
          <w:sz w:val="32"/>
          <w:szCs w:val="32"/>
        </w:rPr>
        <w:t>0</w:t>
      </w:r>
      <w:r>
        <w:rPr>
          <w:rFonts w:hint="eastAsia" w:ascii="仿宋_GB2312" w:eastAsia="仿宋_GB2312"/>
          <w:sz w:val="32"/>
          <w:szCs w:val="32"/>
        </w:rPr>
        <w:t>万元。</w:t>
      </w:r>
    </w:p>
    <w:p w14:paraId="582CD6AE">
      <w:pPr>
        <w:numPr>
          <w:ilvl w:val="0"/>
          <w:numId w:val="0"/>
        </w:numPr>
        <w:spacing w:line="600" w:lineRule="exact"/>
        <w:ind w:left="630" w:leftChars="0"/>
        <w:outlineLvl w:val="1"/>
        <w:rPr>
          <w:rStyle w:val="29"/>
          <w:rFonts w:ascii="Times New Roman" w:hAnsi="Times New Roman" w:eastAsia="黑体"/>
          <w:b w:val="0"/>
          <w:color w:val="auto"/>
          <w:highlight w:val="none"/>
        </w:rPr>
      </w:pPr>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5"/>
      <w:bookmarkEnd w:id="46"/>
    </w:p>
    <w:p w14:paraId="75AFA867">
      <w:pPr>
        <w:spacing w:line="600" w:lineRule="exact"/>
        <w:ind w:firstLine="640"/>
        <w:rPr>
          <w:rFonts w:ascii="方正小标宋简体" w:hAnsi="方正小标宋简体" w:eastAsia="方正小标宋简体" w:cs="方正小标宋简体"/>
          <w:sz w:val="44"/>
          <w:szCs w:val="44"/>
        </w:rPr>
      </w:pPr>
      <w:bookmarkStart w:id="47" w:name="_Toc15377221"/>
      <w:bookmarkStart w:id="48" w:name="_Toc15396612"/>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年度国有资本经营预算财政拨款支出</w:t>
      </w:r>
      <w:r>
        <w:rPr>
          <w:rFonts w:ascii="仿宋" w:hAnsi="仿宋" w:eastAsia="仿宋"/>
          <w:b/>
          <w:sz w:val="32"/>
          <w:szCs w:val="32"/>
        </w:rPr>
        <w:t>0</w:t>
      </w:r>
      <w:r>
        <w:rPr>
          <w:rFonts w:hint="eastAsia" w:ascii="仿宋_GB2312" w:eastAsia="仿宋_GB2312"/>
          <w:sz w:val="32"/>
          <w:szCs w:val="32"/>
        </w:rPr>
        <w:t>万元。</w:t>
      </w:r>
    </w:p>
    <w:p w14:paraId="4BD00B0F">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7"/>
      <w:bookmarkEnd w:id="48"/>
    </w:p>
    <w:p w14:paraId="67530E9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22"/>
      <w:r>
        <w:rPr>
          <w:rFonts w:hint="eastAsia" w:ascii="Times New Roman" w:hAnsi="Times New Roman" w:eastAsia="楷体_GB2312" w:cs="楷体_GB2312"/>
          <w:b/>
          <w:color w:val="auto"/>
          <w:sz w:val="32"/>
          <w:szCs w:val="32"/>
          <w:highlight w:val="none"/>
        </w:rPr>
        <w:t>（一）机关运行经费支出情况</w:t>
      </w:r>
      <w:bookmarkEnd w:id="49"/>
    </w:p>
    <w:p w14:paraId="3521FA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中共松潘县委机构编制委员会办公室（本级）</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6.83</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1.79</w:t>
      </w:r>
      <w:r>
        <w:rPr>
          <w:rFonts w:hint="eastAsia" w:ascii="Times New Roman" w:hAnsi="Times New Roman" w:eastAsia="仿宋_GB2312" w:cs="仿宋_GB2312"/>
          <w:color w:val="auto"/>
          <w:kern w:val="2"/>
          <w:sz w:val="32"/>
          <w:szCs w:val="32"/>
          <w:highlight w:val="none"/>
          <w:lang w:val="en-US" w:eastAsia="zh-CN" w:bidi="ar-SA"/>
        </w:rPr>
        <w:t>万元。主要原因是</w:t>
      </w:r>
      <w:r>
        <w:rPr>
          <w:rFonts w:hint="eastAsia" w:eastAsia="仿宋_GB2312" w:cs="仿宋_GB2312"/>
          <w:color w:val="auto"/>
          <w:kern w:val="2"/>
          <w:sz w:val="32"/>
          <w:szCs w:val="32"/>
          <w:highlight w:val="none"/>
          <w:lang w:val="en-US" w:eastAsia="zh-CN" w:bidi="ar-SA"/>
        </w:rPr>
        <w:t>人员有变动。</w:t>
      </w:r>
    </w:p>
    <w:p w14:paraId="387014A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23"/>
      <w:r>
        <w:rPr>
          <w:rFonts w:hint="eastAsia" w:ascii="Times New Roman" w:hAnsi="Times New Roman" w:eastAsia="楷体_GB2312" w:cs="楷体_GB2312"/>
          <w:b/>
          <w:color w:val="auto"/>
          <w:sz w:val="32"/>
          <w:szCs w:val="32"/>
          <w:highlight w:val="none"/>
        </w:rPr>
        <w:t>（二）政府采购支出情况</w:t>
      </w:r>
      <w:bookmarkEnd w:id="50"/>
    </w:p>
    <w:p w14:paraId="6542D63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中共松潘县委机构编制委员会办公室（本级）</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万元。主要用于……（具体工作）。授予中小企业合同金额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2643F8F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1" w:name="_Toc15377224"/>
      <w:r>
        <w:rPr>
          <w:rFonts w:hint="eastAsia" w:ascii="Times New Roman" w:hAnsi="Times New Roman" w:eastAsia="楷体_GB2312" w:cs="楷体_GB2312"/>
          <w:b/>
          <w:color w:val="auto"/>
          <w:sz w:val="32"/>
          <w:szCs w:val="32"/>
          <w:highlight w:val="none"/>
        </w:rPr>
        <w:t>（三）国有资产占有使用情况</w:t>
      </w:r>
      <w:bookmarkEnd w:id="51"/>
    </w:p>
    <w:p w14:paraId="4E8C62E1">
      <w:pPr>
        <w:spacing w:line="600" w:lineRule="exact"/>
        <w:ind w:firstLine="640" w:firstLineChars="200"/>
        <w:outlineLvl w:val="2"/>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sz w:val="32"/>
          <w:szCs w:val="32"/>
        </w:rPr>
        <w:t>截至202</w:t>
      </w:r>
      <w:r>
        <w:rPr>
          <w:rFonts w:hint="eastAsia" w:ascii="仿宋_GB2312" w:eastAsia="仿宋_GB2312"/>
          <w:sz w:val="32"/>
          <w:szCs w:val="32"/>
          <w:lang w:val="en-US" w:eastAsia="zh-CN"/>
        </w:rPr>
        <w:t>5</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ascii="仿宋_GB2312" w:eastAsia="仿宋_GB2312"/>
          <w:b/>
          <w:sz w:val="32"/>
          <w:szCs w:val="32"/>
        </w:rPr>
        <w:t>中共阿坝州松潘县委机构编制委员会办公室</w:t>
      </w:r>
      <w:r>
        <w:rPr>
          <w:rFonts w:hint="eastAsia" w:ascii="仿宋_GB2312" w:eastAsia="仿宋_GB2312"/>
          <w:sz w:val="32"/>
          <w:szCs w:val="32"/>
        </w:rPr>
        <w:t>共有车辆</w:t>
      </w:r>
      <w:r>
        <w:rPr>
          <w:rFonts w:hint="eastAsia" w:ascii="仿宋_GB2312" w:eastAsia="仿宋_GB2312"/>
          <w:b/>
          <w:sz w:val="32"/>
          <w:szCs w:val="32"/>
        </w:rPr>
        <w:t>0</w:t>
      </w:r>
      <w:r>
        <w:rPr>
          <w:rFonts w:hint="eastAsia" w:ascii="仿宋_GB2312" w:eastAsia="仿宋_GB2312"/>
          <w:sz w:val="32"/>
          <w:szCs w:val="32"/>
        </w:rPr>
        <w:t>辆。</w:t>
      </w:r>
    </w:p>
    <w:p w14:paraId="2ECDDBCC">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2" w:name="_Toc15377225"/>
      <w:bookmarkStart w:id="53"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2"/>
      <w:bookmarkEnd w:id="53"/>
    </w:p>
    <w:p w14:paraId="264ECC87">
      <w:pPr>
        <w:spacing w:line="600" w:lineRule="exact"/>
        <w:jc w:val="left"/>
        <w:rPr>
          <w:rFonts w:ascii="Times New Roman" w:hAnsi="Times New Roman"/>
          <w:b/>
          <w:color w:val="auto"/>
          <w:sz w:val="44"/>
          <w:szCs w:val="44"/>
          <w:highlight w:val="none"/>
        </w:rPr>
      </w:pPr>
    </w:p>
    <w:p w14:paraId="6979DB2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25AFCD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266780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2E26D51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05753AF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29D1469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7430B3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248F88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27B1FD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14:paraId="59C61C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4A5D8C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1CC01C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716FCE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0392A8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6BB842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36E4E7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2E9D44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0059F4E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78CFEC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1A2106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36D1C9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1971D2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7FBCC4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460B7E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11768D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5C5B26B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656247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370FF0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4BF007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26F287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4F510E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677EA77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F2949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58240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3A2EC1F8">
      <w:pPr>
        <w:spacing w:line="600" w:lineRule="exact"/>
        <w:jc w:val="center"/>
        <w:rPr>
          <w:rStyle w:val="28"/>
          <w:rFonts w:hint="eastAsia" w:ascii="Times New Roman" w:hAnsi="Times New Roman" w:eastAsia="黑体"/>
          <w:b w:val="0"/>
          <w:color w:val="auto"/>
          <w:highlight w:val="none"/>
          <w:lang w:eastAsia="zh-CN"/>
        </w:rPr>
      </w:pPr>
      <w:bookmarkStart w:id="54" w:name="_Toc15396614"/>
      <w:bookmarkStart w:id="55" w:name="_Toc15377226"/>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4"/>
    </w:p>
    <w:p w14:paraId="732A1DDD">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210DBADF">
      <w:pPr>
        <w:pStyle w:val="8"/>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311BEE17">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690517D1">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14:paraId="243BCD3B">
      <w:pPr>
        <w:pStyle w:val="3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6110F445">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67BA8CB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项目设立原因及背景，</w:t>
      </w:r>
      <w:r>
        <w:rPr>
          <w:rFonts w:hint="eastAsia" w:ascii="Times New Roman" w:hAnsi="Times New Roman" w:eastAsia="仿宋_GB2312" w:cs="仿宋_GB2312"/>
          <w:b w:val="0"/>
          <w:bCs w:val="0"/>
          <w:kern w:val="0"/>
          <w:position w:val="0"/>
          <w:sz w:val="32"/>
          <w:szCs w:val="32"/>
          <w:highlight w:val="none"/>
          <w:lang w:val="zh-CN" w:eastAsia="zh-CN" w:bidi="ar-SA"/>
        </w:rPr>
        <w:t>项目立项、资金申报的依据，项目主要内容</w:t>
      </w: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主管部门职能</w:t>
      </w:r>
      <w:r>
        <w:rPr>
          <w:rFonts w:hint="eastAsia" w:ascii="Times New Roman" w:hAnsi="Times New Roman" w:eastAsia="仿宋_GB2312" w:cs="仿宋_GB2312"/>
          <w:color w:val="auto"/>
          <w:kern w:val="0"/>
          <w:sz w:val="32"/>
          <w:szCs w:val="32"/>
          <w:highlight w:val="none"/>
          <w:u w:val="none"/>
          <w:shd w:val="clear" w:color="auto" w:fill="FFFFFF"/>
          <w:lang w:val="zh-CN"/>
        </w:rPr>
        <w:t>。</w:t>
      </w:r>
    </w:p>
    <w:p w14:paraId="2A007861">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项目资金</w:t>
      </w:r>
      <w:r>
        <w:rPr>
          <w:rFonts w:hint="eastAsia" w:ascii="Times New Roman" w:hAnsi="Times New Roman" w:eastAsia="仿宋_GB2312" w:cs="仿宋_GB2312"/>
          <w:b w:val="0"/>
          <w:bCs w:val="0"/>
          <w:kern w:val="0"/>
          <w:position w:val="0"/>
          <w:sz w:val="32"/>
          <w:szCs w:val="32"/>
          <w:highlight w:val="none"/>
          <w:lang w:val="zh-CN" w:eastAsia="zh-CN" w:bidi="ar-SA"/>
        </w:rPr>
        <w:t>管理办法制定情况，项目实施目的和主要工作任务，项目支持方向。</w:t>
      </w:r>
    </w:p>
    <w:p w14:paraId="1EFD1980">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项目预算安排情况，项目资金分配原则及考虑因素，项目资金分配情况。</w:t>
      </w:r>
    </w:p>
    <w:p w14:paraId="51916C41">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zh-CN" w:eastAsia="zh-CN" w:bidi="ar-SA"/>
        </w:rPr>
        <w:t>项目整体、区域和具体绩效目标设置情况，项目自评工作开展情况。</w:t>
      </w:r>
    </w:p>
    <w:p w14:paraId="610C60B2">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14:paraId="533A95A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通过项目绩效自评要实现的目的。</w:t>
      </w:r>
    </w:p>
    <w:p w14:paraId="3164E398">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按照绩效评价指标体系，对资金支出使用全过程及其实施效果进行综合评价和判断。</w:t>
      </w:r>
    </w:p>
    <w:p w14:paraId="4F573A6B">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zh-CN" w:eastAsia="zh-CN" w:bidi="ar-SA"/>
        </w:rPr>
        <w:t>项目绩效自评所抽样点位情况。每个专项预算项目应选取专项资金分配涉及市县总数的20%、总计不超过20个的市县点位进行实地踏勘，且点位清单应作为自评附表。</w:t>
      </w:r>
    </w:p>
    <w:p w14:paraId="2F600FD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根据项目情况和评价重点，</w:t>
      </w:r>
      <w:r>
        <w:rPr>
          <w:rFonts w:hint="eastAsia" w:eastAsia="仿宋_GB2312" w:cs="仿宋_GB2312"/>
          <w:b w:val="0"/>
          <w:bCs w:val="0"/>
          <w:kern w:val="0"/>
          <w:position w:val="0"/>
          <w:sz w:val="32"/>
          <w:szCs w:val="32"/>
          <w:highlight w:val="none"/>
          <w:lang w:val="zh-CN" w:eastAsia="zh-CN" w:bidi="ar-SA"/>
        </w:rPr>
        <w:t>用于</w:t>
      </w:r>
      <w:r>
        <w:rPr>
          <w:rFonts w:hint="eastAsia" w:ascii="Times New Roman" w:hAnsi="Times New Roman" w:eastAsia="仿宋_GB2312" w:cs="仿宋_GB2312"/>
          <w:b w:val="0"/>
          <w:bCs w:val="0"/>
          <w:kern w:val="0"/>
          <w:position w:val="0"/>
          <w:sz w:val="32"/>
          <w:szCs w:val="32"/>
          <w:highlight w:val="none"/>
          <w:lang w:val="zh-CN" w:eastAsia="zh-CN" w:bidi="ar-SA"/>
        </w:rPr>
        <w:t>收集相关材料和开展具体评价的方法。包括：采用成本效益分析法、标杆管理法、案卷研究法、单位自评法、实地勘察法、问卷调查法、座谈调研法等多种方法。</w:t>
      </w:r>
    </w:p>
    <w:p w14:paraId="5CE3915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评价组人员构成和职责分工。</w:t>
      </w:r>
    </w:p>
    <w:p w14:paraId="3CFAE905">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14:paraId="63EEDB9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14:paraId="694A116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57ECD1D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项目决策。围绕决策程序、规划论证、资金投向进行绩效分析。</w:t>
      </w:r>
    </w:p>
    <w:p w14:paraId="11EC32D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项目管理。围绕制度办法、分配管理、绩效监管进行绩效分析。</w:t>
      </w:r>
    </w:p>
    <w:p w14:paraId="25FE821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Times New Roman" w:hAnsi="Times New Roman" w:eastAsia="仿宋_GB2312" w:cs="仿宋_GB2312"/>
          <w:b w:val="0"/>
          <w:bCs w:val="0"/>
          <w:kern w:val="0"/>
          <w:position w:val="0"/>
          <w:sz w:val="32"/>
          <w:szCs w:val="32"/>
          <w:highlight w:val="none"/>
          <w:lang w:val="zh-CN" w:eastAsia="zh-CN" w:bidi="ar-SA"/>
        </w:rPr>
        <w:t>围绕预算执行、资金使用进行绩效分析。</w:t>
      </w:r>
    </w:p>
    <w:p w14:paraId="4194F1D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4.项目结果。围绕</w:t>
      </w:r>
      <w:r>
        <w:rPr>
          <w:rFonts w:hint="eastAsia" w:ascii="Times New Roman" w:hAnsi="Times New Roman" w:eastAsia="仿宋_GB2312" w:cs="仿宋_GB2312"/>
          <w:b w:val="0"/>
          <w:bCs w:val="0"/>
          <w:kern w:val="0"/>
          <w:position w:val="0"/>
          <w:sz w:val="32"/>
          <w:szCs w:val="32"/>
          <w:highlight w:val="none"/>
          <w:lang w:val="zh-CN" w:eastAsia="zh-CN" w:bidi="ar-SA"/>
        </w:rPr>
        <w:t>目标完成、完成时效进行绩效分析。</w:t>
      </w:r>
    </w:p>
    <w:p w14:paraId="63ED736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Times New Roman" w:hAnsi="Times New Roman" w:eastAsia="仿宋_GB2312" w:cs="仿宋_GB2312"/>
          <w:b w:val="0"/>
          <w:bCs w:val="0"/>
          <w:kern w:val="0"/>
          <w:position w:val="0"/>
          <w:sz w:val="32"/>
          <w:szCs w:val="32"/>
          <w:highlight w:val="none"/>
          <w:lang w:val="zh-CN" w:eastAsia="zh-CN" w:bidi="ar-SA"/>
        </w:rPr>
        <w:t>包括产业发展、民生保障、基础设施、行政运转等方面。</w:t>
      </w:r>
    </w:p>
    <w:p w14:paraId="7D8EDCD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1.产业发展。围绕符合性、成长性、经济性进行绩效分析。</w:t>
      </w:r>
    </w:p>
    <w:p w14:paraId="044721A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民生保障。</w:t>
      </w:r>
      <w:r>
        <w:rPr>
          <w:rFonts w:hint="eastAsia" w:ascii="Times New Roman" w:hAnsi="Times New Roman" w:eastAsia="仿宋_GB2312" w:cs="仿宋_GB2312"/>
          <w:b w:val="0"/>
          <w:bCs w:val="0"/>
          <w:kern w:val="0"/>
          <w:position w:val="0"/>
          <w:sz w:val="32"/>
          <w:szCs w:val="32"/>
          <w:highlight w:val="none"/>
          <w:lang w:val="en-US" w:eastAsia="zh-CN" w:bidi="ar-SA"/>
        </w:rPr>
        <w:t>围绕区域均衡性、对象精准性、标准合理性、群众满意度进行绩效分析。</w:t>
      </w:r>
    </w:p>
    <w:p w14:paraId="023A0B6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3.基础设施。在建项目围绕工程进度和资金拨付进行绩效分析；建成项目围绕项目验收、功能实现、后续管护进行</w:t>
      </w:r>
      <w:r>
        <w:rPr>
          <w:rFonts w:hint="eastAsia" w:ascii="Times New Roman" w:hAnsi="Times New Roman" w:eastAsia="仿宋_GB2312" w:cs="仿宋_GB2312"/>
          <w:b w:val="0"/>
          <w:bCs w:val="0"/>
          <w:kern w:val="0"/>
          <w:position w:val="0"/>
          <w:sz w:val="32"/>
          <w:szCs w:val="32"/>
          <w:highlight w:val="none"/>
          <w:lang w:val="zh-CN" w:eastAsia="zh-CN" w:bidi="ar-SA"/>
        </w:rPr>
        <w:t>绩效分析。</w:t>
      </w:r>
    </w:p>
    <w:p w14:paraId="2452386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zh-CN" w:eastAsia="zh-CN" w:bidi="ar-SA"/>
        </w:rPr>
        <w:t>行政运转。围绕用途合规性、程序合规性、标准合规性进行绩效分析。</w:t>
      </w:r>
    </w:p>
    <w:p w14:paraId="6DD3E13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根据项目个性自行设定部分指标，反映该项指标执行完成情况。</w:t>
      </w:r>
    </w:p>
    <w:p w14:paraId="4AB560A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22CF6B1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简要阐述专项预算项目绩效自评总体结论，包含评价总分、</w:t>
      </w:r>
      <w:r>
        <w:rPr>
          <w:rFonts w:hint="eastAsia" w:ascii="Times New Roman" w:hAnsi="Times New Roman" w:eastAsia="仿宋_GB2312" w:cs="仿宋_GB2312"/>
          <w:b w:val="0"/>
          <w:bCs w:val="0"/>
          <w:kern w:val="0"/>
          <w:position w:val="0"/>
          <w:sz w:val="32"/>
          <w:szCs w:val="32"/>
          <w:highlight w:val="none"/>
          <w:lang w:val="zh-CN" w:eastAsia="zh-CN" w:bidi="ar-SA"/>
        </w:rPr>
        <w:t>项目实施情况。</w:t>
      </w:r>
    </w:p>
    <w:p w14:paraId="565ED43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730709C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简要阐述专项预算项目绩效自评发现的主要问题。</w:t>
      </w:r>
    </w:p>
    <w:p w14:paraId="76CD844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14:paraId="66F2963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简要阐述专项预算项目在</w:t>
      </w:r>
      <w:r>
        <w:rPr>
          <w:rFonts w:hint="eastAsia" w:ascii="Times New Roman" w:hAnsi="Times New Roman" w:eastAsia="仿宋_GB2312" w:cs="仿宋_GB2312"/>
          <w:b w:val="0"/>
          <w:bCs w:val="0"/>
          <w:kern w:val="0"/>
          <w:position w:val="0"/>
          <w:sz w:val="32"/>
          <w:szCs w:val="32"/>
          <w:highlight w:val="none"/>
          <w:lang w:val="en" w:eastAsia="zh-CN" w:bidi="ar-SA"/>
        </w:rPr>
        <w:t>预算安排、完善政策、改进管理等方面的</w:t>
      </w:r>
      <w:r>
        <w:rPr>
          <w:rFonts w:hint="eastAsia" w:ascii="Times New Roman" w:hAnsi="Times New Roman" w:eastAsia="仿宋_GB2312" w:cs="仿宋_GB2312"/>
          <w:b w:val="0"/>
          <w:bCs w:val="0"/>
          <w:kern w:val="0"/>
          <w:position w:val="0"/>
          <w:sz w:val="32"/>
          <w:szCs w:val="32"/>
          <w:highlight w:val="none"/>
          <w:lang w:val="en-US" w:eastAsia="zh-CN" w:bidi="ar-SA"/>
        </w:rPr>
        <w:t>措施</w:t>
      </w:r>
      <w:r>
        <w:rPr>
          <w:rFonts w:hint="eastAsia" w:ascii="Times New Roman" w:hAnsi="Times New Roman" w:eastAsia="仿宋_GB2312" w:cs="仿宋_GB2312"/>
          <w:b w:val="0"/>
          <w:bCs w:val="0"/>
          <w:kern w:val="0"/>
          <w:position w:val="0"/>
          <w:sz w:val="32"/>
          <w:szCs w:val="32"/>
          <w:highlight w:val="none"/>
          <w:lang w:val="en" w:eastAsia="zh-CN" w:bidi="ar-SA"/>
        </w:rPr>
        <w:t>建议，其中</w:t>
      </w:r>
      <w:r>
        <w:rPr>
          <w:rFonts w:hint="eastAsia" w:ascii="Times New Roman" w:hAnsi="Times New Roman" w:eastAsia="仿宋_GB2312" w:cs="仿宋_GB2312"/>
          <w:b w:val="0"/>
          <w:bCs w:val="0"/>
          <w:kern w:val="0"/>
          <w:position w:val="0"/>
          <w:sz w:val="32"/>
          <w:szCs w:val="32"/>
          <w:highlight w:val="none"/>
          <w:lang w:val="en-US" w:eastAsia="zh-CN" w:bidi="ar-SA"/>
        </w:rPr>
        <w:t>必须对应评价发现的主要问题一一提出措施建议。</w:t>
      </w:r>
    </w:p>
    <w:p w14:paraId="36CFBD7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b/>
          <w:bCs/>
          <w:kern w:val="0"/>
          <w:position w:val="0"/>
          <w:sz w:val="32"/>
          <w:szCs w:val="32"/>
          <w:highlight w:val="none"/>
          <w:lang w:val="en-US" w:eastAsia="zh-CN" w:bidi="ar-SA"/>
        </w:rPr>
        <w:t>（</w:t>
      </w:r>
      <w:r>
        <w:rPr>
          <w:rFonts w:hint="eastAsia" w:eastAsia="仿宋_GB2312" w:cs="仿宋_GB2312"/>
          <w:b/>
          <w:bCs/>
          <w:kern w:val="0"/>
          <w:position w:val="0"/>
          <w:sz w:val="32"/>
          <w:szCs w:val="32"/>
          <w:highlight w:val="none"/>
          <w:lang w:val="en-US" w:eastAsia="zh-CN" w:bidi="ar-SA"/>
        </w:rPr>
        <w:t>注：</w:t>
      </w:r>
      <w:r>
        <w:rPr>
          <w:rFonts w:hint="eastAsia" w:ascii="Times New Roman" w:hAnsi="Times New Roman" w:eastAsia="仿宋_GB2312" w:cs="仿宋_GB2312"/>
          <w:b/>
          <w:bCs/>
          <w:kern w:val="0"/>
          <w:position w:val="0"/>
          <w:sz w:val="32"/>
          <w:szCs w:val="32"/>
          <w:highlight w:val="none"/>
          <w:lang w:val="en-US" w:eastAsia="zh-CN" w:bidi="ar-SA"/>
        </w:rPr>
        <w:t>以上绩效自评报告，除涉密敏感内容外，原则上都应予以公开）</w:t>
      </w:r>
    </w:p>
    <w:p w14:paraId="41F67CB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162D2C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26C5D5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6"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327A29E7">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55"/>
      <w:bookmarkEnd w:id="56"/>
      <w:bookmarkStart w:id="57" w:name="_Toc15396619"/>
    </w:p>
    <w:p w14:paraId="4B32568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76FAB3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7"/>
    </w:p>
    <w:p w14:paraId="5D7EA82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0"/>
      <w:r>
        <w:rPr>
          <w:rFonts w:hint="eastAsia" w:ascii="Times New Roman" w:hAnsi="Times New Roman" w:eastAsia="仿宋_GB2312" w:cs="仿宋_GB2312"/>
          <w:color w:val="auto"/>
          <w:sz w:val="32"/>
          <w:szCs w:val="32"/>
          <w:highlight w:val="none"/>
        </w:rPr>
        <w:t>二、收入决算表</w:t>
      </w:r>
      <w:bookmarkEnd w:id="58"/>
    </w:p>
    <w:p w14:paraId="3F55C34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1"/>
      <w:r>
        <w:rPr>
          <w:rFonts w:hint="eastAsia" w:ascii="Times New Roman" w:hAnsi="Times New Roman" w:eastAsia="仿宋_GB2312" w:cs="仿宋_GB2312"/>
          <w:color w:val="auto"/>
          <w:sz w:val="32"/>
          <w:szCs w:val="32"/>
          <w:highlight w:val="none"/>
        </w:rPr>
        <w:t>三、支出决算表</w:t>
      </w:r>
      <w:bookmarkEnd w:id="59"/>
    </w:p>
    <w:p w14:paraId="693B7F2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2"/>
      <w:r>
        <w:rPr>
          <w:rFonts w:hint="eastAsia" w:ascii="Times New Roman" w:hAnsi="Times New Roman" w:eastAsia="仿宋_GB2312" w:cs="仿宋_GB2312"/>
          <w:color w:val="auto"/>
          <w:sz w:val="32"/>
          <w:szCs w:val="32"/>
          <w:highlight w:val="none"/>
        </w:rPr>
        <w:t>四、财政拨款收入支出决算总表</w:t>
      </w:r>
      <w:bookmarkEnd w:id="60"/>
    </w:p>
    <w:p w14:paraId="656D196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3"/>
      <w:r>
        <w:rPr>
          <w:rFonts w:hint="eastAsia" w:ascii="Times New Roman" w:hAnsi="Times New Roman" w:eastAsia="仿宋_GB2312" w:cs="仿宋_GB2312"/>
          <w:color w:val="auto"/>
          <w:sz w:val="32"/>
          <w:szCs w:val="32"/>
          <w:highlight w:val="none"/>
        </w:rPr>
        <w:t>五、财政拨款支出决算明细表</w:t>
      </w:r>
      <w:bookmarkEnd w:id="61"/>
      <w:bookmarkStart w:id="62" w:name="_Toc15396624"/>
    </w:p>
    <w:p w14:paraId="42E58A8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2"/>
    </w:p>
    <w:p w14:paraId="2BC65CE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5"/>
      <w:r>
        <w:rPr>
          <w:rFonts w:hint="eastAsia" w:ascii="Times New Roman" w:hAnsi="Times New Roman" w:eastAsia="仿宋_GB2312" w:cs="仿宋_GB2312"/>
          <w:color w:val="auto"/>
          <w:sz w:val="32"/>
          <w:szCs w:val="32"/>
          <w:highlight w:val="none"/>
        </w:rPr>
        <w:t>七、一般公共预算财政拨款支出决算明细表</w:t>
      </w:r>
      <w:bookmarkEnd w:id="63"/>
    </w:p>
    <w:p w14:paraId="6A11E31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6"/>
      <w:r>
        <w:rPr>
          <w:rFonts w:hint="eastAsia" w:ascii="Times New Roman" w:hAnsi="Times New Roman" w:eastAsia="仿宋_GB2312" w:cs="仿宋_GB2312"/>
          <w:color w:val="auto"/>
          <w:sz w:val="32"/>
          <w:szCs w:val="32"/>
          <w:highlight w:val="none"/>
        </w:rPr>
        <w:t>八、一般公共预算财政拨款基本支出决算表</w:t>
      </w:r>
      <w:bookmarkEnd w:id="64"/>
    </w:p>
    <w:p w14:paraId="30D9968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7"/>
      <w:r>
        <w:rPr>
          <w:rFonts w:hint="eastAsia" w:ascii="Times New Roman" w:hAnsi="Times New Roman" w:eastAsia="仿宋_GB2312" w:cs="仿宋_GB2312"/>
          <w:color w:val="auto"/>
          <w:sz w:val="32"/>
          <w:szCs w:val="32"/>
          <w:highlight w:val="none"/>
        </w:rPr>
        <w:t>九、一般公共预算财政拨款项目支出决算表</w:t>
      </w:r>
      <w:bookmarkEnd w:id="65"/>
    </w:p>
    <w:p w14:paraId="053019D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8"/>
      <w:r>
        <w:rPr>
          <w:rFonts w:hint="eastAsia" w:ascii="Times New Roman" w:hAnsi="Times New Roman" w:eastAsia="仿宋_GB2312" w:cs="仿宋_GB2312"/>
          <w:color w:val="auto"/>
          <w:sz w:val="32"/>
          <w:szCs w:val="32"/>
          <w:highlight w:val="none"/>
        </w:rPr>
        <w:t>十、</w:t>
      </w:r>
      <w:bookmarkEnd w:id="66"/>
      <w:r>
        <w:rPr>
          <w:rFonts w:hint="eastAsia" w:ascii="Times New Roman" w:hAnsi="Times New Roman" w:eastAsia="仿宋_GB2312" w:cs="仿宋_GB2312"/>
          <w:color w:val="auto"/>
          <w:sz w:val="32"/>
          <w:szCs w:val="32"/>
          <w:highlight w:val="none"/>
        </w:rPr>
        <w:t>政府性基金预算财政拨款收入支出决算表</w:t>
      </w:r>
    </w:p>
    <w:p w14:paraId="4D45995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9"/>
      <w:r>
        <w:rPr>
          <w:rFonts w:hint="eastAsia" w:ascii="Times New Roman" w:hAnsi="Times New Roman" w:eastAsia="仿宋_GB2312" w:cs="仿宋_GB2312"/>
          <w:color w:val="auto"/>
          <w:sz w:val="32"/>
          <w:szCs w:val="32"/>
          <w:highlight w:val="none"/>
        </w:rPr>
        <w:t>十一、</w:t>
      </w:r>
      <w:bookmarkEnd w:id="6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4977830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30"/>
      <w:r>
        <w:rPr>
          <w:rFonts w:hint="eastAsia" w:ascii="Times New Roman" w:hAnsi="Times New Roman" w:eastAsia="仿宋_GB2312" w:cs="仿宋_GB2312"/>
          <w:color w:val="auto"/>
          <w:sz w:val="32"/>
          <w:szCs w:val="32"/>
          <w:highlight w:val="none"/>
        </w:rPr>
        <w:t>十二、</w:t>
      </w:r>
      <w:bookmarkEnd w:id="68"/>
      <w:r>
        <w:rPr>
          <w:rFonts w:hint="eastAsia" w:ascii="Times New Roman" w:hAnsi="Times New Roman" w:eastAsia="仿宋_GB2312" w:cs="仿宋_GB2312"/>
          <w:color w:val="auto"/>
          <w:sz w:val="32"/>
          <w:szCs w:val="32"/>
          <w:highlight w:val="none"/>
          <w:lang w:eastAsia="zh-CN"/>
        </w:rPr>
        <w:t>国有资本经营预算财政拨款支出决算表</w:t>
      </w:r>
    </w:p>
    <w:p w14:paraId="0B6B0D6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9" w:name="_Toc15396631"/>
      <w:r>
        <w:rPr>
          <w:rFonts w:hint="eastAsia" w:ascii="Times New Roman" w:hAnsi="Times New Roman" w:eastAsia="仿宋_GB2312" w:cs="仿宋_GB2312"/>
          <w:color w:val="auto"/>
          <w:sz w:val="32"/>
          <w:szCs w:val="32"/>
          <w:highlight w:val="none"/>
        </w:rPr>
        <w:t>十三、</w:t>
      </w:r>
      <w:bookmarkEnd w:id="69"/>
      <w:r>
        <w:rPr>
          <w:rFonts w:hint="eastAsia" w:ascii="Times New Roman" w:hAnsi="Times New Roman" w:eastAsia="仿宋_GB2312" w:cs="仿宋_GB2312"/>
          <w:color w:val="auto"/>
          <w:sz w:val="32"/>
          <w:szCs w:val="32"/>
          <w:highlight w:val="none"/>
          <w:lang w:eastAsia="zh-CN"/>
        </w:rPr>
        <w:t>财政拨款“三公”经费支出决算表</w:t>
      </w:r>
    </w:p>
    <w:p w14:paraId="0438487E">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28CEEFA-AD57-4903-B362-80726EDF43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7ACE4649-532E-43FD-BA53-F08010A66B57}"/>
  </w:font>
  <w:font w:name="仿宋">
    <w:panose1 w:val="02010609060101010101"/>
    <w:charset w:val="86"/>
    <w:family w:val="modern"/>
    <w:pitch w:val="default"/>
    <w:sig w:usb0="800002BF" w:usb1="38CF7CFA" w:usb2="00000016" w:usb3="00000000" w:csb0="00040001" w:csb1="00000000"/>
    <w:embedRegular r:id="rId3" w:fontKey="{58B231C7-8124-48DF-A5D7-72204DB66735}"/>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23CD218A-602F-4AFF-9659-55D61006C3B1}"/>
  </w:font>
  <w:font w:name="楷体_GB2312">
    <w:panose1 w:val="02010609030101010101"/>
    <w:charset w:val="86"/>
    <w:family w:val="auto"/>
    <w:pitch w:val="default"/>
    <w:sig w:usb0="00000001" w:usb1="080E0000" w:usb2="00000000" w:usb3="00000000" w:csb0="00040000" w:csb1="00000000"/>
    <w:embedRegular r:id="rId5" w:fontKey="{949A0C86-D82F-450F-BE5C-31DD1CDB4D1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352F4">
    <w:pPr>
      <w:pStyle w:val="11"/>
      <w:jc w:val="center"/>
    </w:pPr>
  </w:p>
  <w:p w14:paraId="0FA7ED33">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B18C5">
    <w:pPr>
      <w:pStyle w:val="11"/>
      <w:jc w:val="center"/>
    </w:pPr>
  </w:p>
  <w:p w14:paraId="6FC3CC05">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BA09B">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5499D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A5499D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DBFD3">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A5BDE1"/>
    <w:multiLevelType w:val="singleLevel"/>
    <w:tmpl w:val="2CA5BDE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07D1E"/>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666095"/>
    <w:rsid w:val="07996F6E"/>
    <w:rsid w:val="07DFD8BA"/>
    <w:rsid w:val="08DB07E4"/>
    <w:rsid w:val="09867E8F"/>
    <w:rsid w:val="0A2032A3"/>
    <w:rsid w:val="0BC62248"/>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9CA6001"/>
    <w:rsid w:val="1AF3595D"/>
    <w:rsid w:val="1B7D550C"/>
    <w:rsid w:val="1BE12B7F"/>
    <w:rsid w:val="1BE8440E"/>
    <w:rsid w:val="1D155CEE"/>
    <w:rsid w:val="1DE178F3"/>
    <w:rsid w:val="1E740ACF"/>
    <w:rsid w:val="1FF35744"/>
    <w:rsid w:val="1FF6BC77"/>
    <w:rsid w:val="20755235"/>
    <w:rsid w:val="21962A9E"/>
    <w:rsid w:val="21AE7C77"/>
    <w:rsid w:val="22BC3C41"/>
    <w:rsid w:val="23860B96"/>
    <w:rsid w:val="240371BF"/>
    <w:rsid w:val="251411A0"/>
    <w:rsid w:val="260F557C"/>
    <w:rsid w:val="281408E2"/>
    <w:rsid w:val="29FD04D3"/>
    <w:rsid w:val="2A8577E2"/>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6F34C2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000599"/>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4AC21CE"/>
    <w:rsid w:val="56E47B74"/>
    <w:rsid w:val="57BD3DD4"/>
    <w:rsid w:val="5AF92295"/>
    <w:rsid w:val="5BDD79E6"/>
    <w:rsid w:val="5BF561CA"/>
    <w:rsid w:val="5BFF5DFC"/>
    <w:rsid w:val="5CD71FC4"/>
    <w:rsid w:val="5CEE7CBB"/>
    <w:rsid w:val="5D1F11B5"/>
    <w:rsid w:val="5DAE1B18"/>
    <w:rsid w:val="5DE7D9E5"/>
    <w:rsid w:val="5ECEC941"/>
    <w:rsid w:val="5F493CB7"/>
    <w:rsid w:val="5FBF9FF3"/>
    <w:rsid w:val="5FCD4E2C"/>
    <w:rsid w:val="5FD15F49"/>
    <w:rsid w:val="5FEF394A"/>
    <w:rsid w:val="5FF67715"/>
    <w:rsid w:val="62BF3928"/>
    <w:rsid w:val="62F201D6"/>
    <w:rsid w:val="63CE6AE1"/>
    <w:rsid w:val="647F5392"/>
    <w:rsid w:val="664B1D71"/>
    <w:rsid w:val="66932C5C"/>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称呼1"/>
    <w:basedOn w:val="1"/>
    <w:next w:val="1"/>
    <w:qFormat/>
    <w:uiPriority w:val="99"/>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a92ba5d6-35c4-4cc9-a98c-ef5924c9de7b</errorID>
      <errorWord>:</errorWord>
      <group>L1_Format</group>
      <groupName>格式问题</groupName>
      <ability>L2_HalfPunc_CN</ability>
      <abilityName>全半角问题</abilityName>
      <candidateList>
        <item>：</item>
      </candidateList>
      <explain>文本全半角错误。</explain>
      <paraID>32A74AE0</paraID>
      <start>9</start>
      <end>10</end>
      <status>modified</status>
      <modifiedWord>：</modifiedWord>
      <trackRevisions>false</trackRevisions>
    </reviewItem>
    <reviewItem>
      <errorID>3aa90cbd-2a93-4a60-9932-4d0db8f45604</errorID>
      <errorWord>:</errorWord>
      <group>L1_Format</group>
      <groupName>格式问题</groupName>
      <ability>L2_HalfPunc_CN</ability>
      <abilityName>全半角问题</abilityName>
      <candidateList>
        <item>：</item>
      </candidateList>
      <explain>文本全半角错误。</explain>
      <paraID>2BDA3700</paraID>
      <start>6</start>
      <end>7</end>
      <status>modified</status>
      <modifiedWord>：</modifiedWord>
      <trackRevisions>false</trackRevisions>
    </reviewItem>
    <reviewItem>
      <errorID>6a058cd4-ccac-4aec-88b5-bf5724e38e3d</errorID>
      <errorWord>:</errorWord>
      <group>L1_Format</group>
      <groupName>格式问题</groupName>
      <ability>L2_HalfPunc_CN</ability>
      <abilityName>全半角问题</abilityName>
      <candidateList>
        <item>：</item>
      </candidateList>
      <explain>文本全半角错误。</explain>
      <paraID> F424899</paraID>
      <start>7</start>
      <end>8</end>
      <status>modified</status>
      <modifiedWord>：</modifiedWord>
      <trackRevisions>false</trackRevisions>
    </reviewItem>
    <reviewItem>
      <errorID>45d9f16f-f51d-4711-8294-3002f1cd8122</errorID>
      <errorWord>,</errorWord>
      <group>L1_Format</group>
      <groupName>格式问题</groupName>
      <ability>L2_HalfPunc_CN</ability>
      <abilityName>全半角问题</abilityName>
      <candidateList>
        <item>，</item>
      </candidateList>
      <explain>文本全半角错误。</explain>
      <paraID>72635A53</paraID>
      <start>19</start>
      <end>20</end>
      <status>modified</status>
      <modifiedWord>，</modifiedWord>
      <trackRevisions>false</trackRevisions>
    </reviewItem>
    <reviewItem>
      <errorID>acb2a5ef-6da5-4cd0-83a1-7183b726fa01</errorID>
      <errorWord>用来</errorWord>
      <group>L1_Grammar</group>
      <groupName>语法问题</groupName>
      <ability>L2_Grammar</ability>
      <abilityName>语法错误</abilityName>
      <candidateList>
        <item>用于</item>
      </candidateList>
      <explain>“用来～开展”搭配不当，建议修改为“用于～开展”。</explain>
      <paraID>2F600FD1</paraID>
      <start>20</start>
      <end>22</end>
      <status>modified</status>
      <modifiedWord>用于</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8cc284-4729-486b-81a9-36c33a0cd108}">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5921</Words>
  <Characters>6250</Characters>
  <Lines>61</Lines>
  <Paragraphs>17</Paragraphs>
  <TotalTime>1</TotalTime>
  <ScaleCrop>false</ScaleCrop>
  <LinksUpToDate>false</LinksUpToDate>
  <CharactersWithSpaces>6274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2026-10-13T07:44:05Z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