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63A57">
      <w:pPr>
        <w:pageBreakBefore w:val="0"/>
        <w:kinsoku/>
        <w:wordWrap/>
        <w:overflowPunct/>
        <w:topLinePunct w:val="0"/>
        <w:bidi w:val="0"/>
        <w:spacing w:line="578" w:lineRule="exact"/>
        <w:jc w:val="center"/>
        <w:textAlignment w:val="auto"/>
        <w:outlineLvl w:val="0"/>
        <w:rPr>
          <w:rFonts w:hint="eastAsia" w:ascii="方正小标宋简体" w:hAnsi="宋体" w:eastAsia="方正小标宋简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bookmarkStart w:id="0" w:name="_Toc15306267"/>
      <w:bookmarkStart w:id="1" w:name="_Toc15377425"/>
      <w:bookmarkStart w:id="2" w:name="_Toc15396475"/>
      <w:bookmarkStart w:id="3" w:name="_Toc15396597"/>
      <w:bookmarkStart w:id="4" w:name="_Toc15377193"/>
      <w:bookmarkStart w:id="5" w:name="_Toc15378441"/>
    </w:p>
    <w:p w14:paraId="43A11C79">
      <w:pPr>
        <w:pageBreakBefore w:val="0"/>
        <w:kinsoku/>
        <w:wordWrap/>
        <w:overflowPunct/>
        <w:topLinePunct w:val="0"/>
        <w:bidi w:val="0"/>
        <w:spacing w:line="578" w:lineRule="exact"/>
        <w:jc w:val="center"/>
        <w:textAlignment w:val="auto"/>
        <w:outlineLvl w:val="0"/>
        <w:rPr>
          <w:rFonts w:hint="eastAsia" w:ascii="方正小标宋简体" w:hAnsi="宋体" w:eastAsia="方正小标宋简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</w:p>
    <w:p w14:paraId="1B759A97">
      <w:pPr>
        <w:pageBreakBefore w:val="0"/>
        <w:kinsoku/>
        <w:wordWrap/>
        <w:overflowPunct/>
        <w:topLinePunct w:val="0"/>
        <w:bidi w:val="0"/>
        <w:spacing w:line="578" w:lineRule="exact"/>
        <w:jc w:val="center"/>
        <w:textAlignment w:val="auto"/>
        <w:outlineLvl w:val="0"/>
        <w:rPr>
          <w:rFonts w:hint="eastAsia" w:ascii="方正小标宋简体" w:hAnsi="宋体" w:eastAsia="方正小标宋简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宋体" w:eastAsia="方正小标宋简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2025年度四川省阿坝州松潘县</w:t>
      </w:r>
    </w:p>
    <w:p w14:paraId="0C1D30FF">
      <w:pPr>
        <w:pageBreakBefore w:val="0"/>
        <w:kinsoku/>
        <w:wordWrap/>
        <w:overflowPunct/>
        <w:topLinePunct w:val="0"/>
        <w:bidi w:val="0"/>
        <w:spacing w:line="578" w:lineRule="exact"/>
        <w:jc w:val="center"/>
        <w:textAlignment w:val="auto"/>
        <w:outlineLvl w:val="0"/>
        <w:rPr>
          <w:rFonts w:hint="eastAsia" w:ascii="方正小标宋简体" w:hAnsi="宋体" w:eastAsia="方正小标宋简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宋体" w:eastAsia="方正小标宋简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县委巡察事务中心</w:t>
      </w:r>
    </w:p>
    <w:p w14:paraId="72F61984">
      <w:pPr>
        <w:pageBreakBefore w:val="0"/>
        <w:kinsoku/>
        <w:wordWrap/>
        <w:overflowPunct/>
        <w:topLinePunct w:val="0"/>
        <w:bidi w:val="0"/>
        <w:spacing w:line="578" w:lineRule="exact"/>
        <w:jc w:val="center"/>
        <w:textAlignment w:val="auto"/>
        <w:outlineLvl w:val="0"/>
        <w:rPr>
          <w:rFonts w:hint="eastAsia" w:ascii="方正小标宋简体" w:hAnsi="宋体" w:eastAsia="方正小标宋简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宋体" w:eastAsia="方正小标宋简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单位决算公开</w:t>
      </w:r>
    </w:p>
    <w:p w14:paraId="656B11CC">
      <w:pPr>
        <w:pageBreakBefore w:val="0"/>
        <w:kinsoku/>
        <w:wordWrap/>
        <w:overflowPunct/>
        <w:topLinePunct w:val="0"/>
        <w:bidi w:val="0"/>
        <w:spacing w:line="578" w:lineRule="exact"/>
        <w:jc w:val="center"/>
        <w:textAlignment w:val="auto"/>
        <w:outlineLvl w:val="0"/>
        <w:rPr>
          <w:rFonts w:ascii="Times New Roman" w:hAnsi="Times New Roman" w:eastAsia="方正小标宋简体"/>
          <w:color w:val="auto"/>
          <w:sz w:val="72"/>
          <w:szCs w:val="72"/>
          <w:highlight w:val="none"/>
        </w:rPr>
      </w:pPr>
    </w:p>
    <w:p w14:paraId="73E6473E">
      <w:pPr>
        <w:pStyle w:val="19"/>
        <w:pageBreakBefore w:val="0"/>
        <w:kinsoku/>
        <w:wordWrap/>
        <w:overflowPunct/>
        <w:topLinePunct w:val="0"/>
        <w:bidi w:val="0"/>
        <w:spacing w:line="578" w:lineRule="exact"/>
        <w:textAlignment w:val="auto"/>
        <w:rPr>
          <w:rFonts w:ascii="Times New Roman" w:hAnsi="Times New Roman"/>
        </w:rPr>
      </w:pPr>
    </w:p>
    <w:p w14:paraId="3C3A2F90">
      <w:pPr>
        <w:pageBreakBefore w:val="0"/>
        <w:kinsoku/>
        <w:wordWrap/>
        <w:overflowPunct/>
        <w:topLinePunct w:val="0"/>
        <w:bidi w:val="0"/>
        <w:spacing w:line="578" w:lineRule="exact"/>
        <w:textAlignment w:val="auto"/>
        <w:rPr>
          <w:rFonts w:ascii="Times New Roman" w:hAnsi="Times New Roman"/>
        </w:rPr>
      </w:pPr>
    </w:p>
    <w:p w14:paraId="2AF33585">
      <w:pPr>
        <w:pStyle w:val="2"/>
        <w:pageBreakBefore w:val="0"/>
        <w:kinsoku/>
        <w:wordWrap/>
        <w:overflowPunct/>
        <w:topLinePunct w:val="0"/>
        <w:bidi w:val="0"/>
        <w:spacing w:line="578" w:lineRule="exact"/>
        <w:textAlignment w:val="auto"/>
        <w:rPr>
          <w:rFonts w:ascii="Times New Roman" w:hAnsi="Times New Roman"/>
        </w:rPr>
      </w:pPr>
    </w:p>
    <w:p w14:paraId="46F66581">
      <w:pPr>
        <w:pStyle w:val="3"/>
        <w:pageBreakBefore w:val="0"/>
        <w:kinsoku/>
        <w:wordWrap/>
        <w:overflowPunct/>
        <w:topLinePunct w:val="0"/>
        <w:bidi w:val="0"/>
        <w:spacing w:line="578" w:lineRule="exact"/>
        <w:textAlignment w:val="auto"/>
        <w:rPr>
          <w:rFonts w:ascii="Times New Roman" w:hAnsi="Times New Roman"/>
        </w:rPr>
      </w:pPr>
    </w:p>
    <w:p w14:paraId="5286D565">
      <w:pPr>
        <w:pageBreakBefore w:val="0"/>
        <w:kinsoku/>
        <w:wordWrap/>
        <w:overflowPunct/>
        <w:topLinePunct w:val="0"/>
        <w:bidi w:val="0"/>
        <w:spacing w:line="578" w:lineRule="exact"/>
        <w:textAlignment w:val="auto"/>
        <w:rPr>
          <w:rFonts w:ascii="Times New Roman" w:hAnsi="Times New Roman"/>
        </w:rPr>
      </w:pPr>
    </w:p>
    <w:p w14:paraId="0BF09667">
      <w:pPr>
        <w:pStyle w:val="2"/>
        <w:pageBreakBefore w:val="0"/>
        <w:kinsoku/>
        <w:wordWrap/>
        <w:overflowPunct/>
        <w:topLinePunct w:val="0"/>
        <w:bidi w:val="0"/>
        <w:spacing w:line="578" w:lineRule="exact"/>
        <w:textAlignment w:val="auto"/>
        <w:rPr>
          <w:rFonts w:ascii="Times New Roman" w:hAnsi="Times New Roman"/>
        </w:rPr>
      </w:pPr>
    </w:p>
    <w:p w14:paraId="7774FF81">
      <w:pPr>
        <w:pStyle w:val="3"/>
        <w:pageBreakBefore w:val="0"/>
        <w:kinsoku/>
        <w:wordWrap/>
        <w:overflowPunct/>
        <w:topLinePunct w:val="0"/>
        <w:bidi w:val="0"/>
        <w:spacing w:line="578" w:lineRule="exact"/>
        <w:textAlignment w:val="auto"/>
        <w:rPr>
          <w:rFonts w:ascii="Times New Roman" w:hAnsi="Times New Roman"/>
        </w:rPr>
      </w:pPr>
    </w:p>
    <w:p w14:paraId="70A374FC">
      <w:pPr>
        <w:pageBreakBefore w:val="0"/>
        <w:kinsoku/>
        <w:wordWrap/>
        <w:overflowPunct/>
        <w:topLinePunct w:val="0"/>
        <w:bidi w:val="0"/>
        <w:spacing w:line="578" w:lineRule="exact"/>
        <w:textAlignment w:val="auto"/>
        <w:rPr>
          <w:rFonts w:ascii="Times New Roman" w:hAnsi="Times New Roman"/>
        </w:rPr>
      </w:pPr>
    </w:p>
    <w:p w14:paraId="14C759BA">
      <w:pPr>
        <w:pStyle w:val="2"/>
        <w:pageBreakBefore w:val="0"/>
        <w:kinsoku/>
        <w:wordWrap/>
        <w:overflowPunct/>
        <w:topLinePunct w:val="0"/>
        <w:bidi w:val="0"/>
        <w:spacing w:line="578" w:lineRule="exact"/>
        <w:textAlignment w:val="auto"/>
        <w:rPr>
          <w:rFonts w:ascii="Times New Roman" w:hAnsi="Times New Roman"/>
        </w:rPr>
      </w:pPr>
    </w:p>
    <w:p w14:paraId="08916594">
      <w:pPr>
        <w:pStyle w:val="3"/>
        <w:pageBreakBefore w:val="0"/>
        <w:kinsoku/>
        <w:wordWrap/>
        <w:overflowPunct/>
        <w:topLinePunct w:val="0"/>
        <w:bidi w:val="0"/>
        <w:spacing w:line="578" w:lineRule="exact"/>
        <w:textAlignment w:val="auto"/>
        <w:rPr>
          <w:rFonts w:ascii="Times New Roman" w:hAnsi="Times New Roman"/>
        </w:rPr>
      </w:pPr>
    </w:p>
    <w:p w14:paraId="203E73A4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78" w:lineRule="exact"/>
        <w:ind w:left="420" w:leftChars="200"/>
        <w:jc w:val="left"/>
        <w:textAlignment w:val="auto"/>
        <w:rPr>
          <w:rFonts w:hint="eastAsia" w:ascii="宋体" w:hAnsi="宋体" w:cs="仿宋_GB2312"/>
          <w:sz w:val="32"/>
          <w:szCs w:val="32"/>
        </w:rPr>
      </w:pPr>
    </w:p>
    <w:p w14:paraId="3B628FFE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78" w:lineRule="exact"/>
        <w:ind w:left="420" w:leftChars="200"/>
        <w:jc w:val="left"/>
        <w:textAlignment w:val="auto"/>
        <w:rPr>
          <w:rFonts w:hint="eastAsia" w:ascii="宋体" w:hAnsi="宋体" w:cs="仿宋_GB2312"/>
          <w:sz w:val="32"/>
          <w:szCs w:val="32"/>
        </w:rPr>
      </w:pPr>
    </w:p>
    <w:p w14:paraId="37BDF300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78" w:lineRule="exact"/>
        <w:ind w:left="420" w:leftChars="200"/>
        <w:jc w:val="left"/>
        <w:textAlignment w:val="auto"/>
        <w:rPr>
          <w:rFonts w:hint="eastAsia" w:ascii="宋体" w:hAnsi="宋体" w:cs="仿宋_GB2312"/>
          <w:sz w:val="32"/>
          <w:szCs w:val="32"/>
        </w:rPr>
      </w:pPr>
    </w:p>
    <w:p w14:paraId="3AE2B769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78" w:lineRule="exact"/>
        <w:ind w:left="420" w:leftChars="200"/>
        <w:jc w:val="left"/>
        <w:textAlignment w:val="auto"/>
        <w:rPr>
          <w:rFonts w:hint="eastAsia" w:ascii="宋体" w:hAnsi="宋体" w:cs="仿宋_GB2312"/>
          <w:sz w:val="32"/>
          <w:szCs w:val="32"/>
        </w:rPr>
      </w:pPr>
    </w:p>
    <w:p w14:paraId="47AFD54D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78" w:lineRule="exact"/>
        <w:ind w:left="420" w:leftChars="200"/>
        <w:jc w:val="left"/>
        <w:textAlignment w:val="auto"/>
        <w:rPr>
          <w:rFonts w:hint="eastAsia" w:ascii="宋体" w:hAnsi="宋体" w:cs="仿宋_GB2312"/>
          <w:sz w:val="32"/>
          <w:szCs w:val="32"/>
        </w:rPr>
      </w:pPr>
      <w:r>
        <w:rPr>
          <w:rFonts w:hint="eastAsia" w:ascii="宋体" w:hAnsi="宋体" w:cs="仿宋_GB2312"/>
          <w:sz w:val="32"/>
          <w:szCs w:val="32"/>
        </w:rPr>
        <w:t>保密审查情况：已审查，内容审定</w:t>
      </w:r>
      <w:r>
        <w:rPr>
          <w:rFonts w:hint="eastAsia" w:ascii="宋体" w:hAnsi="宋体" w:cs="仿宋_GB2312"/>
          <w:sz w:val="32"/>
          <w:szCs w:val="32"/>
          <w:lang w:eastAsia="zh-CN"/>
        </w:rPr>
        <w:t>，</w:t>
      </w:r>
      <w:r>
        <w:rPr>
          <w:rFonts w:hint="eastAsia" w:ascii="宋体" w:hAnsi="宋体" w:cs="仿宋_GB2312"/>
          <w:sz w:val="32"/>
          <w:szCs w:val="32"/>
        </w:rPr>
        <w:t>同意对外公开</w:t>
      </w:r>
    </w:p>
    <w:p w14:paraId="2614CC87">
      <w:pPr>
        <w:pStyle w:val="3"/>
        <w:pageBreakBefore w:val="0"/>
        <w:kinsoku/>
        <w:wordWrap/>
        <w:overflowPunct/>
        <w:topLinePunct w:val="0"/>
        <w:bidi w:val="0"/>
        <w:spacing w:line="578" w:lineRule="exact"/>
        <w:textAlignment w:val="auto"/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titlePg/>
          <w:docGrid w:type="lines" w:linePitch="312" w:charSpace="0"/>
        </w:sectPr>
      </w:pPr>
    </w:p>
    <w:bookmarkEnd w:id="0"/>
    <w:bookmarkEnd w:id="1"/>
    <w:bookmarkEnd w:id="2"/>
    <w:bookmarkEnd w:id="3"/>
    <w:bookmarkEnd w:id="4"/>
    <w:bookmarkEnd w:id="5"/>
    <w:p w14:paraId="42EB436F">
      <w:pPr>
        <w:pageBreakBefore w:val="0"/>
        <w:widowControl/>
        <w:kinsoku/>
        <w:wordWrap/>
        <w:overflowPunct/>
        <w:topLinePunct w:val="0"/>
        <w:bidi w:val="0"/>
        <w:spacing w:line="578" w:lineRule="exact"/>
        <w:jc w:val="center"/>
        <w:textAlignment w:val="auto"/>
        <w:rPr>
          <w:rFonts w:ascii="Times New Roman" w:hAnsi="Times New Roman" w:eastAsia="黑体"/>
          <w:color w:val="auto"/>
          <w:sz w:val="48"/>
          <w:szCs w:val="48"/>
          <w:highlight w:val="none"/>
        </w:rPr>
      </w:pPr>
      <w:r>
        <w:rPr>
          <w:rFonts w:hint="eastAsia" w:ascii="Times New Roman" w:hAnsi="Times New Roman" w:eastAsia="黑体"/>
          <w:color w:val="auto"/>
          <w:sz w:val="48"/>
          <w:szCs w:val="48"/>
          <w:highlight w:val="none"/>
        </w:rPr>
        <w:t>目录</w:t>
      </w:r>
    </w:p>
    <w:p w14:paraId="484018F9">
      <w:pPr>
        <w:pageBreakBefore w:val="0"/>
        <w:widowControl/>
        <w:kinsoku/>
        <w:wordWrap/>
        <w:overflowPunct/>
        <w:topLinePunct w:val="0"/>
        <w:bidi w:val="0"/>
        <w:spacing w:line="578" w:lineRule="exact"/>
        <w:jc w:val="center"/>
        <w:textAlignment w:val="auto"/>
        <w:rPr>
          <w:rFonts w:ascii="Times New Roman" w:hAnsi="Times New Roman" w:eastAsia="黑体" w:cstheme="minorBidi"/>
          <w:color w:val="auto"/>
          <w:sz w:val="28"/>
          <w:szCs w:val="28"/>
          <w:highlight w:val="none"/>
        </w:rPr>
      </w:pPr>
    </w:p>
    <w:p w14:paraId="1353241D">
      <w:pPr>
        <w:pStyle w:val="13"/>
        <w:pageBreakBefore w:val="0"/>
        <w:kinsoku/>
        <w:wordWrap/>
        <w:overflowPunct/>
        <w:topLinePunct w:val="0"/>
        <w:bidi w:val="0"/>
        <w:spacing w:line="578" w:lineRule="exac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公开时间：20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26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16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日</w:t>
      </w:r>
    </w:p>
    <w:p w14:paraId="124D3903">
      <w:pPr>
        <w:pageBreakBefore w:val="0"/>
        <w:kinsoku/>
        <w:wordWrap/>
        <w:overflowPunct/>
        <w:topLinePunct w:val="0"/>
        <w:bidi w:val="0"/>
        <w:spacing w:line="578" w:lineRule="exact"/>
        <w:textAlignment w:val="auto"/>
        <w:rPr>
          <w:rFonts w:ascii="Times New Roman" w:hAnsi="Times New Roman"/>
          <w:color w:val="auto"/>
          <w:highlight w:val="none"/>
        </w:rPr>
      </w:pPr>
    </w:p>
    <w:p w14:paraId="24BA3F88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578" w:lineRule="exact"/>
        <w:jc w:val="left"/>
        <w:textAlignment w:val="auto"/>
        <w:rPr>
          <w:rFonts w:hint="default" w:ascii="Times New Roman" w:hAnsi="Times New Roman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sz w:val="32"/>
          <w:szCs w:val="32"/>
          <w:highlight w:val="none"/>
        </w:rPr>
        <w:t>第一部分 部门概</w:t>
      </w:r>
      <w:r>
        <w:rPr>
          <w:rFonts w:hint="eastAsia" w:ascii="Times New Roman" w:hAnsi="Times New Roman" w:eastAsia="黑体" w:cs="黑体"/>
          <w:color w:val="auto"/>
          <w:sz w:val="32"/>
          <w:szCs w:val="32"/>
          <w:highlight w:val="none"/>
          <w:lang w:eastAsia="zh-CN"/>
        </w:rPr>
        <w:t>况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.............................................4</w:t>
      </w:r>
    </w:p>
    <w:p w14:paraId="3CC3F91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color w:val="auto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一、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部门职责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..............................................4</w:t>
      </w:r>
    </w:p>
    <w:p w14:paraId="043833C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color w:val="auto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二、机构设置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..............................................4</w:t>
      </w:r>
    </w:p>
    <w:p w14:paraId="5F3846F9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578" w:lineRule="exact"/>
        <w:jc w:val="left"/>
        <w:textAlignment w:val="auto"/>
        <w:rPr>
          <w:rFonts w:hint="default" w:ascii="Times New Roman" w:hAnsi="Times New Roman" w:eastAsia="黑体" w:cs="黑体"/>
          <w:color w:val="auto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eastAsia="黑体" w:cs="黑体"/>
          <w:color w:val="auto"/>
          <w:sz w:val="32"/>
          <w:szCs w:val="32"/>
          <w:highlight w:val="none"/>
        </w:rPr>
        <w:t>第二部分</w:t>
      </w:r>
      <w:r>
        <w:rPr>
          <w:rFonts w:hint="eastAsia" w:ascii="Times New Roman" w:hAnsi="Times New Roman" w:eastAsia="黑体" w:cs="黑体"/>
          <w:color w:val="auto"/>
          <w:sz w:val="32"/>
          <w:szCs w:val="32"/>
          <w:highlight w:val="none"/>
          <w:lang w:val="en-US" w:eastAsia="zh-CN"/>
        </w:rPr>
        <w:t xml:space="preserve"> 2025年度</w:t>
      </w:r>
      <w:r>
        <w:rPr>
          <w:rFonts w:hint="eastAsia" w:ascii="Times New Roman" w:hAnsi="Times New Roman" w:eastAsia="黑体" w:cs="黑体"/>
          <w:color w:val="auto"/>
          <w:sz w:val="32"/>
          <w:szCs w:val="32"/>
          <w:highlight w:val="none"/>
        </w:rPr>
        <w:t>部门决算情况说明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.....................4-9</w:t>
      </w:r>
    </w:p>
    <w:p w14:paraId="0DFF938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一、收入支出决算总体情况说明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.........................4</w:t>
      </w:r>
    </w:p>
    <w:p w14:paraId="7BF3B12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color w:val="auto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二、收入决算情况说明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....................................5</w:t>
      </w:r>
    </w:p>
    <w:p w14:paraId="1DD6017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三、支出决算情况说明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....................................5</w:t>
      </w:r>
    </w:p>
    <w:p w14:paraId="2E13609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638" w:leftChars="304" w:firstLine="0" w:firstLineChars="0"/>
        <w:jc w:val="left"/>
        <w:textAlignment w:val="auto"/>
        <w:rPr>
          <w:rFonts w:hint="default" w:ascii="Times New Roman" w:hAnsi="Times New Roman" w:eastAsia="仿宋_GB2312" w:cs="仿宋_GB2312"/>
          <w:color w:val="auto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四、财政拨款收入支出决算总体情况说明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.............5-6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五、一般公共预算财政拨款支出决算情况说明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.......6-7</w:t>
      </w:r>
    </w:p>
    <w:p w14:paraId="173BF36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color w:val="auto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六、一般公共预算财政拨款基本支出决算情况说明</w:t>
      </w:r>
      <w:bookmarkStart w:id="60" w:name="_GoBack"/>
      <w:r>
        <w:rPr>
          <w:rFonts w:hint="eastAsia" w:eastAsia="仿宋_GB2312" w:cs="仿宋_GB2312"/>
          <w:color w:val="auto"/>
          <w:sz w:val="32"/>
          <w:szCs w:val="32"/>
          <w:highlight w:val="none"/>
          <w:lang w:eastAsia="zh-CN"/>
        </w:rPr>
        <w:t>……</w:t>
      </w:r>
      <w:bookmarkEnd w:id="60"/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7-8</w:t>
      </w:r>
    </w:p>
    <w:p w14:paraId="2C145571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color w:val="auto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七、财政拨款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三公”经费支出决算情况说明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..........8</w:t>
      </w:r>
    </w:p>
    <w:p w14:paraId="19C3AAA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color w:val="auto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八、政府性基金预算支出决算情况说明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.................9</w:t>
      </w:r>
    </w:p>
    <w:p w14:paraId="0E15F92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638" w:leftChars="304" w:firstLine="0" w:firstLineChars="0"/>
        <w:jc w:val="left"/>
        <w:textAlignment w:val="auto"/>
        <w:rPr>
          <w:rFonts w:hint="default" w:ascii="Times New Roman" w:hAnsi="Times New Roman" w:eastAsia="仿宋_GB2312" w:cs="仿宋_GB2312"/>
          <w:color w:val="auto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九、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国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有资本经营预算支出决算情况说明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..............9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、其他重要事项的情况说明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.........................8-9</w:t>
      </w:r>
    </w:p>
    <w:p w14:paraId="1DF69784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578" w:lineRule="exact"/>
        <w:jc w:val="left"/>
        <w:textAlignment w:val="auto"/>
        <w:rPr>
          <w:rFonts w:hint="default" w:ascii="Times New Roman" w:hAnsi="Times New Roman" w:eastAsia="黑体" w:cs="黑体"/>
          <w:color w:val="auto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eastAsia="黑体" w:cs="黑体"/>
          <w:color w:val="auto"/>
          <w:sz w:val="32"/>
          <w:szCs w:val="32"/>
          <w:highlight w:val="none"/>
        </w:rPr>
        <w:t>第三部分 名词解释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............................................10</w:t>
      </w:r>
    </w:p>
    <w:p w14:paraId="428E2F01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578" w:lineRule="exact"/>
        <w:jc w:val="left"/>
        <w:textAlignment w:val="auto"/>
        <w:rPr>
          <w:rFonts w:hint="default" w:ascii="Times New Roman" w:hAnsi="Times New Roman" w:eastAsia="黑体" w:cs="黑体"/>
          <w:color w:val="auto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eastAsia="黑体" w:cs="黑体"/>
          <w:color w:val="auto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黑体" w:cs="黑体"/>
          <w:color w:val="auto"/>
          <w:sz w:val="32"/>
          <w:szCs w:val="32"/>
          <w:highlight w:val="none"/>
          <w:lang w:eastAsia="zh-CN"/>
        </w:rPr>
        <w:t>四</w:t>
      </w:r>
      <w:r>
        <w:rPr>
          <w:rFonts w:hint="eastAsia" w:ascii="Times New Roman" w:hAnsi="Times New Roman" w:eastAsia="黑体" w:cs="黑体"/>
          <w:color w:val="auto"/>
          <w:sz w:val="32"/>
          <w:szCs w:val="32"/>
          <w:highlight w:val="none"/>
        </w:rPr>
        <w:t>部分 附表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.................................................10</w:t>
      </w:r>
    </w:p>
    <w:p w14:paraId="72DB778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一、收入支出决算总表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..................................10</w:t>
      </w:r>
    </w:p>
    <w:p w14:paraId="5102403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二、收入决算表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..........................................10</w:t>
      </w:r>
    </w:p>
    <w:p w14:paraId="4A4FABC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三、支出决算表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..........................................10</w:t>
      </w:r>
    </w:p>
    <w:p w14:paraId="4B18A00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四、财政拨款收入支出决算总表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........................10</w:t>
      </w:r>
    </w:p>
    <w:p w14:paraId="2BA593F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五、财政拨款支出决算明细表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...........................10</w:t>
      </w:r>
    </w:p>
    <w:p w14:paraId="636704A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六、一般公共预算财政拨款支出决算表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................10</w:t>
      </w:r>
    </w:p>
    <w:p w14:paraId="675F387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七、一般公共预算财政拨款支出决算明细表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...........10</w:t>
      </w:r>
    </w:p>
    <w:p w14:paraId="349EDE5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八、一般公共预算财政拨款基本支出决算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明细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表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lang w:eastAsia="zh-CN"/>
        </w:rPr>
        <w:t>……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10</w:t>
      </w:r>
    </w:p>
    <w:p w14:paraId="22C9565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九、一般公共预算财政拨款项目支出决算表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...........10</w:t>
      </w:r>
    </w:p>
    <w:p w14:paraId="408B9D0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638" w:leftChars="304" w:firstLine="0" w:firstLineChars="0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十、政府性基金预算财政拨款收入支出决算表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........10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十一、国有资本经营预算财政拨款收入支出决算表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lang w:eastAsia="zh-CN"/>
        </w:rPr>
        <w:t>……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十二、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国有资本经营预算财政拨款支出决算表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........10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十三、财政拨款“三公”经费支出决算表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.............10</w:t>
      </w:r>
    </w:p>
    <w:p w14:paraId="6CC578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78" w:lineRule="exact"/>
        <w:jc w:val="left"/>
        <w:textAlignment w:val="auto"/>
        <w:rPr>
          <w:rFonts w:hint="eastAsia" w:ascii="Times New Roman" w:hAnsi="Times New Roman" w:eastAsia="仿宋_GB2312" w:cs="仿宋_GB2312"/>
          <w:bCs/>
          <w:color w:val="auto"/>
          <w:kern w:val="44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b/>
          <w:color w:val="auto"/>
          <w:sz w:val="32"/>
          <w:szCs w:val="32"/>
          <w:highlight w:val="none"/>
        </w:rPr>
        <w:br w:type="page"/>
      </w:r>
    </w:p>
    <w:p w14:paraId="5904A55F">
      <w:pPr>
        <w:bidi w:val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bookmarkStart w:id="6" w:name="_Toc15396599"/>
      <w:bookmarkStart w:id="7" w:name="_Toc15377196"/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第一部分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 xml:space="preserve"> 部门概况</w:t>
      </w:r>
      <w:bookmarkEnd w:id="6"/>
      <w:bookmarkEnd w:id="7"/>
    </w:p>
    <w:p w14:paraId="2118B801">
      <w:pPr>
        <w:bidi w:val="0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一、部门职责</w:t>
      </w:r>
    </w:p>
    <w:p w14:paraId="344E6F62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巡察实施保障，文稿、档案与资料管理，巡察信息化建设，整改督办辅助工作，综合文秘与对外联络，其他交办任务。</w:t>
      </w:r>
      <w:bookmarkStart w:id="8" w:name="_Toc15396601"/>
      <w:bookmarkStart w:id="9" w:name="_Toc15377200"/>
    </w:p>
    <w:p w14:paraId="6B341223">
      <w:pPr>
        <w:bidi w:val="0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二、机构设置</w:t>
      </w:r>
      <w:bookmarkEnd w:id="8"/>
      <w:bookmarkEnd w:id="9"/>
    </w:p>
    <w:p w14:paraId="21D50877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10" w:name="_Toc15396602"/>
      <w:bookmarkStart w:id="11" w:name="_Toc15377204"/>
      <w:r>
        <w:rPr>
          <w:rFonts w:hint="eastAsia" w:ascii="仿宋_GB2312" w:hAnsi="仿宋_GB2312" w:eastAsia="仿宋_GB2312" w:cs="仿宋_GB2312"/>
          <w:sz w:val="32"/>
          <w:szCs w:val="32"/>
        </w:rPr>
        <w:t>机构情况，本单位本年度纳入本套决算编制范围的独立编制机构数共1个，比上年增加0个；独立核算机构数共1个。人员情况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，事业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2人，事业工勤1人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0E009CB">
      <w:pPr>
        <w:bidi w:val="0"/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</w:p>
    <w:p w14:paraId="426A5934">
      <w:pPr>
        <w:bidi w:val="0"/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第二部分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部门决算情况说明</w:t>
      </w:r>
      <w:bookmarkEnd w:id="10"/>
      <w:bookmarkEnd w:id="11"/>
    </w:p>
    <w:p w14:paraId="4763F056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017E822">
      <w:pPr>
        <w:bidi w:val="0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12" w:name="_Toc15377205"/>
      <w:bookmarkStart w:id="13" w:name="_Toc15396603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一、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收入支出决算总体情况说明</w:t>
      </w:r>
      <w:bookmarkEnd w:id="12"/>
      <w:bookmarkEnd w:id="13"/>
    </w:p>
    <w:p w14:paraId="46A2D943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929640</wp:posOffset>
            </wp:positionV>
            <wp:extent cx="5408930" cy="2281555"/>
            <wp:effectExtent l="0" t="0" r="1270" b="444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8930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2025年度收入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总计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均为</w:t>
      </w:r>
      <w:r>
        <w:rPr>
          <w:rFonts w:hint="eastAsia" w:ascii="仿宋_GB2312" w:hAnsi="仿宋_GB2312" w:eastAsia="仿宋_GB2312" w:cs="仿宋_GB2312"/>
          <w:sz w:val="32"/>
          <w:szCs w:val="32"/>
        </w:rPr>
        <w:t>57.69万元。（图1：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收入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决算总计变动情况图）（柱状图）</w:t>
      </w:r>
    </w:p>
    <w:p w14:paraId="00FF7F23"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CB83B2B">
      <w:pPr>
        <w:rPr>
          <w:rFonts w:hint="eastAsia"/>
        </w:rPr>
      </w:pPr>
    </w:p>
    <w:p w14:paraId="23DE8995">
      <w:pPr>
        <w:bidi w:val="0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bookmarkStart w:id="14" w:name="_Toc15377206"/>
      <w:bookmarkStart w:id="15" w:name="_Toc15396604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二、收入决算情况说明</w:t>
      </w:r>
      <w:bookmarkEnd w:id="14"/>
      <w:bookmarkEnd w:id="15"/>
    </w:p>
    <w:p w14:paraId="4EF6512E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1448435</wp:posOffset>
            </wp:positionV>
            <wp:extent cx="5357495" cy="1624965"/>
            <wp:effectExtent l="0" t="0" r="14605" b="13335"/>
            <wp:wrapSquare wrapText="bothSides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57495" cy="162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2025年度本年收入合计</w:t>
      </w:r>
      <w:r>
        <w:rPr>
          <w:rFonts w:hint="eastAsia" w:ascii="仿宋_GB2312" w:hAnsi="仿宋_GB2312" w:eastAsia="仿宋_GB2312" w:cs="仿宋_GB2312"/>
          <w:sz w:val="32"/>
          <w:szCs w:val="32"/>
        </w:rPr>
        <w:t>57.69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万元，其中：一般公共预算财政拨款收入</w:t>
      </w:r>
      <w:r>
        <w:rPr>
          <w:rFonts w:hint="eastAsia" w:ascii="仿宋_GB2312" w:hAnsi="仿宋_GB2312" w:eastAsia="仿宋_GB2312" w:cs="仿宋_GB2312"/>
          <w:sz w:val="32"/>
          <w:szCs w:val="32"/>
        </w:rPr>
        <w:t>57.69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%。（注：仅罗列本部门涉及的收入）（图2：收入决算结构图）（饼状图）</w:t>
      </w:r>
    </w:p>
    <w:p w14:paraId="6C3CE024">
      <w:pPr>
        <w:bidi w:val="0"/>
        <w:ind w:firstLine="321" w:firstLineChars="1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16" w:name="_Toc15377207"/>
      <w:bookmarkStart w:id="17" w:name="_Toc15396605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支出决算情况说明</w:t>
      </w:r>
      <w:bookmarkEnd w:id="16"/>
      <w:bookmarkEnd w:id="17"/>
    </w:p>
    <w:p w14:paraId="72529924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2025年度本年支出合计</w:t>
      </w:r>
      <w:r>
        <w:rPr>
          <w:rFonts w:hint="eastAsia" w:ascii="仿宋_GB2312" w:hAnsi="仿宋_GB2312" w:eastAsia="仿宋_GB2312" w:cs="仿宋_GB2312"/>
          <w:sz w:val="32"/>
          <w:szCs w:val="32"/>
        </w:rPr>
        <w:t>57.69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万元，其中：基本支出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57.69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%。（注：仅罗列本部门涉及的支出）（图3：支出决算结构图）（饼状图）</w:t>
      </w:r>
    </w:p>
    <w:p w14:paraId="5D2D9CC1">
      <w:pPr>
        <w:bidi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41910</wp:posOffset>
            </wp:positionV>
            <wp:extent cx="4986655" cy="1947545"/>
            <wp:effectExtent l="0" t="0" r="4445" b="14605"/>
            <wp:wrapSquare wrapText="bothSides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86655" cy="194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EA24EF">
      <w:pPr>
        <w:bidi w:val="0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18" w:name="_Toc15396606"/>
      <w:bookmarkStart w:id="19" w:name="_Toc15377208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四、财政拨款收入支出决算总体情况说明</w:t>
      </w:r>
      <w:bookmarkEnd w:id="18"/>
      <w:bookmarkEnd w:id="19"/>
    </w:p>
    <w:p w14:paraId="5CBEC984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2025年度财政拨款收入、支出总计均为</w:t>
      </w:r>
      <w:r>
        <w:rPr>
          <w:rFonts w:hint="eastAsia" w:ascii="仿宋_GB2312" w:hAnsi="仿宋_GB2312" w:eastAsia="仿宋_GB2312" w:cs="仿宋_GB2312"/>
          <w:sz w:val="32"/>
          <w:szCs w:val="32"/>
        </w:rPr>
        <w:t>57.69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万元。</w:t>
      </w:r>
    </w:p>
    <w:p w14:paraId="458AF106">
      <w:pPr>
        <w:bidi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（图4：财政拨款收、支决算总计变动情况）（柱状图）</w:t>
      </w:r>
    </w:p>
    <w:p w14:paraId="1574215E">
      <w:pPr>
        <w:bidi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12C3AE5">
      <w:pPr>
        <w:bidi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4590415" cy="1529080"/>
            <wp:effectExtent l="0" t="0" r="635" b="1397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90415" cy="152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E919F">
      <w:pPr>
        <w:bidi w:val="0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20" w:name="_Toc15377209"/>
      <w:bookmarkStart w:id="21" w:name="_Toc15396607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五、一般公共预算财政拨款支出决算情况说明</w:t>
      </w:r>
      <w:bookmarkEnd w:id="20"/>
      <w:bookmarkEnd w:id="21"/>
    </w:p>
    <w:p w14:paraId="4B3D697F">
      <w:pPr>
        <w:bidi w:val="0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22" w:name="_Toc15377210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（一）一般公共预算财政拨款支出决算总体情况</w:t>
      </w:r>
      <w:bookmarkEnd w:id="22"/>
    </w:p>
    <w:p w14:paraId="25D6D9EA">
      <w:pPr>
        <w:bidi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2025年度一般公共预算财政拨款支出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57.69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万元，占本年支出合计的</w:t>
      </w:r>
      <w:r>
        <w:rPr>
          <w:rFonts w:hint="eastAsia" w:ascii="仿宋_GB2312" w:hAnsi="仿宋_GB2312" w:eastAsia="仿宋_GB2312" w:cs="仿宋_GB2312"/>
          <w:sz w:val="32"/>
          <w:szCs w:val="32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%。与上年度相比，一般公共预算财政拨款支出增加/减少0万元。主要变动原因是2025年度新设立账套。（图5：一般公共预算财政拨款支出决算变动情况）（柱状图）</w:t>
      </w:r>
    </w:p>
    <w:p w14:paraId="22AFA3A7">
      <w:pPr>
        <w:bidi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415925</wp:posOffset>
            </wp:positionH>
            <wp:positionV relativeFrom="paragraph">
              <wp:posOffset>27940</wp:posOffset>
            </wp:positionV>
            <wp:extent cx="4590415" cy="1834515"/>
            <wp:effectExtent l="0" t="0" r="635" b="13335"/>
            <wp:wrapSquare wrapText="bothSides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90415" cy="183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F2F839">
      <w:pPr>
        <w:bidi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011495C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  <w:bookmarkStart w:id="23" w:name="_Toc15377211"/>
    </w:p>
    <w:p w14:paraId="7F8827A2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6CDF237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F79B1F7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A1EBB82">
      <w:pPr>
        <w:bidi w:val="0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（二）一般公共预算财政拨款支出决算结构情况</w:t>
      </w:r>
      <w:bookmarkEnd w:id="23"/>
    </w:p>
    <w:p w14:paraId="4F83A0DB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2025年度一般公共预算财政拨款支出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57.69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，主要用于以下方面：一般公共服务支出41.76万元，占72.39%；社会保障和就业支出8.45万元，占14.65%；卫生健康支出3.04万元，占5.27%；住房保障支出4.44万元，占7.69%。（图6：一般公共预算财政拨款支出决算结构）（饼状图）</w:t>
      </w:r>
    </w:p>
    <w:p w14:paraId="3A9A8F5B">
      <w:pPr>
        <w:bidi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766ECB6">
      <w:pPr>
        <w:bidi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0748B19">
      <w:pPr>
        <w:bidi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675630" cy="1938655"/>
            <wp:effectExtent l="0" t="0" r="1270" b="4445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75630" cy="193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E5C39">
      <w:pPr>
        <w:bidi w:val="0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24" w:name="_Toc15377212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（三）一般公共预算财政拨款支出决算具体情况</w:t>
      </w:r>
      <w:bookmarkEnd w:id="24"/>
    </w:p>
    <w:p w14:paraId="4E957392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25" w:name="_Toc15377444"/>
      <w:bookmarkStart w:id="26" w:name="_Toc15377213"/>
      <w:bookmarkStart w:id="27" w:name="_Toc1537846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2025年度一般公共预算支出决算数为</w:t>
      </w:r>
      <w:r>
        <w:rPr>
          <w:rFonts w:hint="eastAsia" w:ascii="仿宋_GB2312" w:hAnsi="仿宋_GB2312" w:eastAsia="仿宋_GB2312" w:cs="仿宋_GB2312"/>
          <w:sz w:val="32"/>
          <w:szCs w:val="32"/>
        </w:rPr>
        <w:t>57.69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，完成预算100%。其中：</w:t>
      </w:r>
      <w:bookmarkEnd w:id="25"/>
      <w:bookmarkEnd w:id="26"/>
      <w:bookmarkEnd w:id="27"/>
    </w:p>
    <w:p w14:paraId="716DFB95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1.一般公共服务2011103：支出决算为41.76万元，完成预算100%。</w:t>
      </w:r>
    </w:p>
    <w:p w14:paraId="3EE3E91E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2.社会保障和就业2080505和2080506：支出决算为8.45万元，完成预算100%。</w:t>
      </w:r>
    </w:p>
    <w:p w14:paraId="3A8ECFD1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3.卫生健康2101102和2101199：支出决算为3.04万元，完成预算100%。</w:t>
      </w:r>
    </w:p>
    <w:p w14:paraId="60169394">
      <w:pPr>
        <w:bidi w:val="0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28" w:name="_Toc15396608"/>
      <w:bookmarkStart w:id="29" w:name="_Toc15377214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六、一般公共预算财政拨款基本支出决算情况说明</w:t>
      </w:r>
      <w:bookmarkEnd w:id="28"/>
      <w:bookmarkEnd w:id="29"/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7C7AF9D8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2025年度一般公共预算财政拨款基本支出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57.69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万元，其中：</w:t>
      </w:r>
    </w:p>
    <w:p w14:paraId="15222E5B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人员经费</w:t>
      </w:r>
      <w:r>
        <w:rPr>
          <w:rFonts w:hint="eastAsia" w:ascii="仿宋_GB2312" w:hAnsi="仿宋_GB2312" w:eastAsia="仿宋_GB2312" w:cs="仿宋_GB2312"/>
          <w:sz w:val="32"/>
          <w:szCs w:val="32"/>
        </w:rPr>
        <w:t>55.29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，主要包括：基本工资、津贴补贴、奖金、绩效工资、机关事业单位基本养老保险缴费、职业年金缴费、其他社会保障缴费、其他工资福利支出、医疗费补助、奖励金、住房公积金、其他对个人和家庭的补助支出等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公用经费</w:t>
      </w:r>
      <w:r>
        <w:rPr>
          <w:rFonts w:hint="eastAsia" w:ascii="仿宋_GB2312" w:hAnsi="仿宋_GB2312" w:eastAsia="仿宋_GB2312" w:cs="仿宋_GB2312"/>
          <w:sz w:val="32"/>
          <w:szCs w:val="32"/>
        </w:rPr>
        <w:t>2.39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万元，主要包括：办公费、取暖费等。</w:t>
      </w:r>
      <w:bookmarkStart w:id="30" w:name="_Toc15377215"/>
      <w:bookmarkStart w:id="31" w:name="_Toc15396609"/>
    </w:p>
    <w:p w14:paraId="25B4141E">
      <w:pPr>
        <w:bidi w:val="0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七、财政拨款“三公”经费支出决算情况说明</w:t>
      </w:r>
      <w:bookmarkEnd w:id="30"/>
      <w:bookmarkEnd w:id="31"/>
    </w:p>
    <w:p w14:paraId="56C4C9CA">
      <w:pPr>
        <w:bidi w:val="0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32" w:name="_Toc15377216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（一）财政拨款“三公”经费支出决算总体情况说明</w:t>
      </w:r>
      <w:bookmarkEnd w:id="32"/>
    </w:p>
    <w:p w14:paraId="530F36C4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33" w:name="_Toc15377217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</w:t>
      </w:r>
    </w:p>
    <w:p w14:paraId="7578E3B7">
      <w:pPr>
        <w:bidi w:val="0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（二）财政拨款“三公”经费支出决算具体情况说明</w:t>
      </w:r>
      <w:bookmarkEnd w:id="33"/>
    </w:p>
    <w:p w14:paraId="4DE4D65D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</w:t>
      </w:r>
    </w:p>
    <w:p w14:paraId="4A6833B0">
      <w:pPr>
        <w:bidi w:val="0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34" w:name="_Toc15396610"/>
      <w:bookmarkStart w:id="35" w:name="_Toc15377218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八、政府性基金预算支出决算情况说明</w:t>
      </w:r>
      <w:bookmarkEnd w:id="34"/>
      <w:bookmarkEnd w:id="35"/>
    </w:p>
    <w:p w14:paraId="1A531DCF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36" w:name="_Toc15377219"/>
      <w:bookmarkStart w:id="37" w:name="_Toc15396611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</w:t>
      </w:r>
    </w:p>
    <w:p w14:paraId="3D62D38D">
      <w:pPr>
        <w:bidi w:val="0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九、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国有资本经营预算支出决算情况说明</w:t>
      </w:r>
      <w:bookmarkEnd w:id="36"/>
      <w:bookmarkEnd w:id="37"/>
    </w:p>
    <w:p w14:paraId="6A2B426C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</w:t>
      </w:r>
    </w:p>
    <w:p w14:paraId="74D201C7">
      <w:pPr>
        <w:bidi w:val="0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38" w:name="_Toc15377221"/>
      <w:bookmarkStart w:id="39" w:name="_Toc15396612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十、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其他重要事项的情况说明</w:t>
      </w:r>
      <w:bookmarkEnd w:id="38"/>
      <w:bookmarkEnd w:id="39"/>
    </w:p>
    <w:p w14:paraId="63FB8098">
      <w:pPr>
        <w:bidi w:val="0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40" w:name="_Toc15377222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（一）机关运行经费支出情况</w:t>
      </w:r>
      <w:bookmarkEnd w:id="40"/>
    </w:p>
    <w:p w14:paraId="1A94B7A5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2025年度，</w:t>
      </w:r>
      <w:r>
        <w:rPr>
          <w:rFonts w:hint="eastAsia" w:ascii="仿宋_GB2312" w:hAnsi="仿宋_GB2312" w:eastAsia="仿宋_GB2312" w:cs="仿宋_GB2312"/>
          <w:sz w:val="32"/>
          <w:szCs w:val="32"/>
        </w:rPr>
        <w:t>松潘县委巡察事务中心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机关运行经费支出2.39万元，比上年度增加/减少0万元。（注：支出数与上年持平可以不写原因）</w:t>
      </w:r>
    </w:p>
    <w:p w14:paraId="1CEBB8BC">
      <w:pPr>
        <w:bidi w:val="0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41" w:name="_Toc15377223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（二）政府采购支出情况</w:t>
      </w:r>
      <w:bookmarkEnd w:id="41"/>
    </w:p>
    <w:p w14:paraId="1809CA51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</w:t>
      </w:r>
    </w:p>
    <w:p w14:paraId="67F3986A">
      <w:pPr>
        <w:bidi w:val="0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42" w:name="_Toc15377224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（三）国有资产占有使用情况</w:t>
      </w:r>
      <w:bookmarkEnd w:id="42"/>
    </w:p>
    <w:p w14:paraId="67AE5989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</w:t>
      </w:r>
    </w:p>
    <w:p w14:paraId="2DF671FD">
      <w:pPr>
        <w:bidi w:val="0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（四）预算绩效管理情况</w:t>
      </w:r>
    </w:p>
    <w:p w14:paraId="4FC7F944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</w:t>
      </w:r>
    </w:p>
    <w:p w14:paraId="2BBF0953">
      <w:pPr>
        <w:bidi w:val="0"/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bookmarkStart w:id="43" w:name="_Toc15396613"/>
      <w:bookmarkStart w:id="44" w:name="_Toc15377225"/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第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部分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名词解释</w:t>
      </w:r>
      <w:bookmarkEnd w:id="43"/>
      <w:bookmarkEnd w:id="44"/>
    </w:p>
    <w:p w14:paraId="22775AF4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A49E782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1.财政拨款收入：指单位从同级财政部门取得的财政预算资金。</w:t>
      </w:r>
    </w:p>
    <w:p w14:paraId="57BDDCCC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2.一般公共支出2011103：指机关服务支出。</w:t>
      </w:r>
    </w:p>
    <w:p w14:paraId="18F54947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3.社会保障和就业其中2080505</w:t>
      </w:r>
      <w:r>
        <w:rPr>
          <w:rFonts w:hint="eastAsia" w:ascii="仿宋_GB2312" w:hAnsi="仿宋_GB2312" w:eastAsia="仿宋_GB2312" w:cs="仿宋_GB2312"/>
          <w:sz w:val="32"/>
          <w:szCs w:val="32"/>
        </w:rPr>
        <w:t>指机关事业单位基本养老保险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缴费支出，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2080506</w:t>
      </w:r>
      <w:r>
        <w:rPr>
          <w:rFonts w:hint="eastAsia" w:ascii="仿宋_GB2312" w:hAnsi="仿宋_GB2312" w:eastAsia="仿宋_GB2312" w:cs="仿宋_GB2312"/>
          <w:sz w:val="32"/>
          <w:szCs w:val="32"/>
        </w:rPr>
        <w:t>指机关事业单位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职业年金缴费支出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CECC606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卫生健康：其中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2101102</w:t>
      </w:r>
      <w:r>
        <w:rPr>
          <w:rFonts w:hint="eastAsia" w:ascii="仿宋_GB2312" w:hAnsi="仿宋_GB2312" w:eastAsia="仿宋_GB2312" w:cs="仿宋_GB2312"/>
          <w:sz w:val="32"/>
          <w:szCs w:val="32"/>
        </w:rPr>
        <w:t>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事业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单位医疗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2101199指其他行政事业单位医疗支出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B54100F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 住房保障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2210201</w:t>
      </w:r>
      <w:r>
        <w:rPr>
          <w:rFonts w:hint="eastAsia" w:ascii="仿宋_GB2312" w:hAnsi="仿宋_GB2312" w:eastAsia="仿宋_GB2312" w:cs="仿宋_GB2312"/>
          <w:sz w:val="32"/>
          <w:szCs w:val="32"/>
        </w:rPr>
        <w:t>指住房公积金。</w:t>
      </w:r>
    </w:p>
    <w:p w14:paraId="48783360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7.基本支出：指为保障机构正常运转、完成日常工作任务而发生的人员支出和公用支出。</w:t>
      </w:r>
    </w:p>
    <w:p w14:paraId="20A23482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机关运行经费：为保障行政单位（含参照公务员法管理的事业单位）运行用于购买货物和服务的各项资金，包括办公及印刷费、邮电费、差旅费、会议费、福利费、日常维修费、专用材料及一般设备购置费、办公用房水电费、办公用房取暖费、办公用房物业管理费、公务用车运行维护费以及其他费用。</w:t>
      </w:r>
    </w:p>
    <w:p w14:paraId="2534DC97">
      <w:pPr>
        <w:bidi w:val="0"/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bookmarkStart w:id="45" w:name="_Toc15396618"/>
      <w:bookmarkStart w:id="46" w:name="_Toc15377226"/>
    </w:p>
    <w:p w14:paraId="4C696731">
      <w:pPr>
        <w:bidi w:val="0"/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</w:p>
    <w:p w14:paraId="30D42E2C">
      <w:pPr>
        <w:bidi w:val="0"/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第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部分 附表</w:t>
      </w:r>
      <w:bookmarkEnd w:id="45"/>
      <w:bookmarkEnd w:id="46"/>
      <w:bookmarkStart w:id="47" w:name="_Toc15396619"/>
    </w:p>
    <w:p w14:paraId="2933BD6B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2893BD5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一、收入支出决算总表</w:t>
      </w:r>
      <w:bookmarkEnd w:id="47"/>
    </w:p>
    <w:p w14:paraId="3874FB9D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  <w:bookmarkStart w:id="48" w:name="_Toc15396620"/>
      <w:r>
        <w:rPr>
          <w:rFonts w:hint="eastAsia" w:ascii="仿宋_GB2312" w:hAnsi="仿宋_GB2312" w:eastAsia="仿宋_GB2312" w:cs="仿宋_GB2312"/>
          <w:sz w:val="32"/>
          <w:szCs w:val="32"/>
        </w:rPr>
        <w:t>二、收入决算表</w:t>
      </w:r>
      <w:bookmarkEnd w:id="48"/>
    </w:p>
    <w:p w14:paraId="38E221CA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  <w:bookmarkStart w:id="49" w:name="_Toc15396621"/>
      <w:r>
        <w:rPr>
          <w:rFonts w:hint="eastAsia" w:ascii="仿宋_GB2312" w:hAnsi="仿宋_GB2312" w:eastAsia="仿宋_GB2312" w:cs="仿宋_GB2312"/>
          <w:sz w:val="32"/>
          <w:szCs w:val="32"/>
        </w:rPr>
        <w:t>三、支出决算表</w:t>
      </w:r>
      <w:bookmarkEnd w:id="49"/>
    </w:p>
    <w:p w14:paraId="63285D86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  <w:bookmarkStart w:id="50" w:name="_Toc15396622"/>
      <w:r>
        <w:rPr>
          <w:rFonts w:hint="eastAsia" w:ascii="仿宋_GB2312" w:hAnsi="仿宋_GB2312" w:eastAsia="仿宋_GB2312" w:cs="仿宋_GB2312"/>
          <w:sz w:val="32"/>
          <w:szCs w:val="32"/>
        </w:rPr>
        <w:t>四、财政拨款收入支出决算总表</w:t>
      </w:r>
      <w:bookmarkEnd w:id="50"/>
    </w:p>
    <w:p w14:paraId="62E86BCA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  <w:bookmarkStart w:id="51" w:name="_Toc15396623"/>
      <w:r>
        <w:rPr>
          <w:rFonts w:hint="eastAsia" w:ascii="仿宋_GB2312" w:hAnsi="仿宋_GB2312" w:eastAsia="仿宋_GB2312" w:cs="仿宋_GB2312"/>
          <w:sz w:val="32"/>
          <w:szCs w:val="32"/>
        </w:rPr>
        <w:t>五、财政拨款支出决算明细表</w:t>
      </w:r>
      <w:bookmarkEnd w:id="51"/>
      <w:bookmarkStart w:id="52" w:name="_Toc15396624"/>
    </w:p>
    <w:p w14:paraId="0A8E2F0A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六、一般公共预算财政拨款支出决算表</w:t>
      </w:r>
      <w:bookmarkEnd w:id="52"/>
    </w:p>
    <w:p w14:paraId="20AD8BFB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  <w:bookmarkStart w:id="53" w:name="_Toc15396625"/>
      <w:r>
        <w:rPr>
          <w:rFonts w:hint="eastAsia" w:ascii="仿宋_GB2312" w:hAnsi="仿宋_GB2312" w:eastAsia="仿宋_GB2312" w:cs="仿宋_GB2312"/>
          <w:sz w:val="32"/>
          <w:szCs w:val="32"/>
        </w:rPr>
        <w:t>七、一般公共预算财政拨款支出决算明细表</w:t>
      </w:r>
      <w:bookmarkEnd w:id="53"/>
    </w:p>
    <w:p w14:paraId="2F123A22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  <w:bookmarkStart w:id="54" w:name="_Toc15396626"/>
      <w:r>
        <w:rPr>
          <w:rFonts w:hint="eastAsia" w:ascii="仿宋_GB2312" w:hAnsi="仿宋_GB2312" w:eastAsia="仿宋_GB2312" w:cs="仿宋_GB2312"/>
          <w:sz w:val="32"/>
          <w:szCs w:val="32"/>
        </w:rPr>
        <w:t>八、一般公共预算财政拨款基本支出决算表</w:t>
      </w:r>
      <w:bookmarkEnd w:id="54"/>
    </w:p>
    <w:p w14:paraId="70DD3ED0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  <w:bookmarkStart w:id="55" w:name="_Toc15396627"/>
      <w:r>
        <w:rPr>
          <w:rFonts w:hint="eastAsia" w:ascii="仿宋_GB2312" w:hAnsi="仿宋_GB2312" w:eastAsia="仿宋_GB2312" w:cs="仿宋_GB2312"/>
          <w:sz w:val="32"/>
          <w:szCs w:val="32"/>
        </w:rPr>
        <w:t>九、一般公共预算财政拨款项目支出决算表</w:t>
      </w:r>
      <w:bookmarkEnd w:id="55"/>
    </w:p>
    <w:p w14:paraId="08EDF54E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  <w:bookmarkStart w:id="56" w:name="_Toc15396628"/>
      <w:r>
        <w:rPr>
          <w:rFonts w:hint="eastAsia" w:ascii="仿宋_GB2312" w:hAnsi="仿宋_GB2312" w:eastAsia="仿宋_GB2312" w:cs="仿宋_GB2312"/>
          <w:sz w:val="32"/>
          <w:szCs w:val="32"/>
        </w:rPr>
        <w:t>十、</w:t>
      </w:r>
      <w:bookmarkEnd w:id="56"/>
      <w:r>
        <w:rPr>
          <w:rFonts w:hint="eastAsia" w:ascii="仿宋_GB2312" w:hAnsi="仿宋_GB2312" w:eastAsia="仿宋_GB2312" w:cs="仿宋_GB2312"/>
          <w:sz w:val="32"/>
          <w:szCs w:val="32"/>
        </w:rPr>
        <w:t>政府性基金预算财政拨款收入支出决算表</w:t>
      </w:r>
    </w:p>
    <w:p w14:paraId="417FC5F2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  <w:bookmarkStart w:id="57" w:name="_Toc15396629"/>
      <w:r>
        <w:rPr>
          <w:rFonts w:hint="eastAsia" w:ascii="仿宋_GB2312" w:hAnsi="仿宋_GB2312" w:eastAsia="仿宋_GB2312" w:cs="仿宋_GB2312"/>
          <w:sz w:val="32"/>
          <w:szCs w:val="32"/>
        </w:rPr>
        <w:t>十一、</w:t>
      </w:r>
      <w:bookmarkEnd w:id="57"/>
      <w:r>
        <w:rPr>
          <w:rFonts w:hint="eastAsia" w:ascii="仿宋_GB2312" w:hAnsi="仿宋_GB2312" w:eastAsia="仿宋_GB2312" w:cs="仿宋_GB2312"/>
          <w:sz w:val="32"/>
          <w:szCs w:val="32"/>
        </w:rPr>
        <w:t>国有资本经营预算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财政拨款收入</w:t>
      </w:r>
      <w:r>
        <w:rPr>
          <w:rFonts w:hint="eastAsia" w:ascii="仿宋_GB2312" w:hAnsi="仿宋_GB2312" w:eastAsia="仿宋_GB2312" w:cs="仿宋_GB2312"/>
          <w:sz w:val="32"/>
          <w:szCs w:val="32"/>
        </w:rPr>
        <w:t>支出决算表</w:t>
      </w:r>
    </w:p>
    <w:p w14:paraId="1F1A4E57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  <w:bookmarkStart w:id="58" w:name="_Toc15396630"/>
      <w:r>
        <w:rPr>
          <w:rFonts w:hint="eastAsia" w:ascii="仿宋_GB2312" w:hAnsi="仿宋_GB2312" w:eastAsia="仿宋_GB2312" w:cs="仿宋_GB2312"/>
          <w:sz w:val="32"/>
          <w:szCs w:val="32"/>
        </w:rPr>
        <w:t>十二、</w:t>
      </w:r>
      <w:bookmarkEnd w:id="58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国有资本经营预算财政拨款支出决算表</w:t>
      </w:r>
    </w:p>
    <w:p w14:paraId="520214A1">
      <w:pPr>
        <w:bidi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59" w:name="_Toc15396631"/>
      <w:r>
        <w:rPr>
          <w:rFonts w:hint="eastAsia" w:ascii="仿宋_GB2312" w:hAnsi="仿宋_GB2312" w:eastAsia="仿宋_GB2312" w:cs="仿宋_GB2312"/>
          <w:sz w:val="32"/>
          <w:szCs w:val="32"/>
        </w:rPr>
        <w:t>十三、</w:t>
      </w:r>
      <w:bookmarkEnd w:id="59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财政拨款“三公”经费支出决算表</w:t>
      </w:r>
    </w:p>
    <w:p w14:paraId="5ACBF5C4">
      <w:pPr>
        <w:bidi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footerReference r:id="rId6" w:type="first"/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BCFF682-AB52-4542-A950-84C2643ECD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F7BBFA1-AF90-4F51-A035-84B3DA866CF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??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EDE81AA2-BD0E-4C88-A721-0ACC22B1350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01F70A">
    <w:pPr>
      <w:pStyle w:val="11"/>
      <w:jc w:val="center"/>
    </w:pPr>
  </w:p>
  <w:p w14:paraId="6B4233E5"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C4AD77">
    <w:pPr>
      <w:pStyle w:val="11"/>
      <w:jc w:val="center"/>
    </w:pPr>
  </w:p>
  <w:p w14:paraId="037354D5">
    <w:pPr>
      <w:pStyle w:val="1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C60EF2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168BF4">
                          <w:pPr>
                            <w:pStyle w:val="11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168BF4">
                    <w:pPr>
                      <w:pStyle w:val="11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13EC9">
    <w:pPr>
      <w:pStyle w:val="1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zMTM2Njg1NzIzOTU4MTU0OTZkNDJjM2VmZDhjYjAifQ=="/>
  </w:docVars>
  <w:rsids>
    <w:rsidRoot w:val="00F1361C"/>
    <w:rsid w:val="000222C6"/>
    <w:rsid w:val="0002549F"/>
    <w:rsid w:val="000468DB"/>
    <w:rsid w:val="0006487A"/>
    <w:rsid w:val="00065F8F"/>
    <w:rsid w:val="00070A43"/>
    <w:rsid w:val="000768F2"/>
    <w:rsid w:val="0009184B"/>
    <w:rsid w:val="00094236"/>
    <w:rsid w:val="0009593C"/>
    <w:rsid w:val="00097322"/>
    <w:rsid w:val="000A6A92"/>
    <w:rsid w:val="000B047F"/>
    <w:rsid w:val="000B5923"/>
    <w:rsid w:val="000B5A48"/>
    <w:rsid w:val="000B6FF3"/>
    <w:rsid w:val="000C3467"/>
    <w:rsid w:val="000C3CA6"/>
    <w:rsid w:val="000D1267"/>
    <w:rsid w:val="000D1D50"/>
    <w:rsid w:val="000D5782"/>
    <w:rsid w:val="000E6613"/>
    <w:rsid w:val="000E7119"/>
    <w:rsid w:val="00114E9B"/>
    <w:rsid w:val="00142216"/>
    <w:rsid w:val="00144D6A"/>
    <w:rsid w:val="0014729F"/>
    <w:rsid w:val="00157BAB"/>
    <w:rsid w:val="001654D1"/>
    <w:rsid w:val="00174518"/>
    <w:rsid w:val="0018106D"/>
    <w:rsid w:val="001877A7"/>
    <w:rsid w:val="00191536"/>
    <w:rsid w:val="00196687"/>
    <w:rsid w:val="001C0962"/>
    <w:rsid w:val="001D7531"/>
    <w:rsid w:val="001E737D"/>
    <w:rsid w:val="001F0592"/>
    <w:rsid w:val="001F7506"/>
    <w:rsid w:val="002006CD"/>
    <w:rsid w:val="00202B36"/>
    <w:rsid w:val="00204B7A"/>
    <w:rsid w:val="00204CDE"/>
    <w:rsid w:val="0021101A"/>
    <w:rsid w:val="00220536"/>
    <w:rsid w:val="00235629"/>
    <w:rsid w:val="00260C38"/>
    <w:rsid w:val="002616C0"/>
    <w:rsid w:val="00265372"/>
    <w:rsid w:val="002662AA"/>
    <w:rsid w:val="00280496"/>
    <w:rsid w:val="00294DC9"/>
    <w:rsid w:val="00295495"/>
    <w:rsid w:val="002A31DE"/>
    <w:rsid w:val="002B2613"/>
    <w:rsid w:val="002D6D05"/>
    <w:rsid w:val="002F1818"/>
    <w:rsid w:val="002F567B"/>
    <w:rsid w:val="003216A9"/>
    <w:rsid w:val="00335A74"/>
    <w:rsid w:val="0036561B"/>
    <w:rsid w:val="0037013F"/>
    <w:rsid w:val="00380C92"/>
    <w:rsid w:val="003A484F"/>
    <w:rsid w:val="003A4883"/>
    <w:rsid w:val="003B0BE0"/>
    <w:rsid w:val="003B0C1B"/>
    <w:rsid w:val="003B688C"/>
    <w:rsid w:val="003C0291"/>
    <w:rsid w:val="003C39AE"/>
    <w:rsid w:val="003C7B60"/>
    <w:rsid w:val="003D0C0F"/>
    <w:rsid w:val="003D1FB2"/>
    <w:rsid w:val="003D66DA"/>
    <w:rsid w:val="003E1310"/>
    <w:rsid w:val="003E6F55"/>
    <w:rsid w:val="00406254"/>
    <w:rsid w:val="004223DE"/>
    <w:rsid w:val="00434489"/>
    <w:rsid w:val="00437085"/>
    <w:rsid w:val="00443880"/>
    <w:rsid w:val="004464F4"/>
    <w:rsid w:val="00471401"/>
    <w:rsid w:val="00473F31"/>
    <w:rsid w:val="0048263A"/>
    <w:rsid w:val="00487E5D"/>
    <w:rsid w:val="004A711F"/>
    <w:rsid w:val="004B199D"/>
    <w:rsid w:val="004B4690"/>
    <w:rsid w:val="004E0A2D"/>
    <w:rsid w:val="004E206B"/>
    <w:rsid w:val="004E6DF7"/>
    <w:rsid w:val="004F0FBD"/>
    <w:rsid w:val="00505A47"/>
    <w:rsid w:val="00512FDA"/>
    <w:rsid w:val="00520DA0"/>
    <w:rsid w:val="005664BB"/>
    <w:rsid w:val="00566FFA"/>
    <w:rsid w:val="0057481D"/>
    <w:rsid w:val="0058486E"/>
    <w:rsid w:val="00585B33"/>
    <w:rsid w:val="0059014D"/>
    <w:rsid w:val="005B5C64"/>
    <w:rsid w:val="005C5337"/>
    <w:rsid w:val="005C6BD0"/>
    <w:rsid w:val="005D1C8B"/>
    <w:rsid w:val="005D468D"/>
    <w:rsid w:val="005D5CED"/>
    <w:rsid w:val="005F1A4C"/>
    <w:rsid w:val="00605688"/>
    <w:rsid w:val="006070AF"/>
    <w:rsid w:val="00607E6C"/>
    <w:rsid w:val="006101B1"/>
    <w:rsid w:val="00614E44"/>
    <w:rsid w:val="0062270A"/>
    <w:rsid w:val="00622830"/>
    <w:rsid w:val="00623DA0"/>
    <w:rsid w:val="00630AEF"/>
    <w:rsid w:val="006325F8"/>
    <w:rsid w:val="00633463"/>
    <w:rsid w:val="00634C9A"/>
    <w:rsid w:val="006440E4"/>
    <w:rsid w:val="0066343B"/>
    <w:rsid w:val="00664777"/>
    <w:rsid w:val="006748A4"/>
    <w:rsid w:val="00681A31"/>
    <w:rsid w:val="00683E73"/>
    <w:rsid w:val="006A3141"/>
    <w:rsid w:val="006A5E34"/>
    <w:rsid w:val="006B2422"/>
    <w:rsid w:val="006B2B9A"/>
    <w:rsid w:val="006C1937"/>
    <w:rsid w:val="006F020C"/>
    <w:rsid w:val="007127B7"/>
    <w:rsid w:val="0071798E"/>
    <w:rsid w:val="007416B6"/>
    <w:rsid w:val="00746F48"/>
    <w:rsid w:val="0075404D"/>
    <w:rsid w:val="0076182A"/>
    <w:rsid w:val="00767B7E"/>
    <w:rsid w:val="007770C3"/>
    <w:rsid w:val="00784D24"/>
    <w:rsid w:val="00785FBA"/>
    <w:rsid w:val="00786E4A"/>
    <w:rsid w:val="007875EB"/>
    <w:rsid w:val="0079426B"/>
    <w:rsid w:val="007D1682"/>
    <w:rsid w:val="007D312A"/>
    <w:rsid w:val="007D3F19"/>
    <w:rsid w:val="007E23B0"/>
    <w:rsid w:val="007E23E5"/>
    <w:rsid w:val="007F1991"/>
    <w:rsid w:val="007F2C2F"/>
    <w:rsid w:val="007F55FC"/>
    <w:rsid w:val="007F5665"/>
    <w:rsid w:val="00800112"/>
    <w:rsid w:val="00813348"/>
    <w:rsid w:val="008253BB"/>
    <w:rsid w:val="0083706E"/>
    <w:rsid w:val="008408F6"/>
    <w:rsid w:val="008423A5"/>
    <w:rsid w:val="00850625"/>
    <w:rsid w:val="00853718"/>
    <w:rsid w:val="00855221"/>
    <w:rsid w:val="00860645"/>
    <w:rsid w:val="00871F71"/>
    <w:rsid w:val="00872FD8"/>
    <w:rsid w:val="00885AF4"/>
    <w:rsid w:val="008939CD"/>
    <w:rsid w:val="008B768C"/>
    <w:rsid w:val="008C4DB1"/>
    <w:rsid w:val="008C4EAF"/>
    <w:rsid w:val="008C5176"/>
    <w:rsid w:val="008C7FD0"/>
    <w:rsid w:val="008E1DE7"/>
    <w:rsid w:val="008E707C"/>
    <w:rsid w:val="00900B08"/>
    <w:rsid w:val="00902155"/>
    <w:rsid w:val="00902FA3"/>
    <w:rsid w:val="00923564"/>
    <w:rsid w:val="0092392E"/>
    <w:rsid w:val="009315F9"/>
    <w:rsid w:val="00933499"/>
    <w:rsid w:val="00935C98"/>
    <w:rsid w:val="00946945"/>
    <w:rsid w:val="00951248"/>
    <w:rsid w:val="0095152F"/>
    <w:rsid w:val="00954C49"/>
    <w:rsid w:val="00955E37"/>
    <w:rsid w:val="0097099F"/>
    <w:rsid w:val="00971997"/>
    <w:rsid w:val="00971FFC"/>
    <w:rsid w:val="0098660A"/>
    <w:rsid w:val="009931C3"/>
    <w:rsid w:val="009B2C43"/>
    <w:rsid w:val="009B4EAE"/>
    <w:rsid w:val="009B7573"/>
    <w:rsid w:val="009C22F4"/>
    <w:rsid w:val="009C2A4B"/>
    <w:rsid w:val="009C2E98"/>
    <w:rsid w:val="009D3447"/>
    <w:rsid w:val="009D4711"/>
    <w:rsid w:val="009F1185"/>
    <w:rsid w:val="009F18CD"/>
    <w:rsid w:val="009F2A13"/>
    <w:rsid w:val="009F7527"/>
    <w:rsid w:val="00A04EB0"/>
    <w:rsid w:val="00A13CC1"/>
    <w:rsid w:val="00A16847"/>
    <w:rsid w:val="00A237D8"/>
    <w:rsid w:val="00A268C4"/>
    <w:rsid w:val="00A307CD"/>
    <w:rsid w:val="00A331C8"/>
    <w:rsid w:val="00A40A00"/>
    <w:rsid w:val="00A4142F"/>
    <w:rsid w:val="00A422EB"/>
    <w:rsid w:val="00A45BB7"/>
    <w:rsid w:val="00A56DF2"/>
    <w:rsid w:val="00A56E6E"/>
    <w:rsid w:val="00A67AB5"/>
    <w:rsid w:val="00A733B2"/>
    <w:rsid w:val="00A741C2"/>
    <w:rsid w:val="00A91760"/>
    <w:rsid w:val="00A93B00"/>
    <w:rsid w:val="00A93C21"/>
    <w:rsid w:val="00AB64C9"/>
    <w:rsid w:val="00AC3C6A"/>
    <w:rsid w:val="00AD5620"/>
    <w:rsid w:val="00AD656B"/>
    <w:rsid w:val="00AD7C1B"/>
    <w:rsid w:val="00AE16BA"/>
    <w:rsid w:val="00AE1EBE"/>
    <w:rsid w:val="00B03C9D"/>
    <w:rsid w:val="00B060AE"/>
    <w:rsid w:val="00B10517"/>
    <w:rsid w:val="00B14E76"/>
    <w:rsid w:val="00B161B8"/>
    <w:rsid w:val="00B2048C"/>
    <w:rsid w:val="00B310B9"/>
    <w:rsid w:val="00B35F3F"/>
    <w:rsid w:val="00B36CBB"/>
    <w:rsid w:val="00B425E0"/>
    <w:rsid w:val="00B440AA"/>
    <w:rsid w:val="00B44B70"/>
    <w:rsid w:val="00B53C56"/>
    <w:rsid w:val="00B57DAF"/>
    <w:rsid w:val="00B77EA6"/>
    <w:rsid w:val="00B81598"/>
    <w:rsid w:val="00B841F1"/>
    <w:rsid w:val="00B944D6"/>
    <w:rsid w:val="00BB4DF0"/>
    <w:rsid w:val="00BC289F"/>
    <w:rsid w:val="00BC2D50"/>
    <w:rsid w:val="00BC5361"/>
    <w:rsid w:val="00BC5460"/>
    <w:rsid w:val="00BC6B50"/>
    <w:rsid w:val="00BD0E25"/>
    <w:rsid w:val="00BF5BD6"/>
    <w:rsid w:val="00C03E31"/>
    <w:rsid w:val="00C33E72"/>
    <w:rsid w:val="00C354B2"/>
    <w:rsid w:val="00C35554"/>
    <w:rsid w:val="00C42709"/>
    <w:rsid w:val="00C533CC"/>
    <w:rsid w:val="00C5751C"/>
    <w:rsid w:val="00C61BFC"/>
    <w:rsid w:val="00C62B85"/>
    <w:rsid w:val="00C65438"/>
    <w:rsid w:val="00C87FD8"/>
    <w:rsid w:val="00C91381"/>
    <w:rsid w:val="00C91CBB"/>
    <w:rsid w:val="00CB4E70"/>
    <w:rsid w:val="00CC09B6"/>
    <w:rsid w:val="00CC666F"/>
    <w:rsid w:val="00CD1E3F"/>
    <w:rsid w:val="00CE44F6"/>
    <w:rsid w:val="00CE49DA"/>
    <w:rsid w:val="00CE7B61"/>
    <w:rsid w:val="00D00095"/>
    <w:rsid w:val="00D114F0"/>
    <w:rsid w:val="00D20620"/>
    <w:rsid w:val="00D254F7"/>
    <w:rsid w:val="00D26091"/>
    <w:rsid w:val="00D2685C"/>
    <w:rsid w:val="00D34E7C"/>
    <w:rsid w:val="00D35489"/>
    <w:rsid w:val="00D36AFE"/>
    <w:rsid w:val="00D51276"/>
    <w:rsid w:val="00D7035F"/>
    <w:rsid w:val="00DA634F"/>
    <w:rsid w:val="00DA65AC"/>
    <w:rsid w:val="00DB1913"/>
    <w:rsid w:val="00DC410D"/>
    <w:rsid w:val="00DC5A81"/>
    <w:rsid w:val="00DC68CA"/>
    <w:rsid w:val="00DC7CBA"/>
    <w:rsid w:val="00DD73B7"/>
    <w:rsid w:val="00DF28BC"/>
    <w:rsid w:val="00DF34B9"/>
    <w:rsid w:val="00E01053"/>
    <w:rsid w:val="00E07ACF"/>
    <w:rsid w:val="00E331A1"/>
    <w:rsid w:val="00E33202"/>
    <w:rsid w:val="00E336A9"/>
    <w:rsid w:val="00E472B1"/>
    <w:rsid w:val="00E50624"/>
    <w:rsid w:val="00E54633"/>
    <w:rsid w:val="00E568DF"/>
    <w:rsid w:val="00E64269"/>
    <w:rsid w:val="00E82267"/>
    <w:rsid w:val="00E853CE"/>
    <w:rsid w:val="00E867B6"/>
    <w:rsid w:val="00EA010F"/>
    <w:rsid w:val="00ED1B63"/>
    <w:rsid w:val="00ED3C1F"/>
    <w:rsid w:val="00ED4085"/>
    <w:rsid w:val="00ED420E"/>
    <w:rsid w:val="00ED6FBE"/>
    <w:rsid w:val="00EE2F57"/>
    <w:rsid w:val="00EF4C34"/>
    <w:rsid w:val="00EF77C6"/>
    <w:rsid w:val="00F05438"/>
    <w:rsid w:val="00F1361C"/>
    <w:rsid w:val="00F156F0"/>
    <w:rsid w:val="00F160C7"/>
    <w:rsid w:val="00F2408F"/>
    <w:rsid w:val="00F240E9"/>
    <w:rsid w:val="00F36D8F"/>
    <w:rsid w:val="00F417B1"/>
    <w:rsid w:val="00F45853"/>
    <w:rsid w:val="00F602DF"/>
    <w:rsid w:val="00F754A1"/>
    <w:rsid w:val="00F81FD9"/>
    <w:rsid w:val="00F841AA"/>
    <w:rsid w:val="00F84A94"/>
    <w:rsid w:val="00F87E96"/>
    <w:rsid w:val="00FA23E8"/>
    <w:rsid w:val="00FD3CC1"/>
    <w:rsid w:val="00FF1E02"/>
    <w:rsid w:val="00FF30B4"/>
    <w:rsid w:val="015975B8"/>
    <w:rsid w:val="01A23516"/>
    <w:rsid w:val="02317B1B"/>
    <w:rsid w:val="02FEBE30"/>
    <w:rsid w:val="061E35DE"/>
    <w:rsid w:val="066E0107"/>
    <w:rsid w:val="07996F6E"/>
    <w:rsid w:val="07DFD8BA"/>
    <w:rsid w:val="08DB07E4"/>
    <w:rsid w:val="09867E8F"/>
    <w:rsid w:val="0A2032A3"/>
    <w:rsid w:val="0C6C4794"/>
    <w:rsid w:val="0CA8290A"/>
    <w:rsid w:val="0D35B1ED"/>
    <w:rsid w:val="0DE07E2B"/>
    <w:rsid w:val="0F98263C"/>
    <w:rsid w:val="101860EC"/>
    <w:rsid w:val="10C055FF"/>
    <w:rsid w:val="11772AA4"/>
    <w:rsid w:val="118107EC"/>
    <w:rsid w:val="13957196"/>
    <w:rsid w:val="13D50BC4"/>
    <w:rsid w:val="14022904"/>
    <w:rsid w:val="152F2A07"/>
    <w:rsid w:val="165E0673"/>
    <w:rsid w:val="16BB723D"/>
    <w:rsid w:val="16F13FCB"/>
    <w:rsid w:val="186504BB"/>
    <w:rsid w:val="1938089F"/>
    <w:rsid w:val="19A445FC"/>
    <w:rsid w:val="1B7D550C"/>
    <w:rsid w:val="1BE8440E"/>
    <w:rsid w:val="1D155CEE"/>
    <w:rsid w:val="1DE178F3"/>
    <w:rsid w:val="1E740ACF"/>
    <w:rsid w:val="1FF35744"/>
    <w:rsid w:val="1FF6BC77"/>
    <w:rsid w:val="21962A9E"/>
    <w:rsid w:val="219F0050"/>
    <w:rsid w:val="21AE7C77"/>
    <w:rsid w:val="22BC3C41"/>
    <w:rsid w:val="23860B96"/>
    <w:rsid w:val="240371BF"/>
    <w:rsid w:val="256B4B6C"/>
    <w:rsid w:val="260F557C"/>
    <w:rsid w:val="281408E2"/>
    <w:rsid w:val="283702C6"/>
    <w:rsid w:val="29327A1F"/>
    <w:rsid w:val="29FD04D3"/>
    <w:rsid w:val="2BFF7BC6"/>
    <w:rsid w:val="2C8A61B5"/>
    <w:rsid w:val="2D2E01CF"/>
    <w:rsid w:val="2DF04E50"/>
    <w:rsid w:val="2E9545B0"/>
    <w:rsid w:val="2F040D46"/>
    <w:rsid w:val="2FA07F17"/>
    <w:rsid w:val="2FAE5751"/>
    <w:rsid w:val="2FB1A395"/>
    <w:rsid w:val="2FD9A7D8"/>
    <w:rsid w:val="319F7F4E"/>
    <w:rsid w:val="321B2544"/>
    <w:rsid w:val="3304709D"/>
    <w:rsid w:val="341E587B"/>
    <w:rsid w:val="34281836"/>
    <w:rsid w:val="349231ED"/>
    <w:rsid w:val="349D6851"/>
    <w:rsid w:val="34B64307"/>
    <w:rsid w:val="35BA6CAF"/>
    <w:rsid w:val="35D37231"/>
    <w:rsid w:val="364D14C1"/>
    <w:rsid w:val="36AA5135"/>
    <w:rsid w:val="36BE0DA7"/>
    <w:rsid w:val="376B6AA6"/>
    <w:rsid w:val="376D39B2"/>
    <w:rsid w:val="37E16F03"/>
    <w:rsid w:val="37F53A3B"/>
    <w:rsid w:val="389B6C89"/>
    <w:rsid w:val="38D469F0"/>
    <w:rsid w:val="39627CCD"/>
    <w:rsid w:val="397BAF1F"/>
    <w:rsid w:val="3AB79AF3"/>
    <w:rsid w:val="3B7EF35A"/>
    <w:rsid w:val="3B9FDB6C"/>
    <w:rsid w:val="3BF5BC2F"/>
    <w:rsid w:val="3CEBA265"/>
    <w:rsid w:val="3D98207C"/>
    <w:rsid w:val="3D9B0D99"/>
    <w:rsid w:val="3DEE7CF3"/>
    <w:rsid w:val="3DF02244"/>
    <w:rsid w:val="3E6569DB"/>
    <w:rsid w:val="3E78745D"/>
    <w:rsid w:val="3F266AA8"/>
    <w:rsid w:val="3FF4CAE0"/>
    <w:rsid w:val="3FF7B227"/>
    <w:rsid w:val="40E54C45"/>
    <w:rsid w:val="41313393"/>
    <w:rsid w:val="43A407DF"/>
    <w:rsid w:val="44515BEA"/>
    <w:rsid w:val="44E268DA"/>
    <w:rsid w:val="453F7E5B"/>
    <w:rsid w:val="486A6C7A"/>
    <w:rsid w:val="49176D9B"/>
    <w:rsid w:val="494006BD"/>
    <w:rsid w:val="4A627F82"/>
    <w:rsid w:val="4B0E749A"/>
    <w:rsid w:val="4B4F25DA"/>
    <w:rsid w:val="4BDA0CFB"/>
    <w:rsid w:val="4BE068DB"/>
    <w:rsid w:val="4D3C0CCC"/>
    <w:rsid w:val="4D577224"/>
    <w:rsid w:val="4DBF1CEB"/>
    <w:rsid w:val="4EAB630A"/>
    <w:rsid w:val="4ECE2238"/>
    <w:rsid w:val="4F833267"/>
    <w:rsid w:val="4FE9BD67"/>
    <w:rsid w:val="4FFB052F"/>
    <w:rsid w:val="5068769E"/>
    <w:rsid w:val="53083A92"/>
    <w:rsid w:val="537E6D0A"/>
    <w:rsid w:val="53AF27A2"/>
    <w:rsid w:val="53F74C96"/>
    <w:rsid w:val="56E47B74"/>
    <w:rsid w:val="57BD3DD4"/>
    <w:rsid w:val="5AF92295"/>
    <w:rsid w:val="5BDD79E6"/>
    <w:rsid w:val="5BF561CA"/>
    <w:rsid w:val="5BFF5DFC"/>
    <w:rsid w:val="5CD71FC4"/>
    <w:rsid w:val="5D1F11B5"/>
    <w:rsid w:val="5DAE1B18"/>
    <w:rsid w:val="5DE7D9E5"/>
    <w:rsid w:val="5ECEC941"/>
    <w:rsid w:val="5F493CB7"/>
    <w:rsid w:val="5FBF9FF3"/>
    <w:rsid w:val="5FCD4E2C"/>
    <w:rsid w:val="5FD15F49"/>
    <w:rsid w:val="5FEF394A"/>
    <w:rsid w:val="5FF67715"/>
    <w:rsid w:val="621305AB"/>
    <w:rsid w:val="62BF3928"/>
    <w:rsid w:val="647F5392"/>
    <w:rsid w:val="658F63BC"/>
    <w:rsid w:val="664B1D71"/>
    <w:rsid w:val="67AA3209"/>
    <w:rsid w:val="681C4F0D"/>
    <w:rsid w:val="69046D0F"/>
    <w:rsid w:val="698D0931"/>
    <w:rsid w:val="6A993CED"/>
    <w:rsid w:val="6B053271"/>
    <w:rsid w:val="6BCE6674"/>
    <w:rsid w:val="6C4A05C8"/>
    <w:rsid w:val="6C8742B8"/>
    <w:rsid w:val="6C8A170F"/>
    <w:rsid w:val="6CB54609"/>
    <w:rsid w:val="6DA02882"/>
    <w:rsid w:val="6DBF5E93"/>
    <w:rsid w:val="6DFF077E"/>
    <w:rsid w:val="6E7E3605"/>
    <w:rsid w:val="6E7FDCC7"/>
    <w:rsid w:val="6ED6A62E"/>
    <w:rsid w:val="6EE00B15"/>
    <w:rsid w:val="6F544B20"/>
    <w:rsid w:val="6F6FB3EB"/>
    <w:rsid w:val="6F784160"/>
    <w:rsid w:val="6F8731EA"/>
    <w:rsid w:val="6FCE6052"/>
    <w:rsid w:val="6FD57C00"/>
    <w:rsid w:val="6FEFFFD8"/>
    <w:rsid w:val="6FF5CC65"/>
    <w:rsid w:val="6FFB47EC"/>
    <w:rsid w:val="6FFF034A"/>
    <w:rsid w:val="70496804"/>
    <w:rsid w:val="712A28F1"/>
    <w:rsid w:val="715C0E4B"/>
    <w:rsid w:val="72233669"/>
    <w:rsid w:val="72734D90"/>
    <w:rsid w:val="7332FE48"/>
    <w:rsid w:val="73AB61DA"/>
    <w:rsid w:val="73AD73D5"/>
    <w:rsid w:val="73B6EB34"/>
    <w:rsid w:val="73FA497D"/>
    <w:rsid w:val="744731E5"/>
    <w:rsid w:val="74527205"/>
    <w:rsid w:val="74BBD01D"/>
    <w:rsid w:val="74ED5379"/>
    <w:rsid w:val="74FC2395"/>
    <w:rsid w:val="75DEEEC2"/>
    <w:rsid w:val="76E3355F"/>
    <w:rsid w:val="76FF5125"/>
    <w:rsid w:val="776F6FFA"/>
    <w:rsid w:val="778769C8"/>
    <w:rsid w:val="77DC22F5"/>
    <w:rsid w:val="79086DAD"/>
    <w:rsid w:val="79974F09"/>
    <w:rsid w:val="79A347B1"/>
    <w:rsid w:val="79D7FD79"/>
    <w:rsid w:val="79EE5BA4"/>
    <w:rsid w:val="79F43432"/>
    <w:rsid w:val="7A894339"/>
    <w:rsid w:val="7AFF7572"/>
    <w:rsid w:val="7B6C7DFB"/>
    <w:rsid w:val="7B911C6C"/>
    <w:rsid w:val="7BBFBED0"/>
    <w:rsid w:val="7BC3E394"/>
    <w:rsid w:val="7C1F3737"/>
    <w:rsid w:val="7CBFC87B"/>
    <w:rsid w:val="7CFE0F48"/>
    <w:rsid w:val="7D7EC23E"/>
    <w:rsid w:val="7D916348"/>
    <w:rsid w:val="7E0F4C1A"/>
    <w:rsid w:val="7E8ADEBF"/>
    <w:rsid w:val="7EEF11D3"/>
    <w:rsid w:val="7F0971A6"/>
    <w:rsid w:val="7F3F679B"/>
    <w:rsid w:val="7F4FC4EF"/>
    <w:rsid w:val="7F5E4D54"/>
    <w:rsid w:val="7F6E0135"/>
    <w:rsid w:val="7FA30C79"/>
    <w:rsid w:val="7FAF8ABF"/>
    <w:rsid w:val="7FB7269E"/>
    <w:rsid w:val="7FC96657"/>
    <w:rsid w:val="7FDA9588"/>
    <w:rsid w:val="7FDF220F"/>
    <w:rsid w:val="7FEDC5F7"/>
    <w:rsid w:val="7FEDD9DE"/>
    <w:rsid w:val="7FF5890D"/>
    <w:rsid w:val="7FF93490"/>
    <w:rsid w:val="99FF2014"/>
    <w:rsid w:val="A6DD0D7F"/>
    <w:rsid w:val="ADC6F725"/>
    <w:rsid w:val="B7CF06AB"/>
    <w:rsid w:val="B7CFA926"/>
    <w:rsid w:val="B7F8786B"/>
    <w:rsid w:val="BABB6AA1"/>
    <w:rsid w:val="BB2F4199"/>
    <w:rsid w:val="BD079C78"/>
    <w:rsid w:val="BD733540"/>
    <w:rsid w:val="BF3735D5"/>
    <w:rsid w:val="BF7F09AC"/>
    <w:rsid w:val="BFD475C3"/>
    <w:rsid w:val="BFDE5EA6"/>
    <w:rsid w:val="CF6FC6F3"/>
    <w:rsid w:val="CFD3D3D7"/>
    <w:rsid w:val="CFDF1009"/>
    <w:rsid w:val="D7D7B16A"/>
    <w:rsid w:val="D8D6DB89"/>
    <w:rsid w:val="DB6F4CAB"/>
    <w:rsid w:val="DB777682"/>
    <w:rsid w:val="DD1FB521"/>
    <w:rsid w:val="DEFBFEAE"/>
    <w:rsid w:val="DF1F3B80"/>
    <w:rsid w:val="DF6F9789"/>
    <w:rsid w:val="DFFFA9E8"/>
    <w:rsid w:val="E5F4E9DC"/>
    <w:rsid w:val="E70FE695"/>
    <w:rsid w:val="ECFED1BC"/>
    <w:rsid w:val="ED1D69BB"/>
    <w:rsid w:val="ED7FD312"/>
    <w:rsid w:val="EF53993F"/>
    <w:rsid w:val="EF6FD633"/>
    <w:rsid w:val="EFBFB2F4"/>
    <w:rsid w:val="EFBFFA21"/>
    <w:rsid w:val="F2BEBCB8"/>
    <w:rsid w:val="F36FB518"/>
    <w:rsid w:val="F3DE1A04"/>
    <w:rsid w:val="F3F722E5"/>
    <w:rsid w:val="FA5F1E70"/>
    <w:rsid w:val="FA5FDB97"/>
    <w:rsid w:val="FB7F486A"/>
    <w:rsid w:val="FBFF5B2E"/>
    <w:rsid w:val="FD7FFE2B"/>
    <w:rsid w:val="FDEE196B"/>
    <w:rsid w:val="FDFE6575"/>
    <w:rsid w:val="FEDFDDC2"/>
    <w:rsid w:val="FEED32F6"/>
    <w:rsid w:val="FEF781DD"/>
    <w:rsid w:val="FF3F7E3F"/>
    <w:rsid w:val="FFBA12D7"/>
    <w:rsid w:val="FFDFFAEE"/>
    <w:rsid w:val="FFF9B57B"/>
    <w:rsid w:val="FFFD61D9"/>
    <w:rsid w:val="FFFD8F59"/>
    <w:rsid w:val="FFFF2BB1"/>
    <w:rsid w:val="FFFFB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link w:val="2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6">
    <w:name w:val="heading 2"/>
    <w:basedOn w:val="1"/>
    <w:next w:val="1"/>
    <w:link w:val="2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7">
    <w:name w:val="heading 3"/>
    <w:basedOn w:val="1"/>
    <w:next w:val="1"/>
    <w:link w:val="32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paragraph" w:styleId="4">
    <w:name w:val="Body Text Indent"/>
    <w:basedOn w:val="1"/>
    <w:next w:val="3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8">
    <w:name w:val="Body Text"/>
    <w:basedOn w:val="1"/>
    <w:link w:val="25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9">
    <w:name w:val="toc 3"/>
    <w:basedOn w:val="1"/>
    <w:next w:val="1"/>
    <w:unhideWhenUsed/>
    <w:qFormat/>
    <w:uiPriority w:val="39"/>
    <w:pPr>
      <w:tabs>
        <w:tab w:val="right" w:leader="dot" w:pos="8296"/>
      </w:tabs>
      <w:ind w:left="840" w:leftChars="400"/>
    </w:pPr>
  </w:style>
  <w:style w:type="paragraph" w:styleId="10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12">
    <w:name w:val="header"/>
    <w:basedOn w:val="1"/>
    <w:link w:val="2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13">
    <w:name w:val="toc 1"/>
    <w:basedOn w:val="1"/>
    <w:next w:val="1"/>
    <w:unhideWhenUsed/>
    <w:qFormat/>
    <w:uiPriority w:val="39"/>
    <w:pPr>
      <w:tabs>
        <w:tab w:val="right" w:leader="dot" w:pos="8296"/>
      </w:tabs>
      <w:spacing w:before="93"/>
      <w:jc w:val="center"/>
    </w:pPr>
    <w:rPr>
      <w:rFonts w:ascii="仿宋" w:hAnsi="仿宋" w:eastAsia="仿宋"/>
      <w:sz w:val="28"/>
      <w:szCs w:val="28"/>
    </w:rPr>
  </w:style>
  <w:style w:type="paragraph" w:styleId="14">
    <w:name w:val="toc 2"/>
    <w:basedOn w:val="1"/>
    <w:next w:val="1"/>
    <w:unhideWhenUsed/>
    <w:qFormat/>
    <w:uiPriority w:val="39"/>
    <w:pPr>
      <w:tabs>
        <w:tab w:val="right" w:leader="dot" w:pos="8296"/>
      </w:tabs>
      <w:ind w:left="420" w:leftChars="200"/>
    </w:pPr>
  </w:style>
  <w:style w:type="character" w:styleId="17">
    <w:name w:val="Strong"/>
    <w:basedOn w:val="16"/>
    <w:qFormat/>
    <w:uiPriority w:val="99"/>
    <w:rPr>
      <w:b/>
    </w:rPr>
  </w:style>
  <w:style w:type="character" w:styleId="18">
    <w:name w:val="Hyperlink"/>
    <w:basedOn w:val="1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9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character" w:customStyle="1" w:styleId="20">
    <w:name w:val="Header Char"/>
    <w:basedOn w:val="16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21">
    <w:name w:val="页眉 Char"/>
    <w:link w:val="12"/>
    <w:semiHidden/>
    <w:qFormat/>
    <w:locked/>
    <w:uiPriority w:val="99"/>
    <w:rPr>
      <w:sz w:val="18"/>
    </w:rPr>
  </w:style>
  <w:style w:type="character" w:customStyle="1" w:styleId="22">
    <w:name w:val="Footer Char"/>
    <w:basedOn w:val="16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23">
    <w:name w:val="页脚 Char"/>
    <w:link w:val="11"/>
    <w:qFormat/>
    <w:locked/>
    <w:uiPriority w:val="99"/>
    <w:rPr>
      <w:sz w:val="18"/>
    </w:rPr>
  </w:style>
  <w:style w:type="character" w:customStyle="1" w:styleId="24">
    <w:name w:val="Body Text Char"/>
    <w:basedOn w:val="16"/>
    <w:semiHidden/>
    <w:qFormat/>
    <w:uiPriority w:val="99"/>
    <w:rPr>
      <w:rFonts w:ascii="Times New Roman" w:hAnsi="Times New Roman"/>
      <w:szCs w:val="24"/>
    </w:rPr>
  </w:style>
  <w:style w:type="character" w:customStyle="1" w:styleId="25">
    <w:name w:val="正文文本 Char"/>
    <w:link w:val="8"/>
    <w:qFormat/>
    <w:locked/>
    <w:uiPriority w:val="99"/>
    <w:rPr>
      <w:rFonts w:ascii="仿宋_GB2312" w:hAnsi="Times New Roman" w:eastAsia="仿宋_GB2312"/>
      <w:sz w:val="24"/>
    </w:rPr>
  </w:style>
  <w:style w:type="paragraph" w:customStyle="1" w:styleId="26">
    <w:name w:val="Default"/>
    <w:qFormat/>
    <w:uiPriority w:val="99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sz w:val="24"/>
      <w:szCs w:val="24"/>
      <w:lang w:val="en-US" w:eastAsia="zh-CN" w:bidi="ar-SA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character" w:customStyle="1" w:styleId="28">
    <w:name w:val="标题 1 Char"/>
    <w:basedOn w:val="16"/>
    <w:link w:val="5"/>
    <w:qFormat/>
    <w:uiPriority w:val="9"/>
    <w:rPr>
      <w:rFonts w:ascii="Times New Roman" w:hAnsi="Times New Roman"/>
      <w:b/>
      <w:bCs/>
      <w:kern w:val="44"/>
      <w:sz w:val="44"/>
      <w:szCs w:val="44"/>
    </w:rPr>
  </w:style>
  <w:style w:type="character" w:customStyle="1" w:styleId="29">
    <w:name w:val="标题 2 Char"/>
    <w:basedOn w:val="16"/>
    <w:link w:val="6"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customStyle="1" w:styleId="30">
    <w:name w:val="TOC 标题1"/>
    <w:basedOn w:val="5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1">
    <w:name w:val="批注框文本 Char"/>
    <w:basedOn w:val="16"/>
    <w:link w:val="10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32">
    <w:name w:val="标题 3 Char"/>
    <w:basedOn w:val="16"/>
    <w:link w:val="7"/>
    <w:qFormat/>
    <w:uiPriority w:val="9"/>
    <w:rPr>
      <w:rFonts w:ascii="Times New Roman" w:hAnsi="Times New Roman"/>
      <w:b/>
      <w:bCs/>
      <w:kern w:val="2"/>
      <w:sz w:val="32"/>
      <w:szCs w:val="32"/>
    </w:rPr>
  </w:style>
  <w:style w:type="paragraph" w:customStyle="1" w:styleId="33">
    <w:name w:val="TOC Heading"/>
    <w:basedOn w:val="5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paragraph" w:customStyle="1" w:styleId="34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customXml" Target="../customXml/item1.xml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78037f59-ede5-4779-9eae-665b581ba206</errorID>
      <errorWord>..</errorWord>
      <group>L1_Punc</group>
      <groupName>标点问题</groupName>
      <ability>L2_Punc_CN</ability>
      <abilityName>标点符号问题</abilityName>
      <candidateList>
        <item>……</item>
      </candidateList>
      <explain>省略号错误。</explain>
      <paraID>173BF36B</paraID>
      <start>22</start>
      <end>24</end>
      <status>modified</status>
      <modifiedWord>……</modifiedWord>
      <trackRevisions>false</trackRevisions>
    </reviewItem>
    <reviewItem>
      <errorID>87c79cd8-4d6d-456a-a917-c9af9d09bec7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>省略号错误。</explain>
      <paraID>349EDE5C</paraID>
      <start>21</start>
      <end>23</end>
      <status>modified</status>
      <modifiedWord>……</modifiedWord>
      <trackRevisions>false</trackRevisions>
    </reviewItem>
    <reviewItem>
      <errorID>fc6857ba-cd88-42f7-a941-227b03edb846</errorID>
      <errorWord>....</errorWord>
      <group>L1_Punc</group>
      <groupName>标点问题</groupName>
      <ability>L2_Punc_CN</ability>
      <abilityName>标点符号问题</abilityName>
      <candidateList>
        <item>……</item>
      </candidateList>
      <explain>省略号错误。</explain>
      <paraID>408B9D0B</paraID>
      <start>52</start>
      <end>54</end>
      <status>modified</status>
      <modifiedWord>……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c13687-bba5-4f0e-a9a9-348d2bbf64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四川省财政厅</Company>
  <Pages>10</Pages>
  <Words>2248</Words>
  <Characters>3187</Characters>
  <Lines>61</Lines>
  <Paragraphs>17</Paragraphs>
  <TotalTime>8</TotalTime>
  <ScaleCrop>false</ScaleCrop>
  <LinksUpToDate>false</LinksUpToDate>
  <CharactersWithSpaces>3204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2020-08-08T17:49:00Z</dcterms:created>
  <dc:creator>曹颖</dc:creator>
  <cp:lastModifiedBy>奕夕^_^</cp:lastModifiedBy>
  <cp:lastPrinted>2026-09-18T07:53:00Z</cp:lastPrinted>
  <dcterms:modified xsi:type="dcterms:W3CDTF">2026-10-16T01:43:37Z</dcterms:modified>
  <dc:title>四川省***</dc:title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68D9B193966849519BD16790B3419926_13</vt:lpwstr>
  </property>
  <property fmtid="{D5CDD505-2E9C-101B-9397-08002B2CF9AE}" pid="4" name="KSOTemplateDocerSaveRecord">
    <vt:lpwstr>eyJoZGlkIjoiNTU1MWNhN2ZmY2ZhZmY3ODhlYTg0MWU5OGMyY2QwZmUiLCJ1c2VySWQiOiI0MzQ2NTM0NzEifQ==</vt:lpwstr>
  </property>
</Properties>
</file>