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0D599">
      <w:pPr>
        <w:pageBreakBefore w:val="0"/>
        <w:kinsoku/>
        <w:wordWrap/>
        <w:overflowPunct/>
        <w:topLinePunct w:val="0"/>
        <w:bidi w:val="0"/>
        <w:spacing w:line="578" w:lineRule="exact"/>
        <w:jc w:val="center"/>
        <w:textAlignment w:val="auto"/>
        <w:outlineLvl w:val="0"/>
        <w:rPr>
          <w:rFonts w:hint="eastAsia" w:ascii="方正小标宋简体" w:hAnsi="宋体" w:eastAsia="方正小标宋简体" w:cs="Times New Roman"/>
          <w:b/>
          <w:bCs/>
          <w:color w:val="auto"/>
          <w:kern w:val="2"/>
          <w:sz w:val="44"/>
          <w:szCs w:val="44"/>
          <w:highlight w:val="none"/>
          <w:lang w:val="en-US" w:eastAsia="zh-CN" w:bidi="ar-SA"/>
        </w:rPr>
      </w:pPr>
      <w:bookmarkStart w:id="0" w:name="_Toc15396597"/>
      <w:bookmarkStart w:id="1" w:name="_Toc15396475"/>
      <w:bookmarkStart w:id="2" w:name="_Toc15377425"/>
      <w:bookmarkStart w:id="3" w:name="_Toc15378441"/>
      <w:bookmarkStart w:id="4" w:name="_Toc15377193"/>
      <w:bookmarkStart w:id="5" w:name="_Toc15306267"/>
      <w:r>
        <w:rPr>
          <w:rFonts w:hint="eastAsia" w:ascii="方正小标宋简体" w:hAnsi="宋体" w:eastAsia="方正小标宋简体" w:cs="Times New Roman"/>
          <w:b/>
          <w:bCs/>
          <w:color w:val="auto"/>
          <w:kern w:val="2"/>
          <w:sz w:val="44"/>
          <w:szCs w:val="44"/>
          <w:highlight w:val="none"/>
          <w:lang w:val="en-US" w:eastAsia="zh-CN" w:bidi="ar-SA"/>
        </w:rPr>
        <w:t>2025年度四川省阿坝州</w:t>
      </w:r>
    </w:p>
    <w:p w14:paraId="5065557A">
      <w:pPr>
        <w:pageBreakBefore w:val="0"/>
        <w:kinsoku/>
        <w:wordWrap/>
        <w:overflowPunct/>
        <w:topLinePunct w:val="0"/>
        <w:bidi w:val="0"/>
        <w:adjustRightInd w:val="0"/>
        <w:snapToGrid w:val="0"/>
        <w:spacing w:line="578" w:lineRule="exact"/>
        <w:jc w:val="center"/>
        <w:textAlignment w:val="auto"/>
        <w:outlineLvl w:val="0"/>
        <w:rPr>
          <w:rFonts w:hint="eastAsia" w:ascii="方正小标宋简体" w:hAnsi="宋体" w:eastAsia="方正小标宋简体" w:cs="Times New Roman"/>
          <w:b/>
          <w:bCs/>
          <w:color w:val="auto"/>
          <w:kern w:val="2"/>
          <w:sz w:val="44"/>
          <w:szCs w:val="44"/>
          <w:highlight w:val="none"/>
          <w:lang w:val="en-US" w:eastAsia="zh-CN" w:bidi="ar-SA"/>
        </w:rPr>
      </w:pPr>
      <w:r>
        <w:rPr>
          <w:rFonts w:hint="eastAsia" w:ascii="方正小标宋简体" w:hAnsi="宋体" w:eastAsia="方正小标宋简体" w:cs="Times New Roman"/>
          <w:b/>
          <w:bCs/>
          <w:color w:val="auto"/>
          <w:kern w:val="2"/>
          <w:sz w:val="44"/>
          <w:szCs w:val="44"/>
          <w:highlight w:val="none"/>
          <w:lang w:val="en-US" w:eastAsia="zh-CN" w:bidi="ar-SA"/>
        </w:rPr>
        <w:t>中共松潘县纪律检查委员会</w:t>
      </w:r>
    </w:p>
    <w:p w14:paraId="72F61984">
      <w:pPr>
        <w:pStyle w:val="8"/>
        <w:pageBreakBefore w:val="0"/>
        <w:kinsoku/>
        <w:wordWrap/>
        <w:overflowPunct/>
        <w:topLinePunct w:val="0"/>
        <w:bidi w:val="0"/>
        <w:spacing w:line="578" w:lineRule="exact"/>
        <w:jc w:val="center"/>
        <w:textAlignment w:val="auto"/>
        <w:rPr>
          <w:rFonts w:hint="eastAsia" w:ascii="方正小标宋简体" w:hAnsi="宋体" w:eastAsia="方正小标宋简体" w:cs="Times New Roman"/>
          <w:b/>
          <w:bCs/>
          <w:color w:val="auto"/>
          <w:kern w:val="2"/>
          <w:sz w:val="44"/>
          <w:szCs w:val="44"/>
          <w:highlight w:val="none"/>
          <w:lang w:val="en-US" w:eastAsia="zh-CN" w:bidi="ar-SA"/>
        </w:rPr>
      </w:pPr>
      <w:r>
        <w:rPr>
          <w:rFonts w:hint="eastAsia" w:ascii="方正小标宋简体" w:hAnsi="宋体" w:eastAsia="方正小标宋简体" w:cs="Times New Roman"/>
          <w:b/>
          <w:bCs/>
          <w:color w:val="auto"/>
          <w:kern w:val="2"/>
          <w:sz w:val="44"/>
          <w:szCs w:val="44"/>
          <w:highlight w:val="none"/>
          <w:lang w:val="en-US" w:eastAsia="zh-CN" w:bidi="ar-SA"/>
        </w:rPr>
        <w:t>单位决算公开</w:t>
      </w:r>
    </w:p>
    <w:p w14:paraId="6375FFB0">
      <w:pPr>
        <w:pStyle w:val="8"/>
        <w:pageBreakBefore w:val="0"/>
        <w:kinsoku/>
        <w:wordWrap/>
        <w:overflowPunct/>
        <w:topLinePunct w:val="0"/>
        <w:bidi w:val="0"/>
        <w:spacing w:line="578" w:lineRule="exact"/>
        <w:textAlignment w:val="auto"/>
        <w:rPr>
          <w:rFonts w:hint="eastAsia" w:ascii="Times New Roman" w:hAnsi="Times New Roman" w:eastAsia="方正小标宋简体" w:cs="Times New Roman"/>
          <w:color w:val="auto"/>
          <w:kern w:val="2"/>
          <w:sz w:val="72"/>
          <w:szCs w:val="72"/>
          <w:highlight w:val="none"/>
          <w:lang w:val="en-US" w:eastAsia="zh-CN" w:bidi="ar-SA"/>
        </w:rPr>
      </w:pPr>
    </w:p>
    <w:p w14:paraId="02A0518A">
      <w:pPr>
        <w:pStyle w:val="8"/>
        <w:pageBreakBefore w:val="0"/>
        <w:kinsoku/>
        <w:wordWrap/>
        <w:overflowPunct/>
        <w:topLinePunct w:val="0"/>
        <w:bidi w:val="0"/>
        <w:spacing w:line="578" w:lineRule="exact"/>
        <w:textAlignment w:val="auto"/>
        <w:rPr>
          <w:rFonts w:hint="eastAsia" w:ascii="Times New Roman" w:hAnsi="Times New Roman" w:eastAsia="方正小标宋简体" w:cs="Times New Roman"/>
          <w:color w:val="auto"/>
          <w:kern w:val="2"/>
          <w:sz w:val="72"/>
          <w:szCs w:val="72"/>
          <w:highlight w:val="none"/>
          <w:lang w:val="en-US" w:eastAsia="zh-CN" w:bidi="ar-SA"/>
        </w:rPr>
      </w:pPr>
    </w:p>
    <w:p w14:paraId="41282322">
      <w:pPr>
        <w:pageBreakBefore w:val="0"/>
        <w:kinsoku/>
        <w:wordWrap/>
        <w:overflowPunct/>
        <w:topLinePunct w:val="0"/>
        <w:bidi w:val="0"/>
        <w:spacing w:line="578" w:lineRule="exact"/>
        <w:textAlignment w:val="auto"/>
        <w:rPr>
          <w:rFonts w:ascii="Times New Roman" w:hAnsi="Times New Roman"/>
        </w:rPr>
      </w:pPr>
    </w:p>
    <w:p w14:paraId="3F5BF44A">
      <w:pPr>
        <w:pStyle w:val="8"/>
        <w:pageBreakBefore w:val="0"/>
        <w:kinsoku/>
        <w:wordWrap/>
        <w:overflowPunct/>
        <w:topLinePunct w:val="0"/>
        <w:bidi w:val="0"/>
        <w:spacing w:line="578" w:lineRule="exact"/>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p w14:paraId="4FED0AE9">
      <w:pPr>
        <w:pStyle w:val="8"/>
        <w:pageBreakBefore w:val="0"/>
        <w:kinsoku/>
        <w:wordWrap/>
        <w:overflowPunct/>
        <w:topLinePunct w:val="0"/>
        <w:bidi w:val="0"/>
        <w:spacing w:line="578" w:lineRule="exact"/>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p w14:paraId="2C309779">
      <w:pPr>
        <w:pStyle w:val="8"/>
        <w:pageBreakBefore w:val="0"/>
        <w:kinsoku/>
        <w:wordWrap/>
        <w:overflowPunct/>
        <w:topLinePunct w:val="0"/>
        <w:bidi w:val="0"/>
        <w:spacing w:line="578" w:lineRule="exact"/>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p w14:paraId="6578D1D9">
      <w:pPr>
        <w:pStyle w:val="8"/>
        <w:pageBreakBefore w:val="0"/>
        <w:kinsoku/>
        <w:wordWrap/>
        <w:overflowPunct/>
        <w:topLinePunct w:val="0"/>
        <w:bidi w:val="0"/>
        <w:spacing w:line="578" w:lineRule="exact"/>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p w14:paraId="216B3CD8">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宋体" w:hAnsi="宋体" w:cs="仿宋_GB2312"/>
          <w:sz w:val="32"/>
          <w:szCs w:val="32"/>
        </w:rPr>
      </w:pPr>
    </w:p>
    <w:p w14:paraId="74E862B1">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宋体" w:hAnsi="宋体" w:cs="仿宋_GB2312"/>
          <w:sz w:val="32"/>
          <w:szCs w:val="32"/>
        </w:rPr>
      </w:pPr>
    </w:p>
    <w:p w14:paraId="7290A5B8">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宋体" w:hAnsi="宋体" w:cs="仿宋_GB2312"/>
          <w:sz w:val="32"/>
          <w:szCs w:val="32"/>
        </w:rPr>
      </w:pPr>
    </w:p>
    <w:p w14:paraId="1E0E169F">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宋体" w:hAnsi="宋体" w:cs="仿宋_GB2312"/>
          <w:sz w:val="32"/>
          <w:szCs w:val="32"/>
        </w:rPr>
      </w:pPr>
    </w:p>
    <w:p w14:paraId="030C40A6">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宋体" w:hAnsi="宋体" w:cs="仿宋_GB2312"/>
          <w:sz w:val="32"/>
          <w:szCs w:val="32"/>
        </w:rPr>
      </w:pPr>
    </w:p>
    <w:p w14:paraId="6F7FDD15">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宋体" w:hAnsi="宋体" w:cs="仿宋_GB2312"/>
          <w:sz w:val="32"/>
          <w:szCs w:val="32"/>
        </w:rPr>
      </w:pPr>
    </w:p>
    <w:p w14:paraId="2268B569">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宋体" w:hAnsi="宋体" w:cs="仿宋_GB2312"/>
          <w:sz w:val="32"/>
          <w:szCs w:val="32"/>
        </w:rPr>
      </w:pPr>
    </w:p>
    <w:p w14:paraId="6ED3847D">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宋体" w:hAnsi="宋体" w:cs="仿宋_GB2312"/>
          <w:sz w:val="32"/>
          <w:szCs w:val="32"/>
        </w:rPr>
      </w:pPr>
    </w:p>
    <w:p w14:paraId="1567659F">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Times New Roman" w:hAnsi="Times New Roman" w:eastAsia="黑体"/>
          <w:color w:val="auto"/>
          <w:sz w:val="48"/>
          <w:szCs w:val="48"/>
          <w:highlight w:val="none"/>
        </w:rPr>
      </w:pPr>
      <w:r>
        <w:rPr>
          <w:rFonts w:hint="eastAsia" w:ascii="宋体" w:hAnsi="宋体" w:cs="仿宋_GB2312"/>
          <w:sz w:val="32"/>
          <w:szCs w:val="32"/>
        </w:rPr>
        <w:t>保密审查情况：已审查，内容审定</w:t>
      </w:r>
      <w:r>
        <w:rPr>
          <w:rFonts w:hint="eastAsia" w:ascii="宋体" w:hAnsi="宋体" w:cs="仿宋_GB2312"/>
          <w:sz w:val="32"/>
          <w:szCs w:val="32"/>
          <w:lang w:eastAsia="zh-CN"/>
        </w:rPr>
        <w:t>，</w:t>
      </w:r>
      <w:r>
        <w:rPr>
          <w:rFonts w:hint="eastAsia" w:ascii="宋体" w:hAnsi="宋体" w:cs="仿宋_GB2312"/>
          <w:sz w:val="32"/>
          <w:szCs w:val="32"/>
        </w:rPr>
        <w:t>同意对外公开</w:t>
      </w:r>
      <w:bookmarkEnd w:id="0"/>
      <w:bookmarkEnd w:id="1"/>
      <w:bookmarkEnd w:id="2"/>
      <w:bookmarkEnd w:id="3"/>
      <w:bookmarkEnd w:id="4"/>
      <w:bookmarkEnd w:id="5"/>
    </w:p>
    <w:p w14:paraId="71BB82F2">
      <w:pPr>
        <w:pageBreakBefore w:val="0"/>
        <w:widowControl/>
        <w:kinsoku/>
        <w:wordWrap/>
        <w:overflowPunct/>
        <w:topLinePunct w:val="0"/>
        <w:bidi w:val="0"/>
        <w:spacing w:line="578" w:lineRule="exact"/>
        <w:jc w:val="center"/>
        <w:textAlignment w:val="auto"/>
        <w:rPr>
          <w:rFonts w:hint="eastAsia" w:ascii="Times New Roman" w:hAnsi="Times New Roman" w:eastAsia="黑体"/>
          <w:color w:val="auto"/>
          <w:sz w:val="48"/>
          <w:szCs w:val="48"/>
          <w:highlight w:val="none"/>
        </w:rPr>
      </w:pPr>
    </w:p>
    <w:p w14:paraId="117B12A5">
      <w:pPr>
        <w:pageBreakBefore w:val="0"/>
        <w:widowControl/>
        <w:kinsoku/>
        <w:wordWrap/>
        <w:overflowPunct/>
        <w:topLinePunct w:val="0"/>
        <w:bidi w:val="0"/>
        <w:spacing w:line="578" w:lineRule="exact"/>
        <w:jc w:val="center"/>
        <w:textAlignment w:val="auto"/>
        <w:rPr>
          <w:rFonts w:hint="eastAsia" w:ascii="Times New Roman" w:hAnsi="Times New Roman" w:eastAsia="黑体"/>
          <w:color w:val="auto"/>
          <w:sz w:val="48"/>
          <w:szCs w:val="48"/>
          <w:highlight w:val="none"/>
        </w:rPr>
      </w:pPr>
    </w:p>
    <w:p w14:paraId="6040B78B">
      <w:pPr>
        <w:pageBreakBefore w:val="0"/>
        <w:widowControl/>
        <w:kinsoku/>
        <w:wordWrap/>
        <w:overflowPunct/>
        <w:topLinePunct w:val="0"/>
        <w:bidi w:val="0"/>
        <w:spacing w:line="578" w:lineRule="exact"/>
        <w:jc w:val="center"/>
        <w:textAlignment w:val="auto"/>
        <w:rPr>
          <w:rFonts w:hint="eastAsia" w:ascii="Times New Roman" w:hAnsi="Times New Roman" w:eastAsia="黑体"/>
          <w:color w:val="auto"/>
          <w:sz w:val="48"/>
          <w:szCs w:val="48"/>
          <w:highlight w:val="none"/>
        </w:rPr>
      </w:pPr>
    </w:p>
    <w:p w14:paraId="388B187C">
      <w:pPr>
        <w:pageBreakBefore w:val="0"/>
        <w:widowControl/>
        <w:kinsoku/>
        <w:wordWrap/>
        <w:overflowPunct/>
        <w:topLinePunct w:val="0"/>
        <w:bidi w:val="0"/>
        <w:spacing w:line="578" w:lineRule="exact"/>
        <w:jc w:val="center"/>
        <w:textAlignment w:val="auto"/>
        <w:rPr>
          <w:rFonts w:hint="eastAsia" w:ascii="Times New Roman" w:hAnsi="Times New Roman" w:eastAsia="黑体"/>
          <w:color w:val="auto"/>
          <w:sz w:val="48"/>
          <w:szCs w:val="48"/>
          <w:highlight w:val="none"/>
        </w:rPr>
      </w:pPr>
    </w:p>
    <w:p w14:paraId="42EB436F">
      <w:pPr>
        <w:pageBreakBefore w:val="0"/>
        <w:widowControl/>
        <w:kinsoku/>
        <w:wordWrap/>
        <w:overflowPunct/>
        <w:topLinePunct w:val="0"/>
        <w:bidi w:val="0"/>
        <w:spacing w:line="578" w:lineRule="exact"/>
        <w:jc w:val="center"/>
        <w:textAlignment w:val="auto"/>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484018F9">
      <w:pPr>
        <w:pageBreakBefore w:val="0"/>
        <w:widowControl/>
        <w:kinsoku/>
        <w:wordWrap/>
        <w:overflowPunct/>
        <w:topLinePunct w:val="0"/>
        <w:bidi w:val="0"/>
        <w:spacing w:line="578" w:lineRule="exact"/>
        <w:jc w:val="center"/>
        <w:textAlignment w:val="auto"/>
        <w:rPr>
          <w:rFonts w:ascii="Times New Roman" w:hAnsi="Times New Roman" w:eastAsia="黑体" w:cstheme="minorBidi"/>
          <w:color w:val="auto"/>
          <w:sz w:val="28"/>
          <w:szCs w:val="28"/>
          <w:highlight w:val="none"/>
        </w:rPr>
      </w:pPr>
    </w:p>
    <w:p w14:paraId="1353241D">
      <w:pPr>
        <w:pStyle w:val="13"/>
        <w:pageBreakBefore w:val="0"/>
        <w:kinsoku/>
        <w:wordWrap/>
        <w:overflowPunct/>
        <w:topLinePunct w:val="0"/>
        <w:bidi w:val="0"/>
        <w:spacing w:line="578" w:lineRule="exac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rPr>
        <w:t>日</w:t>
      </w:r>
    </w:p>
    <w:p w14:paraId="124D3903">
      <w:pPr>
        <w:pageBreakBefore w:val="0"/>
        <w:kinsoku/>
        <w:wordWrap/>
        <w:overflowPunct/>
        <w:topLinePunct w:val="0"/>
        <w:bidi w:val="0"/>
        <w:spacing w:line="578" w:lineRule="exact"/>
        <w:textAlignment w:val="auto"/>
        <w:rPr>
          <w:rFonts w:ascii="Times New Roman" w:hAnsi="Times New Roman"/>
          <w:color w:val="auto"/>
          <w:highlight w:val="none"/>
        </w:rPr>
      </w:pPr>
    </w:p>
    <w:p w14:paraId="24BA3F88">
      <w:pPr>
        <w:pStyle w:val="13"/>
        <w:keepNext w:val="0"/>
        <w:keepLines w:val="0"/>
        <w:pageBreakBefore w:val="0"/>
        <w:kinsoku/>
        <w:wordWrap/>
        <w:overflowPunct/>
        <w:topLinePunct w:val="0"/>
        <w:autoSpaceDE/>
        <w:autoSpaceDN/>
        <w:bidi w:val="0"/>
        <w:adjustRightInd w:val="0"/>
        <w:snapToGrid w:val="0"/>
        <w:spacing w:before="0" w:line="578"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w:t>
      </w:r>
      <w:r>
        <w:rPr>
          <w:rFonts w:hint="eastAsia" w:ascii="Times New Roman" w:hAnsi="Times New Roman" w:eastAsia="黑体" w:cs="黑体"/>
          <w:color w:val="auto"/>
          <w:sz w:val="32"/>
          <w:szCs w:val="32"/>
          <w:highlight w:val="none"/>
          <w:lang w:eastAsia="zh-CN"/>
        </w:rPr>
        <w:t>况</w:t>
      </w:r>
      <w:r>
        <w:rPr>
          <w:rFonts w:hint="eastAsia" w:ascii="仿宋_GB2312" w:hAnsi="仿宋_GB2312" w:eastAsia="仿宋_GB2312" w:cs="仿宋_GB2312"/>
          <w:color w:val="auto"/>
          <w:sz w:val="24"/>
          <w:szCs w:val="24"/>
          <w:highlight w:val="none"/>
          <w:lang w:val="en-US" w:eastAsia="zh-CN"/>
        </w:rPr>
        <w:t>...........................................4-6</w:t>
      </w:r>
    </w:p>
    <w:p w14:paraId="3CC3F918">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仿宋_GB2312" w:hAnsi="仿宋_GB2312" w:eastAsia="仿宋_GB2312" w:cs="仿宋_GB2312"/>
          <w:color w:val="auto"/>
          <w:sz w:val="24"/>
          <w:szCs w:val="24"/>
          <w:highlight w:val="none"/>
          <w:lang w:val="en-US" w:eastAsia="zh-CN"/>
        </w:rPr>
        <w:t>............................................4-5</w:t>
      </w:r>
    </w:p>
    <w:p w14:paraId="043833CE">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二、机构设置</w:t>
      </w:r>
      <w:r>
        <w:rPr>
          <w:rFonts w:hint="eastAsia" w:ascii="仿宋_GB2312" w:hAnsi="仿宋_GB2312" w:eastAsia="仿宋_GB2312" w:cs="仿宋_GB2312"/>
          <w:color w:val="auto"/>
          <w:sz w:val="24"/>
          <w:szCs w:val="24"/>
          <w:highlight w:val="none"/>
          <w:lang w:val="en-US" w:eastAsia="zh-CN"/>
        </w:rPr>
        <w:t>............................................5-6</w:t>
      </w:r>
    </w:p>
    <w:p w14:paraId="5F3846F9">
      <w:pPr>
        <w:pStyle w:val="13"/>
        <w:keepNext w:val="0"/>
        <w:keepLines w:val="0"/>
        <w:pageBreakBefore w:val="0"/>
        <w:kinsoku/>
        <w:wordWrap/>
        <w:overflowPunct/>
        <w:topLinePunct w:val="0"/>
        <w:autoSpaceDE/>
        <w:autoSpaceDN/>
        <w:bidi w:val="0"/>
        <w:adjustRightInd w:val="0"/>
        <w:snapToGrid w:val="0"/>
        <w:spacing w:before="0" w:line="578"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仿宋_GB2312" w:hAnsi="仿宋_GB2312" w:eastAsia="仿宋_GB2312" w:cs="仿宋_GB2312"/>
          <w:color w:val="auto"/>
          <w:sz w:val="24"/>
          <w:szCs w:val="24"/>
          <w:highlight w:val="none"/>
          <w:lang w:val="en-US" w:eastAsia="zh-CN"/>
        </w:rPr>
        <w:t>....................6-12</w:t>
      </w:r>
    </w:p>
    <w:p w14:paraId="26E6B989">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一、收入支出决算总体情况说明</w:t>
      </w:r>
      <w:r>
        <w:rPr>
          <w:rFonts w:hint="eastAsia" w:ascii="仿宋_GB2312" w:hAnsi="仿宋_GB2312" w:eastAsia="仿宋_GB2312" w:cs="仿宋_GB2312"/>
          <w:color w:val="auto"/>
          <w:sz w:val="24"/>
          <w:szCs w:val="24"/>
          <w:highlight w:val="none"/>
          <w:lang w:val="en-US" w:eastAsia="zh-CN"/>
        </w:rPr>
        <w:t>.........................6</w:t>
      </w:r>
    </w:p>
    <w:p w14:paraId="7BF3B126">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二、收入决算情况说明</w:t>
      </w:r>
      <w:r>
        <w:rPr>
          <w:rFonts w:hint="eastAsia" w:ascii="仿宋_GB2312" w:hAnsi="仿宋_GB2312" w:eastAsia="仿宋_GB2312" w:cs="仿宋_GB2312"/>
          <w:color w:val="auto"/>
          <w:sz w:val="24"/>
          <w:szCs w:val="24"/>
          <w:highlight w:val="none"/>
          <w:lang w:val="en-US" w:eastAsia="zh-CN"/>
        </w:rPr>
        <w:t>....................................7</w:t>
      </w:r>
    </w:p>
    <w:p w14:paraId="1DD60177">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仿宋_GB2312" w:hAnsi="仿宋_GB2312" w:eastAsia="仿宋_GB2312" w:cs="仿宋_GB2312"/>
          <w:color w:val="auto"/>
          <w:sz w:val="24"/>
          <w:szCs w:val="24"/>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ascii="仿宋_GB2312" w:hAnsi="仿宋_GB2312" w:eastAsia="仿宋_GB2312" w:cs="仿宋_GB2312"/>
          <w:color w:val="auto"/>
          <w:sz w:val="24"/>
          <w:szCs w:val="24"/>
          <w:highlight w:val="none"/>
          <w:lang w:val="en-US" w:eastAsia="zh-CN"/>
        </w:rPr>
        <w:t>....................................7</w:t>
      </w:r>
    </w:p>
    <w:p w14:paraId="08C68958">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仿宋_GB2312" w:hAnsi="仿宋_GB2312" w:eastAsia="仿宋_GB2312" w:cs="仿宋_GB2312"/>
          <w:color w:val="auto"/>
          <w:sz w:val="24"/>
          <w:szCs w:val="24"/>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ascii="仿宋_GB2312" w:hAnsi="仿宋_GB2312" w:eastAsia="仿宋_GB2312" w:cs="仿宋_GB2312"/>
          <w:color w:val="auto"/>
          <w:sz w:val="24"/>
          <w:szCs w:val="24"/>
          <w:highlight w:val="none"/>
          <w:lang w:val="en-US" w:eastAsia="zh-CN"/>
        </w:rPr>
        <w:t>...............7</w:t>
      </w:r>
    </w:p>
    <w:p w14:paraId="2E13609E">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仿宋_GB2312" w:hAnsi="仿宋_GB2312" w:eastAsia="仿宋_GB2312" w:cs="仿宋_GB2312"/>
          <w:color w:val="auto"/>
          <w:sz w:val="24"/>
          <w:szCs w:val="24"/>
          <w:highlight w:val="none"/>
          <w:lang w:val="en-US" w:eastAsia="zh-CN"/>
        </w:rPr>
        <w:t>.......7-10</w:t>
      </w:r>
    </w:p>
    <w:p w14:paraId="173BF36B">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eastAsia="zh-CN"/>
        </w:rPr>
        <w:t>……</w:t>
      </w:r>
      <w:r>
        <w:rPr>
          <w:rFonts w:hint="eastAsia" w:ascii="仿宋_GB2312" w:hAnsi="仿宋_GB2312" w:eastAsia="仿宋_GB2312" w:cs="仿宋_GB2312"/>
          <w:color w:val="auto"/>
          <w:sz w:val="24"/>
          <w:szCs w:val="24"/>
          <w:highlight w:val="none"/>
          <w:lang w:val="en-US" w:eastAsia="zh-CN"/>
        </w:rPr>
        <w:t>10</w:t>
      </w:r>
    </w:p>
    <w:p w14:paraId="2C145571">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ascii="仿宋_GB2312" w:hAnsi="仿宋_GB2312" w:eastAsia="仿宋_GB2312" w:cs="仿宋_GB2312"/>
          <w:color w:val="auto"/>
          <w:sz w:val="24"/>
          <w:szCs w:val="24"/>
          <w:highlight w:val="none"/>
          <w:lang w:val="en-US" w:eastAsia="zh-CN"/>
        </w:rPr>
        <w:t>.........10-11</w:t>
      </w:r>
    </w:p>
    <w:p w14:paraId="19C3AAA5">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八、政府性基金预算支出决算情况说明</w:t>
      </w:r>
      <w:r>
        <w:rPr>
          <w:rFonts w:hint="eastAsia" w:ascii="仿宋_GB2312" w:hAnsi="仿宋_GB2312" w:eastAsia="仿宋_GB2312" w:cs="仿宋_GB2312"/>
          <w:color w:val="auto"/>
          <w:sz w:val="24"/>
          <w:szCs w:val="24"/>
          <w:highlight w:val="none"/>
          <w:lang w:val="en-US" w:eastAsia="zh-CN"/>
        </w:rPr>
        <w:t>.................11</w:t>
      </w:r>
    </w:p>
    <w:p w14:paraId="1E63AD9B">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ascii="仿宋_GB2312" w:hAnsi="仿宋_GB2312" w:eastAsia="仿宋_GB2312" w:cs="仿宋_GB2312"/>
          <w:color w:val="auto"/>
          <w:sz w:val="24"/>
          <w:szCs w:val="24"/>
          <w:highlight w:val="none"/>
          <w:lang w:val="en-US" w:eastAsia="zh-CN"/>
        </w:rPr>
        <w:t>..............11</w:t>
      </w:r>
    </w:p>
    <w:p w14:paraId="0E15F92D">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仿宋_GB2312" w:hAnsi="仿宋_GB2312" w:eastAsia="仿宋_GB2312" w:cs="仿宋_GB2312"/>
          <w:color w:val="auto"/>
          <w:sz w:val="24"/>
          <w:szCs w:val="24"/>
          <w:highlight w:val="none"/>
          <w:lang w:val="en-US" w:eastAsia="zh-CN"/>
        </w:rPr>
        <w:t>.........................11-12</w:t>
      </w:r>
    </w:p>
    <w:p w14:paraId="1DF69784">
      <w:pPr>
        <w:pStyle w:val="13"/>
        <w:keepNext w:val="0"/>
        <w:keepLines w:val="0"/>
        <w:pageBreakBefore w:val="0"/>
        <w:kinsoku/>
        <w:wordWrap/>
        <w:overflowPunct/>
        <w:topLinePunct w:val="0"/>
        <w:autoSpaceDE/>
        <w:autoSpaceDN/>
        <w:bidi w:val="0"/>
        <w:adjustRightInd w:val="0"/>
        <w:snapToGrid w:val="0"/>
        <w:spacing w:before="0" w:line="578"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第三部分 名词解释</w:t>
      </w:r>
      <w:r>
        <w:rPr>
          <w:rFonts w:hint="eastAsia" w:ascii="仿宋_GB2312" w:hAnsi="仿宋_GB2312" w:eastAsia="仿宋_GB2312" w:cs="仿宋_GB2312"/>
          <w:color w:val="auto"/>
          <w:sz w:val="24"/>
          <w:szCs w:val="24"/>
          <w:highlight w:val="none"/>
          <w:lang w:val="en-US" w:eastAsia="zh-CN"/>
        </w:rPr>
        <w:t>.........................................12-13</w:t>
      </w:r>
    </w:p>
    <w:p w14:paraId="428E2F01">
      <w:pPr>
        <w:pStyle w:val="13"/>
        <w:keepNext w:val="0"/>
        <w:keepLines w:val="0"/>
        <w:pageBreakBefore w:val="0"/>
        <w:kinsoku/>
        <w:wordWrap/>
        <w:overflowPunct/>
        <w:topLinePunct w:val="0"/>
        <w:autoSpaceDE/>
        <w:autoSpaceDN/>
        <w:bidi w:val="0"/>
        <w:adjustRightInd w:val="0"/>
        <w:snapToGrid w:val="0"/>
        <w:spacing w:before="0" w:line="578"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w:t>
      </w:r>
      <w:r>
        <w:rPr>
          <w:rFonts w:hint="eastAsia" w:ascii="Times New Roman" w:hAnsi="Times New Roman" w:eastAsia="黑体" w:cs="黑体"/>
          <w:color w:val="auto"/>
          <w:sz w:val="32"/>
          <w:szCs w:val="32"/>
          <w:highlight w:val="none"/>
          <w:lang w:eastAsia="zh-CN"/>
        </w:rPr>
        <w:t>四</w:t>
      </w:r>
      <w:r>
        <w:rPr>
          <w:rFonts w:hint="eastAsia" w:ascii="Times New Roman" w:hAnsi="Times New Roman" w:eastAsia="黑体" w:cs="黑体"/>
          <w:color w:val="auto"/>
          <w:sz w:val="32"/>
          <w:szCs w:val="32"/>
          <w:highlight w:val="none"/>
        </w:rPr>
        <w:t>部分 附表</w:t>
      </w:r>
      <w:r>
        <w:rPr>
          <w:rFonts w:hint="eastAsia" w:ascii="仿宋_GB2312" w:hAnsi="仿宋_GB2312" w:eastAsia="仿宋_GB2312" w:cs="仿宋_GB2312"/>
          <w:color w:val="auto"/>
          <w:sz w:val="24"/>
          <w:szCs w:val="24"/>
          <w:highlight w:val="none"/>
          <w:lang w:val="en-US" w:eastAsia="zh-CN"/>
        </w:rPr>
        <w:t>.................................................14</w:t>
      </w:r>
    </w:p>
    <w:p w14:paraId="72DB7783">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r>
        <w:rPr>
          <w:rFonts w:hint="eastAsia" w:ascii="仿宋_GB2312" w:hAnsi="仿宋_GB2312" w:eastAsia="仿宋_GB2312" w:cs="仿宋_GB2312"/>
          <w:color w:val="auto"/>
          <w:sz w:val="24"/>
          <w:szCs w:val="24"/>
          <w:highlight w:val="none"/>
          <w:lang w:val="en-US" w:eastAsia="zh-CN"/>
        </w:rPr>
        <w:t>..................................14</w:t>
      </w:r>
    </w:p>
    <w:p w14:paraId="5102403B">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r>
        <w:rPr>
          <w:rFonts w:hint="eastAsia" w:ascii="仿宋_GB2312" w:hAnsi="仿宋_GB2312" w:eastAsia="仿宋_GB2312" w:cs="仿宋_GB2312"/>
          <w:color w:val="auto"/>
          <w:sz w:val="24"/>
          <w:szCs w:val="24"/>
          <w:highlight w:val="none"/>
          <w:lang w:val="en-US" w:eastAsia="zh-CN"/>
        </w:rPr>
        <w:t>..........................................14</w:t>
      </w:r>
    </w:p>
    <w:p w14:paraId="4A4FABC8">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r>
        <w:rPr>
          <w:rFonts w:hint="eastAsia" w:ascii="仿宋_GB2312" w:hAnsi="仿宋_GB2312" w:eastAsia="仿宋_GB2312" w:cs="仿宋_GB2312"/>
          <w:color w:val="auto"/>
          <w:sz w:val="24"/>
          <w:szCs w:val="24"/>
          <w:highlight w:val="none"/>
          <w:lang w:val="en-US" w:eastAsia="zh-CN"/>
        </w:rPr>
        <w:t>..........................................14</w:t>
      </w:r>
    </w:p>
    <w:p w14:paraId="4B18A005">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ascii="仿宋_GB2312" w:hAnsi="仿宋_GB2312" w:eastAsia="仿宋_GB2312" w:cs="仿宋_GB2312"/>
          <w:color w:val="auto"/>
          <w:sz w:val="24"/>
          <w:szCs w:val="24"/>
          <w:highlight w:val="none"/>
          <w:lang w:val="en-US" w:eastAsia="zh-CN"/>
        </w:rPr>
        <w:t>........................14</w:t>
      </w:r>
    </w:p>
    <w:p w14:paraId="2BA593FF">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r>
        <w:rPr>
          <w:rFonts w:hint="eastAsia" w:ascii="仿宋_GB2312" w:hAnsi="仿宋_GB2312" w:eastAsia="仿宋_GB2312" w:cs="仿宋_GB2312"/>
          <w:color w:val="auto"/>
          <w:sz w:val="24"/>
          <w:szCs w:val="24"/>
          <w:highlight w:val="none"/>
          <w:lang w:val="en-US" w:eastAsia="zh-CN"/>
        </w:rPr>
        <w:t>...........................14</w:t>
      </w:r>
    </w:p>
    <w:p w14:paraId="636704A8">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仿宋_GB2312" w:hAnsi="仿宋_GB2312" w:eastAsia="仿宋_GB2312" w:cs="仿宋_GB2312"/>
          <w:color w:val="auto"/>
          <w:sz w:val="24"/>
          <w:szCs w:val="24"/>
          <w:highlight w:val="none"/>
          <w:lang w:val="en-US" w:eastAsia="zh-CN"/>
        </w:rPr>
        <w:t>................14</w:t>
      </w:r>
    </w:p>
    <w:p w14:paraId="675F387A">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仿宋_GB2312" w:hAnsi="仿宋_GB2312" w:eastAsia="仿宋_GB2312" w:cs="仿宋_GB2312"/>
          <w:color w:val="auto"/>
          <w:sz w:val="24"/>
          <w:szCs w:val="24"/>
          <w:highlight w:val="none"/>
          <w:lang w:val="en-US" w:eastAsia="zh-CN"/>
        </w:rPr>
        <w:t>...........14</w:t>
      </w:r>
    </w:p>
    <w:p w14:paraId="349EDE5C">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eastAsia="zh-CN"/>
        </w:rPr>
        <w:t>……</w:t>
      </w:r>
      <w:r>
        <w:rPr>
          <w:rFonts w:hint="eastAsia" w:ascii="仿宋_GB2312" w:hAnsi="仿宋_GB2312" w:eastAsia="仿宋_GB2312" w:cs="仿宋_GB2312"/>
          <w:color w:val="auto"/>
          <w:sz w:val="24"/>
          <w:szCs w:val="24"/>
          <w:highlight w:val="none"/>
          <w:lang w:val="en-US" w:eastAsia="zh-CN"/>
        </w:rPr>
        <w:t>14</w:t>
      </w:r>
    </w:p>
    <w:p w14:paraId="22C95659">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仿宋_GB2312" w:hAnsi="仿宋_GB2312" w:eastAsia="仿宋_GB2312" w:cs="仿宋_GB2312"/>
          <w:color w:val="auto"/>
          <w:sz w:val="24"/>
          <w:szCs w:val="24"/>
          <w:highlight w:val="none"/>
          <w:lang w:val="en-US" w:eastAsia="zh-CN"/>
        </w:rPr>
        <w:t>...........14</w:t>
      </w:r>
    </w:p>
    <w:p w14:paraId="408B9D0B">
      <w:pPr>
        <w:pStyle w:val="14"/>
        <w:keepNext w:val="0"/>
        <w:keepLines w:val="0"/>
        <w:pageBreakBefore w:val="0"/>
        <w:widowControl w:val="0"/>
        <w:kinsoku/>
        <w:wordWrap/>
        <w:overflowPunct/>
        <w:topLinePunct w:val="0"/>
        <w:autoSpaceDE/>
        <w:autoSpaceDN/>
        <w:bidi w:val="0"/>
        <w:adjustRightInd w:val="0"/>
        <w:snapToGrid w:val="0"/>
        <w:spacing w:line="578" w:lineRule="exact"/>
        <w:ind w:left="638" w:leftChars="304"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仿宋_GB2312" w:hAnsi="仿宋_GB2312" w:eastAsia="仿宋_GB2312" w:cs="仿宋_GB2312"/>
          <w:color w:val="auto"/>
          <w:sz w:val="24"/>
          <w:szCs w:val="24"/>
          <w:highlight w:val="none"/>
          <w:lang w:val="en-US" w:eastAsia="zh-CN"/>
        </w:rPr>
        <w:t>........14</w:t>
      </w: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eastAsia="zh-CN"/>
        </w:rPr>
        <w:t>……</w:t>
      </w:r>
      <w:r>
        <w:rPr>
          <w:rFonts w:hint="eastAsia" w:ascii="仿宋_GB2312" w:hAnsi="仿宋_GB2312" w:eastAsia="仿宋_GB2312" w:cs="仿宋_GB2312"/>
          <w:color w:val="auto"/>
          <w:sz w:val="24"/>
          <w:szCs w:val="24"/>
          <w:highlight w:val="none"/>
          <w:lang w:val="en-US" w:eastAsia="zh-CN"/>
        </w:rPr>
        <w:t>14</w:t>
      </w: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仿宋_GB2312" w:hAnsi="仿宋_GB2312" w:eastAsia="仿宋_GB2312" w:cs="仿宋_GB2312"/>
          <w:color w:val="auto"/>
          <w:sz w:val="24"/>
          <w:szCs w:val="24"/>
          <w:highlight w:val="none"/>
          <w:lang w:val="en-US" w:eastAsia="zh-CN"/>
        </w:rPr>
        <w:t>........14</w:t>
      </w:r>
      <w:r>
        <w:rPr>
          <w:rFonts w:hint="eastAsia" w:ascii="Times New Roman" w:hAnsi="Times New Roman" w:eastAsia="仿宋_GB2312" w:cs="仿宋_GB2312"/>
          <w:color w:val="auto"/>
          <w:sz w:val="32"/>
          <w:szCs w:val="32"/>
          <w:highlight w:val="none"/>
        </w:rPr>
        <w:t>十三、财政拨款“三公”经费支出决算表</w:t>
      </w:r>
      <w:r>
        <w:rPr>
          <w:rFonts w:hint="eastAsia" w:ascii="仿宋_GB2312" w:hAnsi="仿宋_GB2312" w:eastAsia="仿宋_GB2312" w:cs="仿宋_GB2312"/>
          <w:color w:val="auto"/>
          <w:sz w:val="24"/>
          <w:szCs w:val="24"/>
          <w:highlight w:val="none"/>
          <w:lang w:val="en-US" w:eastAsia="zh-CN"/>
        </w:rPr>
        <w:t>.............14</w:t>
      </w:r>
    </w:p>
    <w:p w14:paraId="6CC57892">
      <w:pPr>
        <w:keepNext w:val="0"/>
        <w:keepLines w:val="0"/>
        <w:pageBreakBefore w:val="0"/>
        <w:widowControl/>
        <w:kinsoku/>
        <w:wordWrap/>
        <w:overflowPunct/>
        <w:topLinePunct w:val="0"/>
        <w:autoSpaceDE/>
        <w:autoSpaceDN/>
        <w:bidi w:val="0"/>
        <w:spacing w:line="578"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08EF11E3">
      <w:pPr>
        <w:pStyle w:val="5"/>
        <w:pageBreakBefore w:val="0"/>
        <w:kinsoku/>
        <w:wordWrap/>
        <w:overflowPunct/>
        <w:topLinePunct w:val="0"/>
        <w:bidi w:val="0"/>
        <w:spacing w:line="578" w:lineRule="exact"/>
        <w:jc w:val="center"/>
        <w:textAlignment w:val="auto"/>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14:paraId="54BCFE4C">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rPr>
        <w:t>一、</w:t>
      </w:r>
      <w:r>
        <w:rPr>
          <w:rFonts w:hint="eastAsia" w:ascii="Times New Roman" w:hAnsi="Times New Roman" w:eastAsia="仿宋_GB2312" w:cs="仿宋_GB2312"/>
          <w:b/>
          <w:bCs/>
          <w:color w:val="auto"/>
          <w:sz w:val="32"/>
          <w:szCs w:val="32"/>
          <w:highlight w:val="none"/>
          <w:lang w:eastAsia="zh-CN"/>
        </w:rPr>
        <w:t>部门职责</w:t>
      </w:r>
    </w:p>
    <w:p w14:paraId="1381EE37">
      <w:pPr>
        <w:pageBreakBefore w:val="0"/>
        <w:widowControl/>
        <w:kinsoku/>
        <w:wordWrap/>
        <w:overflowPunct/>
        <w:topLinePunct w:val="0"/>
        <w:bidi w:val="0"/>
        <w:spacing w:line="578" w:lineRule="exact"/>
        <w:ind w:firstLine="640" w:firstLineChars="20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一）负责全县党的纪律检查工作。贯彻落实党中央、省委、州委和县委关于纪律检查工作的决定，维护党的章程和其他党内法规，检查党的路线方针政策和决议的执行情况，协助县委推进全面从严治党、加强党风廉政建设和组织协调反腐败工作。</w:t>
      </w:r>
    </w:p>
    <w:p w14:paraId="10975BFA">
      <w:pPr>
        <w:pageBreakBefore w:val="0"/>
        <w:widowControl/>
        <w:kinsoku/>
        <w:wordWrap/>
        <w:overflowPunct/>
        <w:topLinePunct w:val="0"/>
        <w:bidi w:val="0"/>
        <w:spacing w:line="578" w:lineRule="exact"/>
        <w:jc w:val="lef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二）依照党的章程和其他党内法规履行监督、执纪、问责职责。负责经常对党员进行遵守纪律的教育，作出关于维护党纪的决定。对县委工作部门、县委批准设立的党组（党委），各乡镇党委、纪委等党的组织和县委管理的党员领导干部履行职责、行使权力进行监督，受理处置党员群众检举举报，开展谈话提醒、约谈函询。检查和处理上述党的组织和党员违反党的章程和其他党内法规的比较重要或者复杂的案件，决定或者取消对这些案件中的党员的处分。进行问责或者提出责任追究的建议。受理党员的控告和申诉。</w:t>
      </w:r>
      <w:r>
        <w:rPr>
          <w:rFonts w:hint="eastAsia" w:ascii="仿宋_GB2312" w:hAnsi="仿宋_GB2312" w:eastAsia="仿宋_GB2312" w:cs="仿宋_GB2312"/>
          <w:kern w:val="0"/>
          <w:sz w:val="32"/>
          <w:szCs w:val="32"/>
          <w:lang w:eastAsia="zh-CN"/>
        </w:rPr>
        <w:t>保障党员权利</w:t>
      </w:r>
      <w:r>
        <w:rPr>
          <w:rFonts w:hint="eastAsia" w:ascii="仿宋_GB2312" w:hAnsi="仿宋_GB2312" w:eastAsia="仿宋_GB2312" w:cs="仿宋_GB2312"/>
          <w:kern w:val="0"/>
          <w:sz w:val="32"/>
          <w:szCs w:val="32"/>
        </w:rPr>
        <w:t>。</w:t>
      </w:r>
    </w:p>
    <w:p w14:paraId="55AA9577">
      <w:pPr>
        <w:pageBreakBefore w:val="0"/>
        <w:widowControl/>
        <w:kinsoku/>
        <w:wordWrap/>
        <w:overflowPunct/>
        <w:topLinePunct w:val="0"/>
        <w:bidi w:val="0"/>
        <w:spacing w:line="578" w:lineRule="exact"/>
        <w:jc w:val="lef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（三）负责全县监察工作。贯彻落实党中央、省委、州委和县委关于监察工作的决定，维护宪法法律，依法对县委管理的行使公权力的公职人员进行监察，调查职务违法和职务犯罪，开展廉政建设和反腐败工作。</w:t>
      </w:r>
    </w:p>
    <w:p w14:paraId="1BCDD5FB">
      <w:pPr>
        <w:pageBreakBefore w:val="0"/>
        <w:widowControl/>
        <w:kinsoku/>
        <w:wordWrap/>
        <w:overflowPunct/>
        <w:topLinePunct w:val="0"/>
        <w:bidi w:val="0"/>
        <w:spacing w:line="578" w:lineRule="exact"/>
        <w:jc w:val="lef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四）依照法律规定履行监督、调查、处置职责。推动开展廉政教育，对县委管理的行使公权力的公职人员依法履职、秉公用权、廉洁从政从业以及道德操守情况进行监督检查。对涉嫌贪污贿赂、滥用职权、玩忽职守、权力寻租、利益输送、徇私舞弊以及浪费国家资财等职务违法和职务犯罪进行调查。对违法的公职人员依法作出政务处分决定。对履行职责不力、失职失责的领导人员进行问责。对涉嫌职务犯罪的，将调查结果移送人民检察院依法审查、提起公诉。向监察对象所在单位提出监察建议。</w:t>
      </w:r>
    </w:p>
    <w:p w14:paraId="2C801BF1">
      <w:pPr>
        <w:pageBreakBefore w:val="0"/>
        <w:widowControl/>
        <w:kinsoku/>
        <w:wordWrap/>
        <w:overflowPunct/>
        <w:topLinePunct w:val="0"/>
        <w:bidi w:val="0"/>
        <w:spacing w:line="578" w:lineRule="exact"/>
        <w:jc w:val="lef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（五）负责组织协调全面从严治党、党风廉政建设和反腐败宣传教育工作。</w:t>
      </w:r>
    </w:p>
    <w:p w14:paraId="791FE01A">
      <w:pPr>
        <w:pageBreakBefore w:val="0"/>
        <w:widowControl/>
        <w:kinsoku/>
        <w:wordWrap/>
        <w:overflowPunct/>
        <w:topLinePunct w:val="0"/>
        <w:bidi w:val="0"/>
        <w:spacing w:line="578" w:lineRule="exact"/>
        <w:jc w:val="lef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（六）负责综合分析全面从严治党、党风廉政建设和反腐败工作情况，对纪检监察工作重要理论及实践问题进行调查研究。</w:t>
      </w:r>
    </w:p>
    <w:p w14:paraId="418568DD">
      <w:pPr>
        <w:pageBreakBefore w:val="0"/>
        <w:widowControl/>
        <w:kinsoku/>
        <w:wordWrap/>
        <w:overflowPunct/>
        <w:topLinePunct w:val="0"/>
        <w:bidi w:val="0"/>
        <w:spacing w:line="578" w:lineRule="exact"/>
        <w:jc w:val="lef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（七）在州纪委监委的领导下，加强对反腐败国际追逃追赃和防逃工作的组织协调，督促有关部门做好相关工作。</w:t>
      </w:r>
    </w:p>
    <w:p w14:paraId="6E71C582">
      <w:pPr>
        <w:pageBreakBefore w:val="0"/>
        <w:widowControl/>
        <w:kinsoku/>
        <w:wordWrap/>
        <w:overflowPunct/>
        <w:topLinePunct w:val="0"/>
        <w:bidi w:val="0"/>
        <w:spacing w:line="578" w:lineRule="exact"/>
        <w:jc w:val="lef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 （八）根据干部管理权限，负责纪检监察系统领导班子建设、干部队伍建设和组织建设的综合规划、政策研究、制度建设和业务指导。会同有关方面做好县纪委监委派驻机构、乡镇纪委监察室等有关工作。组织和指导纪检监察系统干部教育培训工作等。</w:t>
      </w:r>
    </w:p>
    <w:p w14:paraId="5F5260FE">
      <w:pPr>
        <w:keepNext w:val="0"/>
        <w:keepLines w:val="0"/>
        <w:pageBreakBefore w:val="0"/>
        <w:widowControl w:val="0"/>
        <w:kinsoku/>
        <w:wordWrap/>
        <w:overflowPunct/>
        <w:topLinePunct w:val="0"/>
        <w:autoSpaceDE/>
        <w:autoSpaceDN/>
        <w:bidi w:val="0"/>
        <w:spacing w:line="578" w:lineRule="exact"/>
        <w:jc w:val="left"/>
        <w:textAlignment w:val="auto"/>
        <w:rPr>
          <w:rFonts w:hint="eastAsia"/>
          <w:lang w:eastAsia="zh-CN"/>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（九）完成县委和州纪委监委交办的其他任务。</w:t>
      </w:r>
    </w:p>
    <w:p w14:paraId="00A80C3A">
      <w:pPr>
        <w:pStyle w:val="6"/>
        <w:pageBreakBefore w:val="0"/>
        <w:kinsoku/>
        <w:wordWrap/>
        <w:overflowPunct/>
        <w:topLinePunct w:val="0"/>
        <w:bidi w:val="0"/>
        <w:spacing w:line="578" w:lineRule="exact"/>
        <w:ind w:firstLine="640" w:firstLineChars="200"/>
        <w:textAlignment w:val="auto"/>
        <w:rPr>
          <w:rStyle w:val="29"/>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14:paraId="5C67466D">
      <w:pPr>
        <w:pageBreakBefore w:val="0"/>
        <w:kinsoku/>
        <w:wordWrap/>
        <w:overflowPunct/>
        <w:topLinePunct w:val="0"/>
        <w:bidi w:val="0"/>
        <w:spacing w:line="578" w:lineRule="exact"/>
        <w:ind w:firstLine="800" w:firstLineChars="250"/>
        <w:textAlignment w:val="auto"/>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中共松潘县纪律检查委员会（本级）</w:t>
      </w:r>
      <w:r>
        <w:rPr>
          <w:rFonts w:hint="eastAsia" w:ascii="Times New Roman" w:hAnsi="Times New Roman" w:eastAsia="仿宋_GB2312" w:cs="仿宋_GB2312"/>
          <w:color w:val="auto"/>
          <w:sz w:val="32"/>
          <w:szCs w:val="32"/>
          <w:highlight w:val="none"/>
        </w:rPr>
        <w:t>下属</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r>
        <w:rPr>
          <w:rFonts w:hint="eastAsia" w:eastAsia="仿宋_GB2312" w:cs="仿宋_GB2312"/>
          <w:color w:val="auto"/>
          <w:sz w:val="32"/>
          <w:szCs w:val="32"/>
          <w:highlight w:val="none"/>
          <w:lang w:eastAsia="zh-CN"/>
        </w:rPr>
        <w:t>属于其</w:t>
      </w:r>
      <w:r>
        <w:rPr>
          <w:rFonts w:hint="eastAsia" w:ascii="Times New Roman" w:hAnsi="Times New Roman" w:eastAsia="仿宋_GB2312" w:cs="仿宋_GB2312"/>
          <w:color w:val="auto"/>
          <w:sz w:val="32"/>
          <w:szCs w:val="32"/>
          <w:highlight w:val="none"/>
        </w:rPr>
        <w:t>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3179B93D">
      <w:pPr>
        <w:pStyle w:val="8"/>
        <w:pageBreakBefore w:val="0"/>
        <w:kinsoku/>
        <w:wordWrap/>
        <w:overflowPunct/>
        <w:topLinePunct w:val="0"/>
        <w:bidi w:val="0"/>
        <w:adjustRightInd w:val="0"/>
        <w:snapToGrid w:val="0"/>
        <w:spacing w:before="93" w:line="578" w:lineRule="exact"/>
        <w:ind w:firstLine="672" w:firstLineChars="210"/>
        <w:textAlignment w:val="auto"/>
        <w:rPr>
          <w:rFonts w:ascii="Times New Roman" w:hAnsi="Times New Roman" w:eastAsia="仿宋"/>
          <w:color w:val="auto"/>
          <w:kern w:val="0"/>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rPr>
        <w:t>中共松潘县纪律检查委员会（本级）</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bookmarkStart w:id="65" w:name="_GoBack"/>
      <w:bookmarkStart w:id="10" w:name="_Toc15306276"/>
      <w:bookmarkStart w:id="11" w:name="_Toc15377433"/>
      <w:bookmarkStart w:id="12" w:name="_Toc15377202"/>
      <w:bookmarkStart w:id="13" w:name="_Toc15378449"/>
      <w:r>
        <w:rPr>
          <w:rFonts w:hint="eastAsia" w:ascii="Times New Roman" w:cs="仿宋_GB2312"/>
          <w:color w:val="auto"/>
          <w:sz w:val="32"/>
          <w:szCs w:val="32"/>
          <w:highlight w:val="none"/>
          <w:lang w:eastAsia="zh-CN"/>
        </w:rPr>
        <w:t>松潘县委</w:t>
      </w:r>
      <w:bookmarkEnd w:id="65"/>
      <w:r>
        <w:rPr>
          <w:rFonts w:hint="eastAsia" w:ascii="Times New Roman" w:cs="仿宋_GB2312"/>
          <w:color w:val="auto"/>
          <w:sz w:val="32"/>
          <w:szCs w:val="32"/>
          <w:highlight w:val="none"/>
          <w:lang w:eastAsia="zh-CN"/>
        </w:rPr>
        <w:t>巡察事务中心。</w:t>
      </w:r>
      <w:bookmarkEnd w:id="10"/>
      <w:bookmarkEnd w:id="11"/>
      <w:bookmarkEnd w:id="12"/>
      <w:bookmarkEnd w:id="13"/>
    </w:p>
    <w:p w14:paraId="7A73B3C5">
      <w:pPr>
        <w:pStyle w:val="5"/>
        <w:pageBreakBefore w:val="0"/>
        <w:kinsoku/>
        <w:wordWrap/>
        <w:overflowPunct/>
        <w:topLinePunct w:val="0"/>
        <w:bidi w:val="0"/>
        <w:spacing w:line="578" w:lineRule="exact"/>
        <w:jc w:val="center"/>
        <w:textAlignment w:val="auto"/>
        <w:rPr>
          <w:rFonts w:ascii="Times New Roman" w:hAnsi="Times New Roman"/>
          <w:color w:val="auto"/>
          <w:highlight w:val="none"/>
        </w:rPr>
      </w:pPr>
      <w:bookmarkStart w:id="14" w:name="_Toc15377204"/>
      <w:bookmarkStart w:id="15"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4"/>
      <w:bookmarkEnd w:id="15"/>
    </w:p>
    <w:p w14:paraId="41370928">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96603"/>
      <w:bookmarkStart w:id="17"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6"/>
      <w:bookmarkEnd w:id="17"/>
    </w:p>
    <w:p w14:paraId="5AF3F02C">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2395.84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861.09</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56.11</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办公楼搬迁、专网搬迁和案件查办信息化支出。</w:t>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3AC43BFF">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1"/>
        <w:rPr>
          <w:rFonts w:hint="eastAsia" w:ascii="Times New Roman" w:hAnsi="Times New Roman" w:eastAsia="黑体"/>
          <w:color w:val="auto"/>
          <w:sz w:val="32"/>
          <w:szCs w:val="32"/>
          <w:highlight w:val="none"/>
          <w:lang w:eastAsia="zh-CN"/>
        </w:rPr>
      </w:pPr>
      <w:r>
        <w:drawing>
          <wp:anchor distT="0" distB="0" distL="114300" distR="114300" simplePos="0" relativeHeight="251659264" behindDoc="0" locked="0" layoutInCell="1" allowOverlap="1">
            <wp:simplePos x="0" y="0"/>
            <wp:positionH relativeFrom="column">
              <wp:posOffset>85725</wp:posOffset>
            </wp:positionH>
            <wp:positionV relativeFrom="paragraph">
              <wp:posOffset>94615</wp:posOffset>
            </wp:positionV>
            <wp:extent cx="5314315" cy="1462405"/>
            <wp:effectExtent l="0" t="0" r="635" b="444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314315" cy="1462405"/>
                    </a:xfrm>
                    <a:prstGeom prst="rect">
                      <a:avLst/>
                    </a:prstGeom>
                    <a:noFill/>
                    <a:ln>
                      <a:noFill/>
                    </a:ln>
                  </pic:spPr>
                </pic:pic>
              </a:graphicData>
            </a:graphic>
          </wp:anchor>
        </w:drawing>
      </w:r>
      <w:bookmarkStart w:id="18" w:name="_Toc15396604"/>
      <w:bookmarkStart w:id="19" w:name="_Toc15377206"/>
      <w:r>
        <w:rPr>
          <w:rFonts w:hint="eastAsia" w:ascii="Times New Roman" w:hAnsi="Times New Roman" w:eastAsia="黑体"/>
          <w:color w:val="auto"/>
          <w:sz w:val="32"/>
          <w:szCs w:val="32"/>
          <w:highlight w:val="none"/>
          <w:lang w:eastAsia="zh-CN"/>
        </w:rPr>
        <w:t>二、收入决算情况说明</w:t>
      </w:r>
      <w:bookmarkEnd w:id="18"/>
      <w:bookmarkEnd w:id="19"/>
    </w:p>
    <w:p w14:paraId="2DD8249B">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2395.84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2395.84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%。（图2：收入决算结构图）（饼状图）</w:t>
      </w:r>
    </w:p>
    <w:p w14:paraId="13DDA978">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6912698">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78D08D92">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A5EAC49">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A2D3927">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266700</wp:posOffset>
            </wp:positionH>
            <wp:positionV relativeFrom="paragraph">
              <wp:posOffset>-1287145</wp:posOffset>
            </wp:positionV>
            <wp:extent cx="4590415" cy="1567815"/>
            <wp:effectExtent l="0" t="0" r="635" b="1333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4590415" cy="1567815"/>
                    </a:xfrm>
                    <a:prstGeom prst="rect">
                      <a:avLst/>
                    </a:prstGeom>
                    <a:noFill/>
                    <a:ln>
                      <a:noFill/>
                    </a:ln>
                  </pic:spPr>
                </pic:pic>
              </a:graphicData>
            </a:graphic>
          </wp:anchor>
        </w:drawing>
      </w:r>
    </w:p>
    <w:p w14:paraId="208EADEA">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77207"/>
      <w:bookmarkStart w:id="21"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0"/>
      <w:bookmarkEnd w:id="21"/>
    </w:p>
    <w:p w14:paraId="5E9674E0">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2395.84</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1360.76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56.79</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1035.09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43.2</w:t>
      </w:r>
      <w:r>
        <w:rPr>
          <w:rFonts w:hint="eastAsia" w:ascii="Times New Roman" w:hAnsi="Times New Roman" w:eastAsia="仿宋_GB2312" w:cs="仿宋_GB2312"/>
          <w:color w:val="auto"/>
          <w:sz w:val="32"/>
          <w:szCs w:val="32"/>
          <w:highlight w:val="none"/>
          <w:lang w:eastAsia="zh-CN"/>
        </w:rPr>
        <w:t>%。（图3：支出决算结构图）（饼状图）</w:t>
      </w:r>
    </w:p>
    <w:p w14:paraId="05B23956">
      <w:pPr>
        <w:pStyle w:val="27"/>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1"/>
        <w:rPr>
          <w:rStyle w:val="29"/>
          <w:rFonts w:ascii="Times New Roman" w:hAnsi="Times New Roman" w:eastAsia="黑体"/>
          <w:b w:val="0"/>
          <w:color w:val="auto"/>
          <w:highlight w:val="none"/>
        </w:rPr>
      </w:pPr>
      <w:r>
        <w:drawing>
          <wp:anchor distT="0" distB="0" distL="114300" distR="114300" simplePos="0" relativeHeight="251661312" behindDoc="0" locked="0" layoutInCell="1" allowOverlap="1">
            <wp:simplePos x="0" y="0"/>
            <wp:positionH relativeFrom="column">
              <wp:posOffset>266700</wp:posOffset>
            </wp:positionH>
            <wp:positionV relativeFrom="paragraph">
              <wp:posOffset>170815</wp:posOffset>
            </wp:positionV>
            <wp:extent cx="4999355" cy="1872615"/>
            <wp:effectExtent l="0" t="0" r="10795" b="13335"/>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4999355" cy="1872615"/>
                    </a:xfrm>
                    <a:prstGeom prst="rect">
                      <a:avLst/>
                    </a:prstGeom>
                    <a:noFill/>
                    <a:ln>
                      <a:noFill/>
                    </a:ln>
                  </pic:spPr>
                </pic:pic>
              </a:graphicData>
            </a:graphic>
          </wp:anchor>
        </w:drawing>
      </w:r>
      <w:bookmarkStart w:id="22" w:name="_Toc15377208"/>
      <w:bookmarkStart w:id="23"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2"/>
      <w:bookmarkEnd w:id="23"/>
    </w:p>
    <w:p w14:paraId="07C5E329">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2395.84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sz w:val="32"/>
          <w:szCs w:val="32"/>
          <w:highlight w:val="none"/>
          <w:lang w:val="en-US" w:eastAsia="zh-CN"/>
        </w:rPr>
        <w:t>861.09</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56.11</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办公楼搬迁、专网搬迁和案件查办信息化支出。</w:t>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6DE55CB">
      <w:pPr>
        <w:pStyle w:val="2"/>
        <w:rPr>
          <w:rFonts w:hint="eastAsia" w:ascii="Times New Roman" w:hAnsi="Times New Roman" w:eastAsia="仿宋_GB2312" w:cs="仿宋_GB2312"/>
          <w:color w:val="auto"/>
          <w:kern w:val="2"/>
          <w:sz w:val="32"/>
          <w:szCs w:val="32"/>
          <w:highlight w:val="none"/>
          <w:lang w:val="en-US" w:eastAsia="zh-CN" w:bidi="ar-SA"/>
        </w:rPr>
      </w:pPr>
    </w:p>
    <w:p w14:paraId="01E0AC8F">
      <w:pPr>
        <w:pStyle w:val="3"/>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685030" cy="2244090"/>
            <wp:effectExtent l="0" t="0" r="1270" b="38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4685030" cy="2244090"/>
                    </a:xfrm>
                    <a:prstGeom prst="rect">
                      <a:avLst/>
                    </a:prstGeom>
                    <a:noFill/>
                    <a:ln>
                      <a:noFill/>
                    </a:ln>
                  </pic:spPr>
                </pic:pic>
              </a:graphicData>
            </a:graphic>
          </wp:inline>
        </w:drawing>
      </w:r>
    </w:p>
    <w:p w14:paraId="3F4A0DB3">
      <w:pPr>
        <w:pageBreakBefore w:val="0"/>
        <w:kinsoku/>
        <w:wordWrap/>
        <w:overflowPunct/>
        <w:topLinePunct w:val="0"/>
        <w:bidi w:val="0"/>
        <w:spacing w:line="578" w:lineRule="exact"/>
        <w:ind w:firstLine="640" w:firstLineChars="200"/>
        <w:textAlignment w:val="auto"/>
        <w:outlineLvl w:val="1"/>
        <w:rPr>
          <w:rStyle w:val="29"/>
          <w:rFonts w:ascii="Times New Roman" w:hAnsi="Times New Roman" w:eastAsia="黑体"/>
          <w:b w:val="0"/>
          <w:color w:val="auto"/>
          <w:highlight w:val="none"/>
        </w:rPr>
      </w:pPr>
      <w:bookmarkStart w:id="24" w:name="_Toc15396607"/>
      <w:bookmarkStart w:id="25"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4"/>
      <w:bookmarkEnd w:id="25"/>
    </w:p>
    <w:p w14:paraId="07598952">
      <w:pPr>
        <w:pageBreakBefore w:val="0"/>
        <w:kinsoku/>
        <w:wordWrap/>
        <w:overflowPunct/>
        <w:topLinePunct w:val="0"/>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6"/>
    </w:p>
    <w:p w14:paraId="718080D1">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2395.84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w:t>
      </w:r>
      <w:r>
        <w:rPr>
          <w:rFonts w:hint="eastAsia" w:eastAsia="仿宋_GB2312" w:cs="仿宋_GB2312"/>
          <w:color w:val="auto"/>
          <w:kern w:val="2"/>
          <w:sz w:val="32"/>
          <w:szCs w:val="32"/>
          <w:highlight w:val="none"/>
          <w:lang w:val="en-US" w:eastAsia="zh-CN" w:bidi="ar-SA"/>
        </w:rPr>
        <w:t>增加</w:t>
      </w:r>
      <w:r>
        <w:rPr>
          <w:rFonts w:hint="eastAsia" w:eastAsia="仿宋_GB2312" w:cs="仿宋_GB2312"/>
          <w:color w:val="auto"/>
          <w:sz w:val="32"/>
          <w:szCs w:val="32"/>
          <w:highlight w:val="none"/>
          <w:lang w:val="en-US" w:eastAsia="zh-CN"/>
        </w:rPr>
        <w:t>861.09</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56.11</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办公楼搬迁、专网搬迁和案件查办信息化支出。</w:t>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0DCA2CB6">
      <w:pPr>
        <w:pStyle w:val="3"/>
        <w:rPr>
          <w:rFonts w:hint="eastAsia"/>
          <w:lang w:val="en-US" w:eastAsia="zh-CN"/>
        </w:rPr>
      </w:pPr>
      <w:r>
        <w:drawing>
          <wp:inline distT="0" distB="0" distL="114300" distR="114300">
            <wp:extent cx="4751705" cy="3186430"/>
            <wp:effectExtent l="0" t="0" r="10795" b="139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4751705" cy="3186430"/>
                    </a:xfrm>
                    <a:prstGeom prst="rect">
                      <a:avLst/>
                    </a:prstGeom>
                    <a:noFill/>
                    <a:ln>
                      <a:noFill/>
                    </a:ln>
                  </pic:spPr>
                </pic:pic>
              </a:graphicData>
            </a:graphic>
          </wp:inline>
        </w:drawing>
      </w:r>
    </w:p>
    <w:p w14:paraId="40801B1A">
      <w:pPr>
        <w:pageBreakBefore w:val="0"/>
        <w:kinsoku/>
        <w:wordWrap/>
        <w:overflowPunct/>
        <w:topLinePunct w:val="0"/>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7"/>
    </w:p>
    <w:p w14:paraId="49E7B6A4">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2395.84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2023.24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84.45</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8.71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0.36</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202.22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8.44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66.72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2.78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94.96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3.97%。</w:t>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4C42F0FA">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691D7B3C">
      <w:pPr>
        <w:pageBreakBefore w:val="0"/>
        <w:kinsoku/>
        <w:wordWrap/>
        <w:overflowPunct/>
        <w:topLinePunct w:val="0"/>
        <w:bidi w:val="0"/>
        <w:spacing w:line="578" w:lineRule="exact"/>
        <w:ind w:firstLine="420" w:firstLineChars="200"/>
        <w:textAlignment w:val="auto"/>
        <w:outlineLvl w:val="2"/>
        <w:rPr>
          <w:rFonts w:hint="eastAsia" w:ascii="Times New Roman" w:hAnsi="Times New Roman" w:eastAsia="楷体_GB2312" w:cs="楷体_GB2312"/>
          <w:b/>
          <w:color w:val="auto"/>
          <w:sz w:val="32"/>
          <w:szCs w:val="32"/>
          <w:highlight w:val="none"/>
        </w:rPr>
      </w:pPr>
      <w:bookmarkStart w:id="28" w:name="_Toc15377212"/>
      <w:r>
        <w:drawing>
          <wp:anchor distT="0" distB="0" distL="114300" distR="114300" simplePos="0" relativeHeight="251662336" behindDoc="0" locked="0" layoutInCell="1" allowOverlap="1">
            <wp:simplePos x="0" y="0"/>
            <wp:positionH relativeFrom="column">
              <wp:posOffset>266700</wp:posOffset>
            </wp:positionH>
            <wp:positionV relativeFrom="paragraph">
              <wp:posOffset>-2487295</wp:posOffset>
            </wp:positionV>
            <wp:extent cx="4828540" cy="2767330"/>
            <wp:effectExtent l="0" t="0" r="10160" b="13970"/>
            <wp:wrapSquare wrapText="bothSides"/>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2"/>
                    <a:stretch>
                      <a:fillRect/>
                    </a:stretch>
                  </pic:blipFill>
                  <pic:spPr>
                    <a:xfrm>
                      <a:off x="0" y="0"/>
                      <a:ext cx="4828540" cy="2767330"/>
                    </a:xfrm>
                    <a:prstGeom prst="rect">
                      <a:avLst/>
                    </a:prstGeom>
                    <a:noFill/>
                    <a:ln>
                      <a:noFill/>
                    </a:ln>
                  </pic:spPr>
                </pic:pic>
              </a:graphicData>
            </a:graphic>
          </wp:anchor>
        </w:drawing>
      </w:r>
      <w:r>
        <w:rPr>
          <w:rFonts w:hint="eastAsia" w:ascii="Times New Roman" w:hAnsi="Times New Roman" w:eastAsia="楷体_GB2312" w:cs="楷体_GB2312"/>
          <w:b/>
          <w:color w:val="auto"/>
          <w:sz w:val="32"/>
          <w:szCs w:val="32"/>
          <w:highlight w:val="none"/>
        </w:rPr>
        <w:t>（三）一般公共预算财政拨款支出决算具体情况</w:t>
      </w:r>
      <w:bookmarkEnd w:id="28"/>
    </w:p>
    <w:p w14:paraId="1618E791">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bookmarkStart w:id="29" w:name="_Toc15377213"/>
      <w:bookmarkStart w:id="30" w:name="_Toc15378460"/>
      <w:bookmarkStart w:id="31"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2395.84</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9"/>
      <w:bookmarkEnd w:id="30"/>
      <w:bookmarkEnd w:id="31"/>
    </w:p>
    <w:p w14:paraId="5B15609F">
      <w:pPr>
        <w:pageBreakBefore w:val="0"/>
        <w:numPr>
          <w:ilvl w:val="0"/>
          <w:numId w:val="1"/>
        </w:numPr>
        <w:kinsoku/>
        <w:wordWrap/>
        <w:overflowPunct/>
        <w:topLinePunct w:val="0"/>
        <w:bidi w:val="0"/>
        <w:spacing w:line="578" w:lineRule="exact"/>
        <w:ind w:firstLine="640"/>
        <w:textAlignment w:val="auto"/>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一般公共服务</w:t>
      </w:r>
      <w:r>
        <w:rPr>
          <w:rFonts w:hint="eastAsia" w:eastAsia="仿宋_GB2312" w:cs="仿宋_GB2312"/>
          <w:b/>
          <w:bCs/>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2023.24万元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其中：2011101行政运行996.86万元，2011102一般行政管理事务741.62万元，2011106巡视工作25万元，2011199其他纪检监察事务支出259.76万元。</w:t>
      </w:r>
    </w:p>
    <w:p w14:paraId="04E80BCA">
      <w:pPr>
        <w:pageBreakBefore w:val="0"/>
        <w:kinsoku/>
        <w:wordWrap/>
        <w:overflowPunct/>
        <w:topLinePunct w:val="0"/>
        <w:bidi w:val="0"/>
        <w:spacing w:line="578" w:lineRule="exact"/>
        <w:ind w:firstLine="64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eastAsia="仿宋_GB2312" w:cs="仿宋_GB2312"/>
          <w:b/>
          <w:bCs/>
          <w:color w:val="auto"/>
          <w:kern w:val="2"/>
          <w:sz w:val="32"/>
          <w:szCs w:val="32"/>
          <w:highlight w:val="none"/>
          <w:lang w:val="en-US" w:eastAsia="zh-CN" w:bidi="ar-SA"/>
        </w:rPr>
        <w:t>教育支出：</w:t>
      </w:r>
      <w:r>
        <w:rPr>
          <w:rFonts w:hint="eastAsia" w:eastAsia="仿宋_GB2312" w:cs="仿宋_GB2312"/>
          <w:b w:val="0"/>
          <w:bCs w:val="0"/>
          <w:color w:val="auto"/>
          <w:kern w:val="2"/>
          <w:sz w:val="32"/>
          <w:szCs w:val="32"/>
          <w:highlight w:val="none"/>
          <w:lang w:val="en-US" w:eastAsia="zh-CN" w:bidi="ar-SA"/>
        </w:rPr>
        <w:t>支出决算为8.71</w:t>
      </w:r>
      <w:r>
        <w:rPr>
          <w:rFonts w:hint="eastAsia" w:eastAsia="仿宋_GB2312" w:cs="仿宋_GB2312"/>
          <w:color w:val="auto"/>
          <w:kern w:val="2"/>
          <w:sz w:val="32"/>
          <w:szCs w:val="32"/>
          <w:highlight w:val="none"/>
          <w:lang w:val="en-US" w:eastAsia="zh-CN" w:bidi="ar-SA"/>
        </w:rPr>
        <w:t>万元，完成预算100%，</w:t>
      </w:r>
      <w:r>
        <w:rPr>
          <w:rStyle w:val="17"/>
          <w:rFonts w:hint="eastAsia" w:ascii="仿宋" w:hAnsi="仿宋" w:eastAsia="仿宋"/>
          <w:b w:val="0"/>
          <w:bCs/>
          <w:color w:val="auto"/>
          <w:sz w:val="32"/>
          <w:szCs w:val="32"/>
          <w:highlight w:val="none"/>
          <w:lang w:val="en-US" w:eastAsia="zh-CN"/>
        </w:rPr>
        <w:t>其中：2080503培训支出8.71万元。</w:t>
      </w:r>
    </w:p>
    <w:p w14:paraId="5B9D15AC">
      <w:pPr>
        <w:spacing w:line="600" w:lineRule="exact"/>
        <w:ind w:firstLine="643" w:firstLineChars="200"/>
        <w:rPr>
          <w:rFonts w:ascii="仿宋" w:hAnsi="仿宋" w:eastAsia="仿宋"/>
          <w:b w:val="0"/>
          <w:bCs w:val="0"/>
          <w:color w:val="auto"/>
          <w:sz w:val="32"/>
          <w:szCs w:val="32"/>
          <w:highlight w:val="none"/>
        </w:rPr>
      </w:pPr>
      <w:r>
        <w:rPr>
          <w:rStyle w:val="17"/>
          <w:rFonts w:hint="eastAsia" w:ascii="仿宋" w:hAnsi="仿宋" w:eastAsia="仿宋"/>
          <w:bCs/>
          <w:color w:val="auto"/>
          <w:sz w:val="32"/>
          <w:szCs w:val="32"/>
          <w:highlight w:val="none"/>
          <w:lang w:val="en-US" w:eastAsia="zh-CN"/>
        </w:rPr>
        <w:t>3</w:t>
      </w:r>
      <w:r>
        <w:rPr>
          <w:rStyle w:val="17"/>
          <w:rFonts w:ascii="仿宋" w:hAnsi="仿宋" w:eastAsia="仿宋"/>
          <w:bCs/>
          <w:color w:val="auto"/>
          <w:sz w:val="32"/>
          <w:szCs w:val="32"/>
          <w:highlight w:val="none"/>
        </w:rPr>
        <w:t>.</w:t>
      </w:r>
      <w:r>
        <w:rPr>
          <w:rStyle w:val="17"/>
          <w:rFonts w:hint="eastAsia" w:ascii="仿宋" w:hAnsi="仿宋" w:eastAsia="仿宋"/>
          <w:bCs/>
          <w:color w:val="auto"/>
          <w:sz w:val="32"/>
          <w:szCs w:val="32"/>
          <w:highlight w:val="none"/>
        </w:rPr>
        <w:t>社会保障</w:t>
      </w:r>
      <w:r>
        <w:rPr>
          <w:rStyle w:val="17"/>
          <w:rFonts w:hint="eastAsia" w:ascii="仿宋" w:hAnsi="仿宋" w:eastAsia="仿宋"/>
          <w:b/>
          <w:bCs/>
          <w:color w:val="auto"/>
          <w:sz w:val="32"/>
          <w:szCs w:val="32"/>
          <w:highlight w:val="none"/>
        </w:rPr>
        <w:t>和就业</w:t>
      </w:r>
      <w:r>
        <w:rPr>
          <w:rStyle w:val="17"/>
          <w:rFonts w:hint="eastAsia" w:ascii="仿宋" w:hAnsi="仿宋" w:eastAsia="仿宋"/>
          <w:b/>
          <w:bCs/>
          <w:color w:val="auto"/>
          <w:sz w:val="32"/>
          <w:szCs w:val="32"/>
          <w:highlight w:val="none"/>
          <w:lang w:eastAsia="zh-CN"/>
        </w:rPr>
        <w:t>支出：</w:t>
      </w:r>
      <w:r>
        <w:rPr>
          <w:rStyle w:val="17"/>
          <w:rFonts w:hint="eastAsia" w:ascii="仿宋" w:hAnsi="仿宋" w:eastAsia="仿宋"/>
          <w:b w:val="0"/>
          <w:bCs w:val="0"/>
          <w:color w:val="auto"/>
          <w:sz w:val="32"/>
          <w:szCs w:val="32"/>
          <w:highlight w:val="none"/>
          <w:lang w:eastAsia="zh-CN"/>
        </w:rPr>
        <w:t>支出决算为</w:t>
      </w:r>
      <w:r>
        <w:rPr>
          <w:rStyle w:val="17"/>
          <w:rFonts w:hint="eastAsia" w:ascii="仿宋" w:hAnsi="仿宋" w:eastAsia="仿宋"/>
          <w:b w:val="0"/>
          <w:bCs w:val="0"/>
          <w:color w:val="auto"/>
          <w:sz w:val="32"/>
          <w:szCs w:val="32"/>
          <w:highlight w:val="none"/>
          <w:lang w:val="en-US" w:eastAsia="zh-CN"/>
        </w:rPr>
        <w:t>202.22万元，完成预算100%，其中：2080505机关事业单位养老保险缴费支出129.27</w:t>
      </w:r>
      <w:r>
        <w:rPr>
          <w:rStyle w:val="17"/>
          <w:rFonts w:hint="eastAsia" w:ascii="仿宋" w:hAnsi="仿宋" w:eastAsia="仿宋"/>
          <w:b w:val="0"/>
          <w:bCs w:val="0"/>
          <w:color w:val="auto"/>
          <w:sz w:val="32"/>
          <w:szCs w:val="32"/>
          <w:highlight w:val="none"/>
        </w:rPr>
        <w:t>万元，</w:t>
      </w:r>
      <w:r>
        <w:rPr>
          <w:rStyle w:val="17"/>
          <w:rFonts w:hint="eastAsia" w:ascii="仿宋" w:hAnsi="仿宋" w:eastAsia="仿宋"/>
          <w:b w:val="0"/>
          <w:bCs w:val="0"/>
          <w:color w:val="auto"/>
          <w:sz w:val="32"/>
          <w:szCs w:val="32"/>
          <w:highlight w:val="none"/>
          <w:lang w:val="en-US" w:eastAsia="zh-CN"/>
        </w:rPr>
        <w:t>2080506机关事业单位职业年金缴费支出72.95</w:t>
      </w:r>
      <w:r>
        <w:rPr>
          <w:rStyle w:val="17"/>
          <w:rFonts w:hint="eastAsia" w:ascii="仿宋" w:hAnsi="仿宋" w:eastAsia="仿宋"/>
          <w:b w:val="0"/>
          <w:bCs w:val="0"/>
          <w:color w:val="auto"/>
          <w:sz w:val="32"/>
          <w:szCs w:val="32"/>
          <w:highlight w:val="none"/>
        </w:rPr>
        <w:t>万元。</w:t>
      </w:r>
    </w:p>
    <w:p w14:paraId="1CDF4EA0">
      <w:pPr>
        <w:spacing w:line="600" w:lineRule="exact"/>
        <w:ind w:firstLine="643" w:firstLineChars="200"/>
        <w:rPr>
          <w:rStyle w:val="17"/>
          <w:rFonts w:hint="eastAsia" w:ascii="仿宋" w:hAnsi="仿宋" w:eastAsia="仿宋"/>
          <w:b w:val="0"/>
          <w:bCs/>
          <w:color w:val="auto"/>
          <w:sz w:val="32"/>
          <w:szCs w:val="32"/>
          <w:highlight w:val="none"/>
        </w:rPr>
      </w:pPr>
      <w:r>
        <w:rPr>
          <w:rStyle w:val="17"/>
          <w:rFonts w:hint="eastAsia" w:ascii="仿宋" w:hAnsi="仿宋" w:eastAsia="仿宋"/>
          <w:bCs/>
          <w:color w:val="auto"/>
          <w:sz w:val="32"/>
          <w:szCs w:val="32"/>
          <w:highlight w:val="none"/>
          <w:lang w:val="en-US" w:eastAsia="zh-CN"/>
        </w:rPr>
        <w:t>4</w:t>
      </w:r>
      <w:r>
        <w:rPr>
          <w:rStyle w:val="17"/>
          <w:rFonts w:ascii="仿宋" w:hAnsi="仿宋" w:eastAsia="仿宋"/>
          <w:bCs/>
          <w:color w:val="auto"/>
          <w:sz w:val="32"/>
          <w:szCs w:val="32"/>
          <w:highlight w:val="none"/>
        </w:rPr>
        <w:t>.</w:t>
      </w:r>
      <w:r>
        <w:rPr>
          <w:rFonts w:hint="eastAsia" w:ascii="仿宋" w:hAnsi="仿宋" w:eastAsia="仿宋"/>
          <w:b/>
          <w:bCs/>
          <w:color w:val="auto"/>
          <w:sz w:val="32"/>
          <w:szCs w:val="32"/>
          <w:highlight w:val="none"/>
        </w:rPr>
        <w:t>卫生健康</w:t>
      </w:r>
      <w:r>
        <w:rPr>
          <w:rFonts w:hint="eastAsia" w:ascii="仿宋" w:hAnsi="仿宋" w:eastAsia="仿宋"/>
          <w:b/>
          <w:bCs/>
          <w:color w:val="auto"/>
          <w:sz w:val="32"/>
          <w:szCs w:val="32"/>
          <w:highlight w:val="none"/>
          <w:lang w:eastAsia="zh-CN"/>
        </w:rPr>
        <w:t>支出：</w:t>
      </w:r>
      <w:r>
        <w:rPr>
          <w:rStyle w:val="17"/>
          <w:rFonts w:hint="eastAsia" w:ascii="仿宋" w:hAnsi="仿宋" w:eastAsia="仿宋"/>
          <w:b w:val="0"/>
          <w:bCs w:val="0"/>
          <w:color w:val="auto"/>
          <w:sz w:val="32"/>
          <w:szCs w:val="32"/>
          <w:highlight w:val="none"/>
          <w:lang w:eastAsia="zh-CN"/>
        </w:rPr>
        <w:t>支出决算为</w:t>
      </w:r>
      <w:r>
        <w:rPr>
          <w:rFonts w:hint="eastAsia" w:ascii="仿宋" w:hAnsi="仿宋" w:eastAsia="仿宋"/>
          <w:b w:val="0"/>
          <w:bCs w:val="0"/>
          <w:color w:val="auto"/>
          <w:sz w:val="32"/>
          <w:szCs w:val="32"/>
          <w:highlight w:val="none"/>
          <w:lang w:val="en-US" w:eastAsia="zh-CN"/>
        </w:rPr>
        <w:t>66.72万元，完成预算100%，其中</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2101101行政单位医疗57.57</w:t>
      </w:r>
      <w:r>
        <w:rPr>
          <w:rStyle w:val="17"/>
          <w:rFonts w:hint="eastAsia" w:ascii="仿宋" w:hAnsi="仿宋" w:eastAsia="仿宋"/>
          <w:b w:val="0"/>
          <w:bCs w:val="0"/>
          <w:color w:val="auto"/>
          <w:sz w:val="32"/>
          <w:szCs w:val="32"/>
          <w:highlight w:val="none"/>
        </w:rPr>
        <w:t>万元，</w:t>
      </w:r>
      <w:r>
        <w:rPr>
          <w:rStyle w:val="17"/>
          <w:rFonts w:hint="eastAsia" w:ascii="仿宋" w:hAnsi="仿宋" w:eastAsia="仿宋"/>
          <w:b w:val="0"/>
          <w:bCs w:val="0"/>
          <w:color w:val="auto"/>
          <w:sz w:val="32"/>
          <w:szCs w:val="32"/>
          <w:highlight w:val="none"/>
          <w:lang w:val="en-US" w:eastAsia="zh-CN"/>
        </w:rPr>
        <w:t>2101103公务员医疗补助9.14</w:t>
      </w:r>
      <w:r>
        <w:rPr>
          <w:rStyle w:val="17"/>
          <w:rFonts w:hint="eastAsia" w:ascii="仿宋" w:hAnsi="仿宋" w:eastAsia="仿宋"/>
          <w:b w:val="0"/>
          <w:bCs w:val="0"/>
          <w:color w:val="auto"/>
          <w:sz w:val="32"/>
          <w:szCs w:val="32"/>
          <w:highlight w:val="none"/>
        </w:rPr>
        <w:t>万元。</w:t>
      </w:r>
    </w:p>
    <w:p w14:paraId="1654E38F">
      <w:pPr>
        <w:pageBreakBefore w:val="0"/>
        <w:tabs>
          <w:tab w:val="right" w:pos="8306"/>
        </w:tabs>
        <w:kinsoku/>
        <w:wordWrap/>
        <w:overflowPunct/>
        <w:topLinePunct w:val="0"/>
        <w:bidi w:val="0"/>
        <w:spacing w:line="578" w:lineRule="exact"/>
        <w:ind w:firstLine="640"/>
        <w:textAlignment w:val="auto"/>
        <w:outlineLvl w:val="1"/>
        <w:rPr>
          <w:rStyle w:val="17"/>
          <w:rFonts w:hint="eastAsia" w:ascii="仿宋" w:hAnsi="仿宋" w:eastAsia="仿宋"/>
          <w:b w:val="0"/>
          <w:bCs/>
          <w:color w:val="auto"/>
          <w:sz w:val="32"/>
          <w:szCs w:val="32"/>
          <w:highlight w:val="none"/>
          <w:lang w:val="en-US" w:eastAsia="zh-CN"/>
        </w:rPr>
      </w:pPr>
      <w:r>
        <w:rPr>
          <w:rFonts w:hint="eastAsia" w:ascii="仿宋" w:hAnsi="仿宋" w:eastAsia="仿宋"/>
          <w:b/>
          <w:bCs/>
          <w:color w:val="auto"/>
          <w:sz w:val="32"/>
          <w:szCs w:val="32"/>
          <w:highlight w:val="none"/>
          <w:lang w:val="en-US" w:eastAsia="zh-CN"/>
        </w:rPr>
        <w:t>5.住房保障支出：</w:t>
      </w:r>
      <w:r>
        <w:rPr>
          <w:rStyle w:val="17"/>
          <w:rFonts w:hint="eastAsia" w:ascii="仿宋" w:hAnsi="仿宋" w:eastAsia="仿宋"/>
          <w:b w:val="0"/>
          <w:bCs w:val="0"/>
          <w:color w:val="auto"/>
          <w:sz w:val="32"/>
          <w:szCs w:val="32"/>
          <w:highlight w:val="none"/>
          <w:lang w:eastAsia="zh-CN"/>
        </w:rPr>
        <w:t>支出决算为</w:t>
      </w:r>
      <w:r>
        <w:rPr>
          <w:rStyle w:val="17"/>
          <w:rFonts w:hint="eastAsia" w:ascii="仿宋" w:hAnsi="仿宋" w:eastAsia="仿宋"/>
          <w:b w:val="0"/>
          <w:bCs/>
          <w:color w:val="auto"/>
          <w:sz w:val="32"/>
          <w:szCs w:val="32"/>
          <w:highlight w:val="none"/>
          <w:lang w:val="en-US" w:eastAsia="zh-CN"/>
        </w:rPr>
        <w:t>94.96万元，完成预算100%，其中：2210201住房公积金94.96万元。</w:t>
      </w:r>
      <w:bookmarkStart w:id="32" w:name="_Toc15396608"/>
      <w:bookmarkStart w:id="33" w:name="_Toc15377214"/>
    </w:p>
    <w:p w14:paraId="0E021DD8">
      <w:pPr>
        <w:pageBreakBefore w:val="0"/>
        <w:tabs>
          <w:tab w:val="right" w:pos="8306"/>
        </w:tabs>
        <w:kinsoku/>
        <w:wordWrap/>
        <w:overflowPunct/>
        <w:topLinePunct w:val="0"/>
        <w:bidi w:val="0"/>
        <w:spacing w:line="578" w:lineRule="exact"/>
        <w:ind w:firstLine="640"/>
        <w:textAlignment w:val="auto"/>
        <w:outlineLvl w:val="1"/>
        <w:rPr>
          <w:rStyle w:val="29"/>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2"/>
      <w:bookmarkEnd w:id="33"/>
      <w:r>
        <w:rPr>
          <w:rStyle w:val="29"/>
          <w:rFonts w:ascii="Times New Roman" w:hAnsi="Times New Roman" w:eastAsia="黑体"/>
          <w:b w:val="0"/>
          <w:color w:val="auto"/>
          <w:highlight w:val="none"/>
        </w:rPr>
        <w:tab/>
      </w:r>
    </w:p>
    <w:p w14:paraId="491A90AC">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1360.76</w:t>
      </w:r>
      <w:r>
        <w:rPr>
          <w:rFonts w:hint="eastAsia" w:ascii="Times New Roman" w:hAnsi="Times New Roman" w:eastAsia="仿宋_GB2312" w:cs="仿宋_GB2312"/>
          <w:color w:val="auto"/>
          <w:kern w:val="2"/>
          <w:sz w:val="32"/>
          <w:szCs w:val="32"/>
          <w:highlight w:val="none"/>
          <w:lang w:val="en-US" w:eastAsia="zh-CN" w:bidi="ar-SA"/>
        </w:rPr>
        <w:t>万元，其中：</w:t>
      </w:r>
    </w:p>
    <w:p w14:paraId="02D4F0F6">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1233.22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127.53</w:t>
      </w:r>
      <w:r>
        <w:rPr>
          <w:rFonts w:hint="eastAsia" w:ascii="Times New Roman" w:hAnsi="Times New Roman" w:eastAsia="仿宋_GB2312" w:cs="仿宋_GB2312"/>
          <w:color w:val="auto"/>
          <w:kern w:val="2"/>
          <w:sz w:val="32"/>
          <w:szCs w:val="32"/>
          <w:highlight w:val="none"/>
          <w:lang w:val="en-US" w:eastAsia="zh-CN" w:bidi="ar-SA"/>
        </w:rPr>
        <w:t>万元，主要包括：办公费、手续费、水费、电费、邮电费、取暖费、差旅费、维修（护）费、会议费、培训费、公务接待费、劳务费、工会经费、公务用车运行维护费、其他交通费、其他商品和服务支出、办公设备购置、专用设备购置、信息网络及软件购置更新、其他资本性支出等。</w:t>
      </w:r>
    </w:p>
    <w:p w14:paraId="18D512D0">
      <w:pPr>
        <w:pageBreakBefore w:val="0"/>
        <w:kinsoku/>
        <w:wordWrap/>
        <w:overflowPunct/>
        <w:topLinePunct w:val="0"/>
        <w:bidi w:val="0"/>
        <w:spacing w:line="578" w:lineRule="exact"/>
        <w:ind w:firstLine="640"/>
        <w:textAlignment w:val="auto"/>
        <w:outlineLvl w:val="1"/>
        <w:rPr>
          <w:rStyle w:val="29"/>
          <w:rFonts w:ascii="Times New Roman" w:hAnsi="Times New Roman" w:eastAsia="黑体"/>
          <w:b w:val="0"/>
          <w:color w:val="auto"/>
          <w:highlight w:val="none"/>
        </w:rPr>
      </w:pPr>
      <w:bookmarkStart w:id="34" w:name="_Toc15396609"/>
      <w:bookmarkStart w:id="35"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4"/>
      <w:bookmarkEnd w:id="35"/>
    </w:p>
    <w:p w14:paraId="26E99363">
      <w:pPr>
        <w:pageBreakBefore w:val="0"/>
        <w:kinsoku/>
        <w:wordWrap/>
        <w:overflowPunct/>
        <w:topLinePunct w:val="0"/>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6"/>
    </w:p>
    <w:p w14:paraId="5A77A089">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51.49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77.98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60.23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2024年度有购置公务用车两台。</w:t>
      </w:r>
    </w:p>
    <w:p w14:paraId="3166801F">
      <w:pPr>
        <w:pageBreakBefore w:val="0"/>
        <w:kinsoku/>
        <w:wordWrap/>
        <w:overflowPunct/>
        <w:topLinePunct w:val="0"/>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7"/>
    </w:p>
    <w:p w14:paraId="19A409FA">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财政拨款“三公”经费支出决算中，公务用车购置及运行维护费支出决算</w:t>
      </w:r>
      <w:r>
        <w:rPr>
          <w:rFonts w:hint="eastAsia" w:ascii="仿宋_GB2312" w:hAnsi="仿宋_GB2312" w:eastAsia="仿宋_GB2312" w:cs="仿宋_GB2312"/>
          <w:sz w:val="32"/>
          <w:szCs w:val="32"/>
        </w:rPr>
        <w:t>51.49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%。具体情况如下：（图7：财政拨款“三公”经费支出结构）（饼状图）</w:t>
      </w:r>
    </w:p>
    <w:p w14:paraId="7A4967CF">
      <w:pPr>
        <w:pStyle w:val="2"/>
        <w:rPr>
          <w:rFonts w:hint="eastAsia" w:ascii="Times New Roman" w:hAnsi="Times New Roman" w:eastAsia="仿宋_GB2312" w:cs="仿宋_GB2312"/>
          <w:color w:val="auto"/>
          <w:kern w:val="2"/>
          <w:sz w:val="32"/>
          <w:szCs w:val="32"/>
          <w:highlight w:val="none"/>
          <w:lang w:val="en-US" w:eastAsia="zh-CN" w:bidi="ar-SA"/>
        </w:rPr>
      </w:pPr>
    </w:p>
    <w:p w14:paraId="560F5B01">
      <w:pPr>
        <w:pStyle w:val="3"/>
        <w:rPr>
          <w:rFonts w:hint="eastAsia" w:ascii="Times New Roman" w:hAnsi="Times New Roman" w:eastAsia="仿宋_GB2312" w:cs="仿宋_GB2312"/>
          <w:color w:val="auto"/>
          <w:kern w:val="2"/>
          <w:sz w:val="32"/>
          <w:szCs w:val="32"/>
          <w:highlight w:val="none"/>
          <w:lang w:val="en-US" w:eastAsia="zh-CN" w:bidi="ar-SA"/>
        </w:rPr>
      </w:pPr>
    </w:p>
    <w:p w14:paraId="095B8B5F">
      <w:pPr>
        <w:rPr>
          <w:rFonts w:hint="eastAsia" w:ascii="Times New Roman" w:hAnsi="Times New Roman" w:eastAsia="仿宋_GB2312" w:cs="仿宋_GB2312"/>
          <w:color w:val="auto"/>
          <w:kern w:val="2"/>
          <w:sz w:val="32"/>
          <w:szCs w:val="32"/>
          <w:highlight w:val="none"/>
          <w:lang w:val="en-US" w:eastAsia="zh-CN" w:bidi="ar-SA"/>
        </w:rPr>
      </w:pPr>
    </w:p>
    <w:p w14:paraId="60F70ED2">
      <w:pPr>
        <w:pStyle w:val="2"/>
        <w:rPr>
          <w:rFonts w:hint="eastAsia" w:ascii="Times New Roman" w:hAnsi="Times New Roman" w:eastAsia="仿宋_GB2312" w:cs="仿宋_GB2312"/>
          <w:color w:val="auto"/>
          <w:kern w:val="2"/>
          <w:sz w:val="32"/>
          <w:szCs w:val="32"/>
          <w:highlight w:val="none"/>
          <w:lang w:val="en-US" w:eastAsia="zh-CN" w:bidi="ar-SA"/>
        </w:rPr>
      </w:pPr>
    </w:p>
    <w:p w14:paraId="26B3060D">
      <w:pPr>
        <w:pStyle w:val="3"/>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590415" cy="2234565"/>
            <wp:effectExtent l="0" t="0" r="635" b="1333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3"/>
                    <a:stretch>
                      <a:fillRect/>
                    </a:stretch>
                  </pic:blipFill>
                  <pic:spPr>
                    <a:xfrm>
                      <a:off x="0" y="0"/>
                      <a:ext cx="4590415" cy="2234565"/>
                    </a:xfrm>
                    <a:prstGeom prst="rect">
                      <a:avLst/>
                    </a:prstGeom>
                    <a:noFill/>
                    <a:ln>
                      <a:noFill/>
                    </a:ln>
                  </pic:spPr>
                </pic:pic>
              </a:graphicData>
            </a:graphic>
          </wp:inline>
        </w:drawing>
      </w:r>
    </w:p>
    <w:p w14:paraId="1899D7DC">
      <w:pPr>
        <w:rPr>
          <w:rFonts w:hint="eastAsia"/>
          <w:lang w:val="en-US" w:eastAsia="zh-CN"/>
        </w:rPr>
      </w:pPr>
    </w:p>
    <w:p w14:paraId="2A7BD99A">
      <w:pPr>
        <w:pageBreakBefore w:val="0"/>
        <w:kinsoku/>
        <w:wordWrap/>
        <w:overflowPunct/>
        <w:topLinePunct w:val="0"/>
        <w:bidi w:val="0"/>
        <w:spacing w:line="578" w:lineRule="exact"/>
        <w:ind w:firstLine="640"/>
        <w:textAlignment w:val="auto"/>
        <w:outlineLvl w:val="1"/>
        <w:rPr>
          <w:rFonts w:hint="eastAsia"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51.49</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77.98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60.23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2024年度有购置公务用车两台。</w:t>
      </w:r>
      <w:bookmarkStart w:id="38" w:name="_Toc15377218"/>
      <w:bookmarkStart w:id="39" w:name="_Toc15396610"/>
    </w:p>
    <w:p w14:paraId="750B6C10">
      <w:pPr>
        <w:pageBreakBefore w:val="0"/>
        <w:kinsoku/>
        <w:wordWrap/>
        <w:overflowPunct/>
        <w:topLinePunct w:val="0"/>
        <w:bidi w:val="0"/>
        <w:spacing w:line="578" w:lineRule="exact"/>
        <w:ind w:firstLine="640"/>
        <w:textAlignment w:val="auto"/>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8"/>
      <w:bookmarkEnd w:id="39"/>
    </w:p>
    <w:p w14:paraId="2D942227">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p>
    <w:p w14:paraId="6F0EFB82">
      <w:pPr>
        <w:pageBreakBefore w:val="0"/>
        <w:numPr>
          <w:ilvl w:val="0"/>
          <w:numId w:val="0"/>
        </w:numPr>
        <w:kinsoku/>
        <w:wordWrap/>
        <w:overflowPunct/>
        <w:topLinePunct w:val="0"/>
        <w:bidi w:val="0"/>
        <w:spacing w:line="578" w:lineRule="exact"/>
        <w:ind w:left="630" w:leftChars="0"/>
        <w:textAlignment w:val="auto"/>
        <w:outlineLvl w:val="1"/>
        <w:rPr>
          <w:rStyle w:val="29"/>
          <w:rFonts w:ascii="Times New Roman" w:hAnsi="Times New Roman" w:eastAsia="黑体"/>
          <w:b w:val="0"/>
          <w:color w:val="auto"/>
          <w:highlight w:val="none"/>
        </w:rPr>
      </w:pPr>
      <w:bookmarkStart w:id="40" w:name="_Toc15377219"/>
      <w:bookmarkStart w:id="41"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0"/>
      <w:bookmarkEnd w:id="41"/>
    </w:p>
    <w:p w14:paraId="25F0D14F">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p>
    <w:p w14:paraId="32844159">
      <w:pPr>
        <w:pageBreakBefore w:val="0"/>
        <w:numPr>
          <w:ilvl w:val="0"/>
          <w:numId w:val="0"/>
        </w:numPr>
        <w:kinsoku/>
        <w:wordWrap/>
        <w:overflowPunct/>
        <w:topLinePunct w:val="0"/>
        <w:bidi w:val="0"/>
        <w:spacing w:line="578" w:lineRule="exact"/>
        <w:ind w:left="630" w:leftChars="0"/>
        <w:textAlignment w:val="auto"/>
        <w:outlineLvl w:val="1"/>
        <w:rPr>
          <w:rStyle w:val="29"/>
          <w:rFonts w:hint="eastAsia" w:ascii="Times New Roman" w:hAnsi="Times New Roman" w:eastAsia="黑体"/>
          <w:b w:val="0"/>
          <w:color w:val="auto"/>
          <w:highlight w:val="none"/>
        </w:rPr>
      </w:pPr>
      <w:bookmarkStart w:id="42" w:name="_Toc15377221"/>
      <w:bookmarkStart w:id="43"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2"/>
      <w:bookmarkEnd w:id="43"/>
    </w:p>
    <w:p w14:paraId="01B123A8">
      <w:pPr>
        <w:pageBreakBefore w:val="0"/>
        <w:kinsoku/>
        <w:wordWrap/>
        <w:overflowPunct/>
        <w:topLinePunct w:val="0"/>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4" w:name="_Toc15377222"/>
      <w:r>
        <w:rPr>
          <w:rFonts w:hint="eastAsia" w:ascii="Times New Roman" w:hAnsi="Times New Roman" w:eastAsia="楷体_GB2312" w:cs="楷体_GB2312"/>
          <w:b/>
          <w:color w:val="auto"/>
          <w:sz w:val="32"/>
          <w:szCs w:val="32"/>
          <w:highlight w:val="none"/>
        </w:rPr>
        <w:t>（一）机关运行经费支出情况</w:t>
      </w:r>
      <w:bookmarkEnd w:id="44"/>
    </w:p>
    <w:p w14:paraId="46B2EF87">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中共松潘县纪律检查委员会（本级）</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127.53</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6.21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5.12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人员增加。</w:t>
      </w:r>
    </w:p>
    <w:p w14:paraId="1CDECBE6">
      <w:pPr>
        <w:pageBreakBefore w:val="0"/>
        <w:kinsoku/>
        <w:wordWrap/>
        <w:overflowPunct/>
        <w:topLinePunct w:val="0"/>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5" w:name="_Toc15377223"/>
      <w:r>
        <w:rPr>
          <w:rFonts w:hint="eastAsia" w:ascii="Times New Roman" w:hAnsi="Times New Roman" w:eastAsia="楷体_GB2312" w:cs="楷体_GB2312"/>
          <w:b/>
          <w:color w:val="auto"/>
          <w:sz w:val="32"/>
          <w:szCs w:val="32"/>
          <w:highlight w:val="none"/>
        </w:rPr>
        <w:t>（二）政府采购支出情况</w:t>
      </w:r>
      <w:bookmarkEnd w:id="45"/>
    </w:p>
    <w:p w14:paraId="6991ED71">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中共松潘县纪律检查委员会（本级）</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3.6</w:t>
      </w:r>
      <w:r>
        <w:rPr>
          <w:rFonts w:hint="eastAsia" w:ascii="Times New Roman" w:hAnsi="Times New Roman" w:eastAsia="仿宋_GB2312" w:cs="仿宋_GB2312"/>
          <w:color w:val="auto"/>
          <w:kern w:val="2"/>
          <w:sz w:val="32"/>
          <w:szCs w:val="32"/>
          <w:highlight w:val="none"/>
          <w:lang w:val="en-US" w:eastAsia="zh-CN" w:bidi="ar-SA"/>
        </w:rPr>
        <w:t>万元，其中：政府采购服务支出</w:t>
      </w:r>
      <w:r>
        <w:rPr>
          <w:rFonts w:hint="eastAsia" w:ascii="仿宋_GB2312" w:hAnsi="仿宋_GB2312" w:eastAsia="仿宋_GB2312" w:cs="仿宋_GB2312"/>
          <w:sz w:val="32"/>
          <w:szCs w:val="32"/>
        </w:rPr>
        <w:t>3.6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购置车辆保险。</w:t>
      </w:r>
    </w:p>
    <w:p w14:paraId="39501F80">
      <w:pPr>
        <w:pageBreakBefore w:val="0"/>
        <w:kinsoku/>
        <w:wordWrap/>
        <w:overflowPunct/>
        <w:topLinePunct w:val="0"/>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6" w:name="_Toc15377224"/>
      <w:r>
        <w:rPr>
          <w:rFonts w:hint="eastAsia" w:ascii="Times New Roman" w:hAnsi="Times New Roman" w:eastAsia="楷体_GB2312" w:cs="楷体_GB2312"/>
          <w:b/>
          <w:color w:val="auto"/>
          <w:sz w:val="32"/>
          <w:szCs w:val="32"/>
          <w:highlight w:val="none"/>
        </w:rPr>
        <w:t>（三）国有资产占有使用情况</w:t>
      </w:r>
      <w:bookmarkEnd w:id="46"/>
    </w:p>
    <w:p w14:paraId="400F27F5">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中共松潘县纪律检查委员会（本级）</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7</w:t>
      </w:r>
      <w:r>
        <w:rPr>
          <w:rFonts w:hint="eastAsia" w:ascii="Times New Roman" w:hAnsi="Times New Roman" w:eastAsia="仿宋_GB2312" w:cs="仿宋_GB2312"/>
          <w:color w:val="auto"/>
          <w:kern w:val="2"/>
          <w:sz w:val="32"/>
          <w:szCs w:val="32"/>
          <w:highlight w:val="none"/>
          <w:lang w:val="en-US" w:eastAsia="zh-CN" w:bidi="ar-SA"/>
        </w:rPr>
        <w:t>辆，其中：执法执勤用车</w:t>
      </w:r>
      <w:r>
        <w:rPr>
          <w:rFonts w:hint="eastAsia" w:ascii="仿宋_GB2312" w:hAnsi="仿宋_GB2312" w:eastAsia="仿宋_GB2312" w:cs="仿宋_GB2312"/>
          <w:sz w:val="32"/>
          <w:szCs w:val="32"/>
        </w:rPr>
        <w:t>5</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主要</w:t>
      </w:r>
      <w:r>
        <w:rPr>
          <w:rFonts w:hint="eastAsia" w:ascii="Times New Roman" w:hAnsi="Times New Roman" w:eastAsia="仿宋_GB2312" w:cs="仿宋_GB2312"/>
          <w:color w:val="auto"/>
          <w:kern w:val="2"/>
          <w:sz w:val="32"/>
          <w:szCs w:val="32"/>
          <w:highlight w:val="none"/>
          <w:lang w:val="en-US" w:eastAsia="zh-CN" w:bidi="ar-SA"/>
        </w:rPr>
        <w:t>用于</w:t>
      </w:r>
      <w:r>
        <w:rPr>
          <w:rFonts w:hint="eastAsia" w:eastAsia="仿宋_GB2312" w:cs="仿宋_GB2312"/>
          <w:color w:val="auto"/>
          <w:kern w:val="2"/>
          <w:sz w:val="32"/>
          <w:szCs w:val="32"/>
          <w:highlight w:val="none"/>
          <w:lang w:val="en-US" w:eastAsia="zh-CN" w:bidi="ar-SA"/>
        </w:rPr>
        <w:t>单位一般公务出行</w:t>
      </w:r>
      <w:r>
        <w:rPr>
          <w:rFonts w:hint="eastAsia" w:ascii="Times New Roman" w:hAnsi="Times New Roman" w:eastAsia="仿宋_GB2312" w:cs="仿宋_GB2312"/>
          <w:color w:val="auto"/>
          <w:kern w:val="2"/>
          <w:sz w:val="32"/>
          <w:szCs w:val="32"/>
          <w:highlight w:val="none"/>
          <w:lang w:val="en-US" w:eastAsia="zh-CN" w:bidi="ar-SA"/>
        </w:rPr>
        <w:t>。</w:t>
      </w:r>
    </w:p>
    <w:p w14:paraId="764BA854">
      <w:pPr>
        <w:pageBreakBefore w:val="0"/>
        <w:kinsoku/>
        <w:wordWrap/>
        <w:overflowPunct/>
        <w:topLinePunct w:val="0"/>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4AF1CC5D">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 w:eastAsia="仿宋_GB2312"/>
          <w:sz w:val="32"/>
          <w:szCs w:val="32"/>
          <w:lang w:val="en-US" w:eastAsia="zh-CN"/>
        </w:rPr>
        <w:t>我委按照预算绩效管理情况要求，完成了相关预算绩效管理。</w:t>
      </w:r>
    </w:p>
    <w:p w14:paraId="4C29A5A7">
      <w:pPr>
        <w:pageBreakBefore w:val="0"/>
        <w:numPr>
          <w:ilvl w:val="0"/>
          <w:numId w:val="0"/>
        </w:numPr>
        <w:kinsoku/>
        <w:wordWrap/>
        <w:overflowPunct/>
        <w:topLinePunct w:val="0"/>
        <w:bidi w:val="0"/>
        <w:spacing w:line="578" w:lineRule="exact"/>
        <w:jc w:val="center"/>
        <w:textAlignment w:val="auto"/>
        <w:outlineLvl w:val="0"/>
        <w:rPr>
          <w:rFonts w:hint="eastAsia" w:ascii="Times New Roman" w:hAnsi="Times New Roman" w:eastAsia="黑体"/>
          <w:color w:val="auto"/>
          <w:sz w:val="44"/>
          <w:szCs w:val="44"/>
          <w:highlight w:val="none"/>
        </w:rPr>
      </w:pPr>
      <w:bookmarkStart w:id="47" w:name="_Toc15396613"/>
      <w:bookmarkStart w:id="48"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7"/>
      <w:bookmarkEnd w:id="48"/>
    </w:p>
    <w:p w14:paraId="27E378AC">
      <w:pPr>
        <w:pageBreakBefore w:val="0"/>
        <w:kinsoku/>
        <w:wordWrap/>
        <w:overflowPunct/>
        <w:topLinePunct w:val="0"/>
        <w:bidi w:val="0"/>
        <w:spacing w:line="578" w:lineRule="exact"/>
        <w:jc w:val="left"/>
        <w:textAlignment w:val="auto"/>
        <w:rPr>
          <w:rFonts w:ascii="Times New Roman" w:hAnsi="Times New Roman"/>
          <w:b/>
          <w:color w:val="auto"/>
          <w:sz w:val="44"/>
          <w:szCs w:val="44"/>
          <w:highlight w:val="none"/>
        </w:rPr>
      </w:pPr>
    </w:p>
    <w:p w14:paraId="2A55A0A2">
      <w:pPr>
        <w:pStyle w:val="26"/>
        <w:spacing w:line="578"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5CC4E1A4">
      <w:pPr>
        <w:pageBreakBefore w:val="0"/>
        <w:kinsoku/>
        <w:wordWrap/>
        <w:overflowPunct/>
        <w:topLinePunct w:val="0"/>
        <w:bidi w:val="0"/>
        <w:spacing w:line="578"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w:t>
      </w:r>
      <w:r>
        <w:rPr>
          <w:rFonts w:ascii="仿宋_GB2312" w:eastAsia="仿宋_GB2312"/>
          <w:color w:val="000000"/>
          <w:sz w:val="32"/>
          <w:szCs w:val="32"/>
        </w:rPr>
        <w:t>.</w:t>
      </w:r>
      <w:r>
        <w:rPr>
          <w:rFonts w:hint="eastAsia" w:ascii="仿宋_GB2312" w:eastAsia="仿宋_GB2312"/>
          <w:color w:val="000000"/>
          <w:sz w:val="32"/>
          <w:szCs w:val="32"/>
        </w:rPr>
        <w:t>一般公共服务：</w:t>
      </w:r>
      <w:r>
        <w:rPr>
          <w:rFonts w:hint="eastAsia" w:ascii="仿宋_GB2312" w:eastAsia="仿宋_GB2312"/>
          <w:color w:val="000000"/>
          <w:sz w:val="32"/>
          <w:szCs w:val="32"/>
          <w:lang w:eastAsia="zh-CN"/>
        </w:rPr>
        <w:t>其中</w:t>
      </w:r>
      <w:r>
        <w:rPr>
          <w:rFonts w:hint="eastAsia" w:ascii="仿宋_GB2312" w:eastAsia="仿宋_GB2312"/>
          <w:color w:val="000000"/>
          <w:sz w:val="32"/>
          <w:szCs w:val="32"/>
          <w:lang w:val="en-US" w:eastAsia="zh-CN"/>
        </w:rPr>
        <w:t>2011101</w:t>
      </w:r>
      <w:r>
        <w:rPr>
          <w:rFonts w:hint="eastAsia" w:ascii="仿宋_GB2312" w:hAnsi="宋体" w:eastAsia="仿宋_GB2312"/>
          <w:sz w:val="32"/>
          <w:szCs w:val="32"/>
        </w:rPr>
        <w:t>指行政运行</w:t>
      </w:r>
      <w:r>
        <w:rPr>
          <w:rFonts w:hint="eastAsia" w:ascii="仿宋_GB2312" w:hAnsi="宋体" w:eastAsia="仿宋_GB2312"/>
          <w:sz w:val="32"/>
          <w:szCs w:val="32"/>
          <w:lang w:eastAsia="zh-CN"/>
        </w:rPr>
        <w:t>，</w:t>
      </w:r>
      <w:r>
        <w:rPr>
          <w:rFonts w:hint="eastAsia" w:ascii="仿宋_GB2312" w:eastAsia="仿宋_GB2312"/>
          <w:color w:val="000000"/>
          <w:sz w:val="32"/>
          <w:szCs w:val="32"/>
          <w:lang w:val="en-US" w:eastAsia="zh-CN"/>
        </w:rPr>
        <w:t>2011102</w:t>
      </w:r>
      <w:r>
        <w:rPr>
          <w:rFonts w:hint="eastAsia" w:ascii="仿宋_GB2312" w:eastAsia="仿宋_GB2312"/>
          <w:color w:val="000000"/>
          <w:sz w:val="32"/>
          <w:szCs w:val="32"/>
          <w:lang w:eastAsia="zh-CN"/>
        </w:rPr>
        <w:t>指一般行政管理事务，</w:t>
      </w:r>
      <w:r>
        <w:rPr>
          <w:rFonts w:hint="eastAsia" w:ascii="仿宋_GB2312" w:eastAsia="仿宋_GB2312"/>
          <w:color w:val="000000"/>
          <w:sz w:val="32"/>
          <w:szCs w:val="32"/>
          <w:lang w:val="en-US" w:eastAsia="zh-CN"/>
        </w:rPr>
        <w:t>2011106</w:t>
      </w:r>
      <w:r>
        <w:rPr>
          <w:rFonts w:hint="eastAsia" w:ascii="仿宋_GB2312" w:eastAsia="仿宋_GB2312"/>
          <w:color w:val="000000"/>
          <w:sz w:val="32"/>
          <w:szCs w:val="32"/>
          <w:lang w:eastAsia="zh-CN"/>
        </w:rPr>
        <w:t>指巡视工作，</w:t>
      </w:r>
      <w:r>
        <w:rPr>
          <w:rFonts w:hint="eastAsia" w:ascii="仿宋_GB2312" w:eastAsia="仿宋_GB2312"/>
          <w:color w:val="000000"/>
          <w:sz w:val="32"/>
          <w:szCs w:val="32"/>
          <w:lang w:val="en-US" w:eastAsia="zh-CN"/>
        </w:rPr>
        <w:t>2011199其他纪检监察事务支出</w:t>
      </w:r>
      <w:r>
        <w:rPr>
          <w:rFonts w:hint="eastAsia" w:ascii="仿宋_GB2312" w:eastAsia="仿宋_GB2312"/>
          <w:color w:val="000000"/>
          <w:sz w:val="32"/>
          <w:szCs w:val="32"/>
        </w:rPr>
        <w:t>。</w:t>
      </w:r>
    </w:p>
    <w:p w14:paraId="790D9B49">
      <w:pPr>
        <w:pageBreakBefore w:val="0"/>
        <w:kinsoku/>
        <w:wordWrap/>
        <w:overflowPunct/>
        <w:topLinePunct w:val="0"/>
        <w:bidi w:val="0"/>
        <w:spacing w:line="578" w:lineRule="exact"/>
        <w:ind w:firstLine="640" w:firstLineChars="200"/>
        <w:rPr>
          <w:rFonts w:hint="default" w:ascii="仿宋_GB2312" w:eastAsia="仿宋_GB2312"/>
          <w:color w:val="000000"/>
          <w:sz w:val="32"/>
          <w:szCs w:val="32"/>
          <w:lang w:val="en-US" w:eastAsia="zh-CN"/>
        </w:rPr>
      </w:pPr>
      <w:r>
        <w:rPr>
          <w:rFonts w:hint="eastAsia" w:ascii="仿宋_GB2312" w:eastAsia="仿宋_GB2312"/>
          <w:color w:val="000000"/>
          <w:sz w:val="32"/>
          <w:szCs w:val="32"/>
          <w:lang w:val="en-US" w:eastAsia="zh-CN"/>
        </w:rPr>
        <w:t>3.教育支出：2050803培训支出。</w:t>
      </w:r>
    </w:p>
    <w:p w14:paraId="18F54947">
      <w:pPr>
        <w:pageBreakBefore w:val="0"/>
        <w:kinsoku/>
        <w:wordWrap/>
        <w:overflowPunct/>
        <w:topLinePunct w:val="0"/>
        <w:bidi w:val="0"/>
        <w:spacing w:line="578" w:lineRule="exact"/>
        <w:ind w:firstLine="640" w:firstLineChars="200"/>
        <w:rPr>
          <w:rFonts w:hint="eastAsia" w:ascii="仿宋_GB2312" w:hAnsi="宋体" w:eastAsia="仿宋_GB2312"/>
          <w:sz w:val="32"/>
          <w:szCs w:val="32"/>
        </w:rPr>
      </w:pP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w:t>
      </w:r>
      <w:r>
        <w:rPr>
          <w:rFonts w:hint="eastAsia" w:ascii="仿宋_GB2312" w:hAnsi="宋体" w:eastAsia="仿宋_GB2312"/>
          <w:sz w:val="32"/>
          <w:szCs w:val="32"/>
        </w:rPr>
        <w:t>社会保障和就业</w:t>
      </w:r>
      <w:r>
        <w:rPr>
          <w:rFonts w:hint="eastAsia" w:ascii="仿宋_GB2312" w:hAnsi="宋体" w:eastAsia="仿宋_GB2312"/>
          <w:sz w:val="32"/>
          <w:szCs w:val="32"/>
          <w:lang w:val="en-US" w:eastAsia="zh-CN"/>
        </w:rPr>
        <w:t>：其中2080505</w:t>
      </w:r>
      <w:r>
        <w:rPr>
          <w:rFonts w:hint="eastAsia" w:ascii="仿宋_GB2312" w:hAnsi="宋体" w:eastAsia="仿宋_GB2312"/>
          <w:sz w:val="32"/>
          <w:szCs w:val="32"/>
        </w:rPr>
        <w:t>指机关事业单位基本养老保险</w:t>
      </w:r>
      <w:r>
        <w:rPr>
          <w:rFonts w:hint="eastAsia" w:ascii="仿宋_GB2312" w:hAnsi="宋体" w:eastAsia="仿宋_GB2312"/>
          <w:sz w:val="32"/>
          <w:szCs w:val="32"/>
          <w:lang w:eastAsia="zh-CN"/>
        </w:rPr>
        <w:t>缴费支出，</w:t>
      </w:r>
      <w:r>
        <w:rPr>
          <w:rFonts w:hint="eastAsia" w:ascii="仿宋_GB2312" w:hAnsi="宋体" w:eastAsia="仿宋_GB2312"/>
          <w:sz w:val="32"/>
          <w:szCs w:val="32"/>
          <w:lang w:val="en-US" w:eastAsia="zh-CN"/>
        </w:rPr>
        <w:t>2080506</w:t>
      </w:r>
      <w:r>
        <w:rPr>
          <w:rFonts w:hint="eastAsia" w:ascii="仿宋_GB2312" w:hAnsi="宋体" w:eastAsia="仿宋_GB2312"/>
          <w:sz w:val="32"/>
          <w:szCs w:val="32"/>
        </w:rPr>
        <w:t>指机关事业单位</w:t>
      </w:r>
      <w:r>
        <w:rPr>
          <w:rFonts w:hint="eastAsia" w:ascii="仿宋_GB2312" w:hAnsi="宋体" w:eastAsia="仿宋_GB2312"/>
          <w:sz w:val="32"/>
          <w:szCs w:val="32"/>
          <w:lang w:eastAsia="zh-CN"/>
        </w:rPr>
        <w:t>职业年金缴费支出</w:t>
      </w:r>
      <w:r>
        <w:rPr>
          <w:rFonts w:hint="eastAsia" w:ascii="仿宋_GB2312" w:hAnsi="宋体" w:eastAsia="仿宋_GB2312"/>
          <w:sz w:val="32"/>
          <w:szCs w:val="32"/>
        </w:rPr>
        <w:t>。</w:t>
      </w:r>
    </w:p>
    <w:p w14:paraId="7CECC606">
      <w:pPr>
        <w:pageBreakBefore w:val="0"/>
        <w:kinsoku/>
        <w:wordWrap/>
        <w:overflowPunct/>
        <w:topLinePunct w:val="0"/>
        <w:bidi w:val="0"/>
        <w:spacing w:line="578" w:lineRule="exact"/>
        <w:ind w:firstLine="640" w:firstLineChars="200"/>
        <w:rPr>
          <w:rFonts w:ascii="仿宋_GB2312" w:hAnsi="宋体" w:eastAsia="仿宋_GB2312"/>
          <w:sz w:val="32"/>
          <w:szCs w:val="32"/>
        </w:rPr>
      </w:pP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w:t>
      </w:r>
      <w:r>
        <w:rPr>
          <w:rFonts w:hint="eastAsia" w:ascii="仿宋_GB2312" w:eastAsia="仿宋_GB2312"/>
          <w:color w:val="auto"/>
          <w:sz w:val="32"/>
          <w:szCs w:val="32"/>
          <w:highlight w:val="none"/>
          <w:lang w:eastAsia="zh-CN"/>
        </w:rPr>
        <w:t>卫生健康</w:t>
      </w:r>
      <w:r>
        <w:rPr>
          <w:rFonts w:hint="eastAsia" w:ascii="仿宋_GB2312" w:hAnsi="宋体" w:eastAsia="仿宋_GB2312"/>
          <w:sz w:val="32"/>
          <w:szCs w:val="32"/>
          <w:lang w:eastAsia="zh-CN"/>
        </w:rPr>
        <w:t>：其中</w:t>
      </w:r>
      <w:r>
        <w:rPr>
          <w:rFonts w:hint="eastAsia" w:ascii="仿宋_GB2312" w:hAnsi="宋体" w:eastAsia="仿宋_GB2312"/>
          <w:sz w:val="32"/>
          <w:szCs w:val="32"/>
          <w:lang w:val="en-US" w:eastAsia="zh-CN"/>
        </w:rPr>
        <w:t>2101101</w:t>
      </w:r>
      <w:r>
        <w:rPr>
          <w:rFonts w:hint="eastAsia" w:ascii="仿宋_GB2312" w:hAnsi="宋体" w:eastAsia="仿宋_GB2312"/>
          <w:sz w:val="32"/>
          <w:szCs w:val="32"/>
        </w:rPr>
        <w:t>指行政单位医疗</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2101103指公务员医疗补助</w:t>
      </w:r>
      <w:r>
        <w:rPr>
          <w:rFonts w:hint="eastAsia" w:ascii="仿宋_GB2312" w:hAnsi="宋体" w:eastAsia="仿宋_GB2312"/>
          <w:sz w:val="32"/>
          <w:szCs w:val="32"/>
        </w:rPr>
        <w:t>。</w:t>
      </w:r>
    </w:p>
    <w:p w14:paraId="1BC82D9C">
      <w:pPr>
        <w:pageBreakBefore w:val="0"/>
        <w:kinsoku/>
        <w:wordWrap/>
        <w:overflowPunct/>
        <w:topLinePunct w:val="0"/>
        <w:bidi w:val="0"/>
        <w:spacing w:line="578" w:lineRule="exact"/>
        <w:ind w:firstLine="640" w:firstLineChars="200"/>
        <w:rPr>
          <w:rFonts w:ascii="仿宋_GB2312" w:eastAsia="仿宋_GB2312"/>
          <w:color w:val="000000"/>
          <w:sz w:val="32"/>
          <w:szCs w:val="32"/>
        </w:rPr>
      </w:pPr>
      <w:r>
        <w:rPr>
          <w:rFonts w:hint="eastAsia" w:ascii="仿宋_GB2312" w:hAnsi="宋体" w:eastAsia="仿宋_GB2312"/>
          <w:sz w:val="32"/>
          <w:szCs w:val="32"/>
          <w:lang w:val="en-US" w:eastAsia="zh-CN"/>
        </w:rPr>
        <w:t>6</w:t>
      </w:r>
      <w:r>
        <w:rPr>
          <w:rFonts w:hint="eastAsia" w:ascii="仿宋_GB2312" w:hAnsi="宋体" w:eastAsia="仿宋_GB2312"/>
          <w:sz w:val="32"/>
          <w:szCs w:val="32"/>
        </w:rPr>
        <w:t>. 住房保障</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2210201</w:t>
      </w:r>
      <w:r>
        <w:rPr>
          <w:rFonts w:hint="eastAsia" w:ascii="仿宋_GB2312" w:hAnsi="宋体" w:eastAsia="仿宋_GB2312"/>
          <w:sz w:val="32"/>
          <w:szCs w:val="32"/>
        </w:rPr>
        <w:t>指住房公积金。</w:t>
      </w:r>
    </w:p>
    <w:p w14:paraId="679F0AF4">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7</w:t>
      </w:r>
      <w:r>
        <w:rPr>
          <w:rFonts w:ascii="仿宋_GB2312" w:eastAsia="仿宋_GB2312"/>
          <w:color w:val="auto"/>
          <w:sz w:val="32"/>
          <w:szCs w:val="32"/>
          <w:highlight w:val="none"/>
        </w:rPr>
        <w:t>.</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3516A29B">
      <w:pPr>
        <w:spacing w:line="578"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8</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14682FF4">
      <w:pPr>
        <w:spacing w:line="578"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9</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08671F74">
      <w:pPr>
        <w:pStyle w:val="26"/>
        <w:spacing w:line="578" w:lineRule="exact"/>
        <w:ind w:firstLine="640" w:firstLineChars="200"/>
        <w:rPr>
          <w:rFonts w:ascii="仿宋_GB2312" w:eastAsia="仿宋_GB2312"/>
          <w:sz w:val="32"/>
          <w:szCs w:val="32"/>
        </w:rPr>
      </w:pPr>
      <w:r>
        <w:rPr>
          <w:rFonts w:hint="eastAsia" w:ascii="仿宋_GB2312" w:eastAsia="仿宋_GB2312"/>
          <w:sz w:val="32"/>
          <w:szCs w:val="32"/>
          <w:lang w:val="en-US" w:eastAsia="zh-CN"/>
        </w:rPr>
        <w:t>10</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A649BCC">
      <w:pPr>
        <w:pStyle w:val="26"/>
        <w:spacing w:line="578"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11</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49" w:name="_Toc15396614"/>
      <w:bookmarkStart w:id="50" w:name="_Toc15377226"/>
    </w:p>
    <w:p w14:paraId="58945921">
      <w:pPr>
        <w:pStyle w:val="26"/>
        <w:spacing w:line="578" w:lineRule="exact"/>
        <w:ind w:firstLine="640" w:firstLineChars="200"/>
        <w:rPr>
          <w:rFonts w:hint="eastAsia" w:ascii="仿宋_GB2312" w:eastAsia="仿宋_GB2312"/>
          <w:sz w:val="32"/>
          <w:szCs w:val="32"/>
        </w:rPr>
      </w:pPr>
    </w:p>
    <w:p w14:paraId="0D979C04">
      <w:pPr>
        <w:pStyle w:val="26"/>
        <w:spacing w:line="578" w:lineRule="exact"/>
        <w:ind w:firstLine="640" w:firstLineChars="200"/>
        <w:rPr>
          <w:rFonts w:hint="eastAsia" w:ascii="仿宋_GB2312" w:eastAsia="仿宋_GB2312"/>
          <w:sz w:val="32"/>
          <w:szCs w:val="32"/>
        </w:rPr>
      </w:pPr>
    </w:p>
    <w:bookmarkEnd w:id="49"/>
    <w:p w14:paraId="43EE8A7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5989F6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1"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55959325">
      <w:pPr>
        <w:pageBreakBefore w:val="0"/>
        <w:widowControl/>
        <w:kinsoku/>
        <w:wordWrap/>
        <w:overflowPunct/>
        <w:topLinePunct w:val="0"/>
        <w:bidi w:val="0"/>
        <w:spacing w:line="578" w:lineRule="exact"/>
        <w:jc w:val="center"/>
        <w:textAlignment w:val="auto"/>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eastAsia="黑体"/>
          <w:b w:val="0"/>
          <w:color w:val="auto"/>
          <w:highlight w:val="none"/>
          <w:lang w:eastAsia="zh-CN"/>
        </w:rPr>
        <w:t>四</w:t>
      </w:r>
      <w:r>
        <w:rPr>
          <w:rStyle w:val="28"/>
          <w:rFonts w:hint="eastAsia" w:ascii="Times New Roman" w:hAnsi="Times New Roman" w:eastAsia="黑体"/>
          <w:b w:val="0"/>
          <w:color w:val="auto"/>
          <w:highlight w:val="none"/>
        </w:rPr>
        <w:t>部分 附表</w:t>
      </w:r>
      <w:bookmarkEnd w:id="50"/>
      <w:bookmarkEnd w:id="51"/>
      <w:bookmarkStart w:id="52" w:name="_Toc15396619"/>
    </w:p>
    <w:p w14:paraId="514C6997">
      <w:pPr>
        <w:pStyle w:val="14"/>
        <w:keepNext w:val="0"/>
        <w:keepLines w:val="0"/>
        <w:pageBreakBefore w:val="0"/>
        <w:kinsoku/>
        <w:wordWrap/>
        <w:overflowPunct/>
        <w:topLinePunct w:val="0"/>
        <w:autoSpaceDE/>
        <w:autoSpaceDN/>
        <w:bidi w:val="0"/>
        <w:adjustRightInd w:val="0"/>
        <w:snapToGrid w:val="0"/>
        <w:spacing w:line="578" w:lineRule="exact"/>
        <w:jc w:val="left"/>
        <w:textAlignment w:val="auto"/>
        <w:rPr>
          <w:rFonts w:hint="eastAsia" w:ascii="Times New Roman" w:hAnsi="Times New Roman" w:eastAsia="仿宋_GB2312" w:cs="仿宋_GB2312"/>
          <w:color w:val="auto"/>
          <w:sz w:val="32"/>
          <w:szCs w:val="32"/>
          <w:highlight w:val="none"/>
        </w:rPr>
      </w:pPr>
    </w:p>
    <w:p w14:paraId="6BAF11D8">
      <w:pPr>
        <w:pStyle w:val="14"/>
        <w:keepNext w:val="0"/>
        <w:keepLines w:val="0"/>
        <w:pageBreakBefore w:val="0"/>
        <w:kinsoku/>
        <w:wordWrap/>
        <w:overflowPunct/>
        <w:topLinePunct w:val="0"/>
        <w:autoSpaceDE/>
        <w:autoSpaceDN/>
        <w:bidi w:val="0"/>
        <w:adjustRightInd w:val="0"/>
        <w:snapToGrid w:val="0"/>
        <w:spacing w:line="578"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2"/>
    </w:p>
    <w:p w14:paraId="015FDDBA">
      <w:pPr>
        <w:pStyle w:val="14"/>
        <w:keepNext w:val="0"/>
        <w:keepLines w:val="0"/>
        <w:pageBreakBefore w:val="0"/>
        <w:kinsoku/>
        <w:wordWrap/>
        <w:overflowPunct/>
        <w:topLinePunct w:val="0"/>
        <w:autoSpaceDE/>
        <w:autoSpaceDN/>
        <w:bidi w:val="0"/>
        <w:adjustRightInd w:val="0"/>
        <w:snapToGrid w:val="0"/>
        <w:spacing w:line="578" w:lineRule="exact"/>
        <w:jc w:val="left"/>
        <w:textAlignment w:val="auto"/>
        <w:rPr>
          <w:rFonts w:hint="eastAsia" w:ascii="Times New Roman" w:hAnsi="Times New Roman" w:eastAsia="仿宋_GB2312" w:cs="仿宋_GB2312"/>
          <w:color w:val="auto"/>
          <w:sz w:val="32"/>
          <w:szCs w:val="32"/>
          <w:highlight w:val="none"/>
        </w:rPr>
      </w:pPr>
      <w:bookmarkStart w:id="53" w:name="_Toc15396620"/>
      <w:r>
        <w:rPr>
          <w:rFonts w:hint="eastAsia" w:ascii="Times New Roman" w:hAnsi="Times New Roman" w:eastAsia="仿宋_GB2312" w:cs="仿宋_GB2312"/>
          <w:color w:val="auto"/>
          <w:sz w:val="32"/>
          <w:szCs w:val="32"/>
          <w:highlight w:val="none"/>
        </w:rPr>
        <w:t>二、收入决算表</w:t>
      </w:r>
      <w:bookmarkEnd w:id="53"/>
    </w:p>
    <w:p w14:paraId="3B3CC562">
      <w:pPr>
        <w:pStyle w:val="14"/>
        <w:keepNext w:val="0"/>
        <w:keepLines w:val="0"/>
        <w:pageBreakBefore w:val="0"/>
        <w:kinsoku/>
        <w:wordWrap/>
        <w:overflowPunct/>
        <w:topLinePunct w:val="0"/>
        <w:autoSpaceDE/>
        <w:autoSpaceDN/>
        <w:bidi w:val="0"/>
        <w:adjustRightInd w:val="0"/>
        <w:snapToGrid w:val="0"/>
        <w:spacing w:line="578" w:lineRule="exact"/>
        <w:jc w:val="left"/>
        <w:textAlignment w:val="auto"/>
        <w:rPr>
          <w:rFonts w:hint="eastAsia" w:ascii="Times New Roman" w:hAnsi="Times New Roman" w:eastAsia="仿宋_GB2312" w:cs="仿宋_GB2312"/>
          <w:color w:val="auto"/>
          <w:sz w:val="32"/>
          <w:szCs w:val="32"/>
          <w:highlight w:val="none"/>
        </w:rPr>
      </w:pPr>
      <w:bookmarkStart w:id="54" w:name="_Toc15396621"/>
      <w:r>
        <w:rPr>
          <w:rFonts w:hint="eastAsia" w:ascii="Times New Roman" w:hAnsi="Times New Roman" w:eastAsia="仿宋_GB2312" w:cs="仿宋_GB2312"/>
          <w:color w:val="auto"/>
          <w:sz w:val="32"/>
          <w:szCs w:val="32"/>
          <w:highlight w:val="none"/>
        </w:rPr>
        <w:t>三、支出决算表</w:t>
      </w:r>
      <w:bookmarkEnd w:id="54"/>
    </w:p>
    <w:p w14:paraId="036D94DD">
      <w:pPr>
        <w:pStyle w:val="14"/>
        <w:keepNext w:val="0"/>
        <w:keepLines w:val="0"/>
        <w:pageBreakBefore w:val="0"/>
        <w:kinsoku/>
        <w:wordWrap/>
        <w:overflowPunct/>
        <w:topLinePunct w:val="0"/>
        <w:autoSpaceDE/>
        <w:autoSpaceDN/>
        <w:bidi w:val="0"/>
        <w:adjustRightInd w:val="0"/>
        <w:snapToGrid w:val="0"/>
        <w:spacing w:line="578" w:lineRule="exact"/>
        <w:jc w:val="left"/>
        <w:textAlignment w:val="auto"/>
        <w:rPr>
          <w:rFonts w:hint="eastAsia" w:ascii="Times New Roman" w:hAnsi="Times New Roman" w:eastAsia="仿宋_GB2312" w:cs="仿宋_GB2312"/>
          <w:color w:val="auto"/>
          <w:sz w:val="32"/>
          <w:szCs w:val="32"/>
          <w:highlight w:val="none"/>
        </w:rPr>
      </w:pPr>
      <w:bookmarkStart w:id="55" w:name="_Toc15396622"/>
      <w:r>
        <w:rPr>
          <w:rFonts w:hint="eastAsia" w:ascii="Times New Roman" w:hAnsi="Times New Roman" w:eastAsia="仿宋_GB2312" w:cs="仿宋_GB2312"/>
          <w:color w:val="auto"/>
          <w:sz w:val="32"/>
          <w:szCs w:val="32"/>
          <w:highlight w:val="none"/>
        </w:rPr>
        <w:t>四、财政拨款收入支出决算总表</w:t>
      </w:r>
      <w:bookmarkEnd w:id="55"/>
    </w:p>
    <w:p w14:paraId="3C1239BD">
      <w:pPr>
        <w:pStyle w:val="14"/>
        <w:keepNext w:val="0"/>
        <w:keepLines w:val="0"/>
        <w:pageBreakBefore w:val="0"/>
        <w:kinsoku/>
        <w:wordWrap/>
        <w:overflowPunct/>
        <w:topLinePunct w:val="0"/>
        <w:autoSpaceDE/>
        <w:autoSpaceDN/>
        <w:bidi w:val="0"/>
        <w:adjustRightInd w:val="0"/>
        <w:snapToGrid w:val="0"/>
        <w:spacing w:line="578" w:lineRule="exact"/>
        <w:jc w:val="left"/>
        <w:textAlignment w:val="auto"/>
        <w:rPr>
          <w:rFonts w:hint="eastAsia" w:ascii="Times New Roman" w:hAnsi="Times New Roman" w:eastAsia="仿宋_GB2312" w:cs="仿宋_GB2312"/>
          <w:color w:val="auto"/>
          <w:sz w:val="32"/>
          <w:szCs w:val="32"/>
          <w:highlight w:val="none"/>
        </w:rPr>
      </w:pPr>
      <w:bookmarkStart w:id="56" w:name="_Toc15396623"/>
      <w:r>
        <w:rPr>
          <w:rFonts w:hint="eastAsia" w:ascii="Times New Roman" w:hAnsi="Times New Roman" w:eastAsia="仿宋_GB2312" w:cs="仿宋_GB2312"/>
          <w:color w:val="auto"/>
          <w:sz w:val="32"/>
          <w:szCs w:val="32"/>
          <w:highlight w:val="none"/>
        </w:rPr>
        <w:t>五、财政拨款支出决算明细表</w:t>
      </w:r>
      <w:bookmarkEnd w:id="56"/>
      <w:bookmarkStart w:id="57" w:name="_Toc15396624"/>
    </w:p>
    <w:p w14:paraId="7AD5796A">
      <w:pPr>
        <w:pStyle w:val="14"/>
        <w:keepNext w:val="0"/>
        <w:keepLines w:val="0"/>
        <w:pageBreakBefore w:val="0"/>
        <w:kinsoku/>
        <w:wordWrap/>
        <w:overflowPunct/>
        <w:topLinePunct w:val="0"/>
        <w:autoSpaceDE/>
        <w:autoSpaceDN/>
        <w:bidi w:val="0"/>
        <w:adjustRightInd w:val="0"/>
        <w:snapToGrid w:val="0"/>
        <w:spacing w:line="578"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7"/>
    </w:p>
    <w:p w14:paraId="3AF2BA17">
      <w:pPr>
        <w:pStyle w:val="14"/>
        <w:keepNext w:val="0"/>
        <w:keepLines w:val="0"/>
        <w:pageBreakBefore w:val="0"/>
        <w:kinsoku/>
        <w:wordWrap/>
        <w:overflowPunct/>
        <w:topLinePunct w:val="0"/>
        <w:autoSpaceDE/>
        <w:autoSpaceDN/>
        <w:bidi w:val="0"/>
        <w:adjustRightInd w:val="0"/>
        <w:snapToGrid w:val="0"/>
        <w:spacing w:line="578" w:lineRule="exact"/>
        <w:jc w:val="left"/>
        <w:textAlignment w:val="auto"/>
        <w:rPr>
          <w:rFonts w:hint="eastAsia" w:ascii="Times New Roman" w:hAnsi="Times New Roman" w:eastAsia="仿宋_GB2312" w:cs="仿宋_GB2312"/>
          <w:color w:val="auto"/>
          <w:sz w:val="32"/>
          <w:szCs w:val="32"/>
          <w:highlight w:val="none"/>
        </w:rPr>
      </w:pPr>
      <w:bookmarkStart w:id="58" w:name="_Toc15396625"/>
      <w:r>
        <w:rPr>
          <w:rFonts w:hint="eastAsia" w:ascii="Times New Roman" w:hAnsi="Times New Roman" w:eastAsia="仿宋_GB2312" w:cs="仿宋_GB2312"/>
          <w:color w:val="auto"/>
          <w:sz w:val="32"/>
          <w:szCs w:val="32"/>
          <w:highlight w:val="none"/>
        </w:rPr>
        <w:t>七、一般公共预算财政拨款支出决算明细表</w:t>
      </w:r>
      <w:bookmarkEnd w:id="58"/>
    </w:p>
    <w:p w14:paraId="10F2097A">
      <w:pPr>
        <w:pStyle w:val="14"/>
        <w:keepNext w:val="0"/>
        <w:keepLines w:val="0"/>
        <w:pageBreakBefore w:val="0"/>
        <w:kinsoku/>
        <w:wordWrap/>
        <w:overflowPunct/>
        <w:topLinePunct w:val="0"/>
        <w:autoSpaceDE/>
        <w:autoSpaceDN/>
        <w:bidi w:val="0"/>
        <w:adjustRightInd w:val="0"/>
        <w:snapToGrid w:val="0"/>
        <w:spacing w:line="578" w:lineRule="exact"/>
        <w:jc w:val="left"/>
        <w:textAlignment w:val="auto"/>
        <w:rPr>
          <w:rFonts w:hint="eastAsia" w:ascii="Times New Roman" w:hAnsi="Times New Roman" w:eastAsia="仿宋_GB2312" w:cs="仿宋_GB2312"/>
          <w:color w:val="auto"/>
          <w:sz w:val="32"/>
          <w:szCs w:val="32"/>
          <w:highlight w:val="none"/>
        </w:rPr>
      </w:pPr>
      <w:bookmarkStart w:id="59" w:name="_Toc15396626"/>
      <w:r>
        <w:rPr>
          <w:rFonts w:hint="eastAsia" w:ascii="Times New Roman" w:hAnsi="Times New Roman" w:eastAsia="仿宋_GB2312" w:cs="仿宋_GB2312"/>
          <w:color w:val="auto"/>
          <w:sz w:val="32"/>
          <w:szCs w:val="32"/>
          <w:highlight w:val="none"/>
        </w:rPr>
        <w:t>八、一般公共预算财政拨款基本支出决算表</w:t>
      </w:r>
      <w:bookmarkEnd w:id="59"/>
    </w:p>
    <w:p w14:paraId="24844714">
      <w:pPr>
        <w:pStyle w:val="14"/>
        <w:keepNext w:val="0"/>
        <w:keepLines w:val="0"/>
        <w:pageBreakBefore w:val="0"/>
        <w:kinsoku/>
        <w:wordWrap/>
        <w:overflowPunct/>
        <w:topLinePunct w:val="0"/>
        <w:autoSpaceDE/>
        <w:autoSpaceDN/>
        <w:bidi w:val="0"/>
        <w:adjustRightInd w:val="0"/>
        <w:snapToGrid w:val="0"/>
        <w:spacing w:line="578" w:lineRule="exact"/>
        <w:jc w:val="left"/>
        <w:textAlignment w:val="auto"/>
        <w:rPr>
          <w:rFonts w:hint="eastAsia" w:ascii="Times New Roman" w:hAnsi="Times New Roman" w:eastAsia="仿宋_GB2312" w:cs="仿宋_GB2312"/>
          <w:color w:val="auto"/>
          <w:sz w:val="32"/>
          <w:szCs w:val="32"/>
          <w:highlight w:val="none"/>
        </w:rPr>
      </w:pPr>
      <w:bookmarkStart w:id="60" w:name="_Toc15396627"/>
      <w:r>
        <w:rPr>
          <w:rFonts w:hint="eastAsia" w:ascii="Times New Roman" w:hAnsi="Times New Roman" w:eastAsia="仿宋_GB2312" w:cs="仿宋_GB2312"/>
          <w:color w:val="auto"/>
          <w:sz w:val="32"/>
          <w:szCs w:val="32"/>
          <w:highlight w:val="none"/>
        </w:rPr>
        <w:t>九、一般公共预算财政拨款项目支出决算表</w:t>
      </w:r>
      <w:bookmarkEnd w:id="60"/>
    </w:p>
    <w:p w14:paraId="5A231063">
      <w:pPr>
        <w:pStyle w:val="14"/>
        <w:keepNext w:val="0"/>
        <w:keepLines w:val="0"/>
        <w:pageBreakBefore w:val="0"/>
        <w:kinsoku/>
        <w:wordWrap/>
        <w:overflowPunct/>
        <w:topLinePunct w:val="0"/>
        <w:autoSpaceDE/>
        <w:autoSpaceDN/>
        <w:bidi w:val="0"/>
        <w:adjustRightInd w:val="0"/>
        <w:snapToGrid w:val="0"/>
        <w:spacing w:line="578" w:lineRule="exact"/>
        <w:jc w:val="left"/>
        <w:textAlignment w:val="auto"/>
        <w:rPr>
          <w:rFonts w:hint="eastAsia" w:ascii="Times New Roman" w:hAnsi="Times New Roman" w:eastAsia="仿宋_GB2312" w:cs="仿宋_GB2312"/>
          <w:color w:val="auto"/>
          <w:sz w:val="32"/>
          <w:szCs w:val="32"/>
          <w:highlight w:val="none"/>
        </w:rPr>
      </w:pPr>
      <w:bookmarkStart w:id="61" w:name="_Toc15396628"/>
      <w:r>
        <w:rPr>
          <w:rFonts w:hint="eastAsia" w:ascii="Times New Roman" w:hAnsi="Times New Roman" w:eastAsia="仿宋_GB2312" w:cs="仿宋_GB2312"/>
          <w:color w:val="auto"/>
          <w:sz w:val="32"/>
          <w:szCs w:val="32"/>
          <w:highlight w:val="none"/>
        </w:rPr>
        <w:t>十、</w:t>
      </w:r>
      <w:bookmarkEnd w:id="61"/>
      <w:r>
        <w:rPr>
          <w:rFonts w:hint="eastAsia" w:ascii="Times New Roman" w:hAnsi="Times New Roman" w:eastAsia="仿宋_GB2312" w:cs="仿宋_GB2312"/>
          <w:color w:val="auto"/>
          <w:sz w:val="32"/>
          <w:szCs w:val="32"/>
          <w:highlight w:val="none"/>
        </w:rPr>
        <w:t>政府性基金预算财政拨款收入支出决算表</w:t>
      </w:r>
    </w:p>
    <w:p w14:paraId="3FCC66C6">
      <w:pPr>
        <w:pStyle w:val="14"/>
        <w:keepNext w:val="0"/>
        <w:keepLines w:val="0"/>
        <w:pageBreakBefore w:val="0"/>
        <w:kinsoku/>
        <w:wordWrap/>
        <w:overflowPunct/>
        <w:topLinePunct w:val="0"/>
        <w:autoSpaceDE/>
        <w:autoSpaceDN/>
        <w:bidi w:val="0"/>
        <w:adjustRightInd w:val="0"/>
        <w:snapToGrid w:val="0"/>
        <w:spacing w:line="578" w:lineRule="exact"/>
        <w:jc w:val="left"/>
        <w:textAlignment w:val="auto"/>
        <w:rPr>
          <w:rFonts w:hint="eastAsia" w:ascii="Times New Roman" w:hAnsi="Times New Roman" w:eastAsia="仿宋_GB2312" w:cs="仿宋_GB2312"/>
          <w:color w:val="auto"/>
          <w:sz w:val="32"/>
          <w:szCs w:val="32"/>
          <w:highlight w:val="none"/>
        </w:rPr>
      </w:pPr>
      <w:bookmarkStart w:id="62" w:name="_Toc15396629"/>
      <w:r>
        <w:rPr>
          <w:rFonts w:hint="eastAsia" w:ascii="Times New Roman" w:hAnsi="Times New Roman" w:eastAsia="仿宋_GB2312" w:cs="仿宋_GB2312"/>
          <w:color w:val="auto"/>
          <w:sz w:val="32"/>
          <w:szCs w:val="32"/>
          <w:highlight w:val="none"/>
        </w:rPr>
        <w:t>十一、</w:t>
      </w:r>
      <w:bookmarkEnd w:id="6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4A2F2B60">
      <w:pPr>
        <w:pStyle w:val="14"/>
        <w:keepNext w:val="0"/>
        <w:keepLines w:val="0"/>
        <w:pageBreakBefore w:val="0"/>
        <w:kinsoku/>
        <w:wordWrap/>
        <w:overflowPunct/>
        <w:topLinePunct w:val="0"/>
        <w:autoSpaceDE/>
        <w:autoSpaceDN/>
        <w:bidi w:val="0"/>
        <w:adjustRightInd w:val="0"/>
        <w:snapToGrid w:val="0"/>
        <w:spacing w:line="578" w:lineRule="exact"/>
        <w:jc w:val="left"/>
        <w:textAlignment w:val="auto"/>
        <w:rPr>
          <w:rFonts w:hint="eastAsia" w:ascii="Times New Roman" w:hAnsi="Times New Roman" w:eastAsia="仿宋_GB2312" w:cs="仿宋_GB2312"/>
          <w:color w:val="auto"/>
          <w:sz w:val="32"/>
          <w:szCs w:val="32"/>
          <w:highlight w:val="none"/>
        </w:rPr>
      </w:pPr>
      <w:bookmarkStart w:id="63" w:name="_Toc15396630"/>
      <w:r>
        <w:rPr>
          <w:rFonts w:hint="eastAsia" w:ascii="Times New Roman" w:hAnsi="Times New Roman" w:eastAsia="仿宋_GB2312" w:cs="仿宋_GB2312"/>
          <w:color w:val="auto"/>
          <w:sz w:val="32"/>
          <w:szCs w:val="32"/>
          <w:highlight w:val="none"/>
        </w:rPr>
        <w:t>十二、</w:t>
      </w:r>
      <w:bookmarkEnd w:id="63"/>
      <w:r>
        <w:rPr>
          <w:rFonts w:hint="eastAsia" w:ascii="Times New Roman" w:hAnsi="Times New Roman" w:eastAsia="仿宋_GB2312" w:cs="仿宋_GB2312"/>
          <w:color w:val="auto"/>
          <w:sz w:val="32"/>
          <w:szCs w:val="32"/>
          <w:highlight w:val="none"/>
          <w:lang w:eastAsia="zh-CN"/>
        </w:rPr>
        <w:t>国有资本经营预算财政拨款支出决算表</w:t>
      </w:r>
    </w:p>
    <w:p w14:paraId="7F287541">
      <w:pPr>
        <w:pStyle w:val="14"/>
        <w:keepNext w:val="0"/>
        <w:keepLines w:val="0"/>
        <w:pageBreakBefore w:val="0"/>
        <w:kinsoku/>
        <w:wordWrap/>
        <w:overflowPunct/>
        <w:topLinePunct w:val="0"/>
        <w:autoSpaceDE/>
        <w:autoSpaceDN/>
        <w:bidi w:val="0"/>
        <w:adjustRightInd w:val="0"/>
        <w:snapToGrid w:val="0"/>
        <w:spacing w:line="578" w:lineRule="exact"/>
        <w:jc w:val="left"/>
        <w:textAlignment w:val="auto"/>
        <w:rPr>
          <w:rFonts w:hint="eastAsia" w:ascii="Times New Roman" w:hAnsi="Times New Roman" w:eastAsia="仿宋_GB2312" w:cs="仿宋_GB2312"/>
          <w:color w:val="auto"/>
          <w:sz w:val="32"/>
          <w:szCs w:val="32"/>
          <w:highlight w:val="none"/>
          <w:lang w:eastAsia="zh-CN"/>
        </w:rPr>
      </w:pPr>
      <w:bookmarkStart w:id="64" w:name="_Toc15396631"/>
      <w:r>
        <w:rPr>
          <w:rFonts w:hint="eastAsia" w:ascii="Times New Roman" w:hAnsi="Times New Roman" w:eastAsia="仿宋_GB2312" w:cs="仿宋_GB2312"/>
          <w:color w:val="auto"/>
          <w:sz w:val="32"/>
          <w:szCs w:val="32"/>
          <w:highlight w:val="none"/>
        </w:rPr>
        <w:t>十三、</w:t>
      </w:r>
      <w:bookmarkEnd w:id="64"/>
      <w:r>
        <w:rPr>
          <w:rFonts w:hint="eastAsia" w:ascii="Times New Roman" w:hAnsi="Times New Roman" w:eastAsia="仿宋_GB2312" w:cs="仿宋_GB2312"/>
          <w:color w:val="auto"/>
          <w:sz w:val="32"/>
          <w:szCs w:val="32"/>
          <w:highlight w:val="none"/>
          <w:lang w:eastAsia="zh-CN"/>
        </w:rPr>
        <w:t>财政拨款“三公”经费支出决算表</w:t>
      </w:r>
    </w:p>
    <w:p w14:paraId="33A8457A">
      <w:pPr>
        <w:pageBreakBefore w:val="0"/>
        <w:kinsoku/>
        <w:wordWrap/>
        <w:overflowPunct/>
        <w:topLinePunct w:val="0"/>
        <w:bidi w:val="0"/>
        <w:spacing w:line="578" w:lineRule="exact"/>
        <w:textAlignment w:val="auto"/>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DFDA4A8-491C-4584-9C00-02D9469DF6C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FEDDEE9C-D808-4509-B616-83183958EBC9}"/>
  </w:font>
  <w:font w:name="仿宋">
    <w:panose1 w:val="02010609060101010101"/>
    <w:charset w:val="86"/>
    <w:family w:val="modern"/>
    <w:pitch w:val="default"/>
    <w:sig w:usb0="800002BF" w:usb1="38CF7CFA" w:usb2="00000016" w:usb3="00000000" w:csb0="00040001" w:csb1="00000000"/>
    <w:embedRegular r:id="rId3" w:fontKey="{85B55F5F-CB45-49B5-9476-29DCF462B3DF}"/>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192553C8-45C2-49A7-9CF5-549E39FFF6C5}"/>
  </w:font>
  <w:font w:name="楷体_GB2312">
    <w:panose1 w:val="02010609030101010101"/>
    <w:charset w:val="86"/>
    <w:family w:val="auto"/>
    <w:pitch w:val="default"/>
    <w:sig w:usb0="00000001" w:usb1="080E0000" w:usb2="00000000" w:usb3="00000000" w:csb0="00040000" w:csb1="00000000"/>
    <w:embedRegular r:id="rId5" w:fontKey="{516A178C-1EEF-4637-B8FE-10986DFAD7B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4634B">
    <w:pPr>
      <w:pStyle w:val="11"/>
      <w:jc w:val="center"/>
    </w:pPr>
  </w:p>
  <w:p w14:paraId="4AD37B74">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29CB7">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BD3AD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2BD3AD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6D14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726F76"/>
    <w:multiLevelType w:val="singleLevel"/>
    <w:tmpl w:val="6C726F7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zMTM2Njg1NzIzOTU4MTU0OTZkNDJjM2VmZDhjYjA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8721C9"/>
    <w:rsid w:val="16BB723D"/>
    <w:rsid w:val="16F13FCB"/>
    <w:rsid w:val="186504BB"/>
    <w:rsid w:val="1938089F"/>
    <w:rsid w:val="19A445FC"/>
    <w:rsid w:val="1B7D550C"/>
    <w:rsid w:val="1BE8440E"/>
    <w:rsid w:val="1D155CEE"/>
    <w:rsid w:val="1DE178F3"/>
    <w:rsid w:val="1DFF3AEC"/>
    <w:rsid w:val="1E740ACF"/>
    <w:rsid w:val="1FF35744"/>
    <w:rsid w:val="1FF6BC77"/>
    <w:rsid w:val="21962A9E"/>
    <w:rsid w:val="21AE7C77"/>
    <w:rsid w:val="226715E5"/>
    <w:rsid w:val="22BC3C41"/>
    <w:rsid w:val="23860B96"/>
    <w:rsid w:val="240371BF"/>
    <w:rsid w:val="260F557C"/>
    <w:rsid w:val="281408E2"/>
    <w:rsid w:val="293D53ED"/>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5A8275C"/>
    <w:rsid w:val="47AE1640"/>
    <w:rsid w:val="486A6C7A"/>
    <w:rsid w:val="49176D9B"/>
    <w:rsid w:val="494006BD"/>
    <w:rsid w:val="499607B8"/>
    <w:rsid w:val="4A627F82"/>
    <w:rsid w:val="4B0E749A"/>
    <w:rsid w:val="4B175109"/>
    <w:rsid w:val="4B4F25DA"/>
    <w:rsid w:val="4BDA0CFB"/>
    <w:rsid w:val="4BE068DB"/>
    <w:rsid w:val="4D3C0CCC"/>
    <w:rsid w:val="4D577224"/>
    <w:rsid w:val="4DBF1CEB"/>
    <w:rsid w:val="4EAB630A"/>
    <w:rsid w:val="4ECE2238"/>
    <w:rsid w:val="4F833267"/>
    <w:rsid w:val="4FE9BD67"/>
    <w:rsid w:val="4FFB052F"/>
    <w:rsid w:val="50AA6FFD"/>
    <w:rsid w:val="5148085F"/>
    <w:rsid w:val="53083A92"/>
    <w:rsid w:val="537E6D0A"/>
    <w:rsid w:val="53AF27A2"/>
    <w:rsid w:val="53F74C96"/>
    <w:rsid w:val="545616AB"/>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2A7F2C"/>
    <w:rsid w:val="664B1D71"/>
    <w:rsid w:val="67AA3209"/>
    <w:rsid w:val="681C4F0D"/>
    <w:rsid w:val="688B5CC3"/>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BA7F0C"/>
    <w:rsid w:val="76E3355F"/>
    <w:rsid w:val="76FF5125"/>
    <w:rsid w:val="776F6FFA"/>
    <w:rsid w:val="778769C8"/>
    <w:rsid w:val="77DC22F5"/>
    <w:rsid w:val="79086DAD"/>
    <w:rsid w:val="79974F09"/>
    <w:rsid w:val="79D7FD79"/>
    <w:rsid w:val="79EE5BA4"/>
    <w:rsid w:val="7A894339"/>
    <w:rsid w:val="7AFF7572"/>
    <w:rsid w:val="7B0657CA"/>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085c5043-9484-4a29-ad88-b329fb1a5e81</errorID>
      <errorWord>....</errorWord>
      <group>L1_Punc</group>
      <groupName>标点问题</groupName>
      <ability>L2_Punc_CN</ability>
      <abilityName>标点符号问题</abilityName>
      <candidateList>
        <item>……</item>
      </candidateList>
      <explain>省略号错误。</explain>
      <paraID>173BF36B</paraID>
      <start>22</start>
      <end>24</end>
      <status>modified</status>
      <modifiedWord>……</modifiedWord>
      <trackRevisions>false</trackRevisions>
    </reviewItem>
    <reviewItem>
      <errorID>36ecd21e-b1bb-44c6-8193-df25f21f79aa</errorID>
      <errorWord>......</errorWord>
      <group>L1_Punc</group>
      <groupName>标点问题</groupName>
      <ability>L2_Punc_CN</ability>
      <abilityName>标点符号问题</abilityName>
      <candidateList>
        <item>……</item>
      </candidateList>
      <explain>省略号错误。</explain>
      <paraID>349EDE5C</paraID>
      <start>21</start>
      <end>23</end>
      <status>modified</status>
      <modifiedWord>……</modifiedWord>
      <trackRevisions>false</trackRevisions>
    </reviewItem>
    <reviewItem>
      <errorID>e9e31771-3537-42b5-b11c-a5dcc106b1aa</errorID>
      <errorWord>....</errorWord>
      <group>L1_Punc</group>
      <groupName>标点问题</groupName>
      <ability>L2_Punc_CN</ability>
      <abilityName>标点符号问题</abilityName>
      <candidateList>
        <item>……</item>
      </candidateList>
      <explain>省略号错误。</explain>
      <paraID>408B9D0B</paraID>
      <start>52</start>
      <end>54</end>
      <status>modified</status>
      <modifiedWord>……</modifiedWord>
      <trackRevisions>false</trackRevisions>
    </reviewItem>
    <reviewItem>
      <errorID>5a698550-6a07-452a-8881-f148e7c3aee9</errorID>
      <errorWord>松潘县县委</errorWord>
      <group>L1_Political</group>
      <groupName>政治性问题</groupName>
      <ability>L2_Unpolitical</ability>
      <abilityName>政治敏感错误</abilityName>
      <candidateList>
        <item>松潘县委</item>
      </candidateList>
      <explain/>
      <paraID>3179B93D</paraID>
      <start>42</start>
      <end>46</end>
      <status>modified</status>
      <modifiedWord>松潘县委</modifiedWord>
      <trackRevisions>false</trackRevisions>
    </reviewItem>
    <reviewItem>
      <errorID>3f1b23e2-d885-45f0-96a7-0682f9691cf1</errorID>
      <errorWord>增加增加</errorWord>
      <group>L1_Word</group>
      <groupName>字词问题</groupName>
      <ability>L2_Typo</ability>
      <abilityName>字词错误</abilityName>
      <candidateList>
        <item>增加</item>
      </candidateList>
      <explain/>
      <paraID>718080D1</paraID>
      <start>60</start>
      <end>62</end>
      <status>modified</status>
      <modifiedWord>增加</modifiedWord>
      <trackRevisions>false</trackRevisions>
    </reviewItem>
    <reviewItem>
      <errorID>bc06d595-a567-4866-b674-fc2fe0fad96c</errorID>
      <errorWord>主要是</errorWord>
      <group>L1_Word</group>
      <groupName>字词问题</groupName>
      <ability>L2_Typo</ability>
      <abilityName>字词错误</abilityName>
      <candidateList>
        <item>主要</item>
      </candidateList>
      <explain/>
      <paraID>400F27F5</paraID>
      <start>60</start>
      <end>62</end>
      <status>modified</status>
      <modifiedWord>主要</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ad72d4-53a2-4fff-9151-8c3c5387c481}">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14</Pages>
  <Words>4227</Words>
  <Characters>5444</Characters>
  <Lines>61</Lines>
  <Paragraphs>17</Paragraphs>
  <TotalTime>15</TotalTime>
  <ScaleCrop>false</ScaleCrop>
  <LinksUpToDate>false</LinksUpToDate>
  <CharactersWithSpaces>5491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2026-10-16T01:43:10Z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504B272E984E4847B671685DC7958E1C_13</vt:lpwstr>
  </property>
  <property fmtid="{D5CDD505-2E9C-101B-9397-08002B2CF9AE}" pid="4" name="KSOTemplateDocerSaveRecord">
    <vt:lpwstr>eyJoZGlkIjoiNTU1MWNhN2ZmY2ZhZmY3ODhlYTg0MWU5OGMyY2QwZmUiLCJ1c2VySWQiOiI0MzQ2NTM0NzEifQ==</vt:lpwstr>
  </property>
</Properties>
</file>