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0D599">
      <w:pPr>
        <w:pageBreakBefore w:val="0"/>
        <w:kinsoku/>
        <w:wordWrap/>
        <w:overflowPunct/>
        <w:topLinePunct w:val="0"/>
        <w:bidi w:val="0"/>
        <w:spacing w:line="578" w:lineRule="exact"/>
        <w:jc w:val="center"/>
        <w:textAlignment w:val="auto"/>
        <w:outlineLvl w:val="0"/>
        <w:rPr>
          <w:rFonts w:hint="eastAsia" w:ascii="方正小标宋简体" w:hAnsi="宋体" w:eastAsia="方正小标宋简体" w:cs="Times New Roman"/>
          <w:b/>
          <w:bCs/>
          <w:color w:val="auto"/>
          <w:kern w:val="2"/>
          <w:sz w:val="44"/>
          <w:szCs w:val="44"/>
          <w:highlight w:val="none"/>
          <w:lang w:val="en-US" w:eastAsia="zh-CN" w:bidi="ar-SA"/>
        </w:rPr>
      </w:pPr>
      <w:bookmarkStart w:id="0" w:name="_Toc15377193"/>
      <w:bookmarkStart w:id="1" w:name="_Toc15378441"/>
      <w:bookmarkStart w:id="2" w:name="_Toc15377425"/>
      <w:bookmarkStart w:id="3" w:name="_Toc15396597"/>
      <w:bookmarkStart w:id="4" w:name="_Toc15306267"/>
      <w:bookmarkStart w:id="5" w:name="_Toc15396475"/>
      <w:r>
        <w:rPr>
          <w:rFonts w:hint="eastAsia" w:ascii="方正小标宋简体" w:hAnsi="宋体" w:eastAsia="方正小标宋简体" w:cs="Times New Roman"/>
          <w:b/>
          <w:bCs/>
          <w:color w:val="auto"/>
          <w:kern w:val="2"/>
          <w:sz w:val="44"/>
          <w:szCs w:val="44"/>
          <w:highlight w:val="none"/>
          <w:lang w:val="en-US" w:eastAsia="zh-CN" w:bidi="ar-SA"/>
        </w:rPr>
        <w:t>2025年度四川省阿坝州</w:t>
      </w:r>
    </w:p>
    <w:p w14:paraId="5065557A">
      <w:pPr>
        <w:pageBreakBefore w:val="0"/>
        <w:kinsoku/>
        <w:wordWrap/>
        <w:overflowPunct/>
        <w:topLinePunct w:val="0"/>
        <w:bidi w:val="0"/>
        <w:adjustRightInd w:val="0"/>
        <w:snapToGrid w:val="0"/>
        <w:spacing w:line="578" w:lineRule="exact"/>
        <w:jc w:val="center"/>
        <w:textAlignment w:val="auto"/>
        <w:outlineLvl w:val="0"/>
        <w:rPr>
          <w:rFonts w:hint="eastAsia" w:ascii="方正小标宋简体" w:hAnsi="宋体" w:eastAsia="方正小标宋简体" w:cs="Times New Roman"/>
          <w:b/>
          <w:bCs/>
          <w:color w:val="auto"/>
          <w:kern w:val="2"/>
          <w:sz w:val="44"/>
          <w:szCs w:val="44"/>
          <w:highlight w:val="none"/>
          <w:lang w:val="en-US" w:eastAsia="zh-CN" w:bidi="ar-SA"/>
        </w:rPr>
      </w:pPr>
      <w:r>
        <w:rPr>
          <w:rFonts w:hint="eastAsia" w:ascii="方正小标宋简体" w:hAnsi="宋体" w:eastAsia="方正小标宋简体" w:cs="Times New Roman"/>
          <w:b/>
          <w:bCs/>
          <w:color w:val="auto"/>
          <w:kern w:val="2"/>
          <w:sz w:val="44"/>
          <w:szCs w:val="44"/>
          <w:highlight w:val="none"/>
          <w:lang w:val="en-US" w:eastAsia="zh-CN" w:bidi="ar-SA"/>
        </w:rPr>
        <w:t>中共松潘县纪律检查委员会</w:t>
      </w:r>
    </w:p>
    <w:p w14:paraId="72F61984">
      <w:pPr>
        <w:pStyle w:val="8"/>
        <w:pageBreakBefore w:val="0"/>
        <w:kinsoku/>
        <w:wordWrap/>
        <w:overflowPunct/>
        <w:topLinePunct w:val="0"/>
        <w:bidi w:val="0"/>
        <w:spacing w:line="578" w:lineRule="exact"/>
        <w:jc w:val="center"/>
        <w:textAlignment w:val="auto"/>
        <w:rPr>
          <w:rFonts w:hint="eastAsia" w:ascii="方正小标宋简体" w:hAnsi="宋体" w:eastAsia="方正小标宋简体" w:cs="Times New Roman"/>
          <w:b/>
          <w:bCs/>
          <w:color w:val="auto"/>
          <w:kern w:val="2"/>
          <w:sz w:val="44"/>
          <w:szCs w:val="44"/>
          <w:highlight w:val="none"/>
          <w:lang w:val="en-US" w:eastAsia="zh-CN" w:bidi="ar-SA"/>
        </w:rPr>
      </w:pPr>
      <w:r>
        <w:rPr>
          <w:rFonts w:hint="eastAsia" w:ascii="方正小标宋简体" w:hAnsi="宋体" w:eastAsia="方正小标宋简体" w:cs="Times New Roman"/>
          <w:b/>
          <w:bCs/>
          <w:color w:val="auto"/>
          <w:kern w:val="2"/>
          <w:sz w:val="44"/>
          <w:szCs w:val="44"/>
          <w:highlight w:val="none"/>
          <w:lang w:val="en-US" w:eastAsia="zh-CN" w:bidi="ar-SA"/>
        </w:rPr>
        <w:t>部门决算公开</w:t>
      </w:r>
    </w:p>
    <w:p w14:paraId="6375FFB0">
      <w:pPr>
        <w:pStyle w:val="8"/>
        <w:pageBreakBefore w:val="0"/>
        <w:kinsoku/>
        <w:wordWrap/>
        <w:overflowPunct/>
        <w:topLinePunct w:val="0"/>
        <w:bidi w:val="0"/>
        <w:spacing w:line="578" w:lineRule="exact"/>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02A0518A">
      <w:pPr>
        <w:pStyle w:val="8"/>
        <w:pageBreakBefore w:val="0"/>
        <w:kinsoku/>
        <w:wordWrap/>
        <w:overflowPunct/>
        <w:topLinePunct w:val="0"/>
        <w:bidi w:val="0"/>
        <w:spacing w:line="578" w:lineRule="exact"/>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41282322">
      <w:pPr>
        <w:pageBreakBefore w:val="0"/>
        <w:kinsoku/>
        <w:wordWrap/>
        <w:overflowPunct/>
        <w:topLinePunct w:val="0"/>
        <w:bidi w:val="0"/>
        <w:spacing w:line="578" w:lineRule="exact"/>
        <w:textAlignment w:val="auto"/>
        <w:rPr>
          <w:rFonts w:ascii="Times New Roman" w:hAnsi="Times New Roman"/>
        </w:rPr>
      </w:pPr>
    </w:p>
    <w:p w14:paraId="3F5BF44A">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4FED0AE9">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2C309779">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6578D1D9">
      <w:pPr>
        <w:pStyle w:val="8"/>
        <w:pageBreakBefore w:val="0"/>
        <w:kinsoku/>
        <w:wordWrap/>
        <w:overflowPunct/>
        <w:topLinePunct w:val="0"/>
        <w:bidi w:val="0"/>
        <w:spacing w:line="578"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216B3CD8">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74E862B1">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7290A5B8">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1E0E169F">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030C40A6">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6F7FDD15">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2268B569">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6ED3847D">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宋体" w:hAnsi="宋体" w:cs="仿宋_GB2312"/>
          <w:sz w:val="32"/>
          <w:szCs w:val="32"/>
        </w:rPr>
      </w:pPr>
    </w:p>
    <w:p w14:paraId="1567659F">
      <w:pPr>
        <w:pageBreakBefore w:val="0"/>
        <w:kinsoku/>
        <w:wordWrap/>
        <w:overflowPunct/>
        <w:topLinePunct w:val="0"/>
        <w:autoSpaceDE w:val="0"/>
        <w:autoSpaceDN w:val="0"/>
        <w:bidi w:val="0"/>
        <w:adjustRightInd w:val="0"/>
        <w:spacing w:line="578" w:lineRule="exact"/>
        <w:ind w:left="420" w:leftChars="200"/>
        <w:jc w:val="left"/>
        <w:textAlignment w:val="auto"/>
        <w:rPr>
          <w:rFonts w:hint="eastAsia" w:ascii="Times New Roman" w:hAnsi="Times New Roman" w:eastAsia="黑体"/>
          <w:color w:val="auto"/>
          <w:sz w:val="48"/>
          <w:szCs w:val="48"/>
          <w:highlight w:val="none"/>
        </w:rPr>
      </w:pPr>
      <w:r>
        <w:rPr>
          <w:rFonts w:hint="eastAsia" w:ascii="宋体" w:hAnsi="宋体" w:cs="仿宋_GB2312"/>
          <w:sz w:val="32"/>
          <w:szCs w:val="32"/>
        </w:rPr>
        <w:t>保密审查情况：已审查，内容审定</w:t>
      </w:r>
      <w:r>
        <w:rPr>
          <w:rFonts w:hint="eastAsia" w:ascii="宋体" w:hAnsi="宋体" w:cs="仿宋_GB2312"/>
          <w:sz w:val="32"/>
          <w:szCs w:val="32"/>
          <w:lang w:eastAsia="zh-CN"/>
        </w:rPr>
        <w:t>，</w:t>
      </w:r>
      <w:r>
        <w:rPr>
          <w:rFonts w:hint="eastAsia" w:ascii="宋体" w:hAnsi="宋体" w:cs="仿宋_GB2312"/>
          <w:sz w:val="32"/>
          <w:szCs w:val="32"/>
        </w:rPr>
        <w:t>同意对外公开</w:t>
      </w:r>
    </w:p>
    <w:p w14:paraId="0CD65BA6">
      <w:pPr>
        <w:rPr>
          <w:rFonts w:ascii="Times New Roman" w:hAnsi="Times New Roman"/>
        </w:rPr>
      </w:pPr>
    </w:p>
    <w:p w14:paraId="1DDBD216">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4C31CA7">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1AEA2A0">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37A41E6">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2EB436F">
      <w:pPr>
        <w:pageBreakBefore w:val="0"/>
        <w:widowControl/>
        <w:kinsoku/>
        <w:wordWrap/>
        <w:overflowPunct/>
        <w:topLinePunct w:val="0"/>
        <w:bidi w:val="0"/>
        <w:spacing w:line="578" w:lineRule="exact"/>
        <w:jc w:val="center"/>
        <w:textAlignment w:val="auto"/>
        <w:rPr>
          <w:rFonts w:ascii="Times New Roman" w:hAnsi="Times New Roman" w:eastAsia="黑体"/>
          <w:color w:val="auto"/>
          <w:sz w:val="48"/>
          <w:szCs w:val="48"/>
          <w:highlight w:val="none"/>
        </w:rPr>
      </w:pPr>
      <w:bookmarkStart w:id="6" w:name="_Toc15396602"/>
      <w:bookmarkStart w:id="7" w:name="_Toc15377204"/>
      <w:r>
        <w:rPr>
          <w:rFonts w:hint="eastAsia" w:ascii="Times New Roman" w:hAnsi="Times New Roman" w:eastAsia="黑体"/>
          <w:color w:val="auto"/>
          <w:sz w:val="48"/>
          <w:szCs w:val="48"/>
          <w:highlight w:val="none"/>
        </w:rPr>
        <w:t>目录</w:t>
      </w:r>
    </w:p>
    <w:p w14:paraId="484018F9">
      <w:pPr>
        <w:pageBreakBefore w:val="0"/>
        <w:widowControl/>
        <w:kinsoku/>
        <w:wordWrap/>
        <w:overflowPunct/>
        <w:topLinePunct w:val="0"/>
        <w:bidi w:val="0"/>
        <w:spacing w:line="578" w:lineRule="exact"/>
        <w:jc w:val="center"/>
        <w:textAlignment w:val="auto"/>
        <w:rPr>
          <w:rFonts w:ascii="Times New Roman" w:hAnsi="Times New Roman" w:eastAsia="黑体" w:cstheme="minorBidi"/>
          <w:color w:val="auto"/>
          <w:sz w:val="28"/>
          <w:szCs w:val="28"/>
          <w:highlight w:val="none"/>
        </w:rPr>
      </w:pPr>
    </w:p>
    <w:p w14:paraId="1353241D">
      <w:pPr>
        <w:pStyle w:val="13"/>
        <w:pageBreakBefore w:val="0"/>
        <w:kinsoku/>
        <w:wordWrap/>
        <w:overflowPunct/>
        <w:topLinePunct w:val="0"/>
        <w:bidi w:val="0"/>
        <w:spacing w:line="578"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124D3903">
      <w:pPr>
        <w:pageBreakBefore w:val="0"/>
        <w:kinsoku/>
        <w:wordWrap/>
        <w:overflowPunct/>
        <w:topLinePunct w:val="0"/>
        <w:bidi w:val="0"/>
        <w:spacing w:line="578" w:lineRule="exact"/>
        <w:textAlignment w:val="auto"/>
        <w:rPr>
          <w:rFonts w:ascii="Times New Roman" w:hAnsi="Times New Roman"/>
          <w:color w:val="auto"/>
          <w:highlight w:val="none"/>
        </w:rPr>
      </w:pPr>
    </w:p>
    <w:p w14:paraId="24BA3F88">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w:t>
      </w:r>
      <w:r>
        <w:rPr>
          <w:rFonts w:hint="eastAsia" w:ascii="Times New Roman" w:hAnsi="Times New Roman" w:eastAsia="黑体" w:cs="黑体"/>
          <w:color w:val="auto"/>
          <w:sz w:val="32"/>
          <w:szCs w:val="32"/>
          <w:highlight w:val="none"/>
          <w:lang w:eastAsia="zh-CN"/>
        </w:rPr>
        <w:t>况</w:t>
      </w:r>
      <w:r>
        <w:rPr>
          <w:rFonts w:hint="eastAsia" w:ascii="仿宋_GB2312" w:hAnsi="仿宋_GB2312" w:eastAsia="仿宋_GB2312" w:cs="仿宋_GB2312"/>
          <w:color w:val="auto"/>
          <w:sz w:val="24"/>
          <w:szCs w:val="24"/>
          <w:highlight w:val="none"/>
          <w:lang w:val="en-US" w:eastAsia="zh-CN"/>
        </w:rPr>
        <w:t>...........................................4-6</w:t>
      </w:r>
    </w:p>
    <w:p w14:paraId="3CC3F91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仿宋_GB2312" w:hAnsi="仿宋_GB2312" w:eastAsia="仿宋_GB2312" w:cs="仿宋_GB2312"/>
          <w:color w:val="auto"/>
          <w:sz w:val="24"/>
          <w:szCs w:val="24"/>
          <w:highlight w:val="none"/>
          <w:lang w:val="en-US" w:eastAsia="zh-CN"/>
        </w:rPr>
        <w:t>............................................4-5</w:t>
      </w:r>
    </w:p>
    <w:p w14:paraId="043833CE">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仿宋_GB2312" w:hAnsi="仿宋_GB2312" w:eastAsia="仿宋_GB2312" w:cs="仿宋_GB2312"/>
          <w:color w:val="auto"/>
          <w:sz w:val="24"/>
          <w:szCs w:val="24"/>
          <w:highlight w:val="none"/>
          <w:lang w:val="en-US" w:eastAsia="zh-CN"/>
        </w:rPr>
        <w:t>............................................5-6</w:t>
      </w:r>
    </w:p>
    <w:p w14:paraId="5F3846F9">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仿宋_GB2312" w:hAnsi="仿宋_GB2312" w:eastAsia="仿宋_GB2312" w:cs="仿宋_GB2312"/>
          <w:color w:val="auto"/>
          <w:sz w:val="24"/>
          <w:szCs w:val="24"/>
          <w:highlight w:val="none"/>
          <w:lang w:val="en-US" w:eastAsia="zh-CN"/>
        </w:rPr>
        <w:t>....................6-12</w:t>
      </w:r>
    </w:p>
    <w:p w14:paraId="26E6B989">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ascii="仿宋_GB2312" w:hAnsi="仿宋_GB2312" w:eastAsia="仿宋_GB2312" w:cs="仿宋_GB2312"/>
          <w:color w:val="auto"/>
          <w:sz w:val="24"/>
          <w:szCs w:val="24"/>
          <w:highlight w:val="none"/>
          <w:lang w:val="en-US" w:eastAsia="zh-CN"/>
        </w:rPr>
        <w:t>.........................6</w:t>
      </w:r>
    </w:p>
    <w:p w14:paraId="7BF3B126">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仿宋_GB2312" w:hAnsi="仿宋_GB2312" w:eastAsia="仿宋_GB2312" w:cs="仿宋_GB2312"/>
          <w:color w:val="auto"/>
          <w:sz w:val="24"/>
          <w:szCs w:val="24"/>
          <w:highlight w:val="none"/>
          <w:lang w:val="en-US" w:eastAsia="zh-CN"/>
        </w:rPr>
        <w:t>....................................7</w:t>
      </w:r>
    </w:p>
    <w:p w14:paraId="1DD60177">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仿宋_GB2312" w:hAnsi="仿宋_GB2312" w:eastAsia="仿宋_GB2312" w:cs="仿宋_GB2312"/>
          <w:color w:val="auto"/>
          <w:sz w:val="24"/>
          <w:szCs w:val="24"/>
          <w:highlight w:val="none"/>
          <w:lang w:val="en-US" w:eastAsia="zh-CN"/>
        </w:rPr>
        <w:t>....................................7</w:t>
      </w:r>
    </w:p>
    <w:p w14:paraId="08C6895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color w:val="auto"/>
          <w:sz w:val="24"/>
          <w:szCs w:val="24"/>
          <w:highlight w:val="none"/>
          <w:lang w:val="en-US" w:eastAsia="zh-CN"/>
        </w:rPr>
        <w:t>...............7</w:t>
      </w:r>
    </w:p>
    <w:p w14:paraId="2E13609E">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color w:val="auto"/>
          <w:sz w:val="24"/>
          <w:szCs w:val="24"/>
          <w:highlight w:val="none"/>
          <w:lang w:val="en-US" w:eastAsia="zh-CN"/>
        </w:rPr>
        <w:t>.......8-9</w:t>
      </w:r>
    </w:p>
    <w:p w14:paraId="2C145571">
      <w:pPr>
        <w:pStyle w:val="14"/>
        <w:keepNext w:val="0"/>
        <w:keepLines w:val="0"/>
        <w:pageBreakBefore w:val="0"/>
        <w:widowControl w:val="0"/>
        <w:kinsoku/>
        <w:wordWrap/>
        <w:overflowPunct/>
        <w:topLinePunct w:val="0"/>
        <w:autoSpaceDE/>
        <w:autoSpaceDN/>
        <w:bidi w:val="0"/>
        <w:adjustRightInd w:val="0"/>
        <w:snapToGrid w:val="0"/>
        <w:spacing w:line="578"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bookmarkStart w:id="63" w:name="_GoBack"/>
      <w:r>
        <w:rPr>
          <w:rFonts w:hint="eastAsia" w:eastAsia="仿宋_GB2312" w:cs="仿宋_GB2312"/>
          <w:color w:val="auto"/>
          <w:sz w:val="32"/>
          <w:szCs w:val="32"/>
          <w:highlight w:val="none"/>
          <w:lang w:eastAsia="zh-CN"/>
        </w:rPr>
        <w:t>.</w:t>
      </w:r>
      <w:bookmarkEnd w:id="63"/>
      <w:r>
        <w:rPr>
          <w:rFonts w:hint="eastAsia" w:ascii="仿宋_GB2312" w:hAnsi="仿宋_GB2312" w:eastAsia="仿宋_GB2312" w:cs="仿宋_GB2312"/>
          <w:color w:val="auto"/>
          <w:sz w:val="24"/>
          <w:szCs w:val="24"/>
          <w:highlight w:val="none"/>
          <w:lang w:val="en-US" w:eastAsia="zh-CN"/>
        </w:rPr>
        <w:t>9-10</w:t>
      </w: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仿宋_GB2312" w:hAnsi="仿宋_GB2312" w:eastAsia="仿宋_GB2312" w:cs="仿宋_GB2312"/>
          <w:color w:val="auto"/>
          <w:sz w:val="24"/>
          <w:szCs w:val="24"/>
          <w:highlight w:val="none"/>
          <w:lang w:val="en-US" w:eastAsia="zh-CN"/>
        </w:rPr>
        <w:t>.........10-11</w:t>
      </w:r>
    </w:p>
    <w:p w14:paraId="19C3AAA5">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仿宋_GB2312" w:hAnsi="仿宋_GB2312" w:eastAsia="仿宋_GB2312" w:cs="仿宋_GB2312"/>
          <w:color w:val="auto"/>
          <w:sz w:val="24"/>
          <w:szCs w:val="24"/>
          <w:highlight w:val="none"/>
          <w:lang w:val="en-US" w:eastAsia="zh-CN"/>
        </w:rPr>
        <w:t>.................11</w:t>
      </w:r>
    </w:p>
    <w:p w14:paraId="1E63AD9B">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仿宋_GB2312" w:hAnsi="仿宋_GB2312" w:eastAsia="仿宋_GB2312" w:cs="仿宋_GB2312"/>
          <w:color w:val="auto"/>
          <w:sz w:val="24"/>
          <w:szCs w:val="24"/>
          <w:highlight w:val="none"/>
          <w:lang w:val="en-US" w:eastAsia="zh-CN"/>
        </w:rPr>
        <w:t>..............11</w:t>
      </w:r>
    </w:p>
    <w:p w14:paraId="0E15F92D">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仿宋_GB2312" w:hAnsi="仿宋_GB2312" w:eastAsia="仿宋_GB2312" w:cs="仿宋_GB2312"/>
          <w:color w:val="auto"/>
          <w:sz w:val="24"/>
          <w:szCs w:val="24"/>
          <w:highlight w:val="none"/>
          <w:lang w:val="en-US" w:eastAsia="zh-CN"/>
        </w:rPr>
        <w:t>.........................11-12</w:t>
      </w:r>
    </w:p>
    <w:p w14:paraId="1DF69784">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ascii="仿宋_GB2312" w:hAnsi="仿宋_GB2312" w:eastAsia="仿宋_GB2312" w:cs="仿宋_GB2312"/>
          <w:color w:val="auto"/>
          <w:sz w:val="24"/>
          <w:szCs w:val="24"/>
          <w:highlight w:val="none"/>
          <w:lang w:val="en-US" w:eastAsia="zh-CN"/>
        </w:rPr>
        <w:t>.........................................12-13</w:t>
      </w:r>
    </w:p>
    <w:p w14:paraId="428E2F01">
      <w:pPr>
        <w:pStyle w:val="13"/>
        <w:keepNext w:val="0"/>
        <w:keepLines w:val="0"/>
        <w:pageBreakBefore w:val="0"/>
        <w:kinsoku/>
        <w:wordWrap/>
        <w:overflowPunct/>
        <w:topLinePunct w:val="0"/>
        <w:autoSpaceDE/>
        <w:autoSpaceDN/>
        <w:bidi w:val="0"/>
        <w:adjustRightInd w:val="0"/>
        <w:snapToGrid w:val="0"/>
        <w:spacing w:before="0" w:line="578"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四</w:t>
      </w:r>
      <w:r>
        <w:rPr>
          <w:rFonts w:hint="eastAsia" w:ascii="Times New Roman" w:hAnsi="Times New Roman" w:eastAsia="黑体" w:cs="黑体"/>
          <w:color w:val="auto"/>
          <w:sz w:val="32"/>
          <w:szCs w:val="32"/>
          <w:highlight w:val="none"/>
        </w:rPr>
        <w:t>部分 附表</w:t>
      </w:r>
      <w:r>
        <w:rPr>
          <w:rFonts w:hint="eastAsia" w:ascii="仿宋_GB2312" w:hAnsi="仿宋_GB2312" w:eastAsia="仿宋_GB2312" w:cs="仿宋_GB2312"/>
          <w:color w:val="auto"/>
          <w:sz w:val="24"/>
          <w:szCs w:val="24"/>
          <w:highlight w:val="none"/>
          <w:lang w:val="en-US" w:eastAsia="zh-CN"/>
        </w:rPr>
        <w:t>.................................................14</w:t>
      </w:r>
    </w:p>
    <w:p w14:paraId="72DB7783">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color w:val="auto"/>
          <w:sz w:val="24"/>
          <w:szCs w:val="24"/>
          <w:highlight w:val="none"/>
          <w:lang w:val="en-US" w:eastAsia="zh-CN"/>
        </w:rPr>
        <w:t>..................................14</w:t>
      </w:r>
    </w:p>
    <w:p w14:paraId="5102403B">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color w:val="auto"/>
          <w:sz w:val="24"/>
          <w:szCs w:val="24"/>
          <w:highlight w:val="none"/>
          <w:lang w:val="en-US" w:eastAsia="zh-CN"/>
        </w:rPr>
        <w:t>..........................................14</w:t>
      </w:r>
    </w:p>
    <w:p w14:paraId="4A4FABC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color w:val="auto"/>
          <w:sz w:val="24"/>
          <w:szCs w:val="24"/>
          <w:highlight w:val="none"/>
          <w:lang w:val="en-US" w:eastAsia="zh-CN"/>
        </w:rPr>
        <w:t>..........................................14</w:t>
      </w:r>
    </w:p>
    <w:p w14:paraId="4B18A005">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color w:val="auto"/>
          <w:sz w:val="24"/>
          <w:szCs w:val="24"/>
          <w:highlight w:val="none"/>
          <w:lang w:val="en-US" w:eastAsia="zh-CN"/>
        </w:rPr>
        <w:t>........................14</w:t>
      </w:r>
    </w:p>
    <w:p w14:paraId="2BA593FF">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color w:val="auto"/>
          <w:sz w:val="24"/>
          <w:szCs w:val="24"/>
          <w:highlight w:val="none"/>
          <w:lang w:val="en-US" w:eastAsia="zh-CN"/>
        </w:rPr>
        <w:t>...........................14</w:t>
      </w:r>
    </w:p>
    <w:p w14:paraId="636704A8">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color w:val="auto"/>
          <w:sz w:val="24"/>
          <w:szCs w:val="24"/>
          <w:highlight w:val="none"/>
          <w:lang w:val="en-US" w:eastAsia="zh-CN"/>
        </w:rPr>
        <w:t>................14</w:t>
      </w:r>
    </w:p>
    <w:p w14:paraId="675F387A">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color w:val="auto"/>
          <w:sz w:val="24"/>
          <w:szCs w:val="24"/>
          <w:highlight w:val="none"/>
          <w:lang w:val="en-US" w:eastAsia="zh-CN"/>
        </w:rPr>
        <w:t>...........14</w:t>
      </w:r>
    </w:p>
    <w:p w14:paraId="349EDE5C">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eastAsia="zh-CN"/>
        </w:rPr>
        <w:t>……</w:t>
      </w:r>
      <w:r>
        <w:rPr>
          <w:rFonts w:hint="eastAsia" w:ascii="仿宋_GB2312" w:hAnsi="仿宋_GB2312" w:eastAsia="仿宋_GB2312" w:cs="仿宋_GB2312"/>
          <w:color w:val="auto"/>
          <w:sz w:val="24"/>
          <w:szCs w:val="24"/>
          <w:highlight w:val="none"/>
          <w:lang w:val="en-US" w:eastAsia="zh-CN"/>
        </w:rPr>
        <w:t>14</w:t>
      </w:r>
    </w:p>
    <w:p w14:paraId="22C95659">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color w:val="auto"/>
          <w:sz w:val="24"/>
          <w:szCs w:val="24"/>
          <w:highlight w:val="none"/>
          <w:lang w:val="en-US" w:eastAsia="zh-CN"/>
        </w:rPr>
        <w:t>...........14</w:t>
      </w:r>
    </w:p>
    <w:p w14:paraId="408B9D0B">
      <w:pPr>
        <w:pStyle w:val="14"/>
        <w:keepNext w:val="0"/>
        <w:keepLines w:val="0"/>
        <w:pageBreakBefore w:val="0"/>
        <w:widowControl w:val="0"/>
        <w:kinsoku/>
        <w:wordWrap/>
        <w:overflowPunct/>
        <w:topLinePunct w:val="0"/>
        <w:autoSpaceDE/>
        <w:autoSpaceDN/>
        <w:bidi w:val="0"/>
        <w:adjustRightInd w:val="0"/>
        <w:snapToGrid w:val="0"/>
        <w:spacing w:line="578"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color w:val="auto"/>
          <w:sz w:val="24"/>
          <w:szCs w:val="24"/>
          <w:highlight w:val="none"/>
          <w:lang w:val="en-US" w:eastAsia="zh-CN"/>
        </w:rPr>
        <w:t>........14</w:t>
      </w: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eastAsia="zh-CN"/>
        </w:rPr>
        <w:t>……</w:t>
      </w:r>
      <w:r>
        <w:rPr>
          <w:rFonts w:hint="eastAsia" w:ascii="仿宋_GB2312" w:hAnsi="仿宋_GB2312" w:eastAsia="仿宋_GB2312" w:cs="仿宋_GB2312"/>
          <w:color w:val="auto"/>
          <w:sz w:val="24"/>
          <w:szCs w:val="24"/>
          <w:highlight w:val="none"/>
          <w:lang w:val="en-US" w:eastAsia="zh-CN"/>
        </w:rPr>
        <w:t>14</w:t>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color w:val="auto"/>
          <w:sz w:val="24"/>
          <w:szCs w:val="24"/>
          <w:highlight w:val="none"/>
          <w:lang w:val="en-US" w:eastAsia="zh-CN"/>
        </w:rPr>
        <w:t>........14</w:t>
      </w: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color w:val="auto"/>
          <w:sz w:val="24"/>
          <w:szCs w:val="24"/>
          <w:highlight w:val="none"/>
          <w:lang w:val="en-US" w:eastAsia="zh-CN"/>
        </w:rPr>
        <w:t>.............14</w:t>
      </w:r>
    </w:p>
    <w:p w14:paraId="6CC57892">
      <w:pPr>
        <w:keepNext w:val="0"/>
        <w:keepLines w:val="0"/>
        <w:pageBreakBefore w:val="0"/>
        <w:widowControl/>
        <w:kinsoku/>
        <w:wordWrap/>
        <w:overflowPunct/>
        <w:topLinePunct w:val="0"/>
        <w:autoSpaceDE/>
        <w:autoSpaceDN/>
        <w:bidi w:val="0"/>
        <w:spacing w:line="578"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08EF11E3">
      <w:pPr>
        <w:pStyle w:val="5"/>
        <w:pageBreakBefore w:val="0"/>
        <w:kinsoku/>
        <w:wordWrap/>
        <w:overflowPunct/>
        <w:topLinePunct w:val="0"/>
        <w:bidi w:val="0"/>
        <w:spacing w:line="578" w:lineRule="exact"/>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p>
    <w:p w14:paraId="54BCFE4C">
      <w:pPr>
        <w:pStyle w:val="14"/>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rPr>
        <w:t>一、</w:t>
      </w:r>
      <w:r>
        <w:rPr>
          <w:rFonts w:hint="eastAsia" w:ascii="Times New Roman" w:hAnsi="Times New Roman" w:eastAsia="仿宋_GB2312" w:cs="仿宋_GB2312"/>
          <w:b/>
          <w:bCs/>
          <w:color w:val="auto"/>
          <w:sz w:val="32"/>
          <w:szCs w:val="32"/>
          <w:highlight w:val="none"/>
          <w:lang w:eastAsia="zh-CN"/>
        </w:rPr>
        <w:t>部门职责</w:t>
      </w:r>
    </w:p>
    <w:p w14:paraId="1381EE37">
      <w:pPr>
        <w:pageBreakBefore w:val="0"/>
        <w:widowControl/>
        <w:kinsoku/>
        <w:wordWrap/>
        <w:overflowPunct/>
        <w:topLinePunct w:val="0"/>
        <w:bidi w:val="0"/>
        <w:spacing w:line="578" w:lineRule="exact"/>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负责全县党的纪律检查工作。贯彻落实党中央、省委、州委和县委关于纪律检查工作的决定，维护党的章程和其他党内法规，检查党的路线方针政策和决议的执行情况，协助县委推进全面从严治党、加强党风廉政建设和组织协调反腐败工作。</w:t>
      </w:r>
    </w:p>
    <w:p w14:paraId="10975BFA">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二）依照党的章程和其他党内法规履行监督、执纪、问责职责。负责经常对党员进行遵守纪律的教育，作出关于维护党纪的决定。对县委工作部门、县委批准设立的党组（党委），各乡镇党委、纪委等党的组织和县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w:t>
      </w:r>
      <w:r>
        <w:rPr>
          <w:rFonts w:hint="eastAsia" w:ascii="仿宋_GB2312" w:hAnsi="仿宋_GB2312" w:eastAsia="仿宋_GB2312" w:cs="仿宋_GB2312"/>
          <w:kern w:val="0"/>
          <w:sz w:val="32"/>
          <w:szCs w:val="32"/>
          <w:lang w:eastAsia="zh-CN"/>
        </w:rPr>
        <w:t>保障党员权利</w:t>
      </w:r>
      <w:r>
        <w:rPr>
          <w:rFonts w:hint="eastAsia" w:ascii="仿宋_GB2312" w:hAnsi="仿宋_GB2312" w:eastAsia="仿宋_GB2312" w:cs="仿宋_GB2312"/>
          <w:kern w:val="0"/>
          <w:sz w:val="32"/>
          <w:szCs w:val="32"/>
        </w:rPr>
        <w:t>。</w:t>
      </w:r>
    </w:p>
    <w:p w14:paraId="55AA9577">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（三）负责全县监察工作。贯彻落实党中央、省委、州委和县委关于监察工作的决定，维护宪法法律，依法对县委管理的行使公权力的公职人员进行监察，调查职务违法和职务犯罪，开展廉政建设和反腐败工作。</w:t>
      </w:r>
    </w:p>
    <w:p w14:paraId="1BCDD5FB">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四）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14:paraId="2C801BF1">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（五）负责组织协调全面从严治党、党风廉政建设和反腐败宣传教育工作。</w:t>
      </w:r>
    </w:p>
    <w:p w14:paraId="791FE01A">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（六）负责综合分析全面从严治党、党风廉政建设和反腐败工作情况，对纪检监察工作重要理论及实践问题进行调查研究。</w:t>
      </w:r>
    </w:p>
    <w:p w14:paraId="418568DD">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（七）在州纪委监委的领导下，加强对反腐败国际追逃追赃和防逃工作的组织协调，督促有关部门做好相关工作。</w:t>
      </w:r>
    </w:p>
    <w:p w14:paraId="6E71C582">
      <w:pPr>
        <w:pageBreakBefore w:val="0"/>
        <w:widowControl/>
        <w:kinsoku/>
        <w:wordWrap/>
        <w:overflowPunct/>
        <w:topLinePunct w:val="0"/>
        <w:bidi w:val="0"/>
        <w:spacing w:line="578" w:lineRule="exact"/>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八）根据干部管理权限，负责纪检监察系统领导班子建设、干部队伍建设和组织建设的综合规划、政策研究、制度建设和业务指导。会同有关方面做好县纪委监委派驻机构、乡镇纪委监察室等有关工作。组织和指导纪检监察系统干部教育培训工作等。</w:t>
      </w:r>
    </w:p>
    <w:p w14:paraId="5F5260FE">
      <w:pPr>
        <w:keepNext w:val="0"/>
        <w:keepLines w:val="0"/>
        <w:pageBreakBefore w:val="0"/>
        <w:widowControl w:val="0"/>
        <w:kinsoku/>
        <w:wordWrap/>
        <w:overflowPunct/>
        <w:topLinePunct w:val="0"/>
        <w:autoSpaceDE/>
        <w:autoSpaceDN/>
        <w:bidi w:val="0"/>
        <w:spacing w:line="578" w:lineRule="exact"/>
        <w:jc w:val="left"/>
        <w:textAlignment w:val="auto"/>
        <w:rPr>
          <w:rFonts w:hint="eastAsia"/>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（九）完成县委和州纪委监委交办的其他任务。</w:t>
      </w:r>
    </w:p>
    <w:p w14:paraId="00A80C3A">
      <w:pPr>
        <w:pStyle w:val="6"/>
        <w:pageBreakBefore w:val="0"/>
        <w:kinsoku/>
        <w:wordWrap/>
        <w:overflowPunct/>
        <w:topLinePunct w:val="0"/>
        <w:bidi w:val="0"/>
        <w:spacing w:line="578" w:lineRule="exact"/>
        <w:textAlignment w:val="auto"/>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5C67466D">
      <w:pPr>
        <w:pageBreakBefore w:val="0"/>
        <w:kinsoku/>
        <w:wordWrap/>
        <w:overflowPunct/>
        <w:topLinePunct w:val="0"/>
        <w:bidi w:val="0"/>
        <w:spacing w:line="578" w:lineRule="exact"/>
        <w:ind w:firstLine="800" w:firstLineChars="25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中共松潘县纪律检查委员会（本级）</w:t>
      </w:r>
      <w:r>
        <w:rPr>
          <w:rFonts w:hint="eastAsia" w:ascii="Times New Roman" w:hAnsi="Times New Roman" w:eastAsia="仿宋_GB2312" w:cs="仿宋_GB2312"/>
          <w:color w:val="auto"/>
          <w:sz w:val="32"/>
          <w:szCs w:val="32"/>
          <w:highlight w:val="none"/>
        </w:rPr>
        <w:t>下属</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属于其</w:t>
      </w:r>
      <w:r>
        <w:rPr>
          <w:rFonts w:hint="eastAsia" w:ascii="Times New Roman" w:hAnsi="Times New Roman" w:eastAsia="仿宋_GB2312" w:cs="仿宋_GB2312"/>
          <w:color w:val="auto"/>
          <w:sz w:val="32"/>
          <w:szCs w:val="32"/>
          <w:highlight w:val="none"/>
        </w:rPr>
        <w:t>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3179B93D">
      <w:pPr>
        <w:pStyle w:val="8"/>
        <w:pageBreakBefore w:val="0"/>
        <w:kinsoku/>
        <w:wordWrap/>
        <w:overflowPunct/>
        <w:topLinePunct w:val="0"/>
        <w:bidi w:val="0"/>
        <w:adjustRightInd w:val="0"/>
        <w:snapToGrid w:val="0"/>
        <w:spacing w:before="93" w:line="578" w:lineRule="exact"/>
        <w:ind w:firstLine="672" w:firstLineChars="210"/>
        <w:textAlignment w:val="auto"/>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中共松潘县纪律检查委员会（本级）</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bookmarkStart w:id="10" w:name="_Toc15377202"/>
      <w:bookmarkStart w:id="11" w:name="_Toc15378449"/>
      <w:bookmarkStart w:id="12" w:name="_Toc15306276"/>
      <w:bookmarkStart w:id="13" w:name="_Toc15377433"/>
      <w:r>
        <w:rPr>
          <w:rFonts w:hint="eastAsia" w:ascii="Times New Roman" w:cs="仿宋_GB2312"/>
          <w:color w:val="auto"/>
          <w:sz w:val="32"/>
          <w:szCs w:val="32"/>
          <w:highlight w:val="none"/>
          <w:lang w:eastAsia="zh-CN"/>
        </w:rPr>
        <w:t>松潘县委巡察事务中心。</w:t>
      </w:r>
      <w:bookmarkEnd w:id="10"/>
      <w:bookmarkEnd w:id="11"/>
      <w:bookmarkEnd w:id="12"/>
      <w:bookmarkEnd w:id="13"/>
    </w:p>
    <w:p w14:paraId="60F832C9">
      <w:pPr>
        <w:pStyle w:val="5"/>
        <w:jc w:val="center"/>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6"/>
      <w:bookmarkEnd w:id="7"/>
    </w:p>
    <w:p w14:paraId="59C7C56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4" w:name="_Toc15396603"/>
      <w:bookmarkStart w:id="1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4"/>
      <w:bookmarkEnd w:id="15"/>
    </w:p>
    <w:p w14:paraId="5BE51C3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918.78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59.87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办公楼搬迁、专网搬迁和案件查办信息化支出。</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D6A976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90415" cy="1529080"/>
            <wp:effectExtent l="0" t="0" r="63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590415" cy="1529080"/>
                    </a:xfrm>
                    <a:prstGeom prst="rect">
                      <a:avLst/>
                    </a:prstGeom>
                    <a:noFill/>
                    <a:ln>
                      <a:noFill/>
                    </a:ln>
                  </pic:spPr>
                </pic:pic>
              </a:graphicData>
            </a:graphic>
          </wp:inline>
        </w:drawing>
      </w:r>
    </w:p>
    <w:p w14:paraId="70B2DF2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77206"/>
      <w:bookmarkStart w:id="17" w:name="_Toc15396604"/>
      <w:r>
        <w:rPr>
          <w:rFonts w:hint="eastAsia" w:ascii="Times New Roman" w:hAnsi="Times New Roman" w:eastAsia="黑体"/>
          <w:color w:val="auto"/>
          <w:sz w:val="32"/>
          <w:szCs w:val="32"/>
          <w:highlight w:val="none"/>
          <w:lang w:eastAsia="zh-CN"/>
        </w:rPr>
        <w:t>二、收入决算情况说明</w:t>
      </w:r>
      <w:bookmarkEnd w:id="16"/>
      <w:bookmarkEnd w:id="17"/>
    </w:p>
    <w:p w14:paraId="21D57C9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%。（图2：收入决算结构图）（饼状图）</w:t>
      </w:r>
    </w:p>
    <w:p w14:paraId="7A992A5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9822FE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A35159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CF36DC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-895350</wp:posOffset>
            </wp:positionV>
            <wp:extent cx="4590415" cy="1196340"/>
            <wp:effectExtent l="0" t="0" r="635" b="381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590415" cy="1196340"/>
                    </a:xfrm>
                    <a:prstGeom prst="rect">
                      <a:avLst/>
                    </a:prstGeom>
                    <a:noFill/>
                    <a:ln>
                      <a:noFill/>
                    </a:ln>
                  </pic:spPr>
                </pic:pic>
              </a:graphicData>
            </a:graphic>
          </wp:anchor>
        </w:drawing>
      </w:r>
    </w:p>
    <w:p w14:paraId="1C73A7A0">
      <w:pPr>
        <w:ind w:firstLine="800" w:firstLineChars="250"/>
        <w:rPr>
          <w:rFonts w:hint="eastAsia" w:ascii="Times New Roman" w:hAnsi="Times New Roman" w:eastAsia="仿宋_GB2312" w:cs="仿宋_GB2312"/>
          <w:color w:val="auto"/>
          <w:sz w:val="32"/>
          <w:szCs w:val="32"/>
          <w:highlight w:val="none"/>
          <w:lang w:eastAsia="zh-CN"/>
        </w:rPr>
      </w:pPr>
    </w:p>
    <w:p w14:paraId="775C4A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8"/>
      <w:bookmarkEnd w:id="19"/>
    </w:p>
    <w:p w14:paraId="0F7315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1418.45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57.81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1035.09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42.18</w:t>
      </w:r>
      <w:r>
        <w:rPr>
          <w:rFonts w:hint="eastAsia" w:ascii="Times New Roman" w:hAnsi="Times New Roman" w:eastAsia="仿宋_GB2312" w:cs="仿宋_GB2312"/>
          <w:color w:val="auto"/>
          <w:sz w:val="32"/>
          <w:szCs w:val="32"/>
          <w:highlight w:val="none"/>
          <w:lang w:eastAsia="zh-CN"/>
        </w:rPr>
        <w:t>%。（图3：支出决算结构图）（饼状图）</w:t>
      </w:r>
    </w:p>
    <w:p w14:paraId="722E4FE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69A0C5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B2E58A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E80798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4A35A4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266700</wp:posOffset>
            </wp:positionH>
            <wp:positionV relativeFrom="paragraph">
              <wp:posOffset>-1276350</wp:posOffset>
            </wp:positionV>
            <wp:extent cx="4590415" cy="1577975"/>
            <wp:effectExtent l="0" t="0" r="635" b="317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590415" cy="1577975"/>
                    </a:xfrm>
                    <a:prstGeom prst="rect">
                      <a:avLst/>
                    </a:prstGeom>
                    <a:noFill/>
                    <a:ln>
                      <a:noFill/>
                    </a:ln>
                  </pic:spPr>
                </pic:pic>
              </a:graphicData>
            </a:graphic>
          </wp:anchor>
        </w:drawing>
      </w:r>
    </w:p>
    <w:p w14:paraId="6BE3A31D">
      <w:pPr>
        <w:spacing w:line="600" w:lineRule="exact"/>
        <w:ind w:firstLine="640" w:firstLineChars="200"/>
        <w:outlineLvl w:val="1"/>
        <w:rPr>
          <w:rStyle w:val="29"/>
          <w:rFonts w:ascii="Times New Roman" w:hAnsi="Times New Roman" w:eastAsia="黑体"/>
          <w:b w:val="0"/>
          <w:color w:val="auto"/>
          <w:highlight w:val="none"/>
        </w:rPr>
      </w:pPr>
      <w:bookmarkStart w:id="20" w:name="_Toc15396606"/>
      <w:bookmarkStart w:id="2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0"/>
      <w:bookmarkEnd w:id="21"/>
    </w:p>
    <w:p w14:paraId="08FDB8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w:t>
      </w:r>
      <w:r>
        <w:rPr>
          <w:rFonts w:hint="eastAsia" w:ascii="Times New Roman" w:hAnsi="Times New Roman" w:eastAsia="仿宋_GB2312" w:cs="仿宋_GB2312"/>
          <w:color w:val="auto"/>
          <w:sz w:val="32"/>
          <w:szCs w:val="32"/>
          <w:highlight w:val="none"/>
        </w:rPr>
        <w:t>各增加</w:t>
      </w:r>
      <w:r>
        <w:rPr>
          <w:rFonts w:hint="eastAsia" w:eastAsia="仿宋_GB2312" w:cs="仿宋_GB2312"/>
          <w:color w:val="auto"/>
          <w:sz w:val="32"/>
          <w:szCs w:val="32"/>
          <w:highlight w:val="none"/>
          <w:lang w:val="en-US" w:eastAsia="zh-CN"/>
        </w:rPr>
        <w:t>918.78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59.87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办公楼搬迁、专网搬迁和案件查办信息化支出。</w: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871F6D9">
      <w:pPr>
        <w:pStyle w:val="2"/>
        <w:rPr>
          <w:rFonts w:hint="eastAsia"/>
          <w:lang w:val="en-US" w:eastAsia="zh-CN"/>
        </w:rPr>
      </w:pPr>
      <w:r>
        <w:drawing>
          <wp:inline distT="0" distB="0" distL="114300" distR="114300">
            <wp:extent cx="5342255" cy="2576830"/>
            <wp:effectExtent l="0" t="0" r="10795" b="139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5342255" cy="2576830"/>
                    </a:xfrm>
                    <a:prstGeom prst="rect">
                      <a:avLst/>
                    </a:prstGeom>
                    <a:noFill/>
                    <a:ln>
                      <a:noFill/>
                    </a:ln>
                  </pic:spPr>
                </pic:pic>
              </a:graphicData>
            </a:graphic>
          </wp:inline>
        </w:drawing>
      </w:r>
    </w:p>
    <w:p w14:paraId="0D65EE2A">
      <w:pPr>
        <w:spacing w:line="600" w:lineRule="exact"/>
        <w:ind w:firstLine="640" w:firstLineChars="200"/>
        <w:outlineLvl w:val="1"/>
        <w:rPr>
          <w:rStyle w:val="29"/>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2"/>
      <w:bookmarkEnd w:id="23"/>
    </w:p>
    <w:p w14:paraId="08AB091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35B9D6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sz w:val="32"/>
          <w:szCs w:val="32"/>
          <w:highlight w:val="none"/>
          <w:lang w:val="en-US" w:eastAsia="zh-CN"/>
        </w:rPr>
        <w:t>918.78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59.87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办公楼搬迁、专网搬迁和案件查办信息化支出。</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C209973">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504180" cy="1396365"/>
            <wp:effectExtent l="0" t="0" r="1270" b="1333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a:stretch>
                      <a:fillRect/>
                    </a:stretch>
                  </pic:blipFill>
                  <pic:spPr>
                    <a:xfrm>
                      <a:off x="0" y="0"/>
                      <a:ext cx="5504180" cy="1396365"/>
                    </a:xfrm>
                    <a:prstGeom prst="rect">
                      <a:avLst/>
                    </a:prstGeom>
                    <a:noFill/>
                    <a:ln>
                      <a:noFill/>
                    </a:ln>
                  </pic:spPr>
                </pic:pic>
              </a:graphicData>
            </a:graphic>
          </wp:inline>
        </w:drawing>
      </w:r>
    </w:p>
    <w:p w14:paraId="71BBDB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20DFA2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2064.99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84.17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教育支出8.71万元，占0.35%；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210.64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8.59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69.75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2.84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99.41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33B162D">
      <w:pPr>
        <w:rPr>
          <w:rFonts w:hint="eastAsia"/>
          <w:lang w:val="en-US" w:eastAsia="zh-CN"/>
        </w:rPr>
      </w:pPr>
      <w:r>
        <w:drawing>
          <wp:inline distT="0" distB="0" distL="114300" distR="114300">
            <wp:extent cx="5494020" cy="1825625"/>
            <wp:effectExtent l="0" t="0" r="11430" b="317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494020" cy="1825625"/>
                    </a:xfrm>
                    <a:prstGeom prst="rect">
                      <a:avLst/>
                    </a:prstGeom>
                    <a:noFill/>
                    <a:ln>
                      <a:noFill/>
                    </a:ln>
                  </pic:spPr>
                </pic:pic>
              </a:graphicData>
            </a:graphic>
          </wp:inline>
        </w:drawing>
      </w:r>
    </w:p>
    <w:p w14:paraId="0A6D11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39530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6EACB3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7" w:name="_Toc15378460"/>
      <w:bookmarkStart w:id="28" w:name="_Toc15377213"/>
      <w:bookmarkStart w:id="29"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2453.53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7"/>
      <w:bookmarkEnd w:id="28"/>
      <w:bookmarkEnd w:id="29"/>
    </w:p>
    <w:p w14:paraId="5B15609F">
      <w:pPr>
        <w:pageBreakBefore w:val="0"/>
        <w:numPr>
          <w:ilvl w:val="0"/>
          <w:numId w:val="1"/>
        </w:numPr>
        <w:kinsoku/>
        <w:wordWrap/>
        <w:overflowPunct/>
        <w:topLinePunct w:val="0"/>
        <w:bidi w:val="0"/>
        <w:spacing w:line="578" w:lineRule="exact"/>
        <w:ind w:firstLine="64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一般公共服务</w:t>
      </w:r>
      <w:r>
        <w:rPr>
          <w:rFonts w:hint="eastAsia" w:eastAsia="仿宋_GB2312" w:cs="仿宋_GB2312"/>
          <w:b/>
          <w:bCs/>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2064.99万元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其中：2011101行政运行996.86万元，2011102一般行政管理事务741.62万元，2011103机关服务41.76万元，2011106巡视工作25万元，2011199其他纪检监察事务支出259.76万元。</w:t>
      </w:r>
    </w:p>
    <w:p w14:paraId="04E80BCA">
      <w:pPr>
        <w:pageBreakBefore w:val="0"/>
        <w:kinsoku/>
        <w:wordWrap/>
        <w:overflowPunct/>
        <w:topLinePunct w:val="0"/>
        <w:bidi w:val="0"/>
        <w:spacing w:line="578" w:lineRule="exact"/>
        <w:ind w:firstLine="64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b/>
          <w:bCs/>
          <w:color w:val="auto"/>
          <w:kern w:val="2"/>
          <w:sz w:val="32"/>
          <w:szCs w:val="32"/>
          <w:highlight w:val="none"/>
          <w:lang w:val="en-US" w:eastAsia="zh-CN" w:bidi="ar-SA"/>
        </w:rPr>
        <w:t>教育支出：</w:t>
      </w:r>
      <w:r>
        <w:rPr>
          <w:rFonts w:hint="eastAsia" w:eastAsia="仿宋_GB2312" w:cs="仿宋_GB2312"/>
          <w:b w:val="0"/>
          <w:bCs w:val="0"/>
          <w:color w:val="auto"/>
          <w:kern w:val="2"/>
          <w:sz w:val="32"/>
          <w:szCs w:val="32"/>
          <w:highlight w:val="none"/>
          <w:lang w:val="en-US" w:eastAsia="zh-CN" w:bidi="ar-SA"/>
        </w:rPr>
        <w:t>支出决算为8.71</w:t>
      </w:r>
      <w:r>
        <w:rPr>
          <w:rFonts w:hint="eastAsia" w:eastAsia="仿宋_GB2312" w:cs="仿宋_GB2312"/>
          <w:color w:val="auto"/>
          <w:kern w:val="2"/>
          <w:sz w:val="32"/>
          <w:szCs w:val="32"/>
          <w:highlight w:val="none"/>
          <w:lang w:val="en-US" w:eastAsia="zh-CN" w:bidi="ar-SA"/>
        </w:rPr>
        <w:t>万元，完成预算100%，</w:t>
      </w:r>
      <w:r>
        <w:rPr>
          <w:rStyle w:val="17"/>
          <w:rFonts w:hint="eastAsia" w:ascii="仿宋" w:hAnsi="仿宋" w:eastAsia="仿宋"/>
          <w:b w:val="0"/>
          <w:bCs/>
          <w:color w:val="auto"/>
          <w:sz w:val="32"/>
          <w:szCs w:val="32"/>
          <w:highlight w:val="none"/>
          <w:lang w:val="en-US" w:eastAsia="zh-CN"/>
        </w:rPr>
        <w:t>其中：2080503培训支出8.71万元。</w:t>
      </w:r>
    </w:p>
    <w:p w14:paraId="5B9D15AC">
      <w:pPr>
        <w:spacing w:line="600" w:lineRule="exact"/>
        <w:ind w:firstLine="643" w:firstLineChars="200"/>
        <w:rPr>
          <w:rFonts w:ascii="仿宋" w:hAnsi="仿宋" w:eastAsia="仿宋"/>
          <w:b w:val="0"/>
          <w:bCs w:val="0"/>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社会保障</w:t>
      </w:r>
      <w:r>
        <w:rPr>
          <w:rStyle w:val="17"/>
          <w:rFonts w:hint="eastAsia" w:ascii="仿宋" w:hAnsi="仿宋" w:eastAsia="仿宋"/>
          <w:b/>
          <w:bCs/>
          <w:color w:val="auto"/>
          <w:sz w:val="32"/>
          <w:szCs w:val="32"/>
          <w:highlight w:val="none"/>
        </w:rPr>
        <w:t>和就业</w:t>
      </w:r>
      <w:r>
        <w:rPr>
          <w:rStyle w:val="17"/>
          <w:rFonts w:hint="eastAsia" w:ascii="仿宋" w:hAnsi="仿宋" w:eastAsia="仿宋"/>
          <w:b/>
          <w:bCs/>
          <w:color w:val="auto"/>
          <w:sz w:val="32"/>
          <w:szCs w:val="32"/>
          <w:highlight w:val="none"/>
          <w:lang w:eastAsia="zh-CN"/>
        </w:rPr>
        <w:t>支出：</w:t>
      </w:r>
      <w:r>
        <w:rPr>
          <w:rStyle w:val="17"/>
          <w:rFonts w:hint="eastAsia" w:ascii="仿宋" w:hAnsi="仿宋" w:eastAsia="仿宋"/>
          <w:b w:val="0"/>
          <w:bCs w:val="0"/>
          <w:color w:val="auto"/>
          <w:sz w:val="32"/>
          <w:szCs w:val="32"/>
          <w:highlight w:val="none"/>
          <w:lang w:eastAsia="zh-CN"/>
        </w:rPr>
        <w:t>支出决算为</w:t>
      </w:r>
      <w:r>
        <w:rPr>
          <w:rStyle w:val="17"/>
          <w:rFonts w:hint="eastAsia" w:ascii="仿宋" w:hAnsi="仿宋" w:eastAsia="仿宋"/>
          <w:b w:val="0"/>
          <w:bCs w:val="0"/>
          <w:color w:val="auto"/>
          <w:sz w:val="32"/>
          <w:szCs w:val="32"/>
          <w:highlight w:val="none"/>
          <w:lang w:val="en-US" w:eastAsia="zh-CN"/>
        </w:rPr>
        <w:t>210.67万元，完成预算100%，其中：2080505机关事业单位养老保险缴费支出134.9</w:t>
      </w:r>
      <w:r>
        <w:rPr>
          <w:rStyle w:val="17"/>
          <w:rFonts w:hint="eastAsia" w:ascii="仿宋" w:hAnsi="仿宋" w:eastAsia="仿宋"/>
          <w:b w:val="0"/>
          <w:bCs w:val="0"/>
          <w:color w:val="auto"/>
          <w:sz w:val="32"/>
          <w:szCs w:val="32"/>
          <w:highlight w:val="none"/>
        </w:rPr>
        <w:t>万元，</w:t>
      </w:r>
      <w:r>
        <w:rPr>
          <w:rStyle w:val="17"/>
          <w:rFonts w:hint="eastAsia" w:ascii="仿宋" w:hAnsi="仿宋" w:eastAsia="仿宋"/>
          <w:b w:val="0"/>
          <w:bCs w:val="0"/>
          <w:color w:val="auto"/>
          <w:sz w:val="32"/>
          <w:szCs w:val="32"/>
          <w:highlight w:val="none"/>
          <w:lang w:val="en-US" w:eastAsia="zh-CN"/>
        </w:rPr>
        <w:t>2080506机关事业单位职业年金缴费支出75.77</w:t>
      </w:r>
      <w:r>
        <w:rPr>
          <w:rStyle w:val="17"/>
          <w:rFonts w:hint="eastAsia" w:ascii="仿宋" w:hAnsi="仿宋" w:eastAsia="仿宋"/>
          <w:b w:val="0"/>
          <w:bCs w:val="0"/>
          <w:color w:val="auto"/>
          <w:sz w:val="32"/>
          <w:szCs w:val="32"/>
          <w:highlight w:val="none"/>
        </w:rPr>
        <w:t>万元。</w:t>
      </w:r>
    </w:p>
    <w:p w14:paraId="1CDF4EA0">
      <w:pPr>
        <w:spacing w:line="600" w:lineRule="exact"/>
        <w:ind w:firstLine="643" w:firstLineChars="200"/>
        <w:rPr>
          <w:rStyle w:val="17"/>
          <w:rFonts w:hint="eastAsia" w:ascii="仿宋" w:hAnsi="仿宋" w:eastAsia="仿宋"/>
          <w:b w:val="0"/>
          <w:bCs/>
          <w:color w:val="auto"/>
          <w:sz w:val="32"/>
          <w:szCs w:val="32"/>
          <w:highlight w:val="none"/>
        </w:rPr>
      </w:pPr>
      <w:r>
        <w:rPr>
          <w:rStyle w:val="17"/>
          <w:rFonts w:hint="eastAsia" w:ascii="仿宋" w:hAnsi="仿宋" w:eastAsia="仿宋"/>
          <w:bCs/>
          <w:color w:val="auto"/>
          <w:sz w:val="32"/>
          <w:szCs w:val="32"/>
          <w:highlight w:val="none"/>
          <w:lang w:val="en-US" w:eastAsia="zh-CN"/>
        </w:rPr>
        <w:t>4</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Fonts w:hint="eastAsia" w:ascii="仿宋" w:hAnsi="仿宋" w:eastAsia="仿宋"/>
          <w:b/>
          <w:bCs/>
          <w:color w:val="auto"/>
          <w:sz w:val="32"/>
          <w:szCs w:val="32"/>
          <w:highlight w:val="none"/>
          <w:lang w:eastAsia="zh-CN"/>
        </w:rPr>
        <w:t>支出：</w:t>
      </w:r>
      <w:r>
        <w:rPr>
          <w:rStyle w:val="17"/>
          <w:rFonts w:hint="eastAsia" w:ascii="仿宋" w:hAnsi="仿宋" w:eastAsia="仿宋"/>
          <w:b w:val="0"/>
          <w:bCs w:val="0"/>
          <w:color w:val="auto"/>
          <w:sz w:val="32"/>
          <w:szCs w:val="32"/>
          <w:highlight w:val="none"/>
          <w:lang w:eastAsia="zh-CN"/>
        </w:rPr>
        <w:t>支出决算为</w:t>
      </w:r>
      <w:r>
        <w:rPr>
          <w:rFonts w:hint="eastAsia" w:ascii="仿宋" w:hAnsi="仿宋" w:eastAsia="仿宋"/>
          <w:b w:val="0"/>
          <w:bCs w:val="0"/>
          <w:color w:val="auto"/>
          <w:sz w:val="32"/>
          <w:szCs w:val="32"/>
          <w:highlight w:val="none"/>
          <w:lang w:val="en-US" w:eastAsia="zh-CN"/>
        </w:rPr>
        <w:t>69.75万元，完成预算100%，其中</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2101101行政单位医疗57.57</w:t>
      </w:r>
      <w:r>
        <w:rPr>
          <w:rStyle w:val="17"/>
          <w:rFonts w:hint="eastAsia" w:ascii="仿宋" w:hAnsi="仿宋" w:eastAsia="仿宋"/>
          <w:b w:val="0"/>
          <w:bCs w:val="0"/>
          <w:color w:val="auto"/>
          <w:sz w:val="32"/>
          <w:szCs w:val="32"/>
          <w:highlight w:val="none"/>
        </w:rPr>
        <w:t>万元，</w:t>
      </w:r>
      <w:r>
        <w:rPr>
          <w:rStyle w:val="17"/>
          <w:rFonts w:hint="eastAsia" w:ascii="仿宋" w:hAnsi="仿宋" w:eastAsia="仿宋"/>
          <w:b w:val="0"/>
          <w:bCs w:val="0"/>
          <w:color w:val="auto"/>
          <w:sz w:val="32"/>
          <w:szCs w:val="32"/>
          <w:highlight w:val="none"/>
          <w:lang w:val="en-US" w:eastAsia="zh-CN"/>
        </w:rPr>
        <w:t>2101102事业单位医疗2.5万元，2101103公务员医疗补助9.14</w:t>
      </w:r>
      <w:r>
        <w:rPr>
          <w:rStyle w:val="17"/>
          <w:rFonts w:hint="eastAsia" w:ascii="仿宋" w:hAnsi="仿宋" w:eastAsia="仿宋"/>
          <w:b w:val="0"/>
          <w:bCs w:val="0"/>
          <w:color w:val="auto"/>
          <w:sz w:val="32"/>
          <w:szCs w:val="32"/>
          <w:highlight w:val="none"/>
        </w:rPr>
        <w:t>万</w:t>
      </w:r>
      <w:r>
        <w:rPr>
          <w:rStyle w:val="17"/>
          <w:rFonts w:hint="eastAsia" w:ascii="仿宋" w:hAnsi="仿宋" w:eastAsia="仿宋"/>
          <w:b w:val="0"/>
          <w:bCs w:val="0"/>
          <w:color w:val="auto"/>
          <w:sz w:val="32"/>
          <w:szCs w:val="32"/>
          <w:highlight w:val="none"/>
          <w:lang w:eastAsia="zh-CN"/>
        </w:rPr>
        <w:t>元，</w:t>
      </w:r>
      <w:r>
        <w:rPr>
          <w:rStyle w:val="17"/>
          <w:rFonts w:hint="eastAsia" w:ascii="仿宋" w:hAnsi="仿宋" w:eastAsia="仿宋"/>
          <w:b w:val="0"/>
          <w:bCs w:val="0"/>
          <w:color w:val="auto"/>
          <w:sz w:val="32"/>
          <w:szCs w:val="32"/>
          <w:highlight w:val="none"/>
          <w:lang w:val="en-US" w:eastAsia="zh-CN"/>
        </w:rPr>
        <w:t>2101199其他行政事业单位医疗支出0.54万元</w:t>
      </w:r>
      <w:r>
        <w:rPr>
          <w:rStyle w:val="17"/>
          <w:rFonts w:hint="eastAsia" w:ascii="仿宋" w:hAnsi="仿宋" w:eastAsia="仿宋"/>
          <w:b w:val="0"/>
          <w:bCs w:val="0"/>
          <w:color w:val="auto"/>
          <w:sz w:val="32"/>
          <w:szCs w:val="32"/>
          <w:highlight w:val="none"/>
        </w:rPr>
        <w:t>。</w:t>
      </w:r>
    </w:p>
    <w:p w14:paraId="1654E38F">
      <w:pPr>
        <w:pageBreakBefore w:val="0"/>
        <w:tabs>
          <w:tab w:val="right" w:pos="8306"/>
        </w:tabs>
        <w:kinsoku/>
        <w:wordWrap/>
        <w:overflowPunct/>
        <w:topLinePunct w:val="0"/>
        <w:bidi w:val="0"/>
        <w:spacing w:line="578" w:lineRule="exact"/>
        <w:ind w:firstLine="640"/>
        <w:textAlignment w:val="auto"/>
        <w:outlineLvl w:val="1"/>
        <w:rPr>
          <w:rStyle w:val="17"/>
          <w:rFonts w:hint="eastAsia" w:ascii="仿宋" w:hAnsi="仿宋" w:eastAsia="仿宋"/>
          <w:b w:val="0"/>
          <w:bCs/>
          <w:color w:val="auto"/>
          <w:sz w:val="32"/>
          <w:szCs w:val="32"/>
          <w:highlight w:val="none"/>
          <w:lang w:val="en-US" w:eastAsia="zh-CN"/>
        </w:rPr>
      </w:pPr>
      <w:r>
        <w:rPr>
          <w:rFonts w:hint="eastAsia" w:ascii="仿宋" w:hAnsi="仿宋" w:eastAsia="仿宋"/>
          <w:b/>
          <w:bCs/>
          <w:color w:val="auto"/>
          <w:sz w:val="32"/>
          <w:szCs w:val="32"/>
          <w:highlight w:val="none"/>
          <w:lang w:val="en-US" w:eastAsia="zh-CN"/>
        </w:rPr>
        <w:t>5.住房保障支出：</w:t>
      </w:r>
      <w:r>
        <w:rPr>
          <w:rStyle w:val="17"/>
          <w:rFonts w:hint="eastAsia" w:ascii="仿宋" w:hAnsi="仿宋" w:eastAsia="仿宋"/>
          <w:b w:val="0"/>
          <w:bCs w:val="0"/>
          <w:color w:val="auto"/>
          <w:sz w:val="32"/>
          <w:szCs w:val="32"/>
          <w:highlight w:val="none"/>
          <w:lang w:eastAsia="zh-CN"/>
        </w:rPr>
        <w:t>支出决算为</w:t>
      </w:r>
      <w:r>
        <w:rPr>
          <w:rStyle w:val="17"/>
          <w:rFonts w:hint="eastAsia" w:ascii="仿宋" w:hAnsi="仿宋" w:eastAsia="仿宋"/>
          <w:b w:val="0"/>
          <w:bCs/>
          <w:color w:val="auto"/>
          <w:sz w:val="32"/>
          <w:szCs w:val="32"/>
          <w:highlight w:val="none"/>
          <w:lang w:val="en-US" w:eastAsia="zh-CN"/>
        </w:rPr>
        <w:t>99.41万元，完成预算100%，其中：2210201住房公积金99.41万元。</w:t>
      </w:r>
    </w:p>
    <w:p w14:paraId="4DC3A3FC">
      <w:pPr>
        <w:tabs>
          <w:tab w:val="right" w:pos="8306"/>
        </w:tabs>
        <w:spacing w:line="600" w:lineRule="exact"/>
        <w:ind w:firstLine="640"/>
        <w:outlineLvl w:val="1"/>
        <w:rPr>
          <w:rStyle w:val="29"/>
          <w:rFonts w:ascii="Times New Roman" w:hAnsi="Times New Roman"/>
          <w:color w:val="auto"/>
          <w:highlight w:val="none"/>
        </w:rPr>
      </w:pPr>
      <w:bookmarkStart w:id="30" w:name="_Toc15396608"/>
      <w:bookmarkStart w:id="3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0"/>
      <w:bookmarkEnd w:id="31"/>
      <w:r>
        <w:rPr>
          <w:rStyle w:val="29"/>
          <w:rFonts w:ascii="Times New Roman" w:hAnsi="Times New Roman" w:eastAsia="黑体"/>
          <w:b w:val="0"/>
          <w:color w:val="auto"/>
          <w:highlight w:val="none"/>
        </w:rPr>
        <w:tab/>
      </w:r>
    </w:p>
    <w:p w14:paraId="505926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1418.45</w:t>
      </w:r>
      <w:r>
        <w:rPr>
          <w:rFonts w:hint="eastAsia" w:ascii="Times New Roman" w:hAnsi="Times New Roman" w:eastAsia="仿宋_GB2312" w:cs="仿宋_GB2312"/>
          <w:color w:val="auto"/>
          <w:kern w:val="2"/>
          <w:sz w:val="32"/>
          <w:szCs w:val="32"/>
          <w:highlight w:val="none"/>
          <w:lang w:val="en-US" w:eastAsia="zh-CN" w:bidi="ar-SA"/>
        </w:rPr>
        <w:t>万元，其中：</w:t>
      </w:r>
    </w:p>
    <w:p w14:paraId="6B8707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1288.52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129.93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B5C0783">
      <w:pPr>
        <w:pageBreakBefore w:val="0"/>
        <w:kinsoku/>
        <w:wordWrap/>
        <w:overflowPunct/>
        <w:topLinePunct w:val="0"/>
        <w:bidi w:val="0"/>
        <w:spacing w:line="578" w:lineRule="exact"/>
        <w:ind w:firstLine="640"/>
        <w:textAlignment w:val="auto"/>
        <w:outlineLvl w:val="1"/>
        <w:rPr>
          <w:rFonts w:hint="eastAsia"/>
          <w:lang w:val="en-US" w:eastAsia="zh-CN"/>
        </w:rPr>
      </w:pPr>
      <w:bookmarkStart w:id="32" w:name="_Toc15377215"/>
      <w:bookmarkStart w:id="33"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2"/>
      <w:bookmarkEnd w:id="33"/>
    </w:p>
    <w:p w14:paraId="26E99363">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4"/>
    </w:p>
    <w:p w14:paraId="5A77A089">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51.49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77.98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60.23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2024年度有购置公务用车两台。</w:t>
      </w:r>
    </w:p>
    <w:p w14:paraId="3166801F">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5"/>
    </w:p>
    <w:p w14:paraId="19A409FA">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ascii="仿宋_GB2312" w:hAnsi="仿宋_GB2312" w:eastAsia="仿宋_GB2312" w:cs="仿宋_GB2312"/>
          <w:sz w:val="32"/>
          <w:szCs w:val="32"/>
        </w:rPr>
        <w:t>51.49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%。具体情况如下：（图7：财政拨款“三公”经费支出结构）（饼状图）</w:t>
      </w:r>
    </w:p>
    <w:p w14:paraId="7A4967CF">
      <w:pPr>
        <w:pStyle w:val="2"/>
        <w:rPr>
          <w:rFonts w:hint="eastAsia" w:ascii="Times New Roman" w:hAnsi="Times New Roman" w:eastAsia="仿宋_GB2312" w:cs="仿宋_GB2312"/>
          <w:color w:val="auto"/>
          <w:kern w:val="2"/>
          <w:sz w:val="32"/>
          <w:szCs w:val="32"/>
          <w:highlight w:val="none"/>
          <w:lang w:val="en-US" w:eastAsia="zh-CN" w:bidi="ar-SA"/>
        </w:rPr>
      </w:pPr>
    </w:p>
    <w:p w14:paraId="560F5B01">
      <w:pPr>
        <w:pStyle w:val="3"/>
        <w:rPr>
          <w:rFonts w:hint="eastAsia" w:ascii="Times New Roman" w:hAnsi="Times New Roman" w:eastAsia="仿宋_GB2312" w:cs="仿宋_GB2312"/>
          <w:color w:val="auto"/>
          <w:kern w:val="2"/>
          <w:sz w:val="32"/>
          <w:szCs w:val="32"/>
          <w:highlight w:val="none"/>
          <w:lang w:val="en-US" w:eastAsia="zh-CN" w:bidi="ar-SA"/>
        </w:rPr>
      </w:pPr>
    </w:p>
    <w:p w14:paraId="095B8B5F">
      <w:pPr>
        <w:rPr>
          <w:rFonts w:hint="eastAsia" w:ascii="Times New Roman" w:hAnsi="Times New Roman" w:eastAsia="仿宋_GB2312" w:cs="仿宋_GB2312"/>
          <w:color w:val="auto"/>
          <w:kern w:val="2"/>
          <w:sz w:val="32"/>
          <w:szCs w:val="32"/>
          <w:highlight w:val="none"/>
          <w:lang w:val="en-US" w:eastAsia="zh-CN" w:bidi="ar-SA"/>
        </w:rPr>
      </w:pPr>
    </w:p>
    <w:p w14:paraId="60F70ED2">
      <w:pPr>
        <w:pStyle w:val="2"/>
        <w:rPr>
          <w:rFonts w:hint="eastAsia" w:ascii="Times New Roman" w:hAnsi="Times New Roman" w:eastAsia="仿宋_GB2312" w:cs="仿宋_GB2312"/>
          <w:color w:val="auto"/>
          <w:kern w:val="2"/>
          <w:sz w:val="32"/>
          <w:szCs w:val="32"/>
          <w:highlight w:val="none"/>
          <w:lang w:val="en-US" w:eastAsia="zh-CN" w:bidi="ar-SA"/>
        </w:rPr>
      </w:pPr>
    </w:p>
    <w:p w14:paraId="26B3060D">
      <w:pPr>
        <w:pStyle w:val="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90415" cy="2234565"/>
            <wp:effectExtent l="0" t="0" r="635" b="1333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3"/>
                    <a:stretch>
                      <a:fillRect/>
                    </a:stretch>
                  </pic:blipFill>
                  <pic:spPr>
                    <a:xfrm>
                      <a:off x="0" y="0"/>
                      <a:ext cx="4590415" cy="2234565"/>
                    </a:xfrm>
                    <a:prstGeom prst="rect">
                      <a:avLst/>
                    </a:prstGeom>
                    <a:noFill/>
                    <a:ln>
                      <a:noFill/>
                    </a:ln>
                  </pic:spPr>
                </pic:pic>
              </a:graphicData>
            </a:graphic>
          </wp:inline>
        </w:drawing>
      </w:r>
    </w:p>
    <w:p w14:paraId="1899D7DC">
      <w:pPr>
        <w:rPr>
          <w:rFonts w:hint="eastAsia"/>
          <w:lang w:val="en-US" w:eastAsia="zh-CN"/>
        </w:rPr>
      </w:pPr>
    </w:p>
    <w:p w14:paraId="2A7BD99A">
      <w:pPr>
        <w:pageBreakBefore w:val="0"/>
        <w:kinsoku/>
        <w:wordWrap/>
        <w:overflowPunct/>
        <w:topLinePunct w:val="0"/>
        <w:bidi w:val="0"/>
        <w:spacing w:line="578" w:lineRule="exact"/>
        <w:ind w:firstLine="640"/>
        <w:textAlignment w:val="auto"/>
        <w:outlineLvl w:val="1"/>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51.49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77.98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60.23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2024年度有购置公务用车两台。</w:t>
      </w:r>
      <w:bookmarkStart w:id="36" w:name="_Toc15377218"/>
      <w:bookmarkStart w:id="37" w:name="_Toc15396610"/>
    </w:p>
    <w:p w14:paraId="750B6C10">
      <w:pPr>
        <w:pageBreakBefore w:val="0"/>
        <w:kinsoku/>
        <w:wordWrap/>
        <w:overflowPunct/>
        <w:topLinePunct w:val="0"/>
        <w:bidi w:val="0"/>
        <w:spacing w:line="578" w:lineRule="exact"/>
        <w:ind w:firstLine="640"/>
        <w:textAlignment w:val="auto"/>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6"/>
      <w:bookmarkEnd w:id="37"/>
    </w:p>
    <w:p w14:paraId="2D942227">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6F0EFB82">
      <w:pPr>
        <w:pageBreakBefore w:val="0"/>
        <w:numPr>
          <w:ilvl w:val="0"/>
          <w:numId w:val="0"/>
        </w:numPr>
        <w:kinsoku/>
        <w:wordWrap/>
        <w:overflowPunct/>
        <w:topLinePunct w:val="0"/>
        <w:bidi w:val="0"/>
        <w:spacing w:line="578" w:lineRule="exact"/>
        <w:ind w:left="630" w:leftChars="0"/>
        <w:textAlignment w:val="auto"/>
        <w:outlineLvl w:val="1"/>
        <w:rPr>
          <w:rStyle w:val="29"/>
          <w:rFonts w:ascii="Times New Roman" w:hAnsi="Times New Roman" w:eastAsia="黑体"/>
          <w:b w:val="0"/>
          <w:color w:val="auto"/>
          <w:highlight w:val="none"/>
        </w:rPr>
      </w:pPr>
      <w:bookmarkStart w:id="38" w:name="_Toc15396611"/>
      <w:bookmarkStart w:id="39"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8"/>
      <w:bookmarkEnd w:id="39"/>
    </w:p>
    <w:p w14:paraId="34B41F2B">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44071504">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0" w:name="_Toc15377221"/>
      <w:bookmarkStart w:id="41"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0"/>
      <w:bookmarkEnd w:id="41"/>
    </w:p>
    <w:p w14:paraId="18AF797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14:paraId="20922142">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中共松潘县纪律检查委员会（本级）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127.53</w:t>
      </w:r>
      <w:r>
        <w:rPr>
          <w:rFonts w:hint="eastAsia" w:ascii="Times New Roman" w:hAnsi="Times New Roman" w:eastAsia="仿宋_GB2312" w:cs="仿宋_GB2312"/>
          <w:color w:val="auto"/>
          <w:kern w:val="2"/>
          <w:sz w:val="32"/>
          <w:szCs w:val="32"/>
          <w:highlight w:val="none"/>
          <w:lang w:val="en-US" w:eastAsia="zh-CN" w:bidi="ar-SA"/>
        </w:rPr>
        <w:t>万元，比上年度增加6.21万元，增长5.12%。主要原因是人员增加。</w:t>
      </w:r>
    </w:p>
    <w:p w14:paraId="440749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14:paraId="6991ED71">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44" w:name="_Toc1537722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中共松潘县纪律检查委员会（本级）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3.6</w:t>
      </w:r>
      <w:r>
        <w:rPr>
          <w:rFonts w:hint="eastAsia" w:ascii="Times New Roman" w:hAnsi="Times New Roman" w:eastAsia="仿宋_GB2312" w:cs="仿宋_GB2312"/>
          <w:color w:val="auto"/>
          <w:kern w:val="2"/>
          <w:sz w:val="32"/>
          <w:szCs w:val="32"/>
          <w:highlight w:val="none"/>
          <w:lang w:val="en-US" w:eastAsia="zh-CN" w:bidi="ar-SA"/>
        </w:rPr>
        <w:t>万元，其中：政府采购服务支出</w:t>
      </w:r>
      <w:r>
        <w:rPr>
          <w:rFonts w:hint="eastAsia" w:ascii="仿宋_GB2312" w:hAnsi="仿宋_GB2312" w:eastAsia="仿宋_GB2312" w:cs="仿宋_GB2312"/>
          <w:sz w:val="32"/>
          <w:szCs w:val="32"/>
        </w:rPr>
        <w:t>3.6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购置车辆保险。</w:t>
      </w:r>
    </w:p>
    <w:bookmarkEnd w:id="44"/>
    <w:p w14:paraId="400F27F5">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中共松潘县纪律检查委员会（本级）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辆，其中：执法执勤用车</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主要</w:t>
      </w:r>
      <w:r>
        <w:rPr>
          <w:rFonts w:hint="eastAsia" w:ascii="Times New Roman" w:hAnsi="Times New Roman" w:eastAsia="仿宋_GB2312" w:cs="仿宋_GB2312"/>
          <w:color w:val="auto"/>
          <w:kern w:val="2"/>
          <w:sz w:val="32"/>
          <w:szCs w:val="32"/>
          <w:highlight w:val="none"/>
          <w:lang w:val="en-US" w:eastAsia="zh-CN" w:bidi="ar-SA"/>
        </w:rPr>
        <w:t>用于</w:t>
      </w:r>
      <w:r>
        <w:rPr>
          <w:rFonts w:hint="eastAsia" w:eastAsia="仿宋_GB2312" w:cs="仿宋_GB2312"/>
          <w:color w:val="auto"/>
          <w:kern w:val="2"/>
          <w:sz w:val="32"/>
          <w:szCs w:val="32"/>
          <w:highlight w:val="none"/>
          <w:lang w:val="en-US" w:eastAsia="zh-CN" w:bidi="ar-SA"/>
        </w:rPr>
        <w:t>单位一般公务出行</w:t>
      </w:r>
      <w:r>
        <w:rPr>
          <w:rFonts w:hint="eastAsia" w:ascii="Times New Roman" w:hAnsi="Times New Roman" w:eastAsia="仿宋_GB2312" w:cs="仿宋_GB2312"/>
          <w:color w:val="auto"/>
          <w:kern w:val="2"/>
          <w:sz w:val="32"/>
          <w:szCs w:val="32"/>
          <w:highlight w:val="none"/>
          <w:lang w:val="en-US" w:eastAsia="zh-CN" w:bidi="ar-SA"/>
        </w:rPr>
        <w:t>。</w:t>
      </w:r>
    </w:p>
    <w:p w14:paraId="764BA854">
      <w:pPr>
        <w:pageBreakBefore w:val="0"/>
        <w:kinsoku/>
        <w:wordWrap/>
        <w:overflowPunct/>
        <w:topLinePunct w:val="0"/>
        <w:bidi w:val="0"/>
        <w:spacing w:line="578"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01D623E">
      <w:pPr>
        <w:pageBreakBefore w:val="0"/>
        <w:kinsoku/>
        <w:wordWrap/>
        <w:overflowPunct/>
        <w:topLinePunct w:val="0"/>
        <w:bidi w:val="0"/>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 w:eastAsia="仿宋_GB2312"/>
          <w:sz w:val="32"/>
          <w:szCs w:val="32"/>
          <w:lang w:val="en-US" w:eastAsia="zh-CN"/>
        </w:rPr>
        <w:t>我委按照预算绩效管理情况要求，完成了相关预算绩效管理。</w:t>
      </w:r>
    </w:p>
    <w:p w14:paraId="738C1C4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5" w:name="_Toc15396613"/>
      <w:bookmarkStart w:id="46"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14:paraId="0CB0CCBB">
      <w:pPr>
        <w:spacing w:line="600" w:lineRule="exact"/>
        <w:jc w:val="left"/>
        <w:rPr>
          <w:rFonts w:ascii="Times New Roman" w:hAnsi="Times New Roman"/>
          <w:b/>
          <w:color w:val="auto"/>
          <w:sz w:val="44"/>
          <w:szCs w:val="44"/>
          <w:highlight w:val="none"/>
        </w:rPr>
      </w:pPr>
    </w:p>
    <w:p w14:paraId="2A55A0A2">
      <w:pPr>
        <w:pStyle w:val="26"/>
        <w:spacing w:line="578" w:lineRule="exact"/>
        <w:ind w:firstLine="640" w:firstLineChars="200"/>
        <w:rPr>
          <w:rFonts w:ascii="仿宋_GB2312" w:eastAsia="仿宋_GB2312"/>
          <w:sz w:val="32"/>
          <w:szCs w:val="32"/>
        </w:rPr>
      </w:pPr>
      <w:bookmarkStart w:id="47" w:name="_Toc15396614"/>
      <w:bookmarkStart w:id="48"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5CC4E1A4">
      <w:pPr>
        <w:pageBreakBefore w:val="0"/>
        <w:kinsoku/>
        <w:wordWrap/>
        <w:overflowPunct/>
        <w:topLinePunct w:val="0"/>
        <w:bidi w:val="0"/>
        <w:spacing w:line="578"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w:t>
      </w:r>
      <w:r>
        <w:rPr>
          <w:rFonts w:hint="eastAsia" w:ascii="仿宋_GB2312" w:eastAsia="仿宋_GB2312"/>
          <w:color w:val="000000"/>
          <w:sz w:val="32"/>
          <w:szCs w:val="32"/>
        </w:rPr>
        <w:t>一般公共服务：</w:t>
      </w:r>
      <w:r>
        <w:rPr>
          <w:rFonts w:hint="eastAsia" w:ascii="仿宋_GB2312" w:eastAsia="仿宋_GB2312"/>
          <w:color w:val="000000"/>
          <w:sz w:val="32"/>
          <w:szCs w:val="32"/>
          <w:lang w:eastAsia="zh-CN"/>
        </w:rPr>
        <w:t>其中</w:t>
      </w:r>
      <w:r>
        <w:rPr>
          <w:rFonts w:hint="eastAsia" w:ascii="仿宋_GB2312" w:eastAsia="仿宋_GB2312"/>
          <w:color w:val="000000"/>
          <w:sz w:val="32"/>
          <w:szCs w:val="32"/>
          <w:lang w:val="en-US" w:eastAsia="zh-CN"/>
        </w:rPr>
        <w:t>2011101</w:t>
      </w:r>
      <w:r>
        <w:rPr>
          <w:rFonts w:hint="eastAsia" w:ascii="仿宋_GB2312" w:hAnsi="宋体" w:eastAsia="仿宋_GB2312"/>
          <w:sz w:val="32"/>
          <w:szCs w:val="32"/>
        </w:rPr>
        <w:t>指行政运行</w:t>
      </w:r>
      <w:r>
        <w:rPr>
          <w:rFonts w:hint="eastAsia" w:ascii="仿宋_GB2312" w:hAnsi="宋体" w:eastAsia="仿宋_GB2312"/>
          <w:sz w:val="32"/>
          <w:szCs w:val="32"/>
          <w:lang w:eastAsia="zh-CN"/>
        </w:rPr>
        <w:t>，</w:t>
      </w:r>
      <w:r>
        <w:rPr>
          <w:rFonts w:hint="eastAsia" w:ascii="仿宋_GB2312" w:eastAsia="仿宋_GB2312"/>
          <w:color w:val="000000"/>
          <w:sz w:val="32"/>
          <w:szCs w:val="32"/>
          <w:lang w:val="en-US" w:eastAsia="zh-CN"/>
        </w:rPr>
        <w:t>2011102</w:t>
      </w:r>
      <w:r>
        <w:rPr>
          <w:rFonts w:hint="eastAsia" w:ascii="仿宋_GB2312" w:eastAsia="仿宋_GB2312"/>
          <w:color w:val="000000"/>
          <w:sz w:val="32"/>
          <w:szCs w:val="32"/>
          <w:lang w:eastAsia="zh-CN"/>
        </w:rPr>
        <w:t>指一般行政管理事务，</w:t>
      </w:r>
      <w:r>
        <w:rPr>
          <w:rFonts w:hint="eastAsia" w:ascii="仿宋_GB2312" w:eastAsia="仿宋_GB2312"/>
          <w:color w:val="000000"/>
          <w:sz w:val="32"/>
          <w:szCs w:val="32"/>
          <w:lang w:val="en-US" w:eastAsia="zh-CN"/>
        </w:rPr>
        <w:t>2011103指机关服务，2011106</w:t>
      </w:r>
      <w:r>
        <w:rPr>
          <w:rFonts w:hint="eastAsia" w:ascii="仿宋_GB2312" w:eastAsia="仿宋_GB2312"/>
          <w:color w:val="000000"/>
          <w:sz w:val="32"/>
          <w:szCs w:val="32"/>
          <w:lang w:eastAsia="zh-CN"/>
        </w:rPr>
        <w:t>指巡视工作，</w:t>
      </w:r>
      <w:r>
        <w:rPr>
          <w:rFonts w:hint="eastAsia" w:ascii="仿宋_GB2312" w:eastAsia="仿宋_GB2312"/>
          <w:color w:val="000000"/>
          <w:sz w:val="32"/>
          <w:szCs w:val="32"/>
          <w:lang w:val="en-US" w:eastAsia="zh-CN"/>
        </w:rPr>
        <w:t>2011199其他纪检监察事务支出</w:t>
      </w:r>
      <w:r>
        <w:rPr>
          <w:rFonts w:hint="eastAsia" w:ascii="仿宋_GB2312" w:eastAsia="仿宋_GB2312"/>
          <w:color w:val="000000"/>
          <w:sz w:val="32"/>
          <w:szCs w:val="32"/>
        </w:rPr>
        <w:t>。</w:t>
      </w:r>
    </w:p>
    <w:p w14:paraId="790D9B49">
      <w:pPr>
        <w:pageBreakBefore w:val="0"/>
        <w:kinsoku/>
        <w:wordWrap/>
        <w:overflowPunct/>
        <w:topLinePunct w:val="0"/>
        <w:bidi w:val="0"/>
        <w:spacing w:line="578"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3.教育支出：2050803培训支出。</w:t>
      </w:r>
    </w:p>
    <w:p w14:paraId="18F54947">
      <w:pPr>
        <w:pageBreakBefore w:val="0"/>
        <w:kinsoku/>
        <w:wordWrap/>
        <w:overflowPunct/>
        <w:topLinePunct w:val="0"/>
        <w:bidi w:val="0"/>
        <w:spacing w:line="578" w:lineRule="exact"/>
        <w:ind w:firstLine="640" w:firstLineChars="200"/>
        <w:rPr>
          <w:rFonts w:hint="eastAsia" w:ascii="仿宋_GB2312" w:hAnsi="宋体" w:eastAsia="仿宋_GB2312"/>
          <w:sz w:val="32"/>
          <w:szCs w:val="32"/>
        </w:rPr>
      </w:pP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w:t>
      </w:r>
      <w:r>
        <w:rPr>
          <w:rFonts w:hint="eastAsia" w:ascii="仿宋_GB2312" w:hAnsi="宋体" w:eastAsia="仿宋_GB2312"/>
          <w:sz w:val="32"/>
          <w:szCs w:val="32"/>
        </w:rPr>
        <w:t>社会保障和就业</w:t>
      </w:r>
      <w:r>
        <w:rPr>
          <w:rFonts w:hint="eastAsia" w:ascii="仿宋_GB2312" w:hAnsi="宋体" w:eastAsia="仿宋_GB2312"/>
          <w:sz w:val="32"/>
          <w:szCs w:val="32"/>
          <w:lang w:val="en-US" w:eastAsia="zh-CN"/>
        </w:rPr>
        <w:t>：其中2080505</w:t>
      </w:r>
      <w:r>
        <w:rPr>
          <w:rFonts w:hint="eastAsia" w:ascii="仿宋_GB2312" w:hAnsi="宋体" w:eastAsia="仿宋_GB2312"/>
          <w:sz w:val="32"/>
          <w:szCs w:val="32"/>
        </w:rPr>
        <w:t>指机关事业单位基本养老保险</w:t>
      </w:r>
      <w:r>
        <w:rPr>
          <w:rFonts w:hint="eastAsia" w:ascii="仿宋_GB2312" w:hAnsi="宋体" w:eastAsia="仿宋_GB2312"/>
          <w:sz w:val="32"/>
          <w:szCs w:val="32"/>
          <w:lang w:eastAsia="zh-CN"/>
        </w:rPr>
        <w:t>缴费支出，</w:t>
      </w:r>
      <w:r>
        <w:rPr>
          <w:rFonts w:hint="eastAsia" w:ascii="仿宋_GB2312" w:hAnsi="宋体" w:eastAsia="仿宋_GB2312"/>
          <w:sz w:val="32"/>
          <w:szCs w:val="32"/>
          <w:lang w:val="en-US" w:eastAsia="zh-CN"/>
        </w:rPr>
        <w:t>2080506</w:t>
      </w:r>
      <w:r>
        <w:rPr>
          <w:rFonts w:hint="eastAsia" w:ascii="仿宋_GB2312" w:hAnsi="宋体" w:eastAsia="仿宋_GB2312"/>
          <w:sz w:val="32"/>
          <w:szCs w:val="32"/>
        </w:rPr>
        <w:t>指机关事业单位</w:t>
      </w:r>
      <w:r>
        <w:rPr>
          <w:rFonts w:hint="eastAsia" w:ascii="仿宋_GB2312" w:hAnsi="宋体" w:eastAsia="仿宋_GB2312"/>
          <w:sz w:val="32"/>
          <w:szCs w:val="32"/>
          <w:lang w:eastAsia="zh-CN"/>
        </w:rPr>
        <w:t>职业年金缴费支出</w:t>
      </w:r>
      <w:r>
        <w:rPr>
          <w:rFonts w:hint="eastAsia" w:ascii="仿宋_GB2312" w:hAnsi="宋体" w:eastAsia="仿宋_GB2312"/>
          <w:sz w:val="32"/>
          <w:szCs w:val="32"/>
        </w:rPr>
        <w:t>。</w:t>
      </w:r>
    </w:p>
    <w:p w14:paraId="7CECC606">
      <w:pPr>
        <w:pageBreakBefore w:val="0"/>
        <w:kinsoku/>
        <w:wordWrap/>
        <w:overflowPunct/>
        <w:topLinePunct w:val="0"/>
        <w:bidi w:val="0"/>
        <w:spacing w:line="578" w:lineRule="exact"/>
        <w:ind w:firstLine="640" w:firstLineChars="200"/>
        <w:rPr>
          <w:rFonts w:ascii="仿宋_GB2312" w:hAnsi="宋体" w:eastAsia="仿宋_GB2312"/>
          <w:sz w:val="32"/>
          <w:szCs w:val="32"/>
        </w:rPr>
      </w:pP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w:t>
      </w:r>
      <w:r>
        <w:rPr>
          <w:rFonts w:hint="eastAsia" w:ascii="仿宋_GB2312" w:eastAsia="仿宋_GB2312"/>
          <w:color w:val="auto"/>
          <w:sz w:val="32"/>
          <w:szCs w:val="32"/>
          <w:highlight w:val="none"/>
          <w:lang w:eastAsia="zh-CN"/>
        </w:rPr>
        <w:t>卫生健康</w:t>
      </w:r>
      <w:r>
        <w:rPr>
          <w:rFonts w:hint="eastAsia" w:ascii="仿宋_GB2312" w:hAnsi="宋体" w:eastAsia="仿宋_GB2312"/>
          <w:sz w:val="32"/>
          <w:szCs w:val="32"/>
          <w:lang w:eastAsia="zh-CN"/>
        </w:rPr>
        <w:t>：其中</w:t>
      </w:r>
      <w:r>
        <w:rPr>
          <w:rFonts w:hint="eastAsia" w:ascii="仿宋_GB2312" w:hAnsi="宋体" w:eastAsia="仿宋_GB2312"/>
          <w:sz w:val="32"/>
          <w:szCs w:val="32"/>
          <w:lang w:val="en-US" w:eastAsia="zh-CN"/>
        </w:rPr>
        <w:t>2101101</w:t>
      </w:r>
      <w:r>
        <w:rPr>
          <w:rFonts w:hint="eastAsia" w:ascii="仿宋_GB2312" w:hAnsi="宋体" w:eastAsia="仿宋_GB2312"/>
          <w:sz w:val="32"/>
          <w:szCs w:val="32"/>
        </w:rPr>
        <w:t>指行政单位医疗</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2101102指事业单位医疗，2101103指公务员医疗补助，2101199指其他行政事业单位医疗支出</w:t>
      </w:r>
      <w:r>
        <w:rPr>
          <w:rFonts w:hint="eastAsia" w:ascii="仿宋_GB2312" w:hAnsi="宋体" w:eastAsia="仿宋_GB2312"/>
          <w:sz w:val="32"/>
          <w:szCs w:val="32"/>
        </w:rPr>
        <w:t>。</w:t>
      </w:r>
    </w:p>
    <w:p w14:paraId="1BC82D9C">
      <w:pPr>
        <w:pageBreakBefore w:val="0"/>
        <w:kinsoku/>
        <w:wordWrap/>
        <w:overflowPunct/>
        <w:topLinePunct w:val="0"/>
        <w:bidi w:val="0"/>
        <w:spacing w:line="578" w:lineRule="exact"/>
        <w:ind w:firstLine="640" w:firstLineChars="200"/>
        <w:rPr>
          <w:rFonts w:ascii="仿宋_GB2312" w:eastAsia="仿宋_GB2312"/>
          <w:color w:val="000000"/>
          <w:sz w:val="32"/>
          <w:szCs w:val="32"/>
        </w:rPr>
      </w:pPr>
      <w:r>
        <w:rPr>
          <w:rFonts w:hint="eastAsia" w:ascii="仿宋_GB2312" w:hAnsi="宋体" w:eastAsia="仿宋_GB2312"/>
          <w:sz w:val="32"/>
          <w:szCs w:val="32"/>
          <w:lang w:val="en-US" w:eastAsia="zh-CN"/>
        </w:rPr>
        <w:t>6</w:t>
      </w:r>
      <w:r>
        <w:rPr>
          <w:rFonts w:hint="eastAsia" w:ascii="仿宋_GB2312" w:hAnsi="宋体" w:eastAsia="仿宋_GB2312"/>
          <w:sz w:val="32"/>
          <w:szCs w:val="32"/>
        </w:rPr>
        <w:t>. 住房保障</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2210201</w:t>
      </w:r>
      <w:r>
        <w:rPr>
          <w:rFonts w:hint="eastAsia" w:ascii="仿宋_GB2312" w:hAnsi="宋体" w:eastAsia="仿宋_GB2312"/>
          <w:sz w:val="32"/>
          <w:szCs w:val="32"/>
        </w:rPr>
        <w:t>指住房公积金。</w:t>
      </w:r>
    </w:p>
    <w:p w14:paraId="679F0AF4">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3516A29B">
      <w:pPr>
        <w:spacing w:line="578"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14682FF4">
      <w:pPr>
        <w:spacing w:line="578"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08671F74">
      <w:pPr>
        <w:pStyle w:val="26"/>
        <w:spacing w:line="578"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2DB148F">
      <w:pPr>
        <w:pStyle w:val="26"/>
        <w:spacing w:line="578"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11</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B8B4878">
      <w:pPr>
        <w:spacing w:line="600" w:lineRule="exact"/>
        <w:jc w:val="center"/>
        <w:rPr>
          <w:rFonts w:hint="eastAsia" w:ascii="Times New Roman" w:hAnsi="Times New Roman" w:eastAsia="黑体"/>
          <w:color w:val="auto"/>
          <w:sz w:val="44"/>
          <w:szCs w:val="44"/>
          <w:highlight w:val="none"/>
        </w:rPr>
      </w:pPr>
    </w:p>
    <w:p w14:paraId="669FB590">
      <w:pPr>
        <w:spacing w:line="600" w:lineRule="exact"/>
        <w:jc w:val="center"/>
        <w:rPr>
          <w:rFonts w:hint="eastAsia" w:ascii="Times New Roman" w:hAnsi="Times New Roman" w:eastAsia="黑体"/>
          <w:color w:val="auto"/>
          <w:sz w:val="44"/>
          <w:szCs w:val="44"/>
          <w:highlight w:val="none"/>
        </w:rPr>
      </w:pPr>
    </w:p>
    <w:p w14:paraId="35478ECC">
      <w:pPr>
        <w:spacing w:line="600" w:lineRule="exact"/>
        <w:jc w:val="center"/>
        <w:rPr>
          <w:rFonts w:hint="eastAsia" w:ascii="Times New Roman" w:hAnsi="Times New Roman" w:eastAsia="黑体"/>
          <w:color w:val="auto"/>
          <w:sz w:val="44"/>
          <w:szCs w:val="44"/>
          <w:highlight w:val="none"/>
        </w:rPr>
      </w:pPr>
    </w:p>
    <w:p w14:paraId="001F9AC0">
      <w:pPr>
        <w:spacing w:line="600" w:lineRule="exact"/>
        <w:jc w:val="center"/>
        <w:rPr>
          <w:rFonts w:hint="eastAsia" w:ascii="Times New Roman" w:hAnsi="Times New Roman" w:eastAsia="黑体"/>
          <w:color w:val="auto"/>
          <w:sz w:val="44"/>
          <w:szCs w:val="44"/>
          <w:highlight w:val="none"/>
        </w:rPr>
      </w:pPr>
    </w:p>
    <w:bookmarkEnd w:id="47"/>
    <w:p w14:paraId="6B8DCAF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A76BB4F">
      <w:pPr>
        <w:widowControl/>
        <w:jc w:val="center"/>
        <w:rPr>
          <w:rFonts w:hint="eastAsia" w:ascii="Times New Roman" w:hAnsi="Times New Roman" w:eastAsia="仿宋"/>
          <w:b w:val="0"/>
          <w:color w:val="auto"/>
          <w:highlight w:val="none"/>
        </w:rPr>
      </w:pPr>
      <w:bookmarkStart w:id="49" w:name="_Toc15396618"/>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48"/>
      <w:bookmarkEnd w:id="49"/>
      <w:bookmarkStart w:id="50" w:name="_Toc15396619"/>
    </w:p>
    <w:p w14:paraId="792A867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E98A09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14:paraId="4D6CDB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14:paraId="0E0C995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14:paraId="043D1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14:paraId="287EAE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14:paraId="2BB414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14:paraId="5B331E2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14:paraId="45A7710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14:paraId="16445A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14:paraId="7F917F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14:paraId="637A00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080733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14:paraId="6C0DDC1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14:paraId="3B9084A9">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C11074-6866-4DCC-B1C8-DCFF3AB86F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C9E6B87-3946-42E3-B3A6-8FEF940209EA}"/>
  </w:font>
  <w:font w:name="仿宋">
    <w:panose1 w:val="02010609060101010101"/>
    <w:charset w:val="86"/>
    <w:family w:val="modern"/>
    <w:pitch w:val="default"/>
    <w:sig w:usb0="800002BF" w:usb1="38CF7CFA" w:usb2="00000016" w:usb3="00000000" w:csb0="00040001" w:csb1="00000000"/>
    <w:embedRegular r:id="rId3" w:fontKey="{A86A5E0B-6CA5-498A-AD78-7AC32AAD21FE}"/>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87843BA7-83EF-4358-924E-657D4E3B6D5F}"/>
  </w:font>
  <w:font w:name="楷体_GB2312">
    <w:panose1 w:val="02010609030101010101"/>
    <w:charset w:val="86"/>
    <w:family w:val="auto"/>
    <w:pitch w:val="default"/>
    <w:sig w:usb0="00000001" w:usb1="080E0000" w:usb2="00000000" w:usb3="00000000" w:csb0="00040000" w:csb1="00000000"/>
    <w:embedRegular r:id="rId5" w:fontKey="{CAA39E70-FD66-40A1-912B-2D732839DF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35460">
    <w:pPr>
      <w:pStyle w:val="11"/>
      <w:jc w:val="center"/>
    </w:pPr>
  </w:p>
  <w:p w14:paraId="54C0E48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0254F">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0D5E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20D5E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22E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726F76"/>
    <w:multiLevelType w:val="singleLevel"/>
    <w:tmpl w:val="6C726F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zMTM2Njg1NzIzOTU4MTU0OTZkNDJjM2VmZDhjYj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DE1F4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437F9"/>
    <w:rsid w:val="1B7D550C"/>
    <w:rsid w:val="1BE8440E"/>
    <w:rsid w:val="1D155CEE"/>
    <w:rsid w:val="1DE178F3"/>
    <w:rsid w:val="1E740ACF"/>
    <w:rsid w:val="1FF35744"/>
    <w:rsid w:val="1FF6BC77"/>
    <w:rsid w:val="21962A9E"/>
    <w:rsid w:val="21AE7C77"/>
    <w:rsid w:val="22BC3C41"/>
    <w:rsid w:val="23860B96"/>
    <w:rsid w:val="240371BF"/>
    <w:rsid w:val="260F557C"/>
    <w:rsid w:val="27D101E4"/>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07C3909"/>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045446"/>
    <w:rsid w:val="62BF3928"/>
    <w:rsid w:val="647F5392"/>
    <w:rsid w:val="664B1D71"/>
    <w:rsid w:val="67AA3209"/>
    <w:rsid w:val="681C4F0D"/>
    <w:rsid w:val="69046D0F"/>
    <w:rsid w:val="698D0931"/>
    <w:rsid w:val="6A993CED"/>
    <w:rsid w:val="6B053271"/>
    <w:rsid w:val="6B5A11D4"/>
    <w:rsid w:val="6BCE6674"/>
    <w:rsid w:val="6C4A05C8"/>
    <w:rsid w:val="6C5F7B3E"/>
    <w:rsid w:val="6C8742B8"/>
    <w:rsid w:val="6C8A170F"/>
    <w:rsid w:val="6CB54609"/>
    <w:rsid w:val="6D6D68A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4C7763"/>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C5051"/>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3a5a1f05-c350-45a4-ae4d-324913a8fe4f</errorID>
      <errorWord>..</errorWord>
      <group>L1_Punc</group>
      <groupName>标点问题</groupName>
      <ability>L2_Punc_CN</ability>
      <abilityName>标点符号问题</abilityName>
      <candidateList>
        <item>.</item>
      </candidateList>
      <explain/>
      <paraID>2C145571</paraID>
      <start>22</start>
      <end>23</end>
      <status>modified</status>
      <modifiedWord>.</modifiedWord>
      <trackRevisions>false</trackRevisions>
    </reviewItem>
    <reviewItem>
      <errorID>580e0329-9ea0-46f0-b5b6-f76a87f79dbd</errorID>
      <errorWord>......</errorWord>
      <group>L1_Punc</group>
      <groupName>标点问题</groupName>
      <ability>L2_Punc_CN</ability>
      <abilityName>标点符号问题</abilityName>
      <candidateList>
        <item>……</item>
      </candidateList>
      <explain>省略号错误。</explain>
      <paraID>349EDE5C</paraID>
      <start>21</start>
      <end>23</end>
      <status>modified</status>
      <modifiedWord>……</modifiedWord>
      <trackRevisions>false</trackRevisions>
    </reviewItem>
    <reviewItem>
      <errorID>6c40671f-b418-49a0-9d2f-9314feed72fc</errorID>
      <errorWord>....</errorWord>
      <group>L1_Punc</group>
      <groupName>标点问题</groupName>
      <ability>L2_Punc_CN</ability>
      <abilityName>标点符号问题</abilityName>
      <candidateList>
        <item>……</item>
      </candidateList>
      <explain>省略号错误。</explain>
      <paraID>408B9D0B</paraID>
      <start>52</start>
      <end>54</end>
      <status>modified</status>
      <modifiedWord>……</modifiedWord>
      <trackRevisions>false</trackRevisions>
    </reviewItem>
    <reviewItem>
      <errorID>1d91bef5-6833-4d61-930d-9cf2c3a23388</errorID>
      <errorWord>松潘县县委</errorWord>
      <group>L1_Political</group>
      <groupName>政治性问题</groupName>
      <ability>L2_Unpolitical</ability>
      <abilityName>政治敏感错误</abilityName>
      <candidateList>
        <item>松潘县委</item>
      </candidateList>
      <explain/>
      <paraID>3179B93D</paraID>
      <start>42</start>
      <end>46</end>
      <status>modified</status>
      <modifiedWord>松潘县委</modifiedWord>
      <trackRevisions>false</trackRevisions>
    </reviewItem>
    <reviewItem>
      <errorID>abf1fc6f-9441-4f77-aed1-fbf53d8a4e27</errorID>
      <errorWord>主要是</errorWord>
      <group>L1_Word</group>
      <groupName>字词问题</groupName>
      <ability>L2_Typo</ability>
      <abilityName>字词错误</abilityName>
      <candidateList>
        <item>主要</item>
      </candidateList>
      <explain/>
      <paraID>400F27F5</paraID>
      <start>60</start>
      <end>62</end>
      <status>modified</status>
      <modifiedWord>主要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78592c-44c3-40ab-bf6c-32c05104a70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Words>4330</Words>
  <Characters>5591</Characters>
  <Lines>61</Lines>
  <Paragraphs>17</Paragraphs>
  <TotalTime>0</TotalTime>
  <ScaleCrop>false</ScaleCrop>
  <LinksUpToDate>false</LinksUpToDate>
  <CharactersWithSpaces>5638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2026-10-16T01:42:22Z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AB999DA579BA470BA5ADB05080914898_13</vt:lpwstr>
  </property>
  <property fmtid="{D5CDD505-2E9C-101B-9397-08002B2CF9AE}" pid="4" name="KSOTemplateDocerSaveRecord">
    <vt:lpwstr>eyJoZGlkIjoiNTU1MWNhN2ZmY2ZhZmY3ODhlYTg0MWU5OGMyY2QwZmUiLCJ1c2VySWQiOiI0MzQ2NTM0NzEifQ==</vt:lpwstr>
  </property>
</Properties>
</file>