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5DF8F">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77193"/>
      <w:bookmarkStart w:id="3" w:name="_Toc15378441"/>
      <w:bookmarkStart w:id="4" w:name="_Toc15396475"/>
      <w:bookmarkStart w:id="5" w:name="_Toc15396597"/>
    </w:p>
    <w:p w14:paraId="4F95554A">
      <w:pPr>
        <w:pStyle w:val="6"/>
        <w:rPr>
          <w:rFonts w:hint="eastAsia" w:ascii="Times New Roman" w:hAnsi="Times New Roman" w:eastAsia="方正小标宋简体" w:cs="Times New Roman"/>
          <w:color w:val="auto"/>
          <w:kern w:val="2"/>
          <w:sz w:val="72"/>
          <w:szCs w:val="72"/>
          <w:highlight w:val="none"/>
          <w:lang w:val="en-US" w:eastAsia="zh-CN" w:bidi="ar-SA"/>
        </w:rPr>
      </w:pPr>
    </w:p>
    <w:p w14:paraId="38EA6E52">
      <w:pPr>
        <w:pStyle w:val="6"/>
        <w:rPr>
          <w:rFonts w:hint="eastAsia" w:ascii="Times New Roman" w:hAnsi="Times New Roman" w:eastAsia="方正小标宋简体" w:cs="Times New Roman"/>
          <w:color w:val="auto"/>
          <w:kern w:val="2"/>
          <w:sz w:val="72"/>
          <w:szCs w:val="72"/>
          <w:highlight w:val="none"/>
          <w:lang w:val="en-US" w:eastAsia="zh-CN" w:bidi="ar-SA"/>
        </w:rPr>
      </w:pPr>
    </w:p>
    <w:p w14:paraId="24AA31F9">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16ADF27D">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四川省阿坝州松潘县委社会工作服务中心</w:t>
      </w: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w:t>
      </w:r>
    </w:p>
    <w:p w14:paraId="76B8ECDB">
      <w:pPr>
        <w:pStyle w:val="20"/>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21BC48CD">
      <w:pPr>
        <w:pStyle w:val="6"/>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339752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E1D6E0C">
      <w:pPr>
        <w:widowControl/>
        <w:jc w:val="center"/>
        <w:rPr>
          <w:rFonts w:ascii="Times New Roman" w:hAnsi="Times New Roman" w:eastAsia="黑体" w:cstheme="minorBidi"/>
          <w:color w:val="auto"/>
          <w:sz w:val="28"/>
          <w:szCs w:val="28"/>
          <w:highlight w:val="none"/>
        </w:rPr>
      </w:pPr>
    </w:p>
    <w:p w14:paraId="6CE3B73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w:t>
      </w:r>
      <w:r>
        <w:rPr>
          <w:rFonts w:hint="eastAsia" w:ascii="Times New Roman" w:hAnsi="Times New Roman" w:eastAsia="仿宋_GB2312" w:cs="仿宋_GB2312"/>
          <w:color w:val="auto"/>
          <w:sz w:val="32"/>
          <w:szCs w:val="32"/>
          <w:highlight w:val="none"/>
        </w:rPr>
        <w:t>日</w:t>
      </w:r>
    </w:p>
    <w:p w14:paraId="390F40FC">
      <w:pPr>
        <w:rPr>
          <w:rFonts w:ascii="Times New Roman" w:hAnsi="Times New Roman"/>
          <w:color w:val="auto"/>
          <w:highlight w:val="none"/>
        </w:rPr>
      </w:pPr>
    </w:p>
    <w:p w14:paraId="62C509A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4546834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78E43E4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74149E63">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19C156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7CD58F3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EA4A4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1C8420B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0BBB75E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129536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04DDD49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2B423D9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51AD136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1631C2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4E99629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36A0CA1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76BCBB5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488ED9F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CC4182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023BEE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48392BD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78E158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21EC14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719CEE5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3864EDC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75190C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4EAEFA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10EE10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2CD1362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9B5701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8660E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1CE1F94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1F3AAE64">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1DD82C9E">
      <w:pPr>
        <w:pStyle w:val="4"/>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0B951545">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不予公开</w:t>
      </w:r>
      <w:r>
        <w:rPr>
          <w:rFonts w:hint="eastAsia"/>
          <w:lang w:val="en-US" w:eastAsia="zh-CN"/>
        </w:rPr>
        <w:t xml:space="preserve"> </w:t>
      </w:r>
    </w:p>
    <w:p w14:paraId="3FA88D11">
      <w:pPr>
        <w:pStyle w:val="4"/>
        <w:pageBreakBefore w:val="0"/>
        <w:widowControl w:val="0"/>
        <w:kinsoku/>
        <w:wordWrap/>
        <w:overflowPunct/>
        <w:topLinePunct w:val="0"/>
        <w:autoSpaceDE/>
        <w:autoSpaceDN/>
        <w:bidi w:val="0"/>
        <w:adjustRightInd/>
        <w:snapToGrid/>
        <w:spacing w:line="240" w:lineRule="auto"/>
        <w:textAlignment w:val="auto"/>
        <w:rPr>
          <w:rStyle w:val="30"/>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5A6FD68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10" w:name="_Toc15377204"/>
      <w:bookmarkStart w:id="11" w:name="_Toc15396602"/>
      <w:r>
        <w:rPr>
          <w:rFonts w:hint="eastAsia" w:ascii="仿宋_GB2312" w:hAnsi="仿宋_GB2312" w:eastAsia="仿宋_GB2312" w:cs="仿宋_GB2312"/>
          <w:color w:val="auto"/>
          <w:sz w:val="32"/>
          <w:szCs w:val="32"/>
          <w:highlight w:val="none"/>
          <w:lang w:val="en-US" w:eastAsia="zh-CN"/>
        </w:rPr>
        <w:t>不予公开</w:t>
      </w:r>
    </w:p>
    <w:p w14:paraId="05886A4F">
      <w:pPr>
        <w:pStyle w:val="2"/>
        <w:rPr>
          <w:rFonts w:hint="eastAsia" w:ascii="仿宋_GB2312" w:hAnsi="仿宋_GB2312" w:eastAsia="仿宋_GB2312" w:cs="仿宋_GB2312"/>
          <w:color w:val="auto"/>
          <w:sz w:val="32"/>
          <w:szCs w:val="32"/>
          <w:highlight w:val="none"/>
          <w:lang w:val="en-US" w:eastAsia="zh-CN"/>
        </w:rPr>
      </w:pPr>
    </w:p>
    <w:p w14:paraId="5B76746C">
      <w:pPr>
        <w:rPr>
          <w:rFonts w:hint="eastAsia" w:ascii="仿宋_GB2312" w:hAnsi="仿宋_GB2312" w:eastAsia="仿宋_GB2312" w:cs="仿宋_GB2312"/>
          <w:color w:val="auto"/>
          <w:sz w:val="32"/>
          <w:szCs w:val="32"/>
          <w:highlight w:val="none"/>
          <w:lang w:val="en-US" w:eastAsia="zh-CN"/>
        </w:rPr>
      </w:pPr>
    </w:p>
    <w:p w14:paraId="22FBF746">
      <w:pPr>
        <w:pStyle w:val="2"/>
        <w:rPr>
          <w:rFonts w:hint="eastAsia" w:ascii="仿宋_GB2312" w:hAnsi="仿宋_GB2312" w:eastAsia="仿宋_GB2312" w:cs="仿宋_GB2312"/>
          <w:color w:val="auto"/>
          <w:sz w:val="32"/>
          <w:szCs w:val="32"/>
          <w:highlight w:val="none"/>
          <w:lang w:val="en-US" w:eastAsia="zh-CN"/>
        </w:rPr>
      </w:pPr>
    </w:p>
    <w:p w14:paraId="435C4A22">
      <w:pPr>
        <w:rPr>
          <w:rFonts w:hint="eastAsia" w:ascii="仿宋_GB2312" w:hAnsi="仿宋_GB2312" w:eastAsia="仿宋_GB2312" w:cs="仿宋_GB2312"/>
          <w:color w:val="auto"/>
          <w:sz w:val="32"/>
          <w:szCs w:val="32"/>
          <w:highlight w:val="none"/>
          <w:lang w:val="en-US" w:eastAsia="zh-CN"/>
        </w:rPr>
      </w:pPr>
    </w:p>
    <w:p w14:paraId="5015CF2E">
      <w:pPr>
        <w:pStyle w:val="2"/>
        <w:rPr>
          <w:rFonts w:hint="eastAsia" w:ascii="仿宋_GB2312" w:hAnsi="仿宋_GB2312" w:eastAsia="仿宋_GB2312" w:cs="仿宋_GB2312"/>
          <w:color w:val="auto"/>
          <w:sz w:val="32"/>
          <w:szCs w:val="32"/>
          <w:highlight w:val="none"/>
          <w:lang w:val="en-US" w:eastAsia="zh-CN"/>
        </w:rPr>
      </w:pPr>
    </w:p>
    <w:p w14:paraId="7F7779F3">
      <w:pPr>
        <w:rPr>
          <w:rFonts w:hint="eastAsia" w:ascii="仿宋_GB2312" w:hAnsi="仿宋_GB2312" w:eastAsia="仿宋_GB2312" w:cs="仿宋_GB2312"/>
          <w:color w:val="auto"/>
          <w:sz w:val="32"/>
          <w:szCs w:val="32"/>
          <w:highlight w:val="none"/>
          <w:lang w:val="en-US" w:eastAsia="zh-CN"/>
        </w:rPr>
      </w:pPr>
    </w:p>
    <w:p w14:paraId="45C28C0D">
      <w:pPr>
        <w:pStyle w:val="2"/>
        <w:rPr>
          <w:rFonts w:hint="eastAsia" w:ascii="仿宋_GB2312" w:hAnsi="仿宋_GB2312" w:eastAsia="仿宋_GB2312" w:cs="仿宋_GB2312"/>
          <w:color w:val="auto"/>
          <w:sz w:val="32"/>
          <w:szCs w:val="32"/>
          <w:highlight w:val="none"/>
          <w:lang w:val="en-US" w:eastAsia="zh-CN"/>
        </w:rPr>
      </w:pPr>
    </w:p>
    <w:p w14:paraId="7CF0E6E5">
      <w:pPr>
        <w:rPr>
          <w:rFonts w:hint="eastAsia" w:ascii="仿宋_GB2312" w:hAnsi="仿宋_GB2312" w:eastAsia="仿宋_GB2312" w:cs="仿宋_GB2312"/>
          <w:color w:val="auto"/>
          <w:sz w:val="32"/>
          <w:szCs w:val="32"/>
          <w:highlight w:val="none"/>
          <w:lang w:val="en-US" w:eastAsia="zh-CN"/>
        </w:rPr>
      </w:pPr>
    </w:p>
    <w:p w14:paraId="5584D1FE">
      <w:pPr>
        <w:pStyle w:val="2"/>
        <w:rPr>
          <w:rFonts w:hint="eastAsia" w:ascii="仿宋_GB2312" w:hAnsi="仿宋_GB2312" w:eastAsia="仿宋_GB2312" w:cs="仿宋_GB2312"/>
          <w:color w:val="auto"/>
          <w:sz w:val="32"/>
          <w:szCs w:val="32"/>
          <w:highlight w:val="none"/>
          <w:lang w:val="en-US" w:eastAsia="zh-CN"/>
        </w:rPr>
      </w:pPr>
    </w:p>
    <w:p w14:paraId="451B4F76">
      <w:pPr>
        <w:rPr>
          <w:rFonts w:hint="eastAsia" w:ascii="仿宋_GB2312" w:hAnsi="仿宋_GB2312" w:eastAsia="仿宋_GB2312" w:cs="仿宋_GB2312"/>
          <w:color w:val="auto"/>
          <w:sz w:val="32"/>
          <w:szCs w:val="32"/>
          <w:highlight w:val="none"/>
          <w:lang w:val="en-US" w:eastAsia="zh-CN"/>
        </w:rPr>
      </w:pPr>
    </w:p>
    <w:p w14:paraId="08EF2BD3">
      <w:pPr>
        <w:pStyle w:val="2"/>
        <w:rPr>
          <w:rFonts w:hint="eastAsia" w:ascii="仿宋_GB2312" w:hAnsi="仿宋_GB2312" w:eastAsia="仿宋_GB2312" w:cs="仿宋_GB2312"/>
          <w:color w:val="auto"/>
          <w:sz w:val="32"/>
          <w:szCs w:val="32"/>
          <w:highlight w:val="none"/>
          <w:lang w:val="en-US" w:eastAsia="zh-CN"/>
        </w:rPr>
      </w:pPr>
    </w:p>
    <w:p w14:paraId="0F2F893D">
      <w:pPr>
        <w:rPr>
          <w:rFonts w:hint="eastAsia" w:ascii="仿宋_GB2312" w:hAnsi="仿宋_GB2312" w:eastAsia="仿宋_GB2312" w:cs="仿宋_GB2312"/>
          <w:color w:val="auto"/>
          <w:sz w:val="32"/>
          <w:szCs w:val="32"/>
          <w:highlight w:val="none"/>
          <w:lang w:val="en-US" w:eastAsia="zh-CN"/>
        </w:rPr>
      </w:pPr>
    </w:p>
    <w:p w14:paraId="7D1B9213">
      <w:pPr>
        <w:pStyle w:val="2"/>
        <w:rPr>
          <w:rFonts w:hint="eastAsia"/>
          <w:lang w:val="en-US" w:eastAsia="zh-CN"/>
        </w:rPr>
      </w:pPr>
    </w:p>
    <w:bookmarkEnd w:id="10"/>
    <w:bookmarkEnd w:id="11"/>
    <w:p w14:paraId="04E50D1A">
      <w:pPr>
        <w:pStyle w:val="3"/>
        <w:jc w:val="center"/>
        <w:rPr>
          <w:rFonts w:ascii="Times New Roman" w:hAnsi="Times New Roman"/>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w:t>
      </w:r>
      <w:r>
        <w:rPr>
          <w:rFonts w:hint="eastAsia" w:ascii="Times New Roman" w:hAnsi="Times New Roman" w:eastAsia="方正小标宋简体" w:cs="方正小标宋简体"/>
          <w:b w:val="0"/>
          <w:color w:val="auto"/>
          <w:highlight w:val="none"/>
          <w:lang w:val="en-US" w:eastAsia="zh-CN"/>
        </w:rPr>
        <w:t>决算</w:t>
      </w:r>
      <w:r>
        <w:rPr>
          <w:rFonts w:hint="eastAsia" w:ascii="Times New Roman" w:hAnsi="Times New Roman" w:eastAsia="方正小标宋简体" w:cs="方正小标宋简体"/>
          <w:b w:val="0"/>
          <w:color w:val="auto"/>
          <w:highlight w:val="none"/>
        </w:rPr>
        <w:t>情况说明</w:t>
      </w:r>
    </w:p>
    <w:p w14:paraId="0C7341A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4F615B5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eastAsia="仿宋_GB2312"/>
          <w:kern w:val="0"/>
          <w:sz w:val="32"/>
          <w:szCs w:val="32"/>
          <w:shd w:val="clear" w:color="auto" w:fill="FFFFFF"/>
        </w:rPr>
        <w:t>28.98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ascii="仿宋_GB2312" w:eastAsia="仿宋_GB2312"/>
          <w:kern w:val="0"/>
          <w:sz w:val="32"/>
          <w:szCs w:val="32"/>
          <w:shd w:val="clear" w:color="auto" w:fill="FFFFFF"/>
        </w:rPr>
        <w:t>28.98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%。主要变动原因是</w:t>
      </w:r>
      <w:r>
        <w:rPr>
          <w:rStyle w:val="36"/>
          <w:rFonts w:hint="eastAsia" w:ascii="仿宋_GB2312" w:eastAsia="仿宋_GB2312"/>
          <w:sz w:val="32"/>
          <w:szCs w:val="32"/>
          <w:shd w:val="clear" w:color="auto" w:fill="FFFFFF"/>
        </w:rPr>
        <w:t>本单位于2024年新成立机构</w:t>
      </w:r>
      <w:bookmarkStart w:id="14" w:name="_Toc15396604"/>
      <w:bookmarkStart w:id="15" w:name="_Toc15377206"/>
      <w:r>
        <w:rPr>
          <w:rFonts w:hint="eastAsia" w:eastAsia="仿宋_GB2312" w:cs="仿宋_GB2312"/>
          <w:color w:val="auto"/>
          <w:sz w:val="32"/>
          <w:szCs w:val="32"/>
          <w:highlight w:val="none"/>
          <w:lang w:eastAsia="zh-CN"/>
        </w:rPr>
        <w:t>。</w:t>
      </w:r>
    </w:p>
    <w:p w14:paraId="7AAD0EF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4"/>
      <w:bookmarkEnd w:id="15"/>
    </w:p>
    <w:p w14:paraId="5F7C609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sz w:val="32"/>
          <w:szCs w:val="32"/>
        </w:rPr>
        <w:t>万元，其中：一般公共预算财政拨款收入</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5FAAE1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0DF8BB1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310F852">
      <w:pPr>
        <w:spacing w:line="600" w:lineRule="exact"/>
        <w:ind w:firstLine="640" w:firstLineChars="200"/>
        <w:outlineLvl w:val="1"/>
        <w:rPr>
          <w:rStyle w:val="30"/>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2B5F29C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eastAsia="仿宋_GB2312"/>
          <w:kern w:val="0"/>
          <w:sz w:val="32"/>
          <w:szCs w:val="32"/>
          <w:shd w:val="clear" w:color="auto" w:fill="FFFFFF"/>
        </w:rPr>
        <w:t>28.98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ascii="仿宋_GB2312" w:eastAsia="仿宋_GB2312"/>
          <w:kern w:val="0"/>
          <w:sz w:val="32"/>
          <w:szCs w:val="32"/>
          <w:shd w:val="clear" w:color="auto" w:fill="FFFFFF"/>
        </w:rPr>
        <w:t>28.98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Style w:val="36"/>
          <w:rFonts w:hint="eastAsia" w:ascii="仿宋_GB2312" w:eastAsia="仿宋_GB2312"/>
          <w:sz w:val="32"/>
          <w:szCs w:val="32"/>
          <w:shd w:val="clear" w:color="auto" w:fill="FFFFFF"/>
          <w:lang w:eastAsia="zh-CN"/>
        </w:rPr>
        <w:t>。</w:t>
      </w:r>
    </w:p>
    <w:p w14:paraId="2A15A1DB">
      <w:pPr>
        <w:spacing w:line="600" w:lineRule="exact"/>
        <w:ind w:firstLine="640" w:firstLineChars="200"/>
        <w:outlineLvl w:val="1"/>
        <w:rPr>
          <w:rStyle w:val="30"/>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6B4B7D4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37696A4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kern w:val="2"/>
          <w:sz w:val="32"/>
          <w:szCs w:val="32"/>
          <w:highlight w:val="none"/>
          <w:lang w:val="en-US" w:eastAsia="zh-CN" w:bidi="ar-SA"/>
        </w:rPr>
        <w:t>万元，增长100%。主要变动原因是</w:t>
      </w:r>
      <w:r>
        <w:rPr>
          <w:rStyle w:val="36"/>
          <w:rFonts w:hint="eastAsia" w:ascii="仿宋_GB2312" w:eastAsia="仿宋_GB2312"/>
          <w:sz w:val="32"/>
          <w:szCs w:val="32"/>
          <w:shd w:val="clear" w:color="auto" w:fill="FFFFFF"/>
        </w:rPr>
        <w:t>本单位于2024年新成立机构</w:t>
      </w:r>
      <w:r>
        <w:rPr>
          <w:rStyle w:val="36"/>
          <w:rFonts w:hint="eastAsia" w:ascii="仿宋_GB2312" w:eastAsia="仿宋_GB2312"/>
          <w:sz w:val="32"/>
          <w:szCs w:val="32"/>
          <w:shd w:val="clear" w:color="auto" w:fill="FFFFFF"/>
          <w:lang w:eastAsia="zh-CN"/>
        </w:rPr>
        <w:t>。</w:t>
      </w:r>
    </w:p>
    <w:p w14:paraId="7223A8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1060AA19">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ascii="仿宋_GB2312" w:eastAsia="仿宋_GB2312"/>
          <w:kern w:val="0"/>
          <w:sz w:val="32"/>
          <w:szCs w:val="32"/>
          <w:shd w:val="clear" w:color="auto" w:fill="FFFFFF"/>
        </w:rPr>
        <w:t>20.14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ascii="仿宋_GB2312" w:eastAsia="仿宋_GB2312"/>
          <w:kern w:val="0"/>
          <w:sz w:val="32"/>
          <w:szCs w:val="32"/>
          <w:shd w:val="clear" w:color="auto" w:fill="FFFFFF"/>
        </w:rPr>
        <w:t>69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ascii="仿宋_GB2312" w:eastAsia="仿宋_GB2312"/>
          <w:kern w:val="0"/>
          <w:sz w:val="32"/>
          <w:szCs w:val="32"/>
          <w:shd w:val="clear" w:color="auto" w:fill="FFFFFF"/>
        </w:rPr>
        <w:t>4.38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ascii="仿宋_GB2312" w:eastAsia="仿宋_GB2312"/>
          <w:kern w:val="0"/>
          <w:sz w:val="32"/>
          <w:szCs w:val="32"/>
          <w:shd w:val="clear" w:color="auto" w:fill="FFFFFF"/>
        </w:rPr>
        <w:t>1.76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ascii="仿宋_GB2312" w:eastAsia="仿宋_GB2312"/>
          <w:kern w:val="0"/>
          <w:sz w:val="32"/>
          <w:szCs w:val="32"/>
          <w:shd w:val="clear" w:color="auto" w:fill="FFFFFF"/>
        </w:rPr>
        <w:t>2.7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bookmarkStart w:id="24" w:name="_Toc15377212"/>
    </w:p>
    <w:p w14:paraId="257E68A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645C60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8460"/>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707974A4">
      <w:pPr>
        <w:numPr>
          <w:ilvl w:val="0"/>
          <w:numId w:val="2"/>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2013950：</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ascii="仿宋_GB2312" w:eastAsia="仿宋_GB2312"/>
          <w:kern w:val="0"/>
          <w:sz w:val="32"/>
          <w:szCs w:val="32"/>
          <w:shd w:val="clear" w:color="auto" w:fill="FFFFFF"/>
        </w:rPr>
        <w:t>20.14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A2E2E7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2080505：</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00%；社会保障和就业（类）行政事业单位养老支出（款）机关事业单位职业年金缴费支出（项）2080506: 支出决算为</w:t>
      </w:r>
      <w:r>
        <w:rPr>
          <w:rFonts w:hint="eastAsia" w:eastAsia="仿宋_GB2312" w:cs="仿宋_GB2312"/>
          <w:color w:val="auto"/>
          <w:kern w:val="2"/>
          <w:sz w:val="32"/>
          <w:szCs w:val="32"/>
          <w:highlight w:val="none"/>
          <w:lang w:val="en-US" w:eastAsia="zh-CN" w:bidi="ar-SA"/>
        </w:rPr>
        <w:t>1.46</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3654DAA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w:t>
      </w:r>
      <w:r>
        <w:rPr>
          <w:rFonts w:hint="eastAsia" w:eastAsia="仿宋_GB2312" w:cs="仿宋_GB2312"/>
          <w:color w:val="auto"/>
          <w:kern w:val="2"/>
          <w:sz w:val="32"/>
          <w:szCs w:val="32"/>
          <w:highlight w:val="none"/>
          <w:lang w:val="en-US" w:eastAsia="zh-CN" w:bidi="ar-SA"/>
        </w:rPr>
        <w:t>事业</w:t>
      </w:r>
      <w:r>
        <w:rPr>
          <w:rFonts w:hint="eastAsia" w:ascii="Times New Roman" w:hAnsi="Times New Roman" w:eastAsia="仿宋_GB2312" w:cs="仿宋_GB2312"/>
          <w:color w:val="auto"/>
          <w:kern w:val="2"/>
          <w:sz w:val="32"/>
          <w:szCs w:val="32"/>
          <w:highlight w:val="none"/>
          <w:lang w:val="en-US" w:eastAsia="zh-CN" w:bidi="ar-SA"/>
        </w:rPr>
        <w:t>单位医疗</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（项）210110</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1.39</w:t>
      </w:r>
      <w:r>
        <w:rPr>
          <w:rFonts w:hint="eastAsia" w:ascii="Times New Roman" w:hAnsi="Times New Roman" w:eastAsia="仿宋_GB2312" w:cs="仿宋_GB2312"/>
          <w:color w:val="auto"/>
          <w:kern w:val="2"/>
          <w:sz w:val="32"/>
          <w:szCs w:val="32"/>
          <w:highlight w:val="none"/>
          <w:lang w:val="en-US" w:eastAsia="zh-CN" w:bidi="ar-SA"/>
        </w:rPr>
        <w:t>万元，完成预算100%；卫生健康（类）行政事业单位医疗（款）</w:t>
      </w:r>
      <w:r>
        <w:rPr>
          <w:rFonts w:hint="eastAsia" w:eastAsia="仿宋_GB2312" w:cs="仿宋_GB2312"/>
          <w:color w:val="auto"/>
          <w:kern w:val="2"/>
          <w:sz w:val="32"/>
          <w:szCs w:val="32"/>
          <w:highlight w:val="none"/>
          <w:lang w:val="en-US" w:eastAsia="zh-CN" w:bidi="ar-SA"/>
        </w:rPr>
        <w:t>其他行政事业单位医疗</w:t>
      </w:r>
      <w:r>
        <w:rPr>
          <w:rFonts w:hint="eastAsia" w:ascii="Times New Roman" w:hAnsi="Times New Roman" w:eastAsia="仿宋_GB2312" w:cs="仿宋_GB2312"/>
          <w:color w:val="auto"/>
          <w:kern w:val="2"/>
          <w:sz w:val="32"/>
          <w:szCs w:val="32"/>
          <w:highlight w:val="none"/>
          <w:lang w:val="en-US" w:eastAsia="zh-CN" w:bidi="ar-SA"/>
        </w:rPr>
        <w:t>（项）21011</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7万元，完成预算100%</w:t>
      </w:r>
      <w:r>
        <w:rPr>
          <w:rFonts w:hint="eastAsia" w:eastAsia="仿宋_GB2312" w:cs="仿宋_GB2312"/>
          <w:color w:val="auto"/>
          <w:kern w:val="2"/>
          <w:sz w:val="32"/>
          <w:szCs w:val="32"/>
          <w:highlight w:val="none"/>
          <w:lang w:val="en-US" w:eastAsia="zh-CN" w:bidi="ar-SA"/>
        </w:rPr>
        <w:t>。</w:t>
      </w:r>
    </w:p>
    <w:p w14:paraId="3B2CB2B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4.住房保障（类）住房改革支出（款）住房公积金（项）2210201：支出决算为</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261AB4C0">
      <w:pPr>
        <w:tabs>
          <w:tab w:val="right" w:pos="8306"/>
        </w:tabs>
        <w:spacing w:line="600" w:lineRule="exact"/>
        <w:ind w:firstLine="640"/>
        <w:outlineLvl w:val="1"/>
        <w:rPr>
          <w:rStyle w:val="30"/>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3F5434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eastAsia="仿宋_GB2312"/>
          <w:kern w:val="0"/>
          <w:sz w:val="32"/>
          <w:szCs w:val="32"/>
          <w:shd w:val="clear" w:color="auto" w:fill="FFFFFF"/>
        </w:rPr>
        <w:t>28.98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A4DA1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eastAsia="仿宋_GB2312"/>
          <w:kern w:val="0"/>
          <w:sz w:val="32"/>
          <w:szCs w:val="32"/>
          <w:shd w:val="clear" w:color="auto" w:fill="FFFFFF"/>
        </w:rPr>
        <w:t>28.59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eastAsia="仿宋_GB2312"/>
          <w:kern w:val="0"/>
          <w:sz w:val="32"/>
          <w:szCs w:val="32"/>
          <w:shd w:val="clear" w:color="auto" w:fill="FFFFFF"/>
        </w:rPr>
        <w:t>0.39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1CA099B">
      <w:pPr>
        <w:spacing w:line="600" w:lineRule="exact"/>
        <w:ind w:firstLine="640"/>
        <w:outlineLvl w:val="1"/>
        <w:rPr>
          <w:rStyle w:val="30"/>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2CBCC1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195668C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4FCB161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6179D1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79E51A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6BBC9851">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3EE705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426C5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50DB6D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ascii="Times New Roman" w:hAnsi="Times New Roman" w:eastAsia="仿宋_GB2312" w:cs="仿宋_GB2312"/>
          <w:color w:val="auto"/>
          <w:kern w:val="2"/>
          <w:sz w:val="32"/>
          <w:szCs w:val="32"/>
          <w:highlight w:val="none"/>
          <w:lang w:val="en-US" w:eastAsia="zh-CN" w:bidi="ar-SA"/>
        </w:rPr>
        <w:t>。其中：</w:t>
      </w:r>
    </w:p>
    <w:p w14:paraId="0AC6F3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5904AB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96610"/>
      <w:bookmarkStart w:id="35" w:name="_Toc15377218"/>
    </w:p>
    <w:p w14:paraId="1651BFE1">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09B742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08ED3E76">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6" w:name="_Toc15396611"/>
      <w:bookmarkStart w:id="37"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5724E533">
      <w:pPr>
        <w:numPr>
          <w:ilvl w:val="0"/>
          <w:numId w:val="0"/>
        </w:numPr>
        <w:spacing w:line="600" w:lineRule="exact"/>
        <w:ind w:left="630" w:leftChars="0"/>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bookmarkStart w:id="38" w:name="_Toc15396612"/>
      <w:bookmarkStart w:id="39" w:name="_Toc15377221"/>
    </w:p>
    <w:p w14:paraId="33FAB6D6">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6B8BF8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67B185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eastAsia="仿宋_GB2312"/>
          <w:kern w:val="0"/>
          <w:sz w:val="32"/>
          <w:szCs w:val="32"/>
          <w:shd w:val="clear" w:color="auto" w:fill="FFFFFF"/>
        </w:rPr>
        <w:t>0.39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ascii="仿宋_GB2312" w:eastAsia="仿宋_GB2312"/>
          <w:kern w:val="0"/>
          <w:sz w:val="32"/>
          <w:szCs w:val="32"/>
          <w:shd w:val="clear" w:color="auto" w:fill="FFFFFF"/>
        </w:rPr>
        <w:t>0.39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Style w:val="36"/>
          <w:rFonts w:hint="eastAsia" w:ascii="仿宋_GB2312" w:eastAsia="仿宋_GB2312"/>
          <w:sz w:val="32"/>
          <w:szCs w:val="32"/>
          <w:shd w:val="clear" w:color="auto" w:fill="FFFFFF"/>
        </w:rPr>
        <w:t>本单位于2024年新成立机构</w:t>
      </w:r>
      <w:r>
        <w:rPr>
          <w:rFonts w:hint="eastAsia" w:eastAsia="仿宋_GB2312" w:cs="仿宋_GB2312"/>
          <w:color w:val="auto"/>
          <w:sz w:val="32"/>
          <w:szCs w:val="32"/>
          <w:highlight w:val="none"/>
          <w:lang w:eastAsia="zh-CN"/>
        </w:rPr>
        <w:t>。</w:t>
      </w:r>
    </w:p>
    <w:p w14:paraId="30E575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223888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3D36D9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45C6DF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中共松潘县委社会工作部本级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854AF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3F38888">
      <w:pPr>
        <w:numPr>
          <w:ilvl w:val="0"/>
          <w:numId w:val="0"/>
        </w:numPr>
        <w:spacing w:line="600" w:lineRule="exact"/>
        <w:ind w:firstLine="640" w:firstLineChars="200"/>
        <w:jc w:val="left"/>
        <w:outlineLvl w:val="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根据预算绩效管理要求，组织对2024年度一般公共预算开展绩效自评，形成绩效自评报告</w:t>
      </w:r>
      <w:r>
        <w:rPr>
          <w:rFonts w:hint="eastAsia" w:eastAsia="仿宋_GB2312" w:cs="仿宋_GB2312"/>
          <w:color w:val="auto"/>
          <w:kern w:val="2"/>
          <w:sz w:val="32"/>
          <w:szCs w:val="32"/>
          <w:highlight w:val="none"/>
          <w:lang w:val="en-US" w:eastAsia="zh-CN" w:bidi="ar-SA"/>
        </w:rPr>
        <w:t>。</w:t>
      </w:r>
      <w:bookmarkStart w:id="43" w:name="_Toc15377225"/>
      <w:bookmarkStart w:id="44" w:name="_Toc15396613"/>
    </w:p>
    <w:p w14:paraId="2202669D">
      <w:pPr>
        <w:pStyle w:val="14"/>
        <w:rPr>
          <w:rFonts w:hint="eastAsia" w:eastAsia="仿宋_GB2312" w:cs="仿宋_GB2312"/>
          <w:color w:val="auto"/>
          <w:kern w:val="2"/>
          <w:sz w:val="32"/>
          <w:szCs w:val="32"/>
          <w:highlight w:val="none"/>
          <w:lang w:val="en-US" w:eastAsia="zh-CN" w:bidi="ar-SA"/>
        </w:rPr>
      </w:pPr>
    </w:p>
    <w:p w14:paraId="0C6A00AF">
      <w:pPr>
        <w:pStyle w:val="8"/>
        <w:rPr>
          <w:rFonts w:hint="eastAsia"/>
          <w:lang w:val="en-US" w:eastAsia="zh-CN"/>
        </w:rPr>
      </w:pPr>
    </w:p>
    <w:p w14:paraId="316D24B3">
      <w:pPr>
        <w:pStyle w:val="8"/>
        <w:rPr>
          <w:rFonts w:hint="eastAsia" w:eastAsia="仿宋_GB2312" w:cs="仿宋_GB2312"/>
          <w:color w:val="auto"/>
          <w:kern w:val="2"/>
          <w:sz w:val="32"/>
          <w:szCs w:val="32"/>
          <w:highlight w:val="none"/>
          <w:lang w:val="en-US" w:eastAsia="zh-CN" w:bidi="ar-SA"/>
        </w:rPr>
      </w:pPr>
    </w:p>
    <w:p w14:paraId="6A6E9DE5">
      <w:pPr>
        <w:pStyle w:val="8"/>
        <w:rPr>
          <w:rFonts w:hint="eastAsia" w:eastAsia="仿宋_GB2312" w:cs="仿宋_GB2312"/>
          <w:color w:val="auto"/>
          <w:kern w:val="2"/>
          <w:sz w:val="32"/>
          <w:szCs w:val="32"/>
          <w:highlight w:val="none"/>
          <w:lang w:val="en-US" w:eastAsia="zh-CN" w:bidi="ar-SA"/>
        </w:rPr>
      </w:pPr>
    </w:p>
    <w:p w14:paraId="27ABB9A7">
      <w:pPr>
        <w:pStyle w:val="8"/>
        <w:rPr>
          <w:rFonts w:hint="eastAsia" w:eastAsia="仿宋_GB2312" w:cs="仿宋_GB2312"/>
          <w:color w:val="auto"/>
          <w:kern w:val="2"/>
          <w:sz w:val="32"/>
          <w:szCs w:val="32"/>
          <w:highlight w:val="none"/>
          <w:lang w:val="en-US" w:eastAsia="zh-CN" w:bidi="ar-SA"/>
        </w:rPr>
      </w:pPr>
    </w:p>
    <w:p w14:paraId="2E66E00E">
      <w:pPr>
        <w:pStyle w:val="8"/>
        <w:rPr>
          <w:rFonts w:hint="eastAsia" w:eastAsia="仿宋_GB2312" w:cs="仿宋_GB2312"/>
          <w:color w:val="auto"/>
          <w:kern w:val="2"/>
          <w:sz w:val="32"/>
          <w:szCs w:val="32"/>
          <w:highlight w:val="none"/>
          <w:lang w:val="en-US" w:eastAsia="zh-CN" w:bidi="ar-SA"/>
        </w:rPr>
      </w:pPr>
    </w:p>
    <w:p w14:paraId="49CF3B0C">
      <w:pPr>
        <w:pStyle w:val="8"/>
        <w:rPr>
          <w:rFonts w:hint="eastAsia" w:eastAsia="仿宋_GB2312" w:cs="仿宋_GB2312"/>
          <w:color w:val="auto"/>
          <w:kern w:val="2"/>
          <w:sz w:val="32"/>
          <w:szCs w:val="32"/>
          <w:highlight w:val="none"/>
          <w:lang w:val="en-US" w:eastAsia="zh-CN" w:bidi="ar-SA"/>
        </w:rPr>
      </w:pPr>
    </w:p>
    <w:p w14:paraId="5C84F8DE">
      <w:pPr>
        <w:pStyle w:val="8"/>
        <w:ind w:left="0" w:leftChars="0" w:firstLine="0" w:firstLineChars="0"/>
        <w:rPr>
          <w:rFonts w:hint="eastAsia" w:eastAsia="仿宋_GB2312" w:cs="仿宋_GB2312"/>
          <w:color w:val="auto"/>
          <w:kern w:val="2"/>
          <w:sz w:val="32"/>
          <w:szCs w:val="32"/>
          <w:highlight w:val="none"/>
          <w:lang w:val="en-US" w:eastAsia="zh-CN" w:bidi="ar-SA"/>
        </w:rPr>
      </w:pPr>
    </w:p>
    <w:p w14:paraId="423ABB47">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71C7EA66">
      <w:pPr>
        <w:spacing w:line="600" w:lineRule="exact"/>
        <w:jc w:val="left"/>
        <w:rPr>
          <w:rFonts w:ascii="Times New Roman" w:hAnsi="Times New Roman"/>
          <w:b/>
          <w:color w:val="auto"/>
          <w:sz w:val="44"/>
          <w:szCs w:val="44"/>
          <w:highlight w:val="none"/>
        </w:rPr>
      </w:pPr>
    </w:p>
    <w:p w14:paraId="31245C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E2C51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2B2C67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01C155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07CB549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E1C7F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89F67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5FA82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EF368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5" w:name="_Toc15396614"/>
      <w:bookmarkStart w:id="46" w:name="_Toc15377226"/>
      <w:r>
        <w:rPr>
          <w:rFonts w:hint="eastAsia" w:ascii="Times New Roman" w:hAnsi="Times New Roman" w:eastAsia="仿宋_GB2312" w:cs="仿宋_GB2312"/>
          <w:color w:val="auto"/>
          <w:kern w:val="2"/>
          <w:sz w:val="32"/>
          <w:szCs w:val="32"/>
          <w:highlight w:val="none"/>
          <w:lang w:val="en-US" w:eastAsia="zh-CN" w:bidi="ar-SA"/>
        </w:rPr>
        <w:t>9.一般公共服务（类）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）指行政单位（包括实行公务员管理的事业单位）的基本支出。</w:t>
      </w:r>
    </w:p>
    <w:p w14:paraId="7C9C1F5F">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10.社会保障和就业（类）行政事业单位离退休（款）机关事业单位基本养老保险缴费（项）：指机关事业单位实施养老保险制度由单位缴纳的基本养老保险费支出。</w:t>
      </w:r>
    </w:p>
    <w:p w14:paraId="473D60A1">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11</w:t>
      </w:r>
      <w:r>
        <w:rPr>
          <w:rFonts w:hint="eastAsia" w:ascii="仿宋_GB2312" w:hAnsi="仿宋_GB2312" w:eastAsia="仿宋_GB2312" w:cs="仿宋_GB2312"/>
          <w:kern w:val="1"/>
          <w:sz w:val="32"/>
          <w:szCs w:val="32"/>
          <w:lang w:eastAsia="zh-CN"/>
        </w:rPr>
        <w:t>.</w:t>
      </w:r>
      <w:r>
        <w:rPr>
          <w:rFonts w:hint="eastAsia" w:eastAsia="仿宋_GB2312" w:cs="仿宋_GB2312"/>
          <w:color w:val="auto"/>
          <w:kern w:val="2"/>
          <w:sz w:val="32"/>
          <w:szCs w:val="32"/>
          <w:highlight w:val="none"/>
          <w:lang w:val="en-US" w:eastAsia="zh-CN" w:bidi="ar-SA"/>
        </w:rPr>
        <w:t>卫生健康支出</w:t>
      </w:r>
      <w:r>
        <w:rPr>
          <w:rFonts w:ascii="仿宋_GB2312" w:hAnsi="仿宋_GB2312" w:eastAsia="仿宋_GB2312" w:cs="仿宋_GB2312"/>
          <w:kern w:val="1"/>
          <w:sz w:val="32"/>
          <w:szCs w:val="32"/>
        </w:rPr>
        <w:t>（类）行政事业单位医疗（款）</w:t>
      </w:r>
      <w:r>
        <w:rPr>
          <w:rFonts w:hint="eastAsia" w:ascii="仿宋_GB2312" w:hAnsi="仿宋_GB2312" w:eastAsia="仿宋_GB2312" w:cs="仿宋_GB2312"/>
          <w:kern w:val="1"/>
          <w:sz w:val="32"/>
          <w:szCs w:val="32"/>
          <w:lang w:val="en-US" w:eastAsia="zh-CN"/>
        </w:rPr>
        <w:t>事业</w:t>
      </w:r>
      <w:r>
        <w:rPr>
          <w:rFonts w:ascii="仿宋_GB2312" w:hAnsi="仿宋_GB2312" w:eastAsia="仿宋_GB2312" w:cs="仿宋_GB2312"/>
          <w:kern w:val="1"/>
          <w:sz w:val="32"/>
          <w:szCs w:val="32"/>
        </w:rPr>
        <w:t>单位医疗（项）：指财政部门安排的</w:t>
      </w:r>
      <w:r>
        <w:rPr>
          <w:rFonts w:hint="eastAsia" w:ascii="仿宋_GB2312" w:hAnsi="仿宋_GB2312" w:eastAsia="仿宋_GB2312" w:cs="仿宋_GB2312"/>
          <w:kern w:val="1"/>
          <w:sz w:val="32"/>
          <w:szCs w:val="32"/>
          <w:lang w:val="en-US" w:eastAsia="zh-CN"/>
        </w:rPr>
        <w:t>事业</w:t>
      </w:r>
      <w:r>
        <w:rPr>
          <w:rFonts w:ascii="仿宋_GB2312" w:hAnsi="仿宋_GB2312" w:eastAsia="仿宋_GB2312" w:cs="仿宋_GB2312"/>
          <w:kern w:val="1"/>
          <w:sz w:val="32"/>
          <w:szCs w:val="32"/>
        </w:rPr>
        <w:t>单位基本医疗保险缴费经费。</w:t>
      </w:r>
    </w:p>
    <w:p w14:paraId="61B731BB">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12.住房保障（类）支付改革（款）住房公积金（项）：指行政事业单位按人力资源和社会保障部、财政部规定的基本工资和津贴补贴以及规定比例为职工缴纳的住房公积金。</w:t>
      </w:r>
    </w:p>
    <w:p w14:paraId="51CC0761">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13.基本支出：指为保障机构正常运转、完成日常工作任务而发生的人员支出和公用支出。</w:t>
      </w:r>
    </w:p>
    <w:p w14:paraId="4F3A5524">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14.项目支出：指在基本支出之外为完成特定行政任务和事业发展目标所发生的支出。</w:t>
      </w:r>
    </w:p>
    <w:p w14:paraId="700CEB32">
      <w:pPr>
        <w:keepNext w:val="0"/>
        <w:keepLines w:val="0"/>
        <w:pageBreakBefore w:val="0"/>
        <w:widowControl w:val="0"/>
        <w:suppressAutoHyphens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kern w:val="1"/>
          <w:sz w:val="32"/>
          <w:szCs w:val="32"/>
        </w:rPr>
      </w:pPr>
      <w:r>
        <w:rPr>
          <w:rFonts w:ascii="仿宋_GB2312" w:hAnsi="仿宋_GB2312" w:eastAsia="仿宋_GB2312" w:cs="仿宋_GB2312"/>
          <w:kern w:val="1"/>
          <w:sz w:val="32"/>
          <w:szCs w:val="32"/>
        </w:rPr>
        <w:t>15.经营支出：指事业单位在专业业务活动及其辅助活动之外开展非独立核算经营活动发生的支出。</w:t>
      </w:r>
    </w:p>
    <w:p w14:paraId="3A601032">
      <w:pPr>
        <w:pStyle w:val="27"/>
        <w:keepNext w:val="0"/>
        <w:keepLines w:val="0"/>
        <w:pageBreakBefore w:val="0"/>
        <w:widowControl w:val="0"/>
        <w:kinsoku/>
        <w:wordWrap/>
        <w:overflowPunct/>
        <w:topLinePunct w:val="0"/>
        <w:autoSpaceDE/>
        <w:autoSpaceDN/>
        <w:bidi w:val="0"/>
        <w:adjustRightInd/>
        <w:snapToGrid/>
        <w:spacing w:line="578" w:lineRule="exact"/>
        <w:ind w:left="-525" w:right="-525"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9E88FF">
      <w:pPr>
        <w:pStyle w:val="27"/>
        <w:keepNext w:val="0"/>
        <w:keepLines w:val="0"/>
        <w:pageBreakBefore w:val="0"/>
        <w:widowControl w:val="0"/>
        <w:kinsoku/>
        <w:wordWrap/>
        <w:overflowPunct/>
        <w:topLinePunct w:val="0"/>
        <w:autoSpaceDE/>
        <w:autoSpaceDN/>
        <w:bidi w:val="0"/>
        <w:adjustRightInd/>
        <w:snapToGrid/>
        <w:spacing w:line="578" w:lineRule="exact"/>
        <w:ind w:left="-525" w:right="-525" w:firstLine="640" w:firstLineChars="200"/>
        <w:jc w:val="left"/>
        <w:textAlignment w:val="auto"/>
        <w:rPr>
          <w:rFonts w:hint="eastAsia" w:ascii="黑体" w:hAnsi="黑体" w:eastAsia="黑体" w:cs="黑体"/>
          <w:kern w:val="1"/>
          <w:sz w:val="44"/>
          <w:szCs w:val="44"/>
        </w:rPr>
      </w:pPr>
      <w:r>
        <w:rPr>
          <w:rFonts w:ascii="仿宋_GB2312" w:hAnsi="仿宋_GB2312" w:eastAsia="仿宋_GB2312" w:cs="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B5192A">
      <w:pPr>
        <w:spacing w:line="600" w:lineRule="exact"/>
        <w:jc w:val="center"/>
        <w:rPr>
          <w:rFonts w:hint="eastAsia" w:ascii="Times New Roman" w:hAnsi="Times New Roman" w:eastAsia="黑体"/>
          <w:color w:val="auto"/>
          <w:sz w:val="44"/>
          <w:szCs w:val="44"/>
          <w:highlight w:val="none"/>
        </w:rPr>
      </w:pPr>
    </w:p>
    <w:p w14:paraId="337A9AFE">
      <w:pPr>
        <w:spacing w:line="600" w:lineRule="exact"/>
        <w:jc w:val="center"/>
        <w:rPr>
          <w:rFonts w:hint="eastAsia" w:ascii="Times New Roman" w:hAnsi="Times New Roman" w:eastAsia="黑体"/>
          <w:color w:val="auto"/>
          <w:sz w:val="44"/>
          <w:szCs w:val="44"/>
          <w:highlight w:val="none"/>
        </w:rPr>
      </w:pPr>
    </w:p>
    <w:bookmarkEnd w:id="45"/>
    <w:p w14:paraId="5C9D628F">
      <w:pPr>
        <w:widowControl/>
        <w:jc w:val="center"/>
        <w:rPr>
          <w:rFonts w:hint="default" w:ascii="Times New Roman" w:hAnsi="Times New Roman" w:eastAsia="黑体"/>
          <w:color w:val="auto"/>
          <w:sz w:val="44"/>
          <w:szCs w:val="44"/>
          <w:highlight w:val="none"/>
          <w:lang w:val="en-US" w:eastAsia="zh-CN"/>
        </w:rPr>
      </w:pPr>
      <w:bookmarkStart w:id="47" w:name="_Toc15396618"/>
      <w:r>
        <w:rPr>
          <w:rFonts w:hint="eastAsia" w:eastAsia="黑体"/>
          <w:color w:val="auto"/>
          <w:sz w:val="44"/>
          <w:szCs w:val="44"/>
          <w:highlight w:val="none"/>
          <w:lang w:val="en-US" w:eastAsia="zh-CN"/>
        </w:rPr>
        <w:t>第四部分附件</w:t>
      </w:r>
    </w:p>
    <w:tbl>
      <w:tblPr>
        <w:tblStyle w:val="16"/>
        <w:tblW w:w="8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941"/>
        <w:gridCol w:w="717"/>
        <w:gridCol w:w="1400"/>
        <w:gridCol w:w="763"/>
        <w:gridCol w:w="770"/>
        <w:gridCol w:w="827"/>
        <w:gridCol w:w="396"/>
        <w:gridCol w:w="511"/>
        <w:gridCol w:w="370"/>
        <w:gridCol w:w="396"/>
        <w:gridCol w:w="684"/>
      </w:tblGrid>
      <w:tr w14:paraId="3203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8618" w:type="dxa"/>
            <w:gridSpan w:val="12"/>
            <w:tcBorders>
              <w:top w:val="nil"/>
              <w:left w:val="nil"/>
              <w:bottom w:val="nil"/>
              <w:right w:val="nil"/>
            </w:tcBorders>
            <w:shd w:val="clear" w:color="auto" w:fill="auto"/>
            <w:vAlign w:val="center"/>
          </w:tcPr>
          <w:p w14:paraId="0E2DF3EC">
            <w:pPr>
              <w:keepNext w:val="0"/>
              <w:keepLines w:val="0"/>
              <w:widowControl/>
              <w:suppressLineNumbers w:val="0"/>
              <w:jc w:val="center"/>
              <w:textAlignment w:val="center"/>
              <w:rPr>
                <w:rFonts w:ascii="黑体" w:hAnsi="黑体" w:eastAsia="黑体" w:cs="黑体"/>
                <w:b/>
                <w:bCs/>
                <w:i w:val="0"/>
                <w:iCs w:val="0"/>
                <w:color w:val="000000"/>
                <w:sz w:val="30"/>
                <w:szCs w:val="30"/>
                <w:u w:val="none"/>
              </w:rPr>
            </w:pPr>
            <w:r>
              <w:rPr>
                <w:rFonts w:hint="eastAsia" w:ascii="黑体" w:hAnsi="黑体" w:eastAsia="黑体" w:cs="黑体"/>
                <w:b/>
                <w:bCs/>
                <w:i w:val="0"/>
                <w:iCs w:val="0"/>
                <w:color w:val="000000"/>
                <w:kern w:val="0"/>
                <w:sz w:val="30"/>
                <w:szCs w:val="30"/>
                <w:u w:val="none"/>
                <w:lang w:val="en-US" w:eastAsia="zh-CN" w:bidi="ar"/>
              </w:rPr>
              <w:t>部门项目支出绩效目标表（2024年度）</w:t>
            </w:r>
          </w:p>
        </w:tc>
      </w:tr>
      <w:tr w14:paraId="0092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3" w:type="dxa"/>
            <w:tcBorders>
              <w:top w:val="nil"/>
              <w:left w:val="nil"/>
              <w:bottom w:val="nil"/>
              <w:right w:val="nil"/>
            </w:tcBorders>
            <w:shd w:val="clear" w:color="auto" w:fill="auto"/>
            <w:noWrap/>
            <w:vAlign w:val="center"/>
          </w:tcPr>
          <w:p w14:paraId="4164E35B">
            <w:pPr>
              <w:rPr>
                <w:rFonts w:hint="eastAsia" w:ascii="宋体" w:hAnsi="宋体" w:eastAsia="宋体" w:cs="宋体"/>
                <w:i w:val="0"/>
                <w:iCs w:val="0"/>
                <w:color w:val="000000"/>
                <w:sz w:val="22"/>
                <w:szCs w:val="22"/>
                <w:u w:val="none"/>
              </w:rPr>
            </w:pPr>
          </w:p>
        </w:tc>
        <w:tc>
          <w:tcPr>
            <w:tcW w:w="941" w:type="dxa"/>
            <w:tcBorders>
              <w:top w:val="nil"/>
              <w:left w:val="nil"/>
              <w:bottom w:val="nil"/>
              <w:right w:val="nil"/>
            </w:tcBorders>
            <w:shd w:val="clear" w:color="auto" w:fill="auto"/>
            <w:noWrap/>
            <w:vAlign w:val="center"/>
          </w:tcPr>
          <w:p w14:paraId="66FAA45A">
            <w:pPr>
              <w:rPr>
                <w:rFonts w:hint="eastAsia" w:ascii="宋体" w:hAnsi="宋体" w:eastAsia="宋体" w:cs="宋体"/>
                <w:i w:val="0"/>
                <w:iCs w:val="0"/>
                <w:color w:val="000000"/>
                <w:sz w:val="22"/>
                <w:szCs w:val="22"/>
                <w:u w:val="none"/>
              </w:rPr>
            </w:pPr>
          </w:p>
        </w:tc>
        <w:tc>
          <w:tcPr>
            <w:tcW w:w="717" w:type="dxa"/>
            <w:tcBorders>
              <w:top w:val="nil"/>
              <w:left w:val="nil"/>
              <w:bottom w:val="nil"/>
              <w:right w:val="nil"/>
            </w:tcBorders>
            <w:shd w:val="clear" w:color="auto" w:fill="auto"/>
            <w:noWrap/>
            <w:vAlign w:val="center"/>
          </w:tcPr>
          <w:p w14:paraId="66437A4E">
            <w:pPr>
              <w:rPr>
                <w:rFonts w:hint="eastAsia" w:ascii="宋体" w:hAnsi="宋体" w:eastAsia="宋体" w:cs="宋体"/>
                <w:i w:val="0"/>
                <w:iCs w:val="0"/>
                <w:color w:val="000000"/>
                <w:sz w:val="22"/>
                <w:szCs w:val="22"/>
                <w:u w:val="none"/>
              </w:rPr>
            </w:pPr>
          </w:p>
        </w:tc>
        <w:tc>
          <w:tcPr>
            <w:tcW w:w="1400" w:type="dxa"/>
            <w:tcBorders>
              <w:top w:val="nil"/>
              <w:left w:val="nil"/>
              <w:bottom w:val="nil"/>
              <w:right w:val="nil"/>
            </w:tcBorders>
            <w:shd w:val="clear" w:color="auto" w:fill="auto"/>
            <w:noWrap/>
            <w:vAlign w:val="center"/>
          </w:tcPr>
          <w:p w14:paraId="3083283F">
            <w:pPr>
              <w:rPr>
                <w:rFonts w:hint="eastAsia" w:ascii="宋体" w:hAnsi="宋体" w:eastAsia="宋体" w:cs="宋体"/>
                <w:i w:val="0"/>
                <w:iCs w:val="0"/>
                <w:color w:val="000000"/>
                <w:sz w:val="22"/>
                <w:szCs w:val="22"/>
                <w:u w:val="none"/>
              </w:rPr>
            </w:pPr>
          </w:p>
        </w:tc>
        <w:tc>
          <w:tcPr>
            <w:tcW w:w="763" w:type="dxa"/>
            <w:tcBorders>
              <w:top w:val="nil"/>
              <w:left w:val="nil"/>
              <w:bottom w:val="nil"/>
              <w:right w:val="nil"/>
            </w:tcBorders>
            <w:shd w:val="clear" w:color="auto" w:fill="auto"/>
            <w:noWrap/>
            <w:vAlign w:val="center"/>
          </w:tcPr>
          <w:p w14:paraId="05AB07F9">
            <w:pPr>
              <w:rPr>
                <w:rFonts w:hint="eastAsia" w:ascii="宋体" w:hAnsi="宋体" w:eastAsia="宋体" w:cs="宋体"/>
                <w:i w:val="0"/>
                <w:iCs w:val="0"/>
                <w:color w:val="000000"/>
                <w:sz w:val="22"/>
                <w:szCs w:val="22"/>
                <w:u w:val="none"/>
              </w:rPr>
            </w:pPr>
          </w:p>
        </w:tc>
        <w:tc>
          <w:tcPr>
            <w:tcW w:w="770" w:type="dxa"/>
            <w:tcBorders>
              <w:top w:val="nil"/>
              <w:left w:val="nil"/>
              <w:bottom w:val="nil"/>
              <w:right w:val="nil"/>
            </w:tcBorders>
            <w:shd w:val="clear" w:color="auto" w:fill="auto"/>
            <w:noWrap/>
            <w:vAlign w:val="center"/>
          </w:tcPr>
          <w:p w14:paraId="567436D7">
            <w:pPr>
              <w:rPr>
                <w:rFonts w:hint="eastAsia" w:ascii="宋体" w:hAnsi="宋体" w:eastAsia="宋体" w:cs="宋体"/>
                <w:i w:val="0"/>
                <w:iCs w:val="0"/>
                <w:color w:val="000000"/>
                <w:sz w:val="22"/>
                <w:szCs w:val="22"/>
                <w:u w:val="none"/>
              </w:rPr>
            </w:pPr>
          </w:p>
        </w:tc>
        <w:tc>
          <w:tcPr>
            <w:tcW w:w="827" w:type="dxa"/>
            <w:tcBorders>
              <w:top w:val="nil"/>
              <w:left w:val="nil"/>
              <w:bottom w:val="nil"/>
              <w:right w:val="nil"/>
            </w:tcBorders>
            <w:shd w:val="clear" w:color="auto" w:fill="auto"/>
            <w:noWrap/>
            <w:vAlign w:val="center"/>
          </w:tcPr>
          <w:p w14:paraId="62119CA3">
            <w:pPr>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shd w:val="clear" w:color="auto" w:fill="auto"/>
            <w:noWrap/>
            <w:vAlign w:val="center"/>
          </w:tcPr>
          <w:p w14:paraId="0BC906B2">
            <w:pPr>
              <w:rPr>
                <w:rFonts w:hint="eastAsia" w:ascii="宋体" w:hAnsi="宋体" w:eastAsia="宋体" w:cs="宋体"/>
                <w:i w:val="0"/>
                <w:iCs w:val="0"/>
                <w:color w:val="000000"/>
                <w:sz w:val="22"/>
                <w:szCs w:val="22"/>
                <w:u w:val="none"/>
              </w:rPr>
            </w:pPr>
          </w:p>
        </w:tc>
        <w:tc>
          <w:tcPr>
            <w:tcW w:w="511" w:type="dxa"/>
            <w:tcBorders>
              <w:top w:val="nil"/>
              <w:left w:val="nil"/>
              <w:bottom w:val="nil"/>
              <w:right w:val="nil"/>
            </w:tcBorders>
            <w:shd w:val="clear" w:color="auto" w:fill="auto"/>
            <w:noWrap/>
            <w:vAlign w:val="center"/>
          </w:tcPr>
          <w:p w14:paraId="56E2F2B1">
            <w:pPr>
              <w:rPr>
                <w:rFonts w:hint="eastAsia" w:ascii="宋体" w:hAnsi="宋体" w:eastAsia="宋体" w:cs="宋体"/>
                <w:i w:val="0"/>
                <w:iCs w:val="0"/>
                <w:color w:val="000000"/>
                <w:sz w:val="22"/>
                <w:szCs w:val="22"/>
                <w:u w:val="none"/>
              </w:rPr>
            </w:pPr>
          </w:p>
        </w:tc>
        <w:tc>
          <w:tcPr>
            <w:tcW w:w="370" w:type="dxa"/>
            <w:tcBorders>
              <w:top w:val="nil"/>
              <w:left w:val="nil"/>
              <w:bottom w:val="nil"/>
              <w:right w:val="nil"/>
            </w:tcBorders>
            <w:shd w:val="clear" w:color="auto" w:fill="auto"/>
            <w:noWrap/>
            <w:vAlign w:val="center"/>
          </w:tcPr>
          <w:p w14:paraId="382268E2">
            <w:pPr>
              <w:rPr>
                <w:rFonts w:hint="eastAsia" w:ascii="宋体" w:hAnsi="宋体" w:eastAsia="宋体" w:cs="宋体"/>
                <w:i w:val="0"/>
                <w:iCs w:val="0"/>
                <w:color w:val="000000"/>
                <w:sz w:val="22"/>
                <w:szCs w:val="22"/>
                <w:u w:val="none"/>
              </w:rPr>
            </w:pPr>
          </w:p>
        </w:tc>
        <w:tc>
          <w:tcPr>
            <w:tcW w:w="396" w:type="dxa"/>
            <w:tcBorders>
              <w:top w:val="nil"/>
              <w:left w:val="nil"/>
              <w:bottom w:val="nil"/>
              <w:right w:val="nil"/>
            </w:tcBorders>
            <w:shd w:val="clear" w:color="auto" w:fill="auto"/>
            <w:noWrap/>
            <w:vAlign w:val="center"/>
          </w:tcPr>
          <w:p w14:paraId="656D0120">
            <w:pPr>
              <w:rPr>
                <w:rFonts w:hint="eastAsia" w:ascii="宋体" w:hAnsi="宋体" w:eastAsia="宋体" w:cs="宋体"/>
                <w:i w:val="0"/>
                <w:iCs w:val="0"/>
                <w:color w:val="000000"/>
                <w:sz w:val="22"/>
                <w:szCs w:val="22"/>
                <w:u w:val="none"/>
              </w:rPr>
            </w:pPr>
          </w:p>
        </w:tc>
        <w:tc>
          <w:tcPr>
            <w:tcW w:w="684" w:type="dxa"/>
            <w:tcBorders>
              <w:top w:val="nil"/>
              <w:left w:val="nil"/>
              <w:bottom w:val="nil"/>
              <w:right w:val="nil"/>
            </w:tcBorders>
            <w:shd w:val="clear" w:color="auto" w:fill="auto"/>
            <w:vAlign w:val="center"/>
          </w:tcPr>
          <w:p w14:paraId="42E9DD21">
            <w:pPr>
              <w:keepNext w:val="0"/>
              <w:keepLines w:val="0"/>
              <w:widowControl/>
              <w:suppressLineNumbers w:val="0"/>
              <w:jc w:val="righ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金额：万元</w:t>
            </w:r>
          </w:p>
        </w:tc>
      </w:tr>
      <w:tr w14:paraId="6D2B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43"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2D49EC7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单位名称</w:t>
            </w:r>
          </w:p>
        </w:tc>
        <w:tc>
          <w:tcPr>
            <w:tcW w:w="941"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262E15C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项目名称</w:t>
            </w:r>
          </w:p>
        </w:tc>
        <w:tc>
          <w:tcPr>
            <w:tcW w:w="717"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0C8C578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预算数</w:t>
            </w:r>
          </w:p>
        </w:tc>
        <w:tc>
          <w:tcPr>
            <w:tcW w:w="1400"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1146110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年度目标</w:t>
            </w:r>
          </w:p>
        </w:tc>
        <w:tc>
          <w:tcPr>
            <w:tcW w:w="763"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33C10E8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一级指标</w:t>
            </w:r>
          </w:p>
        </w:tc>
        <w:tc>
          <w:tcPr>
            <w:tcW w:w="770"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205F052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二级指标</w:t>
            </w:r>
          </w:p>
        </w:tc>
        <w:tc>
          <w:tcPr>
            <w:tcW w:w="827"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382AD1D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1A268B0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指标性质</w:t>
            </w:r>
          </w:p>
        </w:tc>
        <w:tc>
          <w:tcPr>
            <w:tcW w:w="511"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5ADFB60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指标值</w:t>
            </w:r>
          </w:p>
        </w:tc>
        <w:tc>
          <w:tcPr>
            <w:tcW w:w="370"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04314B0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度量单位</w:t>
            </w:r>
          </w:p>
        </w:tc>
        <w:tc>
          <w:tcPr>
            <w:tcW w:w="396"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55ADC49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权重</w:t>
            </w:r>
          </w:p>
        </w:tc>
        <w:tc>
          <w:tcPr>
            <w:tcW w:w="684"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5098179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指标方向性</w:t>
            </w:r>
          </w:p>
        </w:tc>
      </w:tr>
      <w:tr w14:paraId="7C85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70D4D6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中共松潘县委社会工作部部门</w:t>
            </w:r>
          </w:p>
        </w:tc>
        <w:tc>
          <w:tcPr>
            <w:tcW w:w="941"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2A169F68">
            <w:pPr>
              <w:rPr>
                <w:rFonts w:hint="eastAsia" w:ascii="黑体" w:hAnsi="黑体" w:eastAsia="黑体" w:cs="黑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1AA6EB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28.98</w:t>
            </w:r>
          </w:p>
        </w:tc>
        <w:tc>
          <w:tcPr>
            <w:tcW w:w="1400"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74D14806">
            <w:pPr>
              <w:rPr>
                <w:rFonts w:hint="eastAsia" w:ascii="黑体" w:hAnsi="黑体" w:eastAsia="黑体" w:cs="黑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56055EB4">
            <w:pPr>
              <w:rPr>
                <w:rFonts w:hint="eastAsia" w:ascii="黑体" w:hAnsi="黑体" w:eastAsia="黑体" w:cs="黑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1398381B">
            <w:pPr>
              <w:rPr>
                <w:rFonts w:hint="eastAsia" w:ascii="黑体" w:hAnsi="黑体" w:eastAsia="黑体" w:cs="黑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5EF33F6F">
            <w:pPr>
              <w:rPr>
                <w:rFonts w:hint="eastAsia" w:ascii="黑体" w:hAnsi="黑体" w:eastAsia="黑体" w:cs="黑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0B508D36">
            <w:pPr>
              <w:rPr>
                <w:rFonts w:hint="eastAsia" w:ascii="黑体" w:hAnsi="黑体" w:eastAsia="黑体" w:cs="黑体"/>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7FD9A279">
            <w:pPr>
              <w:rPr>
                <w:rFonts w:hint="eastAsia" w:ascii="黑体" w:hAnsi="黑体" w:eastAsia="黑体" w:cs="黑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28520594">
            <w:pPr>
              <w:rPr>
                <w:rFonts w:hint="eastAsia" w:ascii="黑体" w:hAnsi="黑体" w:eastAsia="黑体" w:cs="黑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6B09E2DA">
            <w:pPr>
              <w:rPr>
                <w:rFonts w:hint="eastAsia" w:ascii="黑体" w:hAnsi="黑体" w:eastAsia="黑体" w:cs="黑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F7F7F7" w:fill="F7F7F7"/>
            <w:vAlign w:val="center"/>
          </w:tcPr>
          <w:p w14:paraId="621EF0C7">
            <w:pPr>
              <w:rPr>
                <w:rFonts w:hint="eastAsia" w:ascii="黑体" w:hAnsi="黑体" w:eastAsia="黑体" w:cs="黑体"/>
                <w:i w:val="0"/>
                <w:iCs w:val="0"/>
                <w:color w:val="000000"/>
                <w:sz w:val="18"/>
                <w:szCs w:val="18"/>
                <w:u w:val="none"/>
              </w:rPr>
            </w:pPr>
          </w:p>
        </w:tc>
      </w:tr>
      <w:tr w14:paraId="27E8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14F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161002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松潘县社会工作服务中心</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F92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6A4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3C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F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E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9F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C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3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6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57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6F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0181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0B56">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F004">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9E78">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F254">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8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D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F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3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E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31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EA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79CD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9878">
            <w:pP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D3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单位缴费</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D52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4A6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8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7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54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2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BF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E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C9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9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3591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9BAB">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AC4EC">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1FBB">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0366">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CE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43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6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CA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A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2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1602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AFEA">
            <w:pP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709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320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E07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343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47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CC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0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C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C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6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反向指标</w:t>
            </w:r>
          </w:p>
        </w:tc>
      </w:tr>
      <w:tr w14:paraId="146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628B">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A8CF">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2B6F">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18EA">
            <w:pPr>
              <w:rPr>
                <w:rFonts w:hint="eastAsia" w:ascii="宋体" w:hAnsi="宋体" w:eastAsia="宋体" w:cs="宋体"/>
                <w:i w:val="0"/>
                <w:iCs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F688">
            <w:pP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8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w:t>
            </w:r>
            <w:bookmarkStart w:id="61" w:name="_GoBack"/>
            <w:r>
              <w:rPr>
                <w:rFonts w:ascii="宋体" w:hAnsi="宋体" w:eastAsia="宋体" w:cs="宋体"/>
                <w:i w:val="0"/>
                <w:iCs w:val="0"/>
                <w:color w:val="000000"/>
                <w:kern w:val="0"/>
                <w:sz w:val="18"/>
                <w:szCs w:val="18"/>
                <w:u w:val="none"/>
                <w:lang w:val="en-US" w:eastAsia="zh-CN" w:bidi="ar"/>
              </w:rPr>
              <w:t>（</w:t>
            </w:r>
            <w:bookmarkEnd w:id="61"/>
            <w:r>
              <w:rPr>
                <w:rFonts w:ascii="宋体" w:hAnsi="宋体" w:eastAsia="宋体" w:cs="宋体"/>
                <w:i w:val="0"/>
                <w:iCs w:val="0"/>
                <w:color w:val="000000"/>
                <w:kern w:val="0"/>
                <w:sz w:val="18"/>
                <w:szCs w:val="18"/>
                <w:u w:val="none"/>
                <w:lang w:val="en-US" w:eastAsia="zh-CN" w:bidi="ar"/>
              </w:rPr>
              <w:t>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5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AB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反向指标</w:t>
            </w:r>
          </w:p>
        </w:tc>
      </w:tr>
      <w:tr w14:paraId="2064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F3C6">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42E2">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612B9">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4D29">
            <w:pPr>
              <w:rPr>
                <w:rFonts w:hint="eastAsia" w:ascii="宋体" w:hAnsi="宋体" w:eastAsia="宋体" w:cs="宋体"/>
                <w:i w:val="0"/>
                <w:iCs w:val="0"/>
                <w:color w:val="000000"/>
                <w:sz w:val="18"/>
                <w:szCs w:val="18"/>
                <w:u w:val="none"/>
              </w:rPr>
            </w:pP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3F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79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1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7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7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8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73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29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反向指标</w:t>
            </w:r>
          </w:p>
        </w:tc>
      </w:tr>
      <w:tr w14:paraId="316C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72FA">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D4C4">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0F6D">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4437">
            <w:pPr>
              <w:rPr>
                <w:rFonts w:hint="eastAsia" w:ascii="宋体" w:hAnsi="宋体" w:eastAsia="宋体" w:cs="宋体"/>
                <w:i w:val="0"/>
                <w:iCs w:val="0"/>
                <w:color w:val="000000"/>
                <w:sz w:val="18"/>
                <w:szCs w:val="18"/>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7011">
            <w:pP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3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4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8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2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02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0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31E6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694E">
            <w:pP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9FF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51322424R000010101308-住房公积金（新）</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D63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077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E9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A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60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4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6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7C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76CE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98A2">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2F7E">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6D9E">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6A04">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0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1E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D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A7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7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D7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0B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14C0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41CE">
            <w:pP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3A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51322424R000010101712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社会保障缴费（新公务员医疗补助）</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B9C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E5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0E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E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99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3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2B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1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60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5DD8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6DF8">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AE730">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CD4F">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86B8">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5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7C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5F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F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9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3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42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4673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608F">
            <w:pP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859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51322424R000010101908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社会保障缴费（新职工基本医疗保险）</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FD5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18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0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B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EF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7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1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3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5270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891A">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E07E">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0B2E">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4E09">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8C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D5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F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9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B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5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3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EA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5214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A8E8">
            <w:pP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C9B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51322424R000010102119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社会保障缴费（新职业年金）</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C02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D2B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3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5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5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D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0F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4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A3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1AE2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8358">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D9F6">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8147">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BAD3">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8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80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F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6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A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A6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7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5274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DA7A">
            <w:pP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77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51322424R000010102322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社会保障缴费（新机关事业单位基本养老保险）</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AA2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40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E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B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A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3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C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B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3E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3E7D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98EA">
            <w:pP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BC09">
            <w:pP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20DC">
            <w:pPr>
              <w:jc w:val="right"/>
              <w:rPr>
                <w:rFonts w:hint="eastAsia" w:ascii="宋体" w:hAnsi="宋体" w:eastAsia="宋体" w:cs="宋体"/>
                <w:i w:val="0"/>
                <w:iCs w:val="0"/>
                <w:color w:val="000000"/>
                <w:sz w:val="18"/>
                <w:szCs w:val="1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C634">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3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03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2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0C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8F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5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正向指标</w:t>
            </w:r>
          </w:p>
        </w:tc>
      </w:tr>
      <w:tr w14:paraId="42A1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6C72">
            <w:pP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2C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51322424Y000010098372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0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F630">
            <w:pP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165F">
            <w:pP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DA2B">
            <w:pP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70F3">
            <w:pP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37D9">
            <w:pPr>
              <w:jc w:val="center"/>
              <w:rPr>
                <w:rFonts w:hint="eastAsia" w:ascii="宋体" w:hAnsi="宋体" w:eastAsia="宋体" w:cs="宋体"/>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A534">
            <w:pPr>
              <w:rPr>
                <w:rFonts w:hint="eastAsia" w:ascii="宋体" w:hAnsi="宋体" w:eastAsia="宋体" w:cs="宋体"/>
                <w:i w:val="0"/>
                <w:iCs w:val="0"/>
                <w:color w:val="000000"/>
                <w:sz w:val="18"/>
                <w:szCs w:val="18"/>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5927">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D6D7">
            <w:pP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5A4B">
            <w:pPr>
              <w:rPr>
                <w:rFonts w:hint="eastAsia" w:ascii="宋体" w:hAnsi="宋体" w:eastAsia="宋体" w:cs="宋体"/>
                <w:i w:val="0"/>
                <w:iCs w:val="0"/>
                <w:color w:val="000000"/>
                <w:sz w:val="18"/>
                <w:szCs w:val="18"/>
                <w:u w:val="none"/>
              </w:rPr>
            </w:pPr>
          </w:p>
        </w:tc>
      </w:tr>
    </w:tbl>
    <w:p w14:paraId="3BA1145E">
      <w:pPr>
        <w:widowControl/>
        <w:jc w:val="center"/>
        <w:rPr>
          <w:rFonts w:hint="eastAsia" w:ascii="Times New Roman" w:hAnsi="Times New Roman" w:eastAsia="黑体"/>
          <w:color w:val="auto"/>
          <w:sz w:val="44"/>
          <w:szCs w:val="44"/>
          <w:highlight w:val="none"/>
        </w:rPr>
      </w:pPr>
    </w:p>
    <w:p w14:paraId="50AE180D">
      <w:pPr>
        <w:widowControl/>
        <w:jc w:val="center"/>
        <w:rPr>
          <w:rFonts w:hint="eastAsia" w:ascii="Times New Roman" w:hAnsi="Times New Roman" w:eastAsia="黑体"/>
          <w:color w:val="auto"/>
          <w:sz w:val="44"/>
          <w:szCs w:val="44"/>
          <w:highlight w:val="none"/>
        </w:rPr>
      </w:pPr>
    </w:p>
    <w:p w14:paraId="22C2BF31">
      <w:pPr>
        <w:widowControl/>
        <w:jc w:val="center"/>
        <w:rPr>
          <w:rFonts w:hint="eastAsia" w:ascii="Times New Roman" w:hAnsi="Times New Roman" w:eastAsia="黑体"/>
          <w:color w:val="auto"/>
          <w:sz w:val="44"/>
          <w:szCs w:val="44"/>
          <w:highlight w:val="none"/>
        </w:rPr>
      </w:pPr>
    </w:p>
    <w:p w14:paraId="2DF77F41">
      <w:pPr>
        <w:widowControl/>
        <w:jc w:val="center"/>
        <w:rPr>
          <w:rFonts w:hint="eastAsia" w:ascii="Times New Roman" w:hAnsi="Times New Roman" w:eastAsia="黑体"/>
          <w:color w:val="auto"/>
          <w:sz w:val="44"/>
          <w:szCs w:val="44"/>
          <w:highlight w:val="none"/>
        </w:rPr>
      </w:pPr>
    </w:p>
    <w:p w14:paraId="37F31506">
      <w:pPr>
        <w:widowControl/>
        <w:jc w:val="center"/>
        <w:rPr>
          <w:rFonts w:hint="eastAsia" w:ascii="Times New Roman" w:hAnsi="Times New Roman" w:eastAsia="黑体"/>
          <w:color w:val="auto"/>
          <w:sz w:val="44"/>
          <w:szCs w:val="44"/>
          <w:highlight w:val="none"/>
        </w:rPr>
      </w:pPr>
    </w:p>
    <w:p w14:paraId="7130B3B0">
      <w:pPr>
        <w:widowControl/>
        <w:jc w:val="center"/>
        <w:rPr>
          <w:rFonts w:hint="eastAsia" w:ascii="Times New Roman" w:hAnsi="Times New Roman" w:eastAsia="黑体"/>
          <w:color w:val="auto"/>
          <w:sz w:val="44"/>
          <w:szCs w:val="44"/>
          <w:highlight w:val="none"/>
        </w:rPr>
      </w:pPr>
    </w:p>
    <w:p w14:paraId="2FDEFA4D">
      <w:pPr>
        <w:widowControl/>
        <w:jc w:val="center"/>
        <w:rPr>
          <w:rFonts w:hint="eastAsia" w:ascii="Times New Roman" w:hAnsi="Times New Roman" w:eastAsia="黑体"/>
          <w:color w:val="auto"/>
          <w:sz w:val="44"/>
          <w:szCs w:val="44"/>
          <w:highlight w:val="none"/>
        </w:rPr>
      </w:pPr>
    </w:p>
    <w:p w14:paraId="7940F040">
      <w:pPr>
        <w:widowControl/>
        <w:jc w:val="center"/>
        <w:rPr>
          <w:rFonts w:hint="eastAsia" w:ascii="Times New Roman" w:hAnsi="Times New Roman" w:eastAsia="黑体"/>
          <w:color w:val="auto"/>
          <w:sz w:val="44"/>
          <w:szCs w:val="44"/>
          <w:highlight w:val="none"/>
        </w:rPr>
      </w:pPr>
    </w:p>
    <w:p w14:paraId="3A58293D">
      <w:pPr>
        <w:widowControl/>
        <w:jc w:val="center"/>
        <w:rPr>
          <w:rFonts w:hint="eastAsia" w:ascii="Times New Roman" w:hAnsi="Times New Roman" w:eastAsia="黑体"/>
          <w:color w:val="auto"/>
          <w:sz w:val="44"/>
          <w:szCs w:val="44"/>
          <w:highlight w:val="none"/>
        </w:rPr>
      </w:pPr>
    </w:p>
    <w:p w14:paraId="6F8B70A6">
      <w:pPr>
        <w:widowControl/>
        <w:jc w:val="center"/>
        <w:rPr>
          <w:rFonts w:hint="eastAsia" w:ascii="Times New Roman" w:hAnsi="Times New Roman" w:eastAsia="黑体"/>
          <w:color w:val="auto"/>
          <w:sz w:val="44"/>
          <w:szCs w:val="44"/>
          <w:highlight w:val="none"/>
        </w:rPr>
      </w:pPr>
    </w:p>
    <w:p w14:paraId="0EBE6706">
      <w:pPr>
        <w:widowControl/>
        <w:jc w:val="center"/>
        <w:rPr>
          <w:rFonts w:hint="eastAsia" w:ascii="Times New Roman" w:hAnsi="Times New Roman" w:eastAsia="黑体"/>
          <w:color w:val="auto"/>
          <w:sz w:val="44"/>
          <w:szCs w:val="44"/>
          <w:highlight w:val="none"/>
        </w:rPr>
      </w:pPr>
    </w:p>
    <w:p w14:paraId="5C59BF29">
      <w:pPr>
        <w:widowControl/>
        <w:jc w:val="both"/>
        <w:rPr>
          <w:rFonts w:hint="eastAsia" w:ascii="Times New Roman" w:hAnsi="Times New Roman" w:eastAsia="黑体"/>
          <w:color w:val="auto"/>
          <w:sz w:val="44"/>
          <w:szCs w:val="44"/>
          <w:highlight w:val="none"/>
        </w:rPr>
      </w:pPr>
    </w:p>
    <w:p w14:paraId="3D974401">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val="en-US" w:eastAsia="zh-CN"/>
        </w:rPr>
        <w:t>五</w:t>
      </w:r>
      <w:r>
        <w:rPr>
          <w:rStyle w:val="29"/>
          <w:rFonts w:hint="eastAsia" w:ascii="Times New Roman" w:hAnsi="Times New Roman" w:eastAsia="黑体"/>
          <w:b w:val="0"/>
          <w:color w:val="auto"/>
          <w:highlight w:val="none"/>
        </w:rPr>
        <w:t>部分 附表</w:t>
      </w:r>
      <w:bookmarkEnd w:id="46"/>
      <w:bookmarkEnd w:id="47"/>
      <w:bookmarkStart w:id="48" w:name="_Toc15396619"/>
    </w:p>
    <w:p w14:paraId="08CC155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2AB41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581174B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6A89718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6AB12AF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4848210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A26432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5747F94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158C726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276DFDB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5FCA6A3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5CA1FC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DFC5C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4852BA4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680324D1">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2A547C-98F8-4924-8874-2B58FADB2A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D4095F5-3B24-400C-B257-806761042382}"/>
  </w:font>
  <w:font w:name="仿宋">
    <w:panose1 w:val="02010609060101010101"/>
    <w:charset w:val="86"/>
    <w:family w:val="modern"/>
    <w:pitch w:val="default"/>
    <w:sig w:usb0="800002BF" w:usb1="38CF7CFA" w:usb2="00000016" w:usb3="00000000" w:csb0="00040001" w:csb1="00000000"/>
    <w:embedRegular r:id="rId3" w:fontKey="{EE6B9D8E-9D74-421E-93EF-B23CCC55918C}"/>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01BF73E7-B1DD-424F-A637-18DE154AE3F5}"/>
  </w:font>
  <w:font w:name="楷体_GB2312">
    <w:panose1 w:val="02010609030101010101"/>
    <w:charset w:val="86"/>
    <w:family w:val="auto"/>
    <w:pitch w:val="default"/>
    <w:sig w:usb0="00000001" w:usb1="080E0000" w:usb2="00000000" w:usb3="00000000" w:csb0="00040000" w:csb1="00000000"/>
    <w:embedRegular r:id="rId5" w:fontKey="{F63C2D4A-C707-4966-8B77-0EDBA84DC3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9405">
    <w:pPr>
      <w:pStyle w:val="11"/>
      <w:jc w:val="center"/>
    </w:pPr>
  </w:p>
  <w:p w14:paraId="79E846D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2844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F468">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531D5">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4531D5">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CFFF7C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D9E9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9AA9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99AA9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119B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399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40F11"/>
    <w:multiLevelType w:val="singleLevel"/>
    <w:tmpl w:val="DFA40F11"/>
    <w:lvl w:ilvl="0" w:tentative="0">
      <w:start w:val="1"/>
      <w:numFmt w:val="chineseCounting"/>
      <w:suff w:val="nothing"/>
      <w:lvlText w:val="%1、"/>
      <w:lvlJc w:val="left"/>
      <w:rPr>
        <w:rFonts w:hint="eastAsia"/>
      </w:rPr>
    </w:lvl>
  </w:abstractNum>
  <w:abstractNum w:abstractNumId="1">
    <w:nsid w:val="6915BD43"/>
    <w:multiLevelType w:val="singleLevel"/>
    <w:tmpl w:val="6915BD4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4525A2"/>
    <w:rsid w:val="0CA8290A"/>
    <w:rsid w:val="0D35B1ED"/>
    <w:rsid w:val="0E254B6B"/>
    <w:rsid w:val="0F98263C"/>
    <w:rsid w:val="101860EC"/>
    <w:rsid w:val="101F47CC"/>
    <w:rsid w:val="10C055FF"/>
    <w:rsid w:val="11694EBD"/>
    <w:rsid w:val="11772AA4"/>
    <w:rsid w:val="118107EC"/>
    <w:rsid w:val="12E24EE2"/>
    <w:rsid w:val="13D50BC4"/>
    <w:rsid w:val="145215E4"/>
    <w:rsid w:val="14B17F78"/>
    <w:rsid w:val="165E0673"/>
    <w:rsid w:val="16B831D5"/>
    <w:rsid w:val="16BB723D"/>
    <w:rsid w:val="17E50567"/>
    <w:rsid w:val="186504BB"/>
    <w:rsid w:val="19A445FC"/>
    <w:rsid w:val="1BE8440E"/>
    <w:rsid w:val="1D155CEE"/>
    <w:rsid w:val="1D1638FE"/>
    <w:rsid w:val="1E312DEB"/>
    <w:rsid w:val="1E740ACF"/>
    <w:rsid w:val="1F1E522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287671"/>
    <w:rsid w:val="30AB6865"/>
    <w:rsid w:val="319F7F4E"/>
    <w:rsid w:val="32BD1EF1"/>
    <w:rsid w:val="3304709D"/>
    <w:rsid w:val="33A773CB"/>
    <w:rsid w:val="349D6851"/>
    <w:rsid w:val="36AA5135"/>
    <w:rsid w:val="36BE0DA7"/>
    <w:rsid w:val="376B6AA6"/>
    <w:rsid w:val="376D39B2"/>
    <w:rsid w:val="37E16F03"/>
    <w:rsid w:val="37F53A3B"/>
    <w:rsid w:val="380F76EB"/>
    <w:rsid w:val="389B6C89"/>
    <w:rsid w:val="38D469F0"/>
    <w:rsid w:val="39627CCD"/>
    <w:rsid w:val="397BAF1F"/>
    <w:rsid w:val="3AB79AF3"/>
    <w:rsid w:val="3AC30C17"/>
    <w:rsid w:val="3AE834C0"/>
    <w:rsid w:val="3B7EF35A"/>
    <w:rsid w:val="3B9FDB6C"/>
    <w:rsid w:val="3BBA42A4"/>
    <w:rsid w:val="3BF5BC2F"/>
    <w:rsid w:val="3CEBA265"/>
    <w:rsid w:val="3D98207C"/>
    <w:rsid w:val="3DEE7CF3"/>
    <w:rsid w:val="3E740A63"/>
    <w:rsid w:val="3E78745D"/>
    <w:rsid w:val="3EE17838"/>
    <w:rsid w:val="3F55381A"/>
    <w:rsid w:val="3F7F7599"/>
    <w:rsid w:val="3FF4CAE0"/>
    <w:rsid w:val="3FF7B227"/>
    <w:rsid w:val="43562841"/>
    <w:rsid w:val="44E268DA"/>
    <w:rsid w:val="450D13D7"/>
    <w:rsid w:val="45506656"/>
    <w:rsid w:val="486A6C7A"/>
    <w:rsid w:val="4A627F82"/>
    <w:rsid w:val="4B0E749A"/>
    <w:rsid w:val="4B2477C4"/>
    <w:rsid w:val="4B4F25DA"/>
    <w:rsid w:val="4BE068DB"/>
    <w:rsid w:val="4D577224"/>
    <w:rsid w:val="4DBF1CEB"/>
    <w:rsid w:val="4DF0007C"/>
    <w:rsid w:val="4EAB630A"/>
    <w:rsid w:val="4ECE2238"/>
    <w:rsid w:val="4EDA49E2"/>
    <w:rsid w:val="4F833267"/>
    <w:rsid w:val="4FE9BD67"/>
    <w:rsid w:val="4FFB052F"/>
    <w:rsid w:val="537E6D0A"/>
    <w:rsid w:val="53F74C96"/>
    <w:rsid w:val="55170BA8"/>
    <w:rsid w:val="553218C9"/>
    <w:rsid w:val="567E1AA5"/>
    <w:rsid w:val="56E47B74"/>
    <w:rsid w:val="57175D52"/>
    <w:rsid w:val="57BD3DD4"/>
    <w:rsid w:val="5AF92295"/>
    <w:rsid w:val="5B250254"/>
    <w:rsid w:val="5BDD79E6"/>
    <w:rsid w:val="5BE719DE"/>
    <w:rsid w:val="5BF561CA"/>
    <w:rsid w:val="5BFF5DFC"/>
    <w:rsid w:val="5CD71FC4"/>
    <w:rsid w:val="5D1F11B5"/>
    <w:rsid w:val="5D695134"/>
    <w:rsid w:val="5DAE1B18"/>
    <w:rsid w:val="5DE7D9E5"/>
    <w:rsid w:val="5ECEC941"/>
    <w:rsid w:val="5FBF9FF3"/>
    <w:rsid w:val="5FCD4E2C"/>
    <w:rsid w:val="5FEF394A"/>
    <w:rsid w:val="5FF67715"/>
    <w:rsid w:val="62BF3928"/>
    <w:rsid w:val="62F23F1C"/>
    <w:rsid w:val="63B3701E"/>
    <w:rsid w:val="647F5392"/>
    <w:rsid w:val="65E66580"/>
    <w:rsid w:val="664B1D71"/>
    <w:rsid w:val="664B4E8E"/>
    <w:rsid w:val="67277B67"/>
    <w:rsid w:val="67AA3209"/>
    <w:rsid w:val="698D0931"/>
    <w:rsid w:val="6A17065C"/>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F7639A"/>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9D0B15"/>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A324B9"/>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15"/>
    <w:basedOn w:val="17"/>
    <w:qFormat/>
    <w:uiPriority w:val="0"/>
    <w:rPr>
      <w:rFonts w:ascii="Times New Roman" w:hAnsi="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5427</Words>
  <Characters>6075</Characters>
  <Lines>61</Lines>
  <Paragraphs>17</Paragraphs>
  <TotalTime>8</TotalTime>
  <ScaleCrop>false</ScaleCrop>
  <LinksUpToDate>false</LinksUpToDate>
  <CharactersWithSpaces>6097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2025-10-17T07:51:54Z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9674C0F96F604A4B9ABCD0ADD933FE5C_13</vt:lpwstr>
  </property>
  <property fmtid="{D5CDD505-2E9C-101B-9397-08002B2CF9AE}" pid="4" name="KSOTemplateDocerSaveRecord">
    <vt:lpwstr>eyJoZGlkIjoiNTU1MWNhN2ZmY2ZhZmY3ODhlYTg0MWU5OGMyY2QwZmUiLCJ1c2VySWQiOiI0MzQ2NTM0NzEifQ==</vt:lpwstr>
  </property>
</Properties>
</file>