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B42F1">
      <w:pPr>
        <w:pStyle w:val="6"/>
        <w:rPr>
          <w:rFonts w:hint="eastAsia" w:ascii="Times New Roman" w:hAnsi="Times New Roman" w:eastAsia="方正小标宋简体" w:cs="Times New Roman"/>
          <w:color w:val="auto"/>
          <w:kern w:val="2"/>
          <w:sz w:val="72"/>
          <w:szCs w:val="72"/>
          <w:highlight w:val="none"/>
          <w:lang w:val="en-US" w:eastAsia="zh-CN" w:bidi="ar-SA"/>
        </w:rPr>
      </w:pPr>
      <w:bookmarkStart w:id="0" w:name="_Toc15306267"/>
      <w:bookmarkStart w:id="1" w:name="_Toc15377193"/>
      <w:bookmarkStart w:id="2" w:name="_Toc15378441"/>
      <w:bookmarkStart w:id="3" w:name="_Toc15377425"/>
      <w:bookmarkStart w:id="4" w:name="_Toc15396475"/>
      <w:bookmarkStart w:id="5" w:name="_Toc15396597"/>
    </w:p>
    <w:p w14:paraId="284B492F">
      <w:pPr>
        <w:pStyle w:val="6"/>
        <w:rPr>
          <w:rFonts w:hint="eastAsia" w:ascii="Times New Roman" w:hAnsi="Times New Roman" w:eastAsia="方正小标宋简体" w:cs="Times New Roman"/>
          <w:color w:val="auto"/>
          <w:kern w:val="2"/>
          <w:sz w:val="72"/>
          <w:szCs w:val="72"/>
          <w:highlight w:val="none"/>
          <w:lang w:val="en-US" w:eastAsia="zh-CN" w:bidi="ar-SA"/>
        </w:rPr>
      </w:pPr>
    </w:p>
    <w:p w14:paraId="19C9B301">
      <w:pPr>
        <w:pStyle w:val="6"/>
        <w:rPr>
          <w:rFonts w:hint="eastAsia" w:ascii="Times New Roman" w:hAnsi="Times New Roman" w:eastAsia="方正小标宋简体" w:cs="Times New Roman"/>
          <w:color w:val="auto"/>
          <w:kern w:val="2"/>
          <w:sz w:val="72"/>
          <w:szCs w:val="72"/>
          <w:highlight w:val="none"/>
          <w:lang w:val="en-US" w:eastAsia="zh-CN" w:bidi="ar-SA"/>
        </w:rPr>
      </w:pPr>
    </w:p>
    <w:p w14:paraId="07A2F9A0">
      <w:pPr>
        <w:pStyle w:val="6"/>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p>
    <w:p w14:paraId="7998383F">
      <w:pPr>
        <w:pStyle w:val="6"/>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spacing w:val="-20"/>
          <w:kern w:val="2"/>
          <w:sz w:val="44"/>
          <w:szCs w:val="44"/>
          <w:highlight w:val="none"/>
          <w:lang w:val="en-US" w:eastAsia="zh-CN" w:bidi="ar-SA"/>
        </w:rPr>
        <w:t>四川省阿坝州中共松潘县委社会工作部部</w:t>
      </w:r>
      <w:r>
        <w:rPr>
          <w:rFonts w:hint="eastAsia" w:ascii="Times New Roman" w:eastAsia="方正小标宋简体" w:cs="Times New Roman"/>
          <w:color w:val="auto"/>
          <w:kern w:val="2"/>
          <w:sz w:val="44"/>
          <w:szCs w:val="44"/>
          <w:highlight w:val="none"/>
          <w:lang w:val="en-US" w:eastAsia="zh-CN" w:bidi="ar-SA"/>
        </w:rPr>
        <w:t>门</w:t>
      </w:r>
    </w:p>
    <w:p w14:paraId="6E9D0380">
      <w:pPr>
        <w:pStyle w:val="6"/>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决算</w:t>
      </w:r>
      <w:r>
        <w:rPr>
          <w:rFonts w:hint="eastAsia" w:ascii="Times New Roman" w:eastAsia="方正小标宋简体" w:cs="Times New Roman"/>
          <w:color w:val="auto"/>
          <w:kern w:val="2"/>
          <w:sz w:val="44"/>
          <w:szCs w:val="44"/>
          <w:highlight w:val="none"/>
          <w:lang w:val="en-US" w:eastAsia="zh-CN" w:bidi="ar-SA"/>
        </w:rPr>
        <w:t>公开</w:t>
      </w:r>
    </w:p>
    <w:p w14:paraId="09DC32E9">
      <w:pPr>
        <w:pStyle w:val="20"/>
        <w:rPr>
          <w:rFonts w:ascii="Times New Roman" w:hAnsi="Times New Roman"/>
        </w:rPr>
        <w:sectPr>
          <w:headerReference r:id="rId4" w:type="first"/>
          <w:footerReference r:id="rId6" w:type="first"/>
          <w:headerReference r:id="rId3" w:type="default"/>
          <w:footerReference r:id="rId5"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14:paraId="68B22150">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48185342">
      <w:pPr>
        <w:widowControl/>
        <w:jc w:val="center"/>
        <w:rPr>
          <w:rFonts w:ascii="Times New Roman" w:hAnsi="Times New Roman" w:eastAsia="黑体" w:cstheme="minorBidi"/>
          <w:color w:val="auto"/>
          <w:sz w:val="28"/>
          <w:szCs w:val="28"/>
          <w:highlight w:val="none"/>
        </w:rPr>
      </w:pPr>
    </w:p>
    <w:p w14:paraId="16A56E71">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10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17 </w:t>
      </w:r>
      <w:r>
        <w:rPr>
          <w:rFonts w:hint="eastAsia" w:ascii="Times New Roman" w:hAnsi="Times New Roman" w:eastAsia="仿宋_GB2312" w:cs="仿宋_GB2312"/>
          <w:color w:val="auto"/>
          <w:sz w:val="32"/>
          <w:szCs w:val="32"/>
          <w:highlight w:val="none"/>
        </w:rPr>
        <w:t>日</w:t>
      </w:r>
    </w:p>
    <w:p w14:paraId="5B09BC50">
      <w:pPr>
        <w:rPr>
          <w:rFonts w:ascii="Times New Roman" w:hAnsi="Times New Roman"/>
          <w:color w:val="auto"/>
          <w:highlight w:val="none"/>
        </w:rPr>
      </w:pPr>
    </w:p>
    <w:p w14:paraId="1FF33C18">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p>
    <w:p w14:paraId="2BFE3F0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p>
    <w:p w14:paraId="2873A1A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p>
    <w:p w14:paraId="2033CF35">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p>
    <w:p w14:paraId="7BFAD46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一、收入支出决算总体情况说明</w:t>
      </w:r>
    </w:p>
    <w:p w14:paraId="3A4133E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p>
    <w:p w14:paraId="4FD9EC8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p>
    <w:p w14:paraId="2BAFA2C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p>
    <w:p w14:paraId="719C79C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五、一般公共预算财政拨款支出决算情况说明</w:t>
      </w:r>
    </w:p>
    <w:p w14:paraId="1EEC161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六、一般公共预算财政拨款基本支出决算情况说明</w:t>
      </w:r>
    </w:p>
    <w:p w14:paraId="1C2434C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p>
    <w:p w14:paraId="4D06BB8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八、政府性基金预算支出决算情况说明</w:t>
      </w:r>
    </w:p>
    <w:p w14:paraId="47E7D27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p>
    <w:p w14:paraId="36FFECB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p>
    <w:p w14:paraId="2696FACD">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第三部分 名词解释</w:t>
      </w:r>
    </w:p>
    <w:p w14:paraId="59B4082B">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第四部分 附件</w:t>
      </w:r>
    </w:p>
    <w:p w14:paraId="4E92B30F">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第五部分 附表</w:t>
      </w:r>
    </w:p>
    <w:p w14:paraId="34FD692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14:paraId="2E35F60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14:paraId="027993D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14:paraId="5D5D405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14:paraId="3C6DE97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14:paraId="679F6A0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14:paraId="37C91A5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14:paraId="3CD31DD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3D5E1D4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14:paraId="4671792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14:paraId="0054587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14:paraId="297CCB0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14:paraId="78ED523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14:paraId="3AAB173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注：请部门根据实际注明页码</w:t>
      </w:r>
      <w:r>
        <w:rPr>
          <w:rFonts w:hint="eastAsia" w:ascii="Times New Roman" w:hAnsi="Times New Roman" w:eastAsia="仿宋_GB2312" w:cs="仿宋_GB2312"/>
          <w:b/>
          <w:bCs/>
          <w:color w:val="auto"/>
          <w:sz w:val="32"/>
          <w:szCs w:val="32"/>
          <w:highlight w:val="none"/>
          <w:lang w:eastAsia="zh-CN"/>
        </w:rPr>
        <w:t>）</w:t>
      </w:r>
    </w:p>
    <w:p w14:paraId="0A2B71FE">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6" w:name="_Toc15377196"/>
      <w:bookmarkStart w:id="7" w:name="_Toc15396599"/>
      <w:r>
        <w:rPr>
          <w:rFonts w:hint="eastAsia" w:ascii="Times New Roman" w:hAnsi="Times New Roman" w:eastAsia="仿宋_GB2312" w:cs="仿宋_GB2312"/>
          <w:b/>
          <w:color w:val="auto"/>
          <w:sz w:val="32"/>
          <w:szCs w:val="32"/>
          <w:highlight w:val="none"/>
        </w:rPr>
        <w:br w:type="page"/>
      </w:r>
    </w:p>
    <w:p w14:paraId="483051EE">
      <w:pPr>
        <w:pStyle w:val="3"/>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6"/>
      <w:bookmarkEnd w:id="7"/>
    </w:p>
    <w:p w14:paraId="587117FB">
      <w:pPr>
        <w:pStyle w:val="4"/>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14:paraId="330B1116">
      <w:pPr>
        <w:ind w:firstLine="640" w:firstLineChars="200"/>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不予公开</w:t>
      </w:r>
    </w:p>
    <w:p w14:paraId="4C563ECC">
      <w:pPr>
        <w:pStyle w:val="4"/>
        <w:rPr>
          <w:rStyle w:val="30"/>
          <w:rFonts w:hint="eastAsia" w:ascii="Times New Roman" w:hAnsi="Times New Roman" w:eastAsia="黑体"/>
          <w:b w:val="0"/>
          <w:bCs w:val="0"/>
          <w:color w:val="auto"/>
          <w:highlight w:val="none"/>
        </w:rPr>
      </w:pPr>
      <w:bookmarkStart w:id="8" w:name="_Toc15396601"/>
      <w:bookmarkStart w:id="9" w:name="_Toc15377200"/>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8"/>
      <w:bookmarkEnd w:id="9"/>
    </w:p>
    <w:p w14:paraId="517C03B3">
      <w:pPr>
        <w:widowControl/>
        <w:ind w:firstLine="640" w:firstLineChars="200"/>
        <w:jc w:val="left"/>
        <w:rPr>
          <w:rFonts w:ascii="Times New Roman" w:hAnsi="Times New Roman" w:eastAsia="仿宋"/>
          <w:color w:val="auto"/>
          <w:kern w:val="0"/>
          <w:sz w:val="32"/>
          <w:szCs w:val="32"/>
          <w:highlight w:val="none"/>
        </w:rPr>
      </w:pPr>
      <w:r>
        <w:rPr>
          <w:rFonts w:hint="eastAsia" w:eastAsia="仿宋"/>
          <w:color w:val="auto"/>
          <w:sz w:val="32"/>
          <w:szCs w:val="32"/>
          <w:highlight w:val="none"/>
          <w:lang w:val="en-US" w:eastAsia="zh-CN"/>
        </w:rPr>
        <w:t>不予公开</w:t>
      </w:r>
      <w:r>
        <w:rPr>
          <w:rFonts w:ascii="Times New Roman" w:hAnsi="Times New Roman" w:eastAsia="仿宋"/>
          <w:color w:val="auto"/>
          <w:sz w:val="32"/>
          <w:szCs w:val="32"/>
          <w:highlight w:val="none"/>
        </w:rPr>
        <w:br w:type="page"/>
      </w:r>
    </w:p>
    <w:p w14:paraId="0ACA0BDA">
      <w:pPr>
        <w:pStyle w:val="3"/>
        <w:jc w:val="center"/>
        <w:rPr>
          <w:rFonts w:ascii="Times New Roman" w:hAnsi="Times New Roman"/>
          <w:color w:val="auto"/>
          <w:highlight w:val="none"/>
        </w:rPr>
      </w:pPr>
      <w:bookmarkStart w:id="10" w:name="_Toc15377204"/>
      <w:bookmarkStart w:id="11"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0"/>
      <w:bookmarkEnd w:id="11"/>
    </w:p>
    <w:p w14:paraId="4F9C584C">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2" w:name="_Toc15396603"/>
      <w:bookmarkStart w:id="13"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12"/>
      <w:bookmarkEnd w:id="13"/>
    </w:p>
    <w:p w14:paraId="76D10877">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37.22</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37.22</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100</w:t>
      </w:r>
      <w:r>
        <w:rPr>
          <w:rFonts w:hint="eastAsia" w:ascii="Times New Roman" w:hAnsi="Times New Roman" w:eastAsia="仿宋_GB2312" w:cs="仿宋_GB2312"/>
          <w:color w:val="auto"/>
          <w:sz w:val="32"/>
          <w:szCs w:val="32"/>
          <w:highlight w:val="none"/>
        </w:rPr>
        <w:t>%。主要变动原因是</w:t>
      </w:r>
      <w:r>
        <w:rPr>
          <w:rStyle w:val="36"/>
          <w:rFonts w:hint="eastAsia" w:ascii="仿宋_GB2312" w:eastAsia="仿宋_GB2312"/>
          <w:sz w:val="32"/>
          <w:szCs w:val="32"/>
          <w:shd w:val="clear" w:color="auto" w:fill="FFFFFF"/>
        </w:rPr>
        <w:t>本单位于2024年新成立机构</w:t>
      </w:r>
      <w:bookmarkStart w:id="14" w:name="_Toc15377206"/>
      <w:bookmarkStart w:id="15" w:name="_Toc15396604"/>
      <w:r>
        <w:rPr>
          <w:rFonts w:hint="eastAsia" w:eastAsia="仿宋_GB2312" w:cs="仿宋_GB2312"/>
          <w:color w:val="auto"/>
          <w:sz w:val="32"/>
          <w:szCs w:val="32"/>
          <w:highlight w:val="none"/>
          <w:lang w:eastAsia="zh-CN"/>
        </w:rPr>
        <w:t>。</w:t>
      </w:r>
    </w:p>
    <w:p w14:paraId="0F7E9ABF">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r>
        <w:rPr>
          <w:rFonts w:hint="eastAsia" w:ascii="Times New Roman" w:hAnsi="Times New Roman" w:eastAsia="黑体"/>
          <w:color w:val="auto"/>
          <w:sz w:val="32"/>
          <w:szCs w:val="32"/>
          <w:highlight w:val="none"/>
          <w:lang w:eastAsia="zh-CN"/>
        </w:rPr>
        <w:t>二、收入决算情况说明</w:t>
      </w:r>
      <w:bookmarkEnd w:id="14"/>
      <w:bookmarkEnd w:id="15"/>
    </w:p>
    <w:p w14:paraId="0499CFC0">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lang w:val="en-US" w:eastAsia="zh-CN"/>
        </w:rPr>
        <w:t>66.2</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66.2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60FF47F0">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6" w:name="_Toc15396605"/>
      <w:bookmarkStart w:id="17"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16"/>
      <w:bookmarkEnd w:id="17"/>
    </w:p>
    <w:p w14:paraId="19F2236F">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lang w:val="en-US" w:eastAsia="zh-CN"/>
        </w:rPr>
        <w:t>66.2</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color w:val="auto"/>
          <w:sz w:val="32"/>
          <w:szCs w:val="32"/>
          <w:highlight w:val="none"/>
          <w:lang w:val="en-US" w:eastAsia="zh-CN"/>
        </w:rPr>
        <w:t>66.</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32C2A6AF">
      <w:pPr>
        <w:spacing w:line="600" w:lineRule="exact"/>
        <w:ind w:firstLine="640" w:firstLineChars="200"/>
        <w:outlineLvl w:val="1"/>
        <w:rPr>
          <w:rStyle w:val="30"/>
          <w:rFonts w:ascii="Times New Roman" w:hAnsi="Times New Roman" w:eastAsia="黑体"/>
          <w:b w:val="0"/>
          <w:color w:val="auto"/>
          <w:highlight w:val="none"/>
        </w:rPr>
      </w:pPr>
      <w:bookmarkStart w:id="18" w:name="_Toc15396606"/>
      <w:bookmarkStart w:id="19" w:name="_Toc15377208"/>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18"/>
      <w:bookmarkEnd w:id="19"/>
    </w:p>
    <w:p w14:paraId="18C006F9">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lang w:val="en-US" w:eastAsia="zh-CN"/>
        </w:rPr>
        <w:t>66.</w:t>
      </w:r>
      <w:r>
        <w:rPr>
          <w:rFonts w:hint="eastAsia" w:ascii="仿宋_GB2312" w:hAnsi="仿宋_GB2312" w:eastAsia="仿宋_GB2312" w:cs="仿宋_GB2312"/>
          <w:sz w:val="32"/>
          <w:szCs w:val="32"/>
        </w:rPr>
        <w:t>2</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66.2</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%。主要变动原因是</w:t>
      </w:r>
      <w:r>
        <w:rPr>
          <w:rStyle w:val="36"/>
          <w:rFonts w:hint="eastAsia" w:ascii="仿宋_GB2312" w:eastAsia="仿宋_GB2312"/>
          <w:sz w:val="32"/>
          <w:szCs w:val="32"/>
          <w:shd w:val="clear" w:color="auto" w:fill="FFFFFF"/>
        </w:rPr>
        <w:t>本单位于2024年新成立机构</w:t>
      </w:r>
      <w:r>
        <w:rPr>
          <w:rStyle w:val="36"/>
          <w:rFonts w:hint="eastAsia" w:ascii="仿宋_GB2312" w:eastAsia="仿宋_GB2312"/>
          <w:sz w:val="32"/>
          <w:szCs w:val="32"/>
          <w:shd w:val="clear" w:color="auto" w:fill="FFFFFF"/>
          <w:lang w:eastAsia="zh-CN"/>
        </w:rPr>
        <w:t>。</w:t>
      </w:r>
    </w:p>
    <w:p w14:paraId="10350F4F">
      <w:pPr>
        <w:spacing w:line="600" w:lineRule="exact"/>
        <w:ind w:firstLine="640" w:firstLineChars="200"/>
        <w:outlineLvl w:val="1"/>
        <w:rPr>
          <w:rStyle w:val="30"/>
          <w:rFonts w:ascii="Times New Roman" w:hAnsi="Times New Roman" w:eastAsia="黑体"/>
          <w:b w:val="0"/>
          <w:color w:val="auto"/>
          <w:highlight w:val="none"/>
        </w:rPr>
      </w:pPr>
      <w:bookmarkStart w:id="20" w:name="_Toc15377209"/>
      <w:bookmarkStart w:id="21"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20"/>
      <w:bookmarkEnd w:id="21"/>
    </w:p>
    <w:p w14:paraId="52CFC45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2"/>
    </w:p>
    <w:p w14:paraId="14050F76">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lang w:val="en-US" w:eastAsia="zh-CN"/>
        </w:rPr>
        <w:t>66.2</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%。与2023年度相比，一般公共预算财政拨款支出增加66.2万元，增长100%。主要变动原因是</w:t>
      </w:r>
      <w:r>
        <w:rPr>
          <w:rStyle w:val="36"/>
          <w:rFonts w:hint="eastAsia" w:ascii="仿宋_GB2312" w:eastAsia="仿宋_GB2312"/>
          <w:sz w:val="32"/>
          <w:szCs w:val="32"/>
          <w:shd w:val="clear" w:color="auto" w:fill="FFFFFF"/>
        </w:rPr>
        <w:t>本单位于2024年新成立机构</w:t>
      </w:r>
      <w:r>
        <w:rPr>
          <w:rStyle w:val="36"/>
          <w:rFonts w:hint="eastAsia" w:ascii="仿宋_GB2312" w:eastAsia="仿宋_GB2312"/>
          <w:sz w:val="32"/>
          <w:szCs w:val="32"/>
          <w:shd w:val="clear" w:color="auto" w:fill="FFFFFF"/>
          <w:lang w:eastAsia="zh-CN"/>
        </w:rPr>
        <w:t>。</w:t>
      </w:r>
    </w:p>
    <w:p w14:paraId="57A51FD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3"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3"/>
    </w:p>
    <w:p w14:paraId="2169E77F">
      <w:pPr>
        <w:spacing w:line="600" w:lineRule="exact"/>
        <w:ind w:firstLine="640" w:firstLineChars="200"/>
        <w:outlineLvl w:val="2"/>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kern w:val="2"/>
          <w:sz w:val="32"/>
          <w:szCs w:val="32"/>
          <w:highlight w:val="none"/>
          <w:lang w:val="en-US" w:eastAsia="zh-CN" w:bidi="ar-SA"/>
        </w:rPr>
        <w:t>46.34</w:t>
      </w:r>
      <w:r>
        <w:rPr>
          <w:rFonts w:hint="eastAsia" w:ascii="Times New Roman" w:hAnsi="Times New Roman" w:eastAsia="仿宋_GB2312" w:cs="仿宋_GB2312"/>
          <w:color w:val="auto"/>
          <w:kern w:val="2"/>
          <w:sz w:val="32"/>
          <w:szCs w:val="32"/>
          <w:highlight w:val="none"/>
          <w:lang w:val="en-US" w:eastAsia="zh-CN" w:bidi="ar-SA"/>
        </w:rPr>
        <w:t>元，占</w:t>
      </w:r>
      <w:r>
        <w:rPr>
          <w:rFonts w:hint="eastAsia" w:eastAsia="仿宋_GB2312" w:cs="仿宋_GB2312"/>
          <w:color w:val="auto"/>
          <w:kern w:val="2"/>
          <w:sz w:val="32"/>
          <w:szCs w:val="32"/>
          <w:highlight w:val="none"/>
          <w:lang w:val="en-US" w:eastAsia="zh-CN" w:bidi="ar-SA"/>
        </w:rPr>
        <w:t>70</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9.99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3.88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5.99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w:t>
      </w:r>
      <w:bookmarkStart w:id="24" w:name="_Toc15377212"/>
    </w:p>
    <w:p w14:paraId="58A3D50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（三）一般公共预算财政拨款支出决算具体情况</w:t>
      </w:r>
      <w:bookmarkEnd w:id="24"/>
    </w:p>
    <w:p w14:paraId="0B562DD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5" w:name="_Toc15377444"/>
      <w:bookmarkStart w:id="26" w:name="_Toc15378460"/>
      <w:bookmarkStart w:id="27"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lang w:val="en-US" w:eastAsia="zh-CN"/>
        </w:rPr>
        <w:t>66.2</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5"/>
      <w:bookmarkEnd w:id="26"/>
      <w:bookmarkEnd w:id="27"/>
    </w:p>
    <w:p w14:paraId="5A71C802">
      <w:pPr>
        <w:numPr>
          <w:ilvl w:val="0"/>
          <w:numId w:val="2"/>
        </w:num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社会工作事务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行政运行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2013901：</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46.349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52EA02CA">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2080505：</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6.66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00%；社会保障和就业（类）行政事业单位养老支出（款）机关事业单位职业年金缴费支出（项）2080506: 支出决算为</w:t>
      </w:r>
      <w:r>
        <w:rPr>
          <w:rFonts w:hint="eastAsia" w:eastAsia="仿宋_GB2312" w:cs="仿宋_GB2312"/>
          <w:color w:val="auto"/>
          <w:kern w:val="2"/>
          <w:sz w:val="32"/>
          <w:szCs w:val="32"/>
          <w:highlight w:val="none"/>
          <w:lang w:val="en-US" w:eastAsia="zh-CN" w:bidi="ar-SA"/>
        </w:rPr>
        <w:t>3.33</w:t>
      </w:r>
      <w:r>
        <w:rPr>
          <w:rFonts w:hint="eastAsia" w:ascii="Times New Roman" w:hAnsi="Times New Roman" w:eastAsia="仿宋_GB2312" w:cs="仿宋_GB2312"/>
          <w:color w:val="auto"/>
          <w:kern w:val="2"/>
          <w:sz w:val="32"/>
          <w:szCs w:val="32"/>
          <w:highlight w:val="none"/>
          <w:lang w:val="en-US" w:eastAsia="zh-CN" w:bidi="ar-SA"/>
        </w:rPr>
        <w:t>万元，完成预算100%。</w:t>
      </w:r>
    </w:p>
    <w:p w14:paraId="5BDB1CD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卫生健康（类）行政事业单位医疗（款）行政单位医疗（项）21011</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1.75</w:t>
      </w:r>
      <w:r>
        <w:rPr>
          <w:rFonts w:hint="eastAsia" w:ascii="Times New Roman" w:hAnsi="Times New Roman" w:eastAsia="仿宋_GB2312" w:cs="仿宋_GB2312"/>
          <w:color w:val="auto"/>
          <w:kern w:val="2"/>
          <w:sz w:val="32"/>
          <w:szCs w:val="32"/>
          <w:highlight w:val="none"/>
          <w:lang w:val="en-US" w:eastAsia="zh-CN" w:bidi="ar-SA"/>
        </w:rPr>
        <w:t>万元，完成预算100%；卫生健康（类）行政事业单位医疗（款）公务员医疗补助（项）2101103：支出决算</w:t>
      </w:r>
      <w:r>
        <w:rPr>
          <w:rFonts w:hint="eastAsia" w:eastAsia="仿宋_GB2312" w:cs="仿宋_GB2312"/>
          <w:color w:val="auto"/>
          <w:kern w:val="2"/>
          <w:sz w:val="32"/>
          <w:szCs w:val="32"/>
          <w:highlight w:val="none"/>
          <w:lang w:val="en-US" w:eastAsia="zh-CN" w:bidi="ar-SA"/>
        </w:rPr>
        <w:t>0.37</w:t>
      </w:r>
      <w:r>
        <w:rPr>
          <w:rFonts w:hint="eastAsia" w:ascii="Times New Roman" w:hAnsi="Times New Roman" w:eastAsia="仿宋_GB2312" w:cs="仿宋_GB2312"/>
          <w:color w:val="auto"/>
          <w:kern w:val="2"/>
          <w:sz w:val="32"/>
          <w:szCs w:val="32"/>
          <w:highlight w:val="none"/>
          <w:lang w:val="en-US" w:eastAsia="zh-CN" w:bidi="ar-SA"/>
        </w:rPr>
        <w:t>万元，完成预算100%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卫生健康（类）行政事业单位医疗（款）事业单位医疗（项）21011</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1.39</w:t>
      </w:r>
      <w:r>
        <w:rPr>
          <w:rFonts w:hint="eastAsia" w:ascii="Times New Roman" w:hAnsi="Times New Roman" w:eastAsia="仿宋_GB2312" w:cs="仿宋_GB2312"/>
          <w:color w:val="auto"/>
          <w:kern w:val="2"/>
          <w:sz w:val="32"/>
          <w:szCs w:val="32"/>
          <w:highlight w:val="none"/>
          <w:lang w:val="en-US" w:eastAsia="zh-CN" w:bidi="ar-SA"/>
        </w:rPr>
        <w:t>万元，完成预算100%；卫生健康（类）行政事业单位医疗（款）其他行政事业单位医疗支出（项）21011</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：支出决算</w:t>
      </w:r>
      <w:r>
        <w:rPr>
          <w:rFonts w:hint="eastAsia" w:eastAsia="仿宋_GB2312" w:cs="仿宋_GB2312"/>
          <w:color w:val="auto"/>
          <w:kern w:val="2"/>
          <w:sz w:val="32"/>
          <w:szCs w:val="32"/>
          <w:highlight w:val="none"/>
          <w:lang w:val="en-US" w:eastAsia="zh-CN" w:bidi="ar-SA"/>
        </w:rPr>
        <w:t>0.37</w:t>
      </w:r>
      <w:r>
        <w:rPr>
          <w:rFonts w:hint="eastAsia" w:ascii="Times New Roman" w:hAnsi="Times New Roman" w:eastAsia="仿宋_GB2312" w:cs="仿宋_GB2312"/>
          <w:color w:val="auto"/>
          <w:kern w:val="2"/>
          <w:sz w:val="32"/>
          <w:szCs w:val="32"/>
          <w:highlight w:val="none"/>
          <w:lang w:val="en-US" w:eastAsia="zh-CN" w:bidi="ar-SA"/>
        </w:rPr>
        <w:t>万元，完成预算100%</w:t>
      </w:r>
      <w:r>
        <w:rPr>
          <w:rFonts w:hint="eastAsia" w:eastAsia="仿宋_GB2312" w:cs="仿宋_GB2312"/>
          <w:color w:val="auto"/>
          <w:kern w:val="2"/>
          <w:sz w:val="32"/>
          <w:szCs w:val="32"/>
          <w:highlight w:val="none"/>
          <w:lang w:val="en-US" w:eastAsia="zh-CN" w:bidi="ar-SA"/>
        </w:rPr>
        <w:t>。</w:t>
      </w:r>
    </w:p>
    <w:p w14:paraId="0450571E">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lang w:val="en-US" w:eastAsia="zh-CN"/>
        </w:rPr>
      </w:pPr>
      <w:r>
        <w:rPr>
          <w:rFonts w:hint="eastAsia" w:ascii="Times New Roman" w:hAnsi="Times New Roman" w:eastAsia="仿宋_GB2312" w:cs="仿宋_GB2312"/>
          <w:color w:val="auto"/>
          <w:kern w:val="2"/>
          <w:sz w:val="32"/>
          <w:szCs w:val="32"/>
          <w:highlight w:val="none"/>
          <w:lang w:val="en-US" w:eastAsia="zh-CN" w:bidi="ar-SA"/>
        </w:rPr>
        <w:t>4.住房保障（类）住房改革支出（款）住房公积金（项）2210201：支出决算为</w:t>
      </w:r>
      <w:r>
        <w:rPr>
          <w:rFonts w:hint="eastAsia" w:eastAsia="仿宋_GB2312" w:cs="仿宋_GB2312"/>
          <w:color w:val="auto"/>
          <w:kern w:val="2"/>
          <w:sz w:val="32"/>
          <w:szCs w:val="32"/>
          <w:highlight w:val="none"/>
          <w:lang w:val="en-US" w:eastAsia="zh-CN" w:bidi="ar-SA"/>
        </w:rPr>
        <w:t>5.99</w:t>
      </w:r>
      <w:r>
        <w:rPr>
          <w:rFonts w:hint="eastAsia" w:ascii="Times New Roman" w:hAnsi="Times New Roman" w:eastAsia="仿宋_GB2312" w:cs="仿宋_GB2312"/>
          <w:color w:val="auto"/>
          <w:kern w:val="2"/>
          <w:sz w:val="32"/>
          <w:szCs w:val="32"/>
          <w:highlight w:val="none"/>
          <w:lang w:val="en-US" w:eastAsia="zh-CN" w:bidi="ar-SA"/>
        </w:rPr>
        <w:t>万元，完成预算100%。</w:t>
      </w:r>
    </w:p>
    <w:p w14:paraId="728FF2D3">
      <w:pPr>
        <w:tabs>
          <w:tab w:val="right" w:pos="8306"/>
        </w:tabs>
        <w:spacing w:line="600" w:lineRule="exact"/>
        <w:ind w:firstLine="640"/>
        <w:outlineLvl w:val="1"/>
        <w:rPr>
          <w:rStyle w:val="30"/>
          <w:rFonts w:ascii="Times New Roman" w:hAnsi="Times New Roman"/>
          <w:color w:val="auto"/>
          <w:highlight w:val="none"/>
        </w:rPr>
      </w:pPr>
      <w:bookmarkStart w:id="28" w:name="_Toc15377214"/>
      <w:bookmarkStart w:id="29"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28"/>
      <w:bookmarkEnd w:id="29"/>
      <w:r>
        <w:rPr>
          <w:rStyle w:val="30"/>
          <w:rFonts w:ascii="Times New Roman" w:hAnsi="Times New Roman" w:eastAsia="黑体"/>
          <w:b w:val="0"/>
          <w:color w:val="auto"/>
          <w:highlight w:val="none"/>
        </w:rPr>
        <w:tab/>
      </w:r>
    </w:p>
    <w:p w14:paraId="59DB9B8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lang w:val="en-US" w:eastAsia="zh-CN"/>
        </w:rPr>
        <w:t>66.2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1FC8730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lang w:val="en-US" w:eastAsia="zh-CN"/>
        </w:rPr>
        <w:t>65.11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lang w:val="en-US" w:eastAsia="zh-CN"/>
        </w:rPr>
        <w:t>1.09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19902F9">
      <w:pPr>
        <w:spacing w:line="600" w:lineRule="exact"/>
        <w:ind w:firstLine="640"/>
        <w:outlineLvl w:val="1"/>
        <w:rPr>
          <w:rStyle w:val="30"/>
          <w:rFonts w:ascii="Times New Roman" w:hAnsi="Times New Roman" w:eastAsia="黑体"/>
          <w:b w:val="0"/>
          <w:color w:val="auto"/>
          <w:highlight w:val="none"/>
        </w:rPr>
      </w:pPr>
      <w:bookmarkStart w:id="30" w:name="_Toc15396609"/>
      <w:bookmarkStart w:id="31" w:name="_Toc15377215"/>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30"/>
      <w:bookmarkEnd w:id="31"/>
    </w:p>
    <w:p w14:paraId="4F00091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2"/>
    </w:p>
    <w:p w14:paraId="3A9893FD">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主要原因是</w:t>
      </w:r>
      <w:r>
        <w:rPr>
          <w:rStyle w:val="36"/>
          <w:rFonts w:hint="eastAsia" w:ascii="仿宋_GB2312" w:eastAsia="仿宋_GB2312"/>
          <w:sz w:val="32"/>
          <w:szCs w:val="32"/>
          <w:shd w:val="clear" w:color="auto" w:fill="FFFFFF"/>
        </w:rPr>
        <w:t>本单位于2024年新成立机构</w:t>
      </w:r>
      <w:r>
        <w:rPr>
          <w:rFonts w:hint="eastAsia" w:eastAsia="仿宋_GB2312" w:cs="仿宋_GB2312"/>
          <w:color w:val="auto"/>
          <w:sz w:val="32"/>
          <w:szCs w:val="32"/>
          <w:highlight w:val="none"/>
          <w:lang w:eastAsia="zh-CN"/>
        </w:rPr>
        <w:t>。</w:t>
      </w:r>
    </w:p>
    <w:p w14:paraId="76E8F68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3"/>
    </w:p>
    <w:p w14:paraId="05C7C0B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w:t>
      </w:r>
    </w:p>
    <w:p w14:paraId="05AE991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%。主要原因是</w:t>
      </w:r>
      <w:r>
        <w:rPr>
          <w:rStyle w:val="36"/>
          <w:rFonts w:hint="eastAsia" w:ascii="仿宋_GB2312" w:eastAsia="仿宋_GB2312"/>
          <w:sz w:val="32"/>
          <w:szCs w:val="32"/>
          <w:shd w:val="clear" w:color="auto" w:fill="FFFFFF"/>
        </w:rPr>
        <w:t>本单位于2024年新成立机构</w:t>
      </w:r>
      <w:r>
        <w:rPr>
          <w:rFonts w:hint="eastAsia" w:eastAsia="仿宋_GB2312" w:cs="仿宋_GB2312"/>
          <w:color w:val="auto"/>
          <w:sz w:val="32"/>
          <w:szCs w:val="32"/>
          <w:highlight w:val="none"/>
          <w:lang w:eastAsia="zh-CN"/>
        </w:rPr>
        <w:t>。</w:t>
      </w:r>
    </w:p>
    <w:p w14:paraId="52277F67">
      <w:pPr>
        <w:spacing w:line="600" w:lineRule="exact"/>
        <w:ind w:firstLine="640"/>
        <w:rPr>
          <w:rFonts w:hint="eastAsia" w:eastAsia="仿宋_GB2312" w:cs="仿宋_GB2312"/>
          <w:color w:val="auto"/>
          <w:sz w:val="32"/>
          <w:szCs w:val="32"/>
          <w:highlight w:val="none"/>
          <w:lang w:eastAsia="zh-CN"/>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%。主要原因是</w:t>
      </w:r>
      <w:r>
        <w:rPr>
          <w:rStyle w:val="36"/>
          <w:rFonts w:hint="eastAsia" w:ascii="仿宋_GB2312" w:eastAsia="仿宋_GB2312"/>
          <w:sz w:val="32"/>
          <w:szCs w:val="32"/>
          <w:shd w:val="clear" w:color="auto" w:fill="FFFFFF"/>
        </w:rPr>
        <w:t>本单位于2024年新成立机构</w:t>
      </w:r>
      <w:r>
        <w:rPr>
          <w:rFonts w:hint="eastAsia" w:eastAsia="仿宋_GB2312" w:cs="仿宋_GB2312"/>
          <w:color w:val="auto"/>
          <w:sz w:val="32"/>
          <w:szCs w:val="32"/>
          <w:highlight w:val="none"/>
          <w:lang w:eastAsia="zh-CN"/>
        </w:rPr>
        <w:t>。</w:t>
      </w:r>
    </w:p>
    <w:p w14:paraId="69F9E88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77AC5D1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万元。主要用于……（具体工作）所需的公务用车燃料费、维修费、过路过桥费、保险费等支出。</w:t>
      </w:r>
    </w:p>
    <w:p w14:paraId="0D5402B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%。主要原因是</w:t>
      </w:r>
      <w:r>
        <w:rPr>
          <w:rStyle w:val="36"/>
          <w:rFonts w:hint="eastAsia" w:ascii="仿宋_GB2312" w:eastAsia="仿宋_GB2312"/>
          <w:sz w:val="32"/>
          <w:szCs w:val="32"/>
          <w:shd w:val="clear" w:color="auto" w:fill="FFFFFF"/>
        </w:rPr>
        <w:t>本单位于2024年新成立机构</w:t>
      </w:r>
      <w:r>
        <w:rPr>
          <w:rFonts w:hint="eastAsia" w:ascii="Times New Roman" w:hAnsi="Times New Roman" w:eastAsia="仿宋_GB2312" w:cs="仿宋_GB2312"/>
          <w:color w:val="auto"/>
          <w:kern w:val="2"/>
          <w:sz w:val="32"/>
          <w:szCs w:val="32"/>
          <w:highlight w:val="none"/>
          <w:lang w:val="en-US" w:eastAsia="zh-CN" w:bidi="ar-SA"/>
        </w:rPr>
        <w:t>。其中：</w:t>
      </w:r>
    </w:p>
    <w:p w14:paraId="6C9E689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执行公务、开展业务活动开支的交通费、住宿费、用餐费等</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万元，具体内容包括：……（接待具体项目、金额）。</w:t>
      </w:r>
    </w:p>
    <w:p w14:paraId="485A145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万元，主要用于……（具体项目）。外事接待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34" w:name="_Toc15396610"/>
      <w:bookmarkStart w:id="35" w:name="_Toc15377218"/>
    </w:p>
    <w:p w14:paraId="1D9AFA60">
      <w:pPr>
        <w:spacing w:line="600" w:lineRule="exact"/>
        <w:ind w:firstLine="640"/>
        <w:outlineLvl w:val="1"/>
        <w:rPr>
          <w:rStyle w:val="30"/>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34"/>
      <w:bookmarkEnd w:id="35"/>
    </w:p>
    <w:p w14:paraId="55C38A9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%。主要变动原因是</w:t>
      </w:r>
      <w:r>
        <w:rPr>
          <w:rStyle w:val="36"/>
          <w:rFonts w:hint="eastAsia" w:ascii="仿宋_GB2312" w:eastAsia="仿宋_GB2312"/>
          <w:sz w:val="32"/>
          <w:szCs w:val="32"/>
          <w:shd w:val="clear" w:color="auto" w:fill="FFFFFF"/>
        </w:rPr>
        <w:t>本单位于2024年新成立机构</w:t>
      </w:r>
      <w:r>
        <w:rPr>
          <w:rFonts w:hint="eastAsia" w:eastAsia="仿宋_GB2312" w:cs="仿宋_GB2312"/>
          <w:color w:val="auto"/>
          <w:sz w:val="32"/>
          <w:szCs w:val="32"/>
          <w:highlight w:val="none"/>
          <w:lang w:eastAsia="zh-CN"/>
        </w:rPr>
        <w:t>。</w:t>
      </w:r>
    </w:p>
    <w:p w14:paraId="6331F2E0">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36" w:name="_Toc15377219"/>
      <w:bookmarkStart w:id="37" w:name="_Toc15396611"/>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36"/>
      <w:bookmarkEnd w:id="37"/>
    </w:p>
    <w:p w14:paraId="02F178E2">
      <w:pPr>
        <w:numPr>
          <w:ilvl w:val="0"/>
          <w:numId w:val="0"/>
        </w:numPr>
        <w:spacing w:line="600" w:lineRule="exact"/>
        <w:ind w:left="630" w:leftChars="0"/>
        <w:outlineLvl w:val="1"/>
        <w:rPr>
          <w:rFonts w:hint="eastAsia" w:eastAsia="仿宋_GB2312" w:cs="仿宋_GB2312"/>
          <w:color w:val="auto"/>
          <w:sz w:val="32"/>
          <w:szCs w:val="32"/>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%。主要变动原因是</w:t>
      </w:r>
      <w:r>
        <w:rPr>
          <w:rStyle w:val="36"/>
          <w:rFonts w:hint="eastAsia" w:ascii="仿宋_GB2312" w:eastAsia="仿宋_GB2312"/>
          <w:sz w:val="32"/>
          <w:szCs w:val="32"/>
          <w:shd w:val="clear" w:color="auto" w:fill="FFFFFF"/>
        </w:rPr>
        <w:t>本单位于2024年新成立机构</w:t>
      </w:r>
      <w:r>
        <w:rPr>
          <w:rFonts w:hint="eastAsia" w:eastAsia="仿宋_GB2312" w:cs="仿宋_GB2312"/>
          <w:color w:val="auto"/>
          <w:sz w:val="32"/>
          <w:szCs w:val="32"/>
          <w:highlight w:val="none"/>
          <w:lang w:eastAsia="zh-CN"/>
        </w:rPr>
        <w:t>。</w:t>
      </w:r>
      <w:bookmarkStart w:id="38" w:name="_Toc15396612"/>
      <w:bookmarkStart w:id="39" w:name="_Toc15377221"/>
    </w:p>
    <w:p w14:paraId="0068BE4E">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38"/>
      <w:bookmarkEnd w:id="39"/>
    </w:p>
    <w:p w14:paraId="3B00191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22"/>
      <w:r>
        <w:rPr>
          <w:rFonts w:hint="eastAsia" w:ascii="Times New Roman" w:hAnsi="Times New Roman" w:eastAsia="楷体_GB2312" w:cs="楷体_GB2312"/>
          <w:b/>
          <w:color w:val="auto"/>
          <w:sz w:val="32"/>
          <w:szCs w:val="32"/>
          <w:highlight w:val="none"/>
        </w:rPr>
        <w:t>（一）机关运行经费支出情况</w:t>
      </w:r>
      <w:bookmarkEnd w:id="40"/>
    </w:p>
    <w:p w14:paraId="16168EB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中共松潘县委社会工作部本级</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lang w:val="en-US" w:eastAsia="zh-CN"/>
        </w:rPr>
        <w:t>1.09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元，比2023年度增加/减少</w:t>
      </w:r>
      <w:r>
        <w:rPr>
          <w:rFonts w:hint="eastAsia" w:eastAsia="仿宋_GB2312" w:cs="仿宋_GB2312"/>
          <w:color w:val="auto"/>
          <w:kern w:val="2"/>
          <w:sz w:val="32"/>
          <w:szCs w:val="32"/>
          <w:highlight w:val="none"/>
          <w:lang w:val="en-US" w:eastAsia="zh-CN" w:bidi="ar-SA"/>
        </w:rPr>
        <w:t>1.09</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%主要原因是</w:t>
      </w:r>
      <w:r>
        <w:rPr>
          <w:rStyle w:val="36"/>
          <w:rFonts w:hint="eastAsia" w:ascii="仿宋_GB2312" w:eastAsia="仿宋_GB2312"/>
          <w:sz w:val="32"/>
          <w:szCs w:val="32"/>
          <w:shd w:val="clear" w:color="auto" w:fill="FFFFFF"/>
        </w:rPr>
        <w:t>本单位于2024年新成立机构</w:t>
      </w:r>
      <w:r>
        <w:rPr>
          <w:rFonts w:hint="eastAsia" w:eastAsia="仿宋_GB2312" w:cs="仿宋_GB2312"/>
          <w:color w:val="auto"/>
          <w:sz w:val="32"/>
          <w:szCs w:val="32"/>
          <w:highlight w:val="none"/>
          <w:lang w:eastAsia="zh-CN"/>
        </w:rPr>
        <w:t>。</w:t>
      </w:r>
    </w:p>
    <w:p w14:paraId="490EFB8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23"/>
      <w:r>
        <w:rPr>
          <w:rFonts w:hint="eastAsia" w:ascii="Times New Roman" w:hAnsi="Times New Roman" w:eastAsia="楷体_GB2312" w:cs="楷体_GB2312"/>
          <w:b/>
          <w:color w:val="auto"/>
          <w:sz w:val="32"/>
          <w:szCs w:val="32"/>
          <w:highlight w:val="none"/>
        </w:rPr>
        <w:t>（二）政府采购支出情况</w:t>
      </w:r>
      <w:bookmarkEnd w:id="41"/>
    </w:p>
    <w:p w14:paraId="5A2DA1A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中共松潘县委社会工作部本级</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万元。主要用于……（具体工作）。授予中小企业合同金额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5D469D0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4"/>
      <w:r>
        <w:rPr>
          <w:rFonts w:hint="eastAsia" w:ascii="Times New Roman" w:hAnsi="Times New Roman" w:eastAsia="楷体_GB2312" w:cs="楷体_GB2312"/>
          <w:b/>
          <w:color w:val="auto"/>
          <w:sz w:val="32"/>
          <w:szCs w:val="32"/>
          <w:highlight w:val="none"/>
        </w:rPr>
        <w:t>（三）国有资产占有使用情况</w:t>
      </w:r>
      <w:bookmarkEnd w:id="42"/>
    </w:p>
    <w:p w14:paraId="5917441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中共松潘县委社会工作部本级</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辆，其他用车主要是用于……。单价100万元（含）以上设备（不含车辆）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1E1DA72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1448396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根据预算绩效管理要求，组织对2024年度一般公共预算开展绩效自评，形成部门整体绩效自评报告</w:t>
      </w:r>
      <w:r>
        <w:rPr>
          <w:rFonts w:hint="eastAsia" w:eastAsia="仿宋_GB2312" w:cs="仿宋_GB2312"/>
          <w:color w:val="auto"/>
          <w:kern w:val="2"/>
          <w:sz w:val="32"/>
          <w:szCs w:val="32"/>
          <w:highlight w:val="none"/>
          <w:lang w:val="en-US" w:eastAsia="zh-CN" w:bidi="ar-SA"/>
        </w:rPr>
        <w:t>。</w:t>
      </w:r>
    </w:p>
    <w:p w14:paraId="067BF50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E5998C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1C22A68">
      <w:pPr>
        <w:pStyle w:val="14"/>
        <w:rPr>
          <w:rFonts w:hint="eastAsia" w:ascii="Times New Roman" w:hAnsi="Times New Roman" w:eastAsia="仿宋_GB2312" w:cs="仿宋_GB2312"/>
          <w:color w:val="auto"/>
          <w:kern w:val="2"/>
          <w:sz w:val="32"/>
          <w:szCs w:val="32"/>
          <w:highlight w:val="none"/>
          <w:lang w:val="en-US" w:eastAsia="zh-CN" w:bidi="ar-SA"/>
        </w:rPr>
      </w:pPr>
    </w:p>
    <w:p w14:paraId="699A6973">
      <w:pPr>
        <w:pStyle w:val="8"/>
        <w:rPr>
          <w:rFonts w:hint="eastAsia" w:ascii="Times New Roman" w:hAnsi="Times New Roman" w:eastAsia="仿宋_GB2312" w:cs="仿宋_GB2312"/>
          <w:color w:val="auto"/>
          <w:kern w:val="2"/>
          <w:sz w:val="32"/>
          <w:szCs w:val="32"/>
          <w:highlight w:val="none"/>
          <w:lang w:val="en-US" w:eastAsia="zh-CN" w:bidi="ar-SA"/>
        </w:rPr>
      </w:pPr>
    </w:p>
    <w:p w14:paraId="5A5AD177">
      <w:pPr>
        <w:pStyle w:val="8"/>
        <w:rPr>
          <w:rFonts w:hint="eastAsia" w:ascii="Times New Roman" w:hAnsi="Times New Roman" w:eastAsia="仿宋_GB2312" w:cs="仿宋_GB2312"/>
          <w:color w:val="auto"/>
          <w:kern w:val="2"/>
          <w:sz w:val="32"/>
          <w:szCs w:val="32"/>
          <w:highlight w:val="none"/>
          <w:lang w:val="en-US" w:eastAsia="zh-CN" w:bidi="ar-SA"/>
        </w:rPr>
      </w:pPr>
    </w:p>
    <w:p w14:paraId="07D1C7BF">
      <w:pPr>
        <w:pStyle w:val="8"/>
        <w:rPr>
          <w:rFonts w:hint="eastAsia" w:ascii="Times New Roman" w:hAnsi="Times New Roman" w:eastAsia="仿宋_GB2312" w:cs="仿宋_GB2312"/>
          <w:color w:val="auto"/>
          <w:kern w:val="2"/>
          <w:sz w:val="32"/>
          <w:szCs w:val="32"/>
          <w:highlight w:val="none"/>
          <w:lang w:val="en-US" w:eastAsia="zh-CN" w:bidi="ar-SA"/>
        </w:rPr>
      </w:pPr>
    </w:p>
    <w:p w14:paraId="5484BC54">
      <w:pPr>
        <w:pStyle w:val="8"/>
        <w:rPr>
          <w:rFonts w:hint="eastAsia" w:ascii="Times New Roman" w:hAnsi="Times New Roman" w:eastAsia="仿宋_GB2312" w:cs="仿宋_GB2312"/>
          <w:color w:val="auto"/>
          <w:kern w:val="2"/>
          <w:sz w:val="32"/>
          <w:szCs w:val="32"/>
          <w:highlight w:val="none"/>
          <w:lang w:val="en-US" w:eastAsia="zh-CN" w:bidi="ar-SA"/>
        </w:rPr>
      </w:pPr>
    </w:p>
    <w:p w14:paraId="06039FC8">
      <w:pPr>
        <w:pStyle w:val="8"/>
        <w:rPr>
          <w:rFonts w:hint="eastAsia" w:ascii="Times New Roman" w:hAnsi="Times New Roman" w:eastAsia="仿宋_GB2312" w:cs="仿宋_GB2312"/>
          <w:color w:val="auto"/>
          <w:kern w:val="2"/>
          <w:sz w:val="32"/>
          <w:szCs w:val="32"/>
          <w:highlight w:val="none"/>
          <w:lang w:val="en-US" w:eastAsia="zh-CN" w:bidi="ar-SA"/>
        </w:rPr>
      </w:pPr>
    </w:p>
    <w:p w14:paraId="7C077C0F">
      <w:pPr>
        <w:pStyle w:val="8"/>
        <w:rPr>
          <w:rFonts w:hint="eastAsia" w:ascii="Times New Roman" w:hAnsi="Times New Roman" w:eastAsia="仿宋_GB2312" w:cs="仿宋_GB2312"/>
          <w:color w:val="auto"/>
          <w:kern w:val="2"/>
          <w:sz w:val="32"/>
          <w:szCs w:val="32"/>
          <w:highlight w:val="none"/>
          <w:lang w:val="en-US" w:eastAsia="zh-CN" w:bidi="ar-SA"/>
        </w:rPr>
      </w:pPr>
    </w:p>
    <w:p w14:paraId="2FDA6487">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3" w:name="_Toc15377225"/>
      <w:bookmarkStart w:id="44"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3"/>
      <w:bookmarkEnd w:id="44"/>
    </w:p>
    <w:p w14:paraId="542E8CAB">
      <w:pPr>
        <w:spacing w:line="600" w:lineRule="exact"/>
        <w:jc w:val="left"/>
        <w:rPr>
          <w:rFonts w:ascii="Times New Roman" w:hAnsi="Times New Roman"/>
          <w:b/>
          <w:color w:val="auto"/>
          <w:sz w:val="44"/>
          <w:szCs w:val="44"/>
          <w:highlight w:val="none"/>
        </w:rPr>
      </w:pPr>
    </w:p>
    <w:p w14:paraId="03128BF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761ECA3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2F83D6F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5879A63A">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4.其他收入：指单位取得的除上述收入以外的各项收入。</w:t>
      </w:r>
    </w:p>
    <w:p w14:paraId="4F3A92A1">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0BB28C8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47E68E1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0131F6B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2C00450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9.一般公共服务（类）</w:t>
      </w:r>
      <w:r>
        <w:rPr>
          <w:rFonts w:hint="eastAsia" w:eastAsia="仿宋_GB2312" w:cs="仿宋_GB2312"/>
          <w:color w:val="auto"/>
          <w:kern w:val="2"/>
          <w:sz w:val="32"/>
          <w:szCs w:val="32"/>
          <w:highlight w:val="none"/>
          <w:lang w:val="en-US" w:eastAsia="zh-CN" w:bidi="ar-SA"/>
        </w:rPr>
        <w:t>社会工作事务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行政运行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）指行政单位（包括实行公务员管理的事业单位）的基本支出。</w:t>
      </w:r>
    </w:p>
    <w:p w14:paraId="3AF73BA8">
      <w:pPr>
        <w:keepNext w:val="0"/>
        <w:keepLines w:val="0"/>
        <w:pageBreakBefore w:val="0"/>
        <w:widowControl w:val="0"/>
        <w:suppressAutoHyphens w:val="0"/>
        <w:kinsoku/>
        <w:wordWrap/>
        <w:overflowPunct/>
        <w:topLinePunct w:val="0"/>
        <w:autoSpaceDE/>
        <w:autoSpaceDN/>
        <w:bidi w:val="0"/>
        <w:adjustRightInd/>
        <w:snapToGrid/>
        <w:spacing w:line="578" w:lineRule="exact"/>
        <w:ind w:left="-525" w:right="-525" w:firstLine="640" w:firstLineChars="200"/>
        <w:jc w:val="left"/>
        <w:textAlignment w:val="auto"/>
        <w:rPr>
          <w:rFonts w:ascii="仿宋_GB2312" w:hAnsi="仿宋_GB2312" w:eastAsia="仿宋_GB2312" w:cs="仿宋_GB2312"/>
          <w:kern w:val="1"/>
          <w:sz w:val="32"/>
          <w:szCs w:val="32"/>
        </w:rPr>
      </w:pPr>
      <w:bookmarkStart w:id="45" w:name="_Toc15377226"/>
      <w:r>
        <w:rPr>
          <w:rFonts w:ascii="仿宋_GB2312" w:hAnsi="仿宋_GB2312" w:eastAsia="仿宋_GB2312" w:cs="仿宋_GB2312"/>
          <w:kern w:val="1"/>
          <w:sz w:val="32"/>
          <w:szCs w:val="32"/>
        </w:rPr>
        <w:t>10.社会保障和就业（类）行政事业单位离退休（款）机关事业单位基本养老保险缴费（项）：指机关事业单位实施养老保险制度由单位缴纳的基本养老保险费支出。</w:t>
      </w:r>
    </w:p>
    <w:p w14:paraId="3D2C6972">
      <w:pPr>
        <w:keepNext w:val="0"/>
        <w:keepLines w:val="0"/>
        <w:pageBreakBefore w:val="0"/>
        <w:widowControl w:val="0"/>
        <w:suppressAutoHyphens w:val="0"/>
        <w:kinsoku/>
        <w:wordWrap/>
        <w:overflowPunct/>
        <w:topLinePunct w:val="0"/>
        <w:autoSpaceDE/>
        <w:autoSpaceDN/>
        <w:bidi w:val="0"/>
        <w:adjustRightInd/>
        <w:snapToGrid/>
        <w:spacing w:line="578" w:lineRule="exact"/>
        <w:ind w:left="-525" w:right="-525" w:firstLine="640" w:firstLineChars="200"/>
        <w:jc w:val="left"/>
        <w:textAlignment w:val="auto"/>
        <w:rPr>
          <w:rFonts w:ascii="仿宋_GB2312" w:hAnsi="仿宋_GB2312" w:eastAsia="仿宋_GB2312" w:cs="仿宋_GB2312"/>
          <w:kern w:val="1"/>
          <w:sz w:val="32"/>
          <w:szCs w:val="32"/>
        </w:rPr>
      </w:pPr>
      <w:r>
        <w:rPr>
          <w:rFonts w:ascii="仿宋_GB2312" w:hAnsi="仿宋_GB2312" w:eastAsia="仿宋_GB2312" w:cs="仿宋_GB2312"/>
          <w:kern w:val="1"/>
          <w:sz w:val="32"/>
          <w:szCs w:val="32"/>
        </w:rPr>
        <w:t>11</w:t>
      </w:r>
      <w:r>
        <w:rPr>
          <w:rFonts w:hint="eastAsia" w:ascii="仿宋_GB2312" w:hAnsi="仿宋_GB2312" w:eastAsia="仿宋_GB2312" w:cs="仿宋_GB2312"/>
          <w:kern w:val="1"/>
          <w:sz w:val="32"/>
          <w:szCs w:val="32"/>
          <w:lang w:eastAsia="zh-CN"/>
        </w:rPr>
        <w:t>.</w:t>
      </w:r>
      <w:r>
        <w:rPr>
          <w:rFonts w:hint="eastAsia" w:eastAsia="仿宋_GB2312" w:cs="仿宋_GB2312"/>
          <w:color w:val="auto"/>
          <w:kern w:val="2"/>
          <w:sz w:val="32"/>
          <w:szCs w:val="32"/>
          <w:highlight w:val="none"/>
          <w:lang w:val="en-US" w:eastAsia="zh-CN" w:bidi="ar-SA"/>
        </w:rPr>
        <w:t>卫生健康支出</w:t>
      </w:r>
      <w:r>
        <w:rPr>
          <w:rFonts w:ascii="仿宋_GB2312" w:hAnsi="仿宋_GB2312" w:eastAsia="仿宋_GB2312" w:cs="仿宋_GB2312"/>
          <w:kern w:val="1"/>
          <w:sz w:val="32"/>
          <w:szCs w:val="32"/>
        </w:rPr>
        <w:t>（类）行政事业单位医疗（款）行政单位医疗（项）：指财政部门安排的行政单位基本医疗保险缴费经费。</w:t>
      </w:r>
    </w:p>
    <w:p w14:paraId="4F27CF23">
      <w:pPr>
        <w:keepNext w:val="0"/>
        <w:keepLines w:val="0"/>
        <w:pageBreakBefore w:val="0"/>
        <w:widowControl w:val="0"/>
        <w:suppressAutoHyphens w:val="0"/>
        <w:kinsoku/>
        <w:wordWrap/>
        <w:overflowPunct/>
        <w:topLinePunct w:val="0"/>
        <w:autoSpaceDE/>
        <w:autoSpaceDN/>
        <w:bidi w:val="0"/>
        <w:adjustRightInd/>
        <w:snapToGrid/>
        <w:spacing w:line="578" w:lineRule="exact"/>
        <w:ind w:left="-525" w:right="-525" w:firstLine="640" w:firstLineChars="200"/>
        <w:jc w:val="left"/>
        <w:textAlignment w:val="auto"/>
        <w:rPr>
          <w:rFonts w:ascii="仿宋_GB2312" w:hAnsi="仿宋_GB2312" w:eastAsia="仿宋_GB2312" w:cs="仿宋_GB2312"/>
          <w:kern w:val="1"/>
          <w:sz w:val="32"/>
          <w:szCs w:val="32"/>
        </w:rPr>
      </w:pPr>
      <w:r>
        <w:rPr>
          <w:rFonts w:ascii="仿宋_GB2312" w:hAnsi="仿宋_GB2312" w:eastAsia="仿宋_GB2312" w:cs="仿宋_GB2312"/>
          <w:kern w:val="1"/>
          <w:sz w:val="32"/>
          <w:szCs w:val="32"/>
        </w:rPr>
        <w:t>12.住房保障（类）支付改革（款）住房公积金（项）：指行政事业单位按人力资源和社会保障部、财政部规定的基本工资和津贴补贴以及规定比例为职工缴纳的住房公积金。</w:t>
      </w:r>
    </w:p>
    <w:p w14:paraId="14BD2DAE">
      <w:pPr>
        <w:keepNext w:val="0"/>
        <w:keepLines w:val="0"/>
        <w:pageBreakBefore w:val="0"/>
        <w:widowControl w:val="0"/>
        <w:suppressAutoHyphens w:val="0"/>
        <w:kinsoku/>
        <w:wordWrap/>
        <w:overflowPunct/>
        <w:topLinePunct w:val="0"/>
        <w:autoSpaceDE/>
        <w:autoSpaceDN/>
        <w:bidi w:val="0"/>
        <w:adjustRightInd/>
        <w:snapToGrid/>
        <w:spacing w:line="578" w:lineRule="exact"/>
        <w:ind w:left="-525" w:right="-525" w:firstLine="640" w:firstLineChars="200"/>
        <w:jc w:val="left"/>
        <w:textAlignment w:val="auto"/>
        <w:rPr>
          <w:rFonts w:ascii="仿宋_GB2312" w:hAnsi="仿宋_GB2312" w:eastAsia="仿宋_GB2312" w:cs="仿宋_GB2312"/>
          <w:kern w:val="1"/>
          <w:sz w:val="32"/>
          <w:szCs w:val="32"/>
        </w:rPr>
      </w:pPr>
      <w:r>
        <w:rPr>
          <w:rFonts w:ascii="仿宋_GB2312" w:hAnsi="仿宋_GB2312" w:eastAsia="仿宋_GB2312" w:cs="仿宋_GB2312"/>
          <w:kern w:val="1"/>
          <w:sz w:val="32"/>
          <w:szCs w:val="32"/>
        </w:rPr>
        <w:t>13.基本支出：指为保障机构正常运转、完成日常工作任务而发生的人员支出和公用支出。</w:t>
      </w:r>
    </w:p>
    <w:p w14:paraId="15A71A78">
      <w:pPr>
        <w:keepNext w:val="0"/>
        <w:keepLines w:val="0"/>
        <w:pageBreakBefore w:val="0"/>
        <w:widowControl w:val="0"/>
        <w:suppressAutoHyphens w:val="0"/>
        <w:kinsoku/>
        <w:wordWrap/>
        <w:overflowPunct/>
        <w:topLinePunct w:val="0"/>
        <w:autoSpaceDE/>
        <w:autoSpaceDN/>
        <w:bidi w:val="0"/>
        <w:adjustRightInd/>
        <w:snapToGrid/>
        <w:spacing w:line="578" w:lineRule="exact"/>
        <w:ind w:left="-525" w:right="-525" w:firstLine="640" w:firstLineChars="200"/>
        <w:jc w:val="left"/>
        <w:textAlignment w:val="auto"/>
        <w:rPr>
          <w:rFonts w:ascii="仿宋_GB2312" w:hAnsi="仿宋_GB2312" w:eastAsia="仿宋_GB2312" w:cs="仿宋_GB2312"/>
          <w:kern w:val="1"/>
          <w:sz w:val="32"/>
          <w:szCs w:val="32"/>
        </w:rPr>
      </w:pPr>
      <w:r>
        <w:rPr>
          <w:rFonts w:ascii="仿宋_GB2312" w:hAnsi="仿宋_GB2312" w:eastAsia="仿宋_GB2312" w:cs="仿宋_GB2312"/>
          <w:kern w:val="1"/>
          <w:sz w:val="32"/>
          <w:szCs w:val="32"/>
        </w:rPr>
        <w:t>14.项目支出：指在基本支出之外为完成特定行政任务和事业发展目标所发生的支出。</w:t>
      </w:r>
    </w:p>
    <w:p w14:paraId="4A98C8A5">
      <w:pPr>
        <w:keepNext w:val="0"/>
        <w:keepLines w:val="0"/>
        <w:pageBreakBefore w:val="0"/>
        <w:widowControl w:val="0"/>
        <w:suppressAutoHyphens w:val="0"/>
        <w:kinsoku/>
        <w:wordWrap/>
        <w:overflowPunct/>
        <w:topLinePunct w:val="0"/>
        <w:autoSpaceDE/>
        <w:autoSpaceDN/>
        <w:bidi w:val="0"/>
        <w:adjustRightInd/>
        <w:snapToGrid/>
        <w:spacing w:line="578" w:lineRule="exact"/>
        <w:ind w:left="-525" w:right="-525" w:firstLine="640" w:firstLineChars="200"/>
        <w:jc w:val="left"/>
        <w:textAlignment w:val="auto"/>
        <w:rPr>
          <w:rFonts w:ascii="仿宋_GB2312" w:hAnsi="仿宋_GB2312" w:eastAsia="仿宋_GB2312" w:cs="仿宋_GB2312"/>
          <w:kern w:val="1"/>
          <w:sz w:val="32"/>
          <w:szCs w:val="32"/>
        </w:rPr>
      </w:pPr>
      <w:r>
        <w:rPr>
          <w:rFonts w:ascii="仿宋_GB2312" w:hAnsi="仿宋_GB2312" w:eastAsia="仿宋_GB2312" w:cs="仿宋_GB2312"/>
          <w:kern w:val="1"/>
          <w:sz w:val="32"/>
          <w:szCs w:val="32"/>
        </w:rPr>
        <w:t>15.经营支出：指事业单位在专业业务活动及其辅助活动之外开展非独立核算经营活动发生的支出。</w:t>
      </w:r>
    </w:p>
    <w:p w14:paraId="1C4C6E6B">
      <w:pPr>
        <w:pStyle w:val="27"/>
        <w:keepNext w:val="0"/>
        <w:keepLines w:val="0"/>
        <w:pageBreakBefore w:val="0"/>
        <w:widowControl w:val="0"/>
        <w:kinsoku/>
        <w:wordWrap/>
        <w:overflowPunct/>
        <w:topLinePunct w:val="0"/>
        <w:autoSpaceDE/>
        <w:autoSpaceDN/>
        <w:bidi w:val="0"/>
        <w:adjustRightInd/>
        <w:snapToGrid/>
        <w:spacing w:line="578" w:lineRule="exact"/>
        <w:ind w:left="-525" w:right="-525" w:firstLine="640" w:firstLineChars="200"/>
        <w:jc w:val="left"/>
        <w:textAlignment w:val="auto"/>
        <w:rPr>
          <w:rFonts w:ascii="仿宋_GB2312" w:hAnsi="仿宋_GB2312" w:eastAsia="仿宋_GB2312" w:cs="仿宋_GB2312"/>
          <w:sz w:val="32"/>
          <w:szCs w:val="32"/>
        </w:rPr>
      </w:pPr>
      <w:r>
        <w:rPr>
          <w:rFonts w:ascii="仿宋_GB2312" w:hAnsi="仿宋_GB2312" w:eastAsia="仿宋_GB2312" w:cs="仿宋_GB2312"/>
          <w:sz w:val="32"/>
          <w:szCs w:val="32"/>
        </w:rPr>
        <w:t>16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F231B06">
      <w:pPr>
        <w:pStyle w:val="27"/>
        <w:keepNext w:val="0"/>
        <w:keepLines w:val="0"/>
        <w:pageBreakBefore w:val="0"/>
        <w:widowControl w:val="0"/>
        <w:kinsoku/>
        <w:wordWrap/>
        <w:overflowPunct/>
        <w:topLinePunct w:val="0"/>
        <w:autoSpaceDE/>
        <w:autoSpaceDN/>
        <w:bidi w:val="0"/>
        <w:adjustRightInd/>
        <w:snapToGrid/>
        <w:spacing w:line="578" w:lineRule="exact"/>
        <w:ind w:left="-525" w:right="-525" w:firstLine="640" w:firstLineChars="200"/>
        <w:jc w:val="left"/>
        <w:textAlignment w:val="auto"/>
        <w:rPr>
          <w:rFonts w:hint="eastAsia" w:ascii="黑体" w:hAnsi="黑体" w:eastAsia="黑体" w:cs="黑体"/>
          <w:kern w:val="1"/>
          <w:sz w:val="44"/>
          <w:szCs w:val="44"/>
        </w:rPr>
      </w:pPr>
      <w:r>
        <w:rPr>
          <w:rFonts w:ascii="仿宋_GB2312" w:hAnsi="仿宋_GB2312" w:eastAsia="仿宋_GB2312" w:cs="仿宋_GB2312"/>
          <w:sz w:val="32"/>
          <w:szCs w:val="32"/>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0C7397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br w:type="page"/>
      </w:r>
    </w:p>
    <w:p w14:paraId="068BE0C4">
      <w:pPr>
        <w:spacing w:line="600" w:lineRule="exact"/>
        <w:ind w:firstLine="1777" w:firstLineChars="404"/>
        <w:rPr>
          <w:rFonts w:hint="eastAsia" w:ascii="Times New Roman" w:hAnsi="Times New Roman" w:eastAsia="黑体" w:cs="黑体"/>
          <w:color w:val="FF0000"/>
          <w:sz w:val="32"/>
          <w:szCs w:val="32"/>
          <w:highlight w:val="none"/>
        </w:rPr>
      </w:pPr>
      <w:bookmarkStart w:id="46" w:name="_Toc15396614"/>
      <w:bookmarkStart w:id="47" w:name="_Toc15396618"/>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6"/>
    </w:p>
    <w:p w14:paraId="2E014624">
      <w:pPr>
        <w:widowControl/>
        <w:jc w:val="center"/>
        <w:rPr>
          <w:rFonts w:hint="eastAsia" w:ascii="Times New Roman" w:hAnsi="Times New Roman" w:eastAsia="黑体"/>
          <w:color w:val="auto"/>
          <w:sz w:val="44"/>
          <w:szCs w:val="44"/>
          <w:highlight w:val="none"/>
        </w:rPr>
      </w:pPr>
    </w:p>
    <w:p w14:paraId="10FC0BDA">
      <w:pPr>
        <w:widowControl/>
        <w:jc w:val="center"/>
        <w:rPr>
          <w:rFonts w:hint="eastAsia" w:ascii="Times New Roman" w:hAnsi="Times New Roman" w:eastAsia="黑体"/>
          <w:color w:val="auto"/>
          <w:sz w:val="44"/>
          <w:szCs w:val="44"/>
          <w:highlight w:val="none"/>
        </w:rPr>
      </w:pPr>
    </w:p>
    <w:tbl>
      <w:tblPr>
        <w:tblStyle w:val="16"/>
        <w:tblW w:w="9009" w:type="dxa"/>
        <w:tblInd w:w="0" w:type="dxa"/>
        <w:shd w:val="clear" w:color="auto" w:fill="auto"/>
        <w:tblLayout w:type="fixed"/>
        <w:tblCellMar>
          <w:top w:w="0" w:type="dxa"/>
          <w:left w:w="0" w:type="dxa"/>
          <w:bottom w:w="0" w:type="dxa"/>
          <w:right w:w="0" w:type="dxa"/>
        </w:tblCellMar>
      </w:tblPr>
      <w:tblGrid>
        <w:gridCol w:w="660"/>
        <w:gridCol w:w="1020"/>
        <w:gridCol w:w="793"/>
        <w:gridCol w:w="1067"/>
        <w:gridCol w:w="630"/>
        <w:gridCol w:w="553"/>
        <w:gridCol w:w="678"/>
        <w:gridCol w:w="844"/>
        <w:gridCol w:w="685"/>
        <w:gridCol w:w="686"/>
        <w:gridCol w:w="643"/>
        <w:gridCol w:w="750"/>
      </w:tblGrid>
      <w:tr w14:paraId="7B2090DE">
        <w:tblPrEx>
          <w:tblCellMar>
            <w:top w:w="0" w:type="dxa"/>
            <w:left w:w="0" w:type="dxa"/>
            <w:bottom w:w="0" w:type="dxa"/>
            <w:right w:w="0" w:type="dxa"/>
          </w:tblCellMar>
        </w:tblPrEx>
        <w:trPr>
          <w:trHeight w:val="407" w:hRule="atLeast"/>
        </w:trPr>
        <w:tc>
          <w:tcPr>
            <w:tcW w:w="3540" w:type="dxa"/>
            <w:gridSpan w:val="4"/>
            <w:tcBorders>
              <w:top w:val="nil"/>
              <w:left w:val="nil"/>
              <w:bottom w:val="nil"/>
              <w:right w:val="nil"/>
            </w:tcBorders>
            <w:shd w:val="clear" w:color="auto" w:fill="auto"/>
            <w:tcMar>
              <w:top w:w="15" w:type="dxa"/>
              <w:left w:w="15" w:type="dxa"/>
              <w:right w:w="15" w:type="dxa"/>
            </w:tcMar>
            <w:vAlign w:val="center"/>
          </w:tcPr>
          <w:p w14:paraId="77163656">
            <w:pPr>
              <w:keepNext w:val="0"/>
              <w:keepLines w:val="0"/>
              <w:widowControl/>
              <w:suppressLineNumbers w:val="0"/>
              <w:jc w:val="left"/>
              <w:textAlignment w:val="center"/>
              <w:rPr>
                <w:rFonts w:ascii="宋体" w:hAnsi="宋体" w:eastAsia="宋体" w:cs="宋体"/>
                <w:i w:val="0"/>
                <w:color w:val="C0C0C0"/>
                <w:sz w:val="20"/>
                <w:szCs w:val="20"/>
                <w:u w:val="none"/>
              </w:rPr>
            </w:pPr>
            <w:r>
              <w:rPr>
                <w:rFonts w:ascii="宋体" w:hAnsi="宋体" w:eastAsia="宋体" w:cs="宋体"/>
                <w:i w:val="0"/>
                <w:color w:val="C0C0C0"/>
                <w:kern w:val="0"/>
                <w:sz w:val="20"/>
                <w:szCs w:val="20"/>
                <w:u w:val="none"/>
                <w:lang w:val="en-US" w:eastAsia="zh-CN" w:bidi="ar"/>
              </w:rPr>
              <w:t>报表编号：510000_0013lastmb</w:t>
            </w:r>
          </w:p>
        </w:tc>
        <w:tc>
          <w:tcPr>
            <w:tcW w:w="630" w:type="dxa"/>
            <w:tcBorders>
              <w:top w:val="nil"/>
              <w:left w:val="nil"/>
              <w:bottom w:val="nil"/>
              <w:right w:val="nil"/>
            </w:tcBorders>
            <w:shd w:val="clear" w:color="auto" w:fill="auto"/>
            <w:noWrap/>
            <w:tcMar>
              <w:top w:w="15" w:type="dxa"/>
              <w:left w:w="15" w:type="dxa"/>
              <w:right w:w="15" w:type="dxa"/>
            </w:tcMar>
            <w:vAlign w:val="center"/>
          </w:tcPr>
          <w:p w14:paraId="099184D1">
            <w:pPr>
              <w:rPr>
                <w:rFonts w:hint="eastAsia" w:ascii="宋体" w:hAnsi="宋体" w:eastAsia="宋体" w:cs="宋体"/>
                <w:i w:val="0"/>
                <w:color w:val="000000"/>
                <w:sz w:val="22"/>
                <w:szCs w:val="22"/>
                <w:u w:val="none"/>
              </w:rPr>
            </w:pPr>
          </w:p>
        </w:tc>
        <w:tc>
          <w:tcPr>
            <w:tcW w:w="2075" w:type="dxa"/>
            <w:gridSpan w:val="3"/>
            <w:tcBorders>
              <w:top w:val="nil"/>
              <w:left w:val="nil"/>
              <w:bottom w:val="nil"/>
              <w:right w:val="nil"/>
            </w:tcBorders>
            <w:shd w:val="clear" w:color="auto" w:fill="auto"/>
            <w:tcMar>
              <w:top w:w="15" w:type="dxa"/>
              <w:left w:w="15" w:type="dxa"/>
              <w:right w:w="15" w:type="dxa"/>
            </w:tcMar>
            <w:vAlign w:val="center"/>
          </w:tcPr>
          <w:p w14:paraId="1EAB0A7F">
            <w:pPr>
              <w:rPr>
                <w:rFonts w:hint="eastAsia" w:ascii="宋体" w:hAnsi="宋体" w:eastAsia="宋体" w:cs="宋体"/>
                <w:i w:val="0"/>
                <w:color w:val="000000"/>
                <w:sz w:val="20"/>
                <w:szCs w:val="20"/>
                <w:u w:val="none"/>
              </w:rPr>
            </w:pPr>
          </w:p>
        </w:tc>
        <w:tc>
          <w:tcPr>
            <w:tcW w:w="685" w:type="dxa"/>
            <w:tcBorders>
              <w:top w:val="nil"/>
              <w:left w:val="nil"/>
              <w:bottom w:val="nil"/>
              <w:right w:val="nil"/>
            </w:tcBorders>
            <w:shd w:val="clear" w:color="auto" w:fill="auto"/>
            <w:noWrap/>
            <w:tcMar>
              <w:top w:w="15" w:type="dxa"/>
              <w:left w:w="15" w:type="dxa"/>
              <w:right w:w="15" w:type="dxa"/>
            </w:tcMar>
            <w:vAlign w:val="center"/>
          </w:tcPr>
          <w:p w14:paraId="1EB4F685">
            <w:pPr>
              <w:rPr>
                <w:rFonts w:hint="eastAsia" w:ascii="宋体" w:hAnsi="宋体" w:eastAsia="宋体" w:cs="宋体"/>
                <w:i w:val="0"/>
                <w:color w:val="000000"/>
                <w:sz w:val="22"/>
                <w:szCs w:val="22"/>
                <w:u w:val="none"/>
              </w:rPr>
            </w:pPr>
          </w:p>
        </w:tc>
        <w:tc>
          <w:tcPr>
            <w:tcW w:w="686" w:type="dxa"/>
            <w:tcBorders>
              <w:top w:val="nil"/>
              <w:left w:val="nil"/>
              <w:bottom w:val="nil"/>
              <w:right w:val="nil"/>
            </w:tcBorders>
            <w:shd w:val="clear" w:color="auto" w:fill="auto"/>
            <w:noWrap/>
            <w:tcMar>
              <w:top w:w="15" w:type="dxa"/>
              <w:left w:w="15" w:type="dxa"/>
              <w:right w:w="15" w:type="dxa"/>
            </w:tcMar>
            <w:vAlign w:val="center"/>
          </w:tcPr>
          <w:p w14:paraId="3031DF03">
            <w:pPr>
              <w:rPr>
                <w:rFonts w:hint="eastAsia" w:ascii="宋体" w:hAnsi="宋体" w:eastAsia="宋体" w:cs="宋体"/>
                <w:i w:val="0"/>
                <w:color w:val="000000"/>
                <w:sz w:val="22"/>
                <w:szCs w:val="22"/>
                <w:u w:val="none"/>
              </w:rPr>
            </w:pPr>
          </w:p>
        </w:tc>
        <w:tc>
          <w:tcPr>
            <w:tcW w:w="643" w:type="dxa"/>
            <w:tcBorders>
              <w:top w:val="nil"/>
              <w:left w:val="nil"/>
              <w:bottom w:val="nil"/>
              <w:right w:val="nil"/>
            </w:tcBorders>
            <w:shd w:val="clear" w:color="auto" w:fill="auto"/>
            <w:noWrap/>
            <w:tcMar>
              <w:top w:w="15" w:type="dxa"/>
              <w:left w:w="15" w:type="dxa"/>
              <w:right w:w="15" w:type="dxa"/>
            </w:tcMar>
            <w:vAlign w:val="center"/>
          </w:tcPr>
          <w:p w14:paraId="71426D3C">
            <w:pPr>
              <w:rPr>
                <w:rFonts w:hint="eastAsia" w:ascii="宋体" w:hAnsi="宋体" w:eastAsia="宋体" w:cs="宋体"/>
                <w:i w:val="0"/>
                <w:color w:val="000000"/>
                <w:sz w:val="22"/>
                <w:szCs w:val="22"/>
                <w:u w:val="none"/>
              </w:rPr>
            </w:pPr>
          </w:p>
        </w:tc>
        <w:tc>
          <w:tcPr>
            <w:tcW w:w="750" w:type="dxa"/>
            <w:tcBorders>
              <w:top w:val="nil"/>
              <w:left w:val="nil"/>
              <w:bottom w:val="nil"/>
              <w:right w:val="nil"/>
            </w:tcBorders>
            <w:shd w:val="clear" w:color="auto" w:fill="auto"/>
            <w:noWrap/>
            <w:tcMar>
              <w:top w:w="15" w:type="dxa"/>
              <w:left w:w="15" w:type="dxa"/>
              <w:right w:w="15" w:type="dxa"/>
            </w:tcMar>
            <w:vAlign w:val="center"/>
          </w:tcPr>
          <w:p w14:paraId="47974819">
            <w:pPr>
              <w:rPr>
                <w:rFonts w:hint="eastAsia" w:ascii="宋体" w:hAnsi="宋体" w:eastAsia="宋体" w:cs="宋体"/>
                <w:i w:val="0"/>
                <w:color w:val="000000"/>
                <w:sz w:val="22"/>
                <w:szCs w:val="22"/>
                <w:u w:val="none"/>
              </w:rPr>
            </w:pPr>
          </w:p>
        </w:tc>
      </w:tr>
      <w:tr w14:paraId="1F4A38E6">
        <w:tblPrEx>
          <w:tblCellMar>
            <w:top w:w="0" w:type="dxa"/>
            <w:left w:w="0" w:type="dxa"/>
            <w:bottom w:w="0" w:type="dxa"/>
            <w:right w:w="0" w:type="dxa"/>
          </w:tblCellMar>
        </w:tblPrEx>
        <w:trPr>
          <w:trHeight w:val="557" w:hRule="atLeast"/>
        </w:trPr>
        <w:tc>
          <w:tcPr>
            <w:tcW w:w="9009" w:type="dxa"/>
            <w:gridSpan w:val="12"/>
            <w:tcBorders>
              <w:top w:val="nil"/>
              <w:left w:val="nil"/>
              <w:bottom w:val="nil"/>
              <w:right w:val="nil"/>
            </w:tcBorders>
            <w:shd w:val="clear" w:color="auto" w:fill="auto"/>
            <w:tcMar>
              <w:top w:w="15" w:type="dxa"/>
              <w:left w:w="15" w:type="dxa"/>
              <w:right w:w="15" w:type="dxa"/>
            </w:tcMar>
            <w:vAlign w:val="center"/>
          </w:tcPr>
          <w:p w14:paraId="37B707C3">
            <w:pPr>
              <w:keepNext w:val="0"/>
              <w:keepLines w:val="0"/>
              <w:widowControl/>
              <w:suppressLineNumbers w:val="0"/>
              <w:jc w:val="center"/>
              <w:textAlignment w:val="center"/>
              <w:rPr>
                <w:rFonts w:ascii="黑体" w:hAnsi="黑体" w:eastAsia="黑体" w:cs="黑体"/>
                <w:b/>
                <w:i w:val="0"/>
                <w:color w:val="000000"/>
                <w:sz w:val="30"/>
                <w:szCs w:val="30"/>
                <w:u w:val="none"/>
              </w:rPr>
            </w:pPr>
            <w:r>
              <w:rPr>
                <w:rFonts w:hint="eastAsia" w:ascii="黑体" w:hAnsi="黑体" w:eastAsia="黑体" w:cs="黑体"/>
                <w:b/>
                <w:i w:val="0"/>
                <w:color w:val="000000"/>
                <w:kern w:val="0"/>
                <w:sz w:val="30"/>
                <w:szCs w:val="30"/>
                <w:u w:val="none"/>
                <w:lang w:val="en-US" w:eastAsia="zh-CN" w:bidi="ar"/>
              </w:rPr>
              <w:t>部门项目支出绩效目标表（2024年度）</w:t>
            </w:r>
          </w:p>
        </w:tc>
      </w:tr>
      <w:tr w14:paraId="56334E38">
        <w:tblPrEx>
          <w:tblCellMar>
            <w:top w:w="0" w:type="dxa"/>
            <w:left w:w="0" w:type="dxa"/>
            <w:bottom w:w="0" w:type="dxa"/>
            <w:right w:w="0" w:type="dxa"/>
          </w:tblCellMar>
        </w:tblPrEx>
        <w:trPr>
          <w:trHeight w:val="286" w:hRule="atLeast"/>
        </w:trPr>
        <w:tc>
          <w:tcPr>
            <w:tcW w:w="660" w:type="dxa"/>
            <w:tcBorders>
              <w:top w:val="nil"/>
              <w:left w:val="nil"/>
              <w:bottom w:val="nil"/>
              <w:right w:val="nil"/>
            </w:tcBorders>
            <w:shd w:val="clear" w:color="auto" w:fill="auto"/>
            <w:noWrap/>
            <w:tcMar>
              <w:top w:w="15" w:type="dxa"/>
              <w:left w:w="15" w:type="dxa"/>
              <w:right w:w="15" w:type="dxa"/>
            </w:tcMar>
            <w:vAlign w:val="center"/>
          </w:tcPr>
          <w:p w14:paraId="2C77B706">
            <w:pPr>
              <w:rPr>
                <w:rFonts w:hint="eastAsia" w:ascii="宋体" w:hAnsi="宋体" w:eastAsia="宋体" w:cs="宋体"/>
                <w:i w:val="0"/>
                <w:color w:val="000000"/>
                <w:sz w:val="22"/>
                <w:szCs w:val="22"/>
                <w:u w:val="none"/>
              </w:rPr>
            </w:pPr>
          </w:p>
        </w:tc>
        <w:tc>
          <w:tcPr>
            <w:tcW w:w="1020" w:type="dxa"/>
            <w:tcBorders>
              <w:top w:val="nil"/>
              <w:left w:val="nil"/>
              <w:bottom w:val="nil"/>
              <w:right w:val="nil"/>
            </w:tcBorders>
            <w:shd w:val="clear" w:color="auto" w:fill="auto"/>
            <w:noWrap/>
            <w:tcMar>
              <w:top w:w="15" w:type="dxa"/>
              <w:left w:w="15" w:type="dxa"/>
              <w:right w:w="15" w:type="dxa"/>
            </w:tcMar>
            <w:vAlign w:val="center"/>
          </w:tcPr>
          <w:p w14:paraId="7352E11B">
            <w:pPr>
              <w:rPr>
                <w:rFonts w:hint="eastAsia" w:ascii="宋体" w:hAnsi="宋体" w:eastAsia="宋体" w:cs="宋体"/>
                <w:i w:val="0"/>
                <w:color w:val="000000"/>
                <w:sz w:val="22"/>
                <w:szCs w:val="22"/>
                <w:u w:val="none"/>
              </w:rPr>
            </w:pPr>
          </w:p>
        </w:tc>
        <w:tc>
          <w:tcPr>
            <w:tcW w:w="793" w:type="dxa"/>
            <w:tcBorders>
              <w:top w:val="nil"/>
              <w:left w:val="nil"/>
              <w:bottom w:val="nil"/>
              <w:right w:val="nil"/>
            </w:tcBorders>
            <w:shd w:val="clear" w:color="auto" w:fill="auto"/>
            <w:noWrap/>
            <w:tcMar>
              <w:top w:w="15" w:type="dxa"/>
              <w:left w:w="15" w:type="dxa"/>
              <w:right w:w="15" w:type="dxa"/>
            </w:tcMar>
            <w:vAlign w:val="center"/>
          </w:tcPr>
          <w:p w14:paraId="6706F3E1">
            <w:pPr>
              <w:rPr>
                <w:rFonts w:hint="eastAsia" w:ascii="宋体" w:hAnsi="宋体" w:eastAsia="宋体" w:cs="宋体"/>
                <w:i w:val="0"/>
                <w:color w:val="000000"/>
                <w:sz w:val="22"/>
                <w:szCs w:val="22"/>
                <w:u w:val="none"/>
              </w:rPr>
            </w:pPr>
          </w:p>
        </w:tc>
        <w:tc>
          <w:tcPr>
            <w:tcW w:w="1067" w:type="dxa"/>
            <w:tcBorders>
              <w:top w:val="nil"/>
              <w:left w:val="nil"/>
              <w:bottom w:val="nil"/>
              <w:right w:val="nil"/>
            </w:tcBorders>
            <w:shd w:val="clear" w:color="auto" w:fill="auto"/>
            <w:noWrap/>
            <w:tcMar>
              <w:top w:w="15" w:type="dxa"/>
              <w:left w:w="15" w:type="dxa"/>
              <w:right w:w="15" w:type="dxa"/>
            </w:tcMar>
            <w:vAlign w:val="center"/>
          </w:tcPr>
          <w:p w14:paraId="6E6734DC">
            <w:pPr>
              <w:rPr>
                <w:rFonts w:hint="eastAsia" w:ascii="宋体" w:hAnsi="宋体" w:eastAsia="宋体" w:cs="宋体"/>
                <w:i w:val="0"/>
                <w:color w:val="000000"/>
                <w:sz w:val="22"/>
                <w:szCs w:val="22"/>
                <w:u w:val="none"/>
              </w:rPr>
            </w:pPr>
          </w:p>
        </w:tc>
        <w:tc>
          <w:tcPr>
            <w:tcW w:w="630" w:type="dxa"/>
            <w:tcBorders>
              <w:top w:val="nil"/>
              <w:left w:val="nil"/>
              <w:bottom w:val="nil"/>
              <w:right w:val="nil"/>
            </w:tcBorders>
            <w:shd w:val="clear" w:color="auto" w:fill="auto"/>
            <w:noWrap/>
            <w:tcMar>
              <w:top w:w="15" w:type="dxa"/>
              <w:left w:w="15" w:type="dxa"/>
              <w:right w:w="15" w:type="dxa"/>
            </w:tcMar>
            <w:vAlign w:val="center"/>
          </w:tcPr>
          <w:p w14:paraId="7103A696">
            <w:pPr>
              <w:rPr>
                <w:rFonts w:hint="eastAsia" w:ascii="宋体" w:hAnsi="宋体" w:eastAsia="宋体" w:cs="宋体"/>
                <w:i w:val="0"/>
                <w:color w:val="000000"/>
                <w:sz w:val="22"/>
                <w:szCs w:val="22"/>
                <w:u w:val="none"/>
              </w:rPr>
            </w:pPr>
          </w:p>
        </w:tc>
        <w:tc>
          <w:tcPr>
            <w:tcW w:w="553" w:type="dxa"/>
            <w:tcBorders>
              <w:top w:val="nil"/>
              <w:left w:val="nil"/>
              <w:bottom w:val="nil"/>
              <w:right w:val="nil"/>
            </w:tcBorders>
            <w:shd w:val="clear" w:color="auto" w:fill="auto"/>
            <w:noWrap/>
            <w:tcMar>
              <w:top w:w="15" w:type="dxa"/>
              <w:left w:w="15" w:type="dxa"/>
              <w:right w:w="15" w:type="dxa"/>
            </w:tcMar>
            <w:vAlign w:val="center"/>
          </w:tcPr>
          <w:p w14:paraId="7E41AB8F">
            <w:pPr>
              <w:rPr>
                <w:rFonts w:hint="eastAsia" w:ascii="宋体" w:hAnsi="宋体" w:eastAsia="宋体" w:cs="宋体"/>
                <w:i w:val="0"/>
                <w:color w:val="000000"/>
                <w:sz w:val="22"/>
                <w:szCs w:val="22"/>
                <w:u w:val="none"/>
              </w:rPr>
            </w:pPr>
          </w:p>
        </w:tc>
        <w:tc>
          <w:tcPr>
            <w:tcW w:w="678" w:type="dxa"/>
            <w:tcBorders>
              <w:top w:val="nil"/>
              <w:left w:val="nil"/>
              <w:bottom w:val="nil"/>
              <w:right w:val="nil"/>
            </w:tcBorders>
            <w:shd w:val="clear" w:color="auto" w:fill="auto"/>
            <w:noWrap/>
            <w:tcMar>
              <w:top w:w="15" w:type="dxa"/>
              <w:left w:w="15" w:type="dxa"/>
              <w:right w:w="15" w:type="dxa"/>
            </w:tcMar>
            <w:vAlign w:val="center"/>
          </w:tcPr>
          <w:p w14:paraId="4DC97A16">
            <w:pPr>
              <w:rPr>
                <w:rFonts w:hint="eastAsia" w:ascii="宋体" w:hAnsi="宋体" w:eastAsia="宋体" w:cs="宋体"/>
                <w:i w:val="0"/>
                <w:color w:val="000000"/>
                <w:sz w:val="22"/>
                <w:szCs w:val="22"/>
                <w:u w:val="none"/>
              </w:rPr>
            </w:pPr>
          </w:p>
        </w:tc>
        <w:tc>
          <w:tcPr>
            <w:tcW w:w="844" w:type="dxa"/>
            <w:tcBorders>
              <w:top w:val="nil"/>
              <w:left w:val="nil"/>
              <w:bottom w:val="nil"/>
              <w:right w:val="nil"/>
            </w:tcBorders>
            <w:shd w:val="clear" w:color="auto" w:fill="auto"/>
            <w:noWrap/>
            <w:tcMar>
              <w:top w:w="15" w:type="dxa"/>
              <w:left w:w="15" w:type="dxa"/>
              <w:right w:w="15" w:type="dxa"/>
            </w:tcMar>
            <w:vAlign w:val="center"/>
          </w:tcPr>
          <w:p w14:paraId="63EC2D22">
            <w:pPr>
              <w:rPr>
                <w:rFonts w:hint="eastAsia" w:ascii="宋体" w:hAnsi="宋体" w:eastAsia="宋体" w:cs="宋体"/>
                <w:i w:val="0"/>
                <w:color w:val="000000"/>
                <w:sz w:val="22"/>
                <w:szCs w:val="22"/>
                <w:u w:val="none"/>
              </w:rPr>
            </w:pPr>
          </w:p>
        </w:tc>
        <w:tc>
          <w:tcPr>
            <w:tcW w:w="685" w:type="dxa"/>
            <w:tcBorders>
              <w:top w:val="nil"/>
              <w:left w:val="nil"/>
              <w:bottom w:val="nil"/>
              <w:right w:val="nil"/>
            </w:tcBorders>
            <w:shd w:val="clear" w:color="auto" w:fill="auto"/>
            <w:noWrap/>
            <w:tcMar>
              <w:top w:w="15" w:type="dxa"/>
              <w:left w:w="15" w:type="dxa"/>
              <w:right w:w="15" w:type="dxa"/>
            </w:tcMar>
            <w:vAlign w:val="center"/>
          </w:tcPr>
          <w:p w14:paraId="7AC0E439">
            <w:pPr>
              <w:rPr>
                <w:rFonts w:hint="eastAsia" w:ascii="宋体" w:hAnsi="宋体" w:eastAsia="宋体" w:cs="宋体"/>
                <w:i w:val="0"/>
                <w:color w:val="000000"/>
                <w:sz w:val="22"/>
                <w:szCs w:val="22"/>
                <w:u w:val="none"/>
              </w:rPr>
            </w:pPr>
          </w:p>
        </w:tc>
        <w:tc>
          <w:tcPr>
            <w:tcW w:w="686" w:type="dxa"/>
            <w:tcBorders>
              <w:top w:val="nil"/>
              <w:left w:val="nil"/>
              <w:bottom w:val="nil"/>
              <w:right w:val="nil"/>
            </w:tcBorders>
            <w:shd w:val="clear" w:color="auto" w:fill="auto"/>
            <w:noWrap/>
            <w:tcMar>
              <w:top w:w="15" w:type="dxa"/>
              <w:left w:w="15" w:type="dxa"/>
              <w:right w:w="15" w:type="dxa"/>
            </w:tcMar>
            <w:vAlign w:val="center"/>
          </w:tcPr>
          <w:p w14:paraId="6E4A97C4">
            <w:pPr>
              <w:rPr>
                <w:rFonts w:hint="eastAsia" w:ascii="宋体" w:hAnsi="宋体" w:eastAsia="宋体" w:cs="宋体"/>
                <w:i w:val="0"/>
                <w:color w:val="000000"/>
                <w:sz w:val="22"/>
                <w:szCs w:val="22"/>
                <w:u w:val="none"/>
              </w:rPr>
            </w:pPr>
          </w:p>
        </w:tc>
        <w:tc>
          <w:tcPr>
            <w:tcW w:w="643" w:type="dxa"/>
            <w:tcBorders>
              <w:top w:val="nil"/>
              <w:left w:val="nil"/>
              <w:bottom w:val="nil"/>
              <w:right w:val="nil"/>
            </w:tcBorders>
            <w:shd w:val="clear" w:color="auto" w:fill="auto"/>
            <w:noWrap/>
            <w:tcMar>
              <w:top w:w="15" w:type="dxa"/>
              <w:left w:w="15" w:type="dxa"/>
              <w:right w:w="15" w:type="dxa"/>
            </w:tcMar>
            <w:vAlign w:val="center"/>
          </w:tcPr>
          <w:p w14:paraId="0D353572">
            <w:pPr>
              <w:rPr>
                <w:rFonts w:hint="eastAsia" w:ascii="宋体" w:hAnsi="宋体" w:eastAsia="宋体" w:cs="宋体"/>
                <w:i w:val="0"/>
                <w:color w:val="000000"/>
                <w:sz w:val="22"/>
                <w:szCs w:val="22"/>
                <w:u w:val="none"/>
              </w:rPr>
            </w:pPr>
          </w:p>
        </w:tc>
        <w:tc>
          <w:tcPr>
            <w:tcW w:w="750" w:type="dxa"/>
            <w:tcBorders>
              <w:top w:val="nil"/>
              <w:left w:val="nil"/>
              <w:bottom w:val="nil"/>
              <w:right w:val="nil"/>
            </w:tcBorders>
            <w:shd w:val="clear" w:color="auto" w:fill="auto"/>
            <w:tcMar>
              <w:top w:w="15" w:type="dxa"/>
              <w:left w:w="15" w:type="dxa"/>
              <w:right w:w="15" w:type="dxa"/>
            </w:tcMar>
            <w:vAlign w:val="center"/>
          </w:tcPr>
          <w:p w14:paraId="48534597">
            <w:pPr>
              <w:keepNext w:val="0"/>
              <w:keepLines w:val="0"/>
              <w:widowControl/>
              <w:suppressLineNumbers w:val="0"/>
              <w:jc w:val="right"/>
              <w:textAlignment w:val="center"/>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金额：万元</w:t>
            </w:r>
          </w:p>
        </w:tc>
      </w:tr>
      <w:tr w14:paraId="7D13920B">
        <w:tblPrEx>
          <w:tblCellMar>
            <w:top w:w="0" w:type="dxa"/>
            <w:left w:w="0" w:type="dxa"/>
            <w:bottom w:w="0" w:type="dxa"/>
            <w:right w:w="0" w:type="dxa"/>
          </w:tblCellMar>
        </w:tblPrEx>
        <w:trPr>
          <w:trHeight w:val="467" w:hRule="atLeast"/>
        </w:trPr>
        <w:tc>
          <w:tcPr>
            <w:tcW w:w="660"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2CB9FA47">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单位名称</w:t>
            </w:r>
          </w:p>
        </w:tc>
        <w:tc>
          <w:tcPr>
            <w:tcW w:w="1020"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19464122">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项目名称</w:t>
            </w:r>
          </w:p>
        </w:tc>
        <w:tc>
          <w:tcPr>
            <w:tcW w:w="793"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18A71FD5">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预算数</w:t>
            </w:r>
          </w:p>
        </w:tc>
        <w:tc>
          <w:tcPr>
            <w:tcW w:w="1067"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727B2DA6">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年度目标</w:t>
            </w:r>
          </w:p>
        </w:tc>
        <w:tc>
          <w:tcPr>
            <w:tcW w:w="630"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2289D9B2">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一级指标</w:t>
            </w:r>
          </w:p>
        </w:tc>
        <w:tc>
          <w:tcPr>
            <w:tcW w:w="553"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649B6998">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二级指标</w:t>
            </w:r>
          </w:p>
        </w:tc>
        <w:tc>
          <w:tcPr>
            <w:tcW w:w="678"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6500C4CE">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三级指标</w:t>
            </w:r>
          </w:p>
        </w:tc>
        <w:tc>
          <w:tcPr>
            <w:tcW w:w="844"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205F259A">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指标性质</w:t>
            </w:r>
          </w:p>
        </w:tc>
        <w:tc>
          <w:tcPr>
            <w:tcW w:w="685"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66EBF242">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指标值</w:t>
            </w:r>
          </w:p>
        </w:tc>
        <w:tc>
          <w:tcPr>
            <w:tcW w:w="686"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1B95F00E">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度量单位</w:t>
            </w:r>
          </w:p>
        </w:tc>
        <w:tc>
          <w:tcPr>
            <w:tcW w:w="643"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60503295">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权重</w:t>
            </w:r>
          </w:p>
        </w:tc>
        <w:tc>
          <w:tcPr>
            <w:tcW w:w="750"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7F9CDAC9">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指标方向性</w:t>
            </w:r>
          </w:p>
        </w:tc>
      </w:tr>
      <w:tr w14:paraId="05D4C9DD">
        <w:tblPrEx>
          <w:tblCellMar>
            <w:top w:w="0" w:type="dxa"/>
            <w:left w:w="0" w:type="dxa"/>
            <w:bottom w:w="0" w:type="dxa"/>
            <w:right w:w="0" w:type="dxa"/>
          </w:tblCellMar>
        </w:tblPrEx>
        <w:trPr>
          <w:trHeight w:val="452" w:hRule="atLeast"/>
        </w:trPr>
        <w:tc>
          <w:tcPr>
            <w:tcW w:w="660"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71703F3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161</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中共松潘县委社会工作部部门</w:t>
            </w:r>
          </w:p>
        </w:tc>
        <w:tc>
          <w:tcPr>
            <w:tcW w:w="1020"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56ADFD94">
            <w:pPr>
              <w:rPr>
                <w:rFonts w:hint="eastAsia" w:ascii="黑体" w:hAnsi="黑体" w:eastAsia="黑体" w:cs="黑体"/>
                <w:i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039C2D8B">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66.20</w:t>
            </w:r>
          </w:p>
        </w:tc>
        <w:tc>
          <w:tcPr>
            <w:tcW w:w="1067"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1BAAB8F7">
            <w:pPr>
              <w:rPr>
                <w:rFonts w:hint="eastAsia" w:ascii="黑体" w:hAnsi="黑体" w:eastAsia="黑体" w:cs="黑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626D6A74">
            <w:pPr>
              <w:rPr>
                <w:rFonts w:hint="eastAsia" w:ascii="黑体" w:hAnsi="黑体" w:eastAsia="黑体" w:cs="黑体"/>
                <w:i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034DD2BA">
            <w:pPr>
              <w:rPr>
                <w:rFonts w:hint="eastAsia" w:ascii="黑体" w:hAnsi="黑体" w:eastAsia="黑体" w:cs="黑体"/>
                <w:i w:val="0"/>
                <w:color w:val="000000"/>
                <w:sz w:val="18"/>
                <w:szCs w:val="18"/>
                <w:u w:val="none"/>
              </w:rPr>
            </w:pPr>
          </w:p>
        </w:tc>
        <w:tc>
          <w:tcPr>
            <w:tcW w:w="678"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1F15575D">
            <w:pPr>
              <w:rPr>
                <w:rFonts w:hint="eastAsia" w:ascii="黑体" w:hAnsi="黑体" w:eastAsia="黑体" w:cs="黑体"/>
                <w:i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124CB5A9">
            <w:pPr>
              <w:rPr>
                <w:rFonts w:hint="eastAsia" w:ascii="黑体" w:hAnsi="黑体" w:eastAsia="黑体" w:cs="黑体"/>
                <w:i w:val="0"/>
                <w:color w:val="000000"/>
                <w:sz w:val="18"/>
                <w:szCs w:val="18"/>
                <w:u w:val="none"/>
              </w:rPr>
            </w:pPr>
          </w:p>
        </w:tc>
        <w:tc>
          <w:tcPr>
            <w:tcW w:w="685"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4833DF54">
            <w:pPr>
              <w:rPr>
                <w:rFonts w:hint="eastAsia" w:ascii="黑体" w:hAnsi="黑体" w:eastAsia="黑体" w:cs="黑体"/>
                <w:i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7B41894E">
            <w:pPr>
              <w:rPr>
                <w:rFonts w:hint="eastAsia" w:ascii="黑体" w:hAnsi="黑体" w:eastAsia="黑体" w:cs="黑体"/>
                <w:i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4BDB87CC">
            <w:pPr>
              <w:rPr>
                <w:rFonts w:hint="eastAsia" w:ascii="黑体" w:hAnsi="黑体" w:eastAsia="黑体" w:cs="黑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6265A092">
            <w:pPr>
              <w:rPr>
                <w:rFonts w:hint="eastAsia" w:ascii="黑体" w:hAnsi="黑体" w:eastAsia="黑体" w:cs="黑体"/>
                <w:i w:val="0"/>
                <w:color w:val="000000"/>
                <w:sz w:val="18"/>
                <w:szCs w:val="18"/>
                <w:u w:val="none"/>
              </w:rPr>
            </w:pPr>
          </w:p>
        </w:tc>
      </w:tr>
      <w:tr w14:paraId="56A5CEE1">
        <w:tblPrEx>
          <w:tblCellMar>
            <w:top w:w="0" w:type="dxa"/>
            <w:left w:w="0" w:type="dxa"/>
            <w:bottom w:w="0" w:type="dxa"/>
            <w:right w:w="0" w:type="dxa"/>
          </w:tblCellMar>
        </w:tblPrEx>
        <w:trPr>
          <w:trHeight w:val="452"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C81F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161001</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中共松潘县委社会工作部</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E569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51000021R000000019951-工资性支出</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C4218">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25.43</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DD30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E005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1D03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B7C1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E63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C67A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DC9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5C9F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4333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正向指标</w:t>
            </w:r>
          </w:p>
        </w:tc>
      </w:tr>
      <w:tr w14:paraId="77EDCFEA">
        <w:tblPrEx>
          <w:tblCellMar>
            <w:top w:w="0" w:type="dxa"/>
            <w:left w:w="0" w:type="dxa"/>
            <w:bottom w:w="0" w:type="dxa"/>
            <w:right w:w="0"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C6FBF">
            <w:pPr>
              <w:rPr>
                <w:rFonts w:hint="eastAsia" w:ascii="宋体" w:hAnsi="宋体" w:eastAsia="宋体" w:cs="宋体"/>
                <w:i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7B0FB">
            <w:pPr>
              <w:rPr>
                <w:rFonts w:hint="eastAsia" w:ascii="宋体" w:hAnsi="宋体" w:eastAsia="宋体" w:cs="宋体"/>
                <w:i w:val="0"/>
                <w:color w:val="000000"/>
                <w:sz w:val="18"/>
                <w:szCs w:val="18"/>
                <w:u w:val="none"/>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80D19">
            <w:pPr>
              <w:jc w:val="right"/>
              <w:rPr>
                <w:rFonts w:hint="eastAsia" w:ascii="宋体" w:hAnsi="宋体" w:eastAsia="宋体" w:cs="宋体"/>
                <w:i w:val="0"/>
                <w:color w:val="000000"/>
                <w:sz w:val="18"/>
                <w:szCs w:val="18"/>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AC5D7">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14F6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A525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6C31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761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3F7C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772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5977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EDFA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正向指标</w:t>
            </w:r>
          </w:p>
        </w:tc>
      </w:tr>
      <w:tr w14:paraId="641660C3">
        <w:tblPrEx>
          <w:tblCellMar>
            <w:top w:w="0" w:type="dxa"/>
            <w:left w:w="0" w:type="dxa"/>
            <w:bottom w:w="0" w:type="dxa"/>
            <w:right w:w="0"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1ACF7">
            <w:pPr>
              <w:rPr>
                <w:rFonts w:hint="eastAsia" w:ascii="宋体" w:hAnsi="宋体" w:eastAsia="宋体" w:cs="宋体"/>
                <w:i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73B5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51000021R000000019953</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单位缴费</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71C6E">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0.06</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0239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5785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09E2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371B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782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C6C9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AEC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5BA1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AF52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正向指标</w:t>
            </w:r>
          </w:p>
        </w:tc>
      </w:tr>
      <w:tr w14:paraId="18B0D4C5">
        <w:tblPrEx>
          <w:tblCellMar>
            <w:top w:w="0" w:type="dxa"/>
            <w:left w:w="0" w:type="dxa"/>
            <w:bottom w:w="0" w:type="dxa"/>
            <w:right w:w="0"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B56C8">
            <w:pPr>
              <w:rPr>
                <w:rFonts w:hint="eastAsia" w:ascii="宋体" w:hAnsi="宋体" w:eastAsia="宋体" w:cs="宋体"/>
                <w:i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A92D5">
            <w:pPr>
              <w:rPr>
                <w:rFonts w:hint="eastAsia" w:ascii="宋体" w:hAnsi="宋体" w:eastAsia="宋体" w:cs="宋体"/>
                <w:i w:val="0"/>
                <w:color w:val="000000"/>
                <w:sz w:val="18"/>
                <w:szCs w:val="18"/>
                <w:u w:val="none"/>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FCED4">
            <w:pPr>
              <w:jc w:val="right"/>
              <w:rPr>
                <w:rFonts w:hint="eastAsia" w:ascii="宋体" w:hAnsi="宋体" w:eastAsia="宋体" w:cs="宋体"/>
                <w:i w:val="0"/>
                <w:color w:val="000000"/>
                <w:sz w:val="18"/>
                <w:szCs w:val="18"/>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57C2F">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407B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FE45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8BE9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3ED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6DD9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8EF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4FBE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4F67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正向指标</w:t>
            </w:r>
          </w:p>
        </w:tc>
      </w:tr>
      <w:tr w14:paraId="1B5CC752">
        <w:tblPrEx>
          <w:tblCellMar>
            <w:top w:w="0" w:type="dxa"/>
            <w:left w:w="0" w:type="dxa"/>
            <w:bottom w:w="0" w:type="dxa"/>
            <w:right w:w="0" w:type="dxa"/>
          </w:tblCellMar>
        </w:tblPrEx>
        <w:trPr>
          <w:trHeight w:val="286"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8CD46">
            <w:pPr>
              <w:rPr>
                <w:rFonts w:hint="eastAsia" w:ascii="宋体" w:hAnsi="宋体" w:eastAsia="宋体" w:cs="宋体"/>
                <w:i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CC96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51000021Y000000011490</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日常公用经费</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FFBC0">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0.55</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4B9E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提高预算编制质量，严格执行预算，保障单位日常运转。</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BF8F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E95F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948E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科目调整次数</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9CB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9A64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9BA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5283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C8B8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反向指标</w:t>
            </w:r>
          </w:p>
        </w:tc>
      </w:tr>
      <w:tr w14:paraId="3272911D">
        <w:tblPrEx>
          <w:tblCellMar>
            <w:top w:w="0" w:type="dxa"/>
            <w:left w:w="0" w:type="dxa"/>
            <w:bottom w:w="0" w:type="dxa"/>
            <w:right w:w="0" w:type="dxa"/>
          </w:tblCellMar>
        </w:tblPrEx>
        <w:trPr>
          <w:trHeight w:val="113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4216E">
            <w:pPr>
              <w:rPr>
                <w:rFonts w:hint="eastAsia" w:ascii="宋体" w:hAnsi="宋体" w:eastAsia="宋体" w:cs="宋体"/>
                <w:i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A1CD9">
            <w:pPr>
              <w:rPr>
                <w:rFonts w:hint="eastAsia" w:ascii="宋体" w:hAnsi="宋体" w:eastAsia="宋体" w:cs="宋体"/>
                <w:i w:val="0"/>
                <w:color w:val="000000"/>
                <w:sz w:val="18"/>
                <w:szCs w:val="18"/>
                <w:u w:val="none"/>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F1885">
            <w:pPr>
              <w:jc w:val="right"/>
              <w:rPr>
                <w:rFonts w:hint="eastAsia" w:ascii="宋体" w:hAnsi="宋体" w:eastAsia="宋体" w:cs="宋体"/>
                <w:i w:val="0"/>
                <w:color w:val="000000"/>
                <w:sz w:val="18"/>
                <w:szCs w:val="18"/>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7C833">
            <w:pPr>
              <w:rPr>
                <w:rFonts w:hint="eastAsia" w:ascii="宋体" w:hAnsi="宋体" w:eastAsia="宋体" w:cs="宋体"/>
                <w:i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07219">
            <w:pPr>
              <w:rPr>
                <w:rFonts w:hint="eastAsia" w:ascii="宋体" w:hAnsi="宋体" w:eastAsia="宋体" w:cs="宋体"/>
                <w:i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67E0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A9E5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预算编制准确率（计算方法为：∣</w:t>
            </w:r>
            <w:bookmarkStart w:id="61" w:name="_GoBack"/>
            <w:r>
              <w:rPr>
                <w:rFonts w:ascii="宋体" w:hAnsi="宋体" w:eastAsia="宋体" w:cs="宋体"/>
                <w:i w:val="0"/>
                <w:color w:val="000000"/>
                <w:kern w:val="0"/>
                <w:sz w:val="18"/>
                <w:szCs w:val="18"/>
                <w:u w:val="none"/>
                <w:lang w:val="en-US" w:eastAsia="zh-CN" w:bidi="ar"/>
              </w:rPr>
              <w:t>（</w:t>
            </w:r>
            <w:bookmarkEnd w:id="61"/>
            <w:r>
              <w:rPr>
                <w:rFonts w:ascii="宋体" w:hAnsi="宋体" w:eastAsia="宋体" w:cs="宋体"/>
                <w:i w:val="0"/>
                <w:color w:val="000000"/>
                <w:kern w:val="0"/>
                <w:sz w:val="18"/>
                <w:szCs w:val="18"/>
                <w:u w:val="none"/>
                <w:lang w:val="en-US" w:eastAsia="zh-CN" w:bidi="ar"/>
              </w:rPr>
              <w:t>执行数</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预算数）/预算数∣）</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E4A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D2D1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EBF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20E7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80E5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反向指标</w:t>
            </w:r>
          </w:p>
        </w:tc>
      </w:tr>
      <w:tr w14:paraId="6538F107">
        <w:tblPrEx>
          <w:tblCellMar>
            <w:top w:w="0" w:type="dxa"/>
            <w:left w:w="0" w:type="dxa"/>
            <w:bottom w:w="0" w:type="dxa"/>
            <w:right w:w="0" w:type="dxa"/>
          </w:tblCellMar>
        </w:tblPrEx>
        <w:trPr>
          <w:trHeight w:val="1356"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5B5B5">
            <w:pPr>
              <w:rPr>
                <w:rFonts w:hint="eastAsia" w:ascii="宋体" w:hAnsi="宋体" w:eastAsia="宋体" w:cs="宋体"/>
                <w:i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D1098">
            <w:pPr>
              <w:rPr>
                <w:rFonts w:hint="eastAsia" w:ascii="宋体" w:hAnsi="宋体" w:eastAsia="宋体" w:cs="宋体"/>
                <w:i w:val="0"/>
                <w:color w:val="000000"/>
                <w:sz w:val="18"/>
                <w:szCs w:val="18"/>
                <w:u w:val="none"/>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8A790">
            <w:pPr>
              <w:jc w:val="right"/>
              <w:rPr>
                <w:rFonts w:hint="eastAsia" w:ascii="宋体" w:hAnsi="宋体" w:eastAsia="宋体" w:cs="宋体"/>
                <w:i w:val="0"/>
                <w:color w:val="000000"/>
                <w:sz w:val="18"/>
                <w:szCs w:val="18"/>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805FB">
            <w:pPr>
              <w:rPr>
                <w:rFonts w:hint="eastAsia" w:ascii="宋体" w:hAnsi="宋体" w:eastAsia="宋体" w:cs="宋体"/>
                <w:i w:val="0"/>
                <w:color w:val="000000"/>
                <w:sz w:val="18"/>
                <w:szCs w:val="18"/>
                <w:u w:val="none"/>
              </w:rPr>
            </w:pP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3C1C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0021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CE457">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“三公”经费</w:t>
            </w:r>
            <w:r>
              <w:rPr>
                <w:rFonts w:ascii="宋体" w:hAnsi="宋体" w:eastAsia="宋体" w:cs="宋体"/>
                <w:i w:val="0"/>
                <w:color w:val="000000"/>
                <w:kern w:val="0"/>
                <w:sz w:val="18"/>
                <w:szCs w:val="18"/>
                <w:u w:val="none"/>
                <w:lang w:val="en-US" w:eastAsia="zh-CN" w:bidi="ar"/>
              </w:rPr>
              <w:t>控制率[计算方法为：（</w:t>
            </w:r>
            <w:r>
              <w:rPr>
                <w:rFonts w:hint="eastAsia" w:ascii="宋体" w:hAnsi="宋体" w:cs="宋体"/>
                <w:i w:val="0"/>
                <w:color w:val="000000"/>
                <w:kern w:val="0"/>
                <w:sz w:val="18"/>
                <w:szCs w:val="18"/>
                <w:u w:val="none"/>
                <w:lang w:val="en-US" w:eastAsia="zh-CN" w:bidi="ar"/>
              </w:rPr>
              <w:t>“三公”经费</w:t>
            </w:r>
            <w:r>
              <w:rPr>
                <w:rFonts w:ascii="宋体" w:hAnsi="宋体" w:eastAsia="宋体" w:cs="宋体"/>
                <w:i w:val="0"/>
                <w:color w:val="000000"/>
                <w:kern w:val="0"/>
                <w:sz w:val="18"/>
                <w:szCs w:val="18"/>
                <w:u w:val="none"/>
                <w:lang w:val="en-US" w:eastAsia="zh-CN" w:bidi="ar"/>
              </w:rPr>
              <w:t>实际支出数/预算安排数]×100%）</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DFB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786F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074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275A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33BE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反向指标</w:t>
            </w:r>
          </w:p>
        </w:tc>
      </w:tr>
      <w:tr w14:paraId="1732542D">
        <w:tblPrEx>
          <w:tblCellMar>
            <w:top w:w="0" w:type="dxa"/>
            <w:left w:w="0" w:type="dxa"/>
            <w:bottom w:w="0" w:type="dxa"/>
            <w:right w:w="0" w:type="dxa"/>
          </w:tblCellMar>
        </w:tblPrEx>
        <w:trPr>
          <w:trHeight w:val="286"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FC5E7">
            <w:pPr>
              <w:rPr>
                <w:rFonts w:hint="eastAsia" w:ascii="宋体" w:hAnsi="宋体" w:eastAsia="宋体" w:cs="宋体"/>
                <w:i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75A98">
            <w:pPr>
              <w:rPr>
                <w:rFonts w:hint="eastAsia" w:ascii="宋体" w:hAnsi="宋体" w:eastAsia="宋体" w:cs="宋体"/>
                <w:i w:val="0"/>
                <w:color w:val="000000"/>
                <w:sz w:val="18"/>
                <w:szCs w:val="18"/>
                <w:u w:val="none"/>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61A25">
            <w:pPr>
              <w:jc w:val="right"/>
              <w:rPr>
                <w:rFonts w:hint="eastAsia" w:ascii="宋体" w:hAnsi="宋体" w:eastAsia="宋体" w:cs="宋体"/>
                <w:i w:val="0"/>
                <w:color w:val="000000"/>
                <w:sz w:val="18"/>
                <w:szCs w:val="18"/>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4865E">
            <w:pPr>
              <w:rPr>
                <w:rFonts w:hint="eastAsia" w:ascii="宋体" w:hAnsi="宋体" w:eastAsia="宋体" w:cs="宋体"/>
                <w:i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E3787">
            <w:pPr>
              <w:rPr>
                <w:rFonts w:hint="eastAsia" w:ascii="宋体" w:hAnsi="宋体" w:eastAsia="宋体" w:cs="宋体"/>
                <w:i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AD33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D6DD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运转保障率</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AE4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3A4C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EFC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4847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42C9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正向指标</w:t>
            </w:r>
          </w:p>
        </w:tc>
      </w:tr>
      <w:tr w14:paraId="14CB2AC4">
        <w:tblPrEx>
          <w:tblCellMar>
            <w:top w:w="0" w:type="dxa"/>
            <w:left w:w="0" w:type="dxa"/>
            <w:bottom w:w="0" w:type="dxa"/>
            <w:right w:w="0"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EB271">
            <w:pPr>
              <w:rPr>
                <w:rFonts w:hint="eastAsia" w:ascii="宋体" w:hAnsi="宋体" w:eastAsia="宋体" w:cs="宋体"/>
                <w:i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BEAA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51322424R000010101308-住房公积金（新）</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C8854">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3.29</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2F09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46B1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A97B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58E8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277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20C4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719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6BEB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4073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正向指标</w:t>
            </w:r>
          </w:p>
        </w:tc>
      </w:tr>
      <w:tr w14:paraId="0537094C">
        <w:tblPrEx>
          <w:tblCellMar>
            <w:top w:w="0" w:type="dxa"/>
            <w:left w:w="0" w:type="dxa"/>
            <w:bottom w:w="0" w:type="dxa"/>
            <w:right w:w="0"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87A4C">
            <w:pPr>
              <w:rPr>
                <w:rFonts w:hint="eastAsia" w:ascii="宋体" w:hAnsi="宋体" w:eastAsia="宋体" w:cs="宋体"/>
                <w:i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3668E">
            <w:pPr>
              <w:rPr>
                <w:rFonts w:hint="eastAsia" w:ascii="宋体" w:hAnsi="宋体" w:eastAsia="宋体" w:cs="宋体"/>
                <w:i w:val="0"/>
                <w:color w:val="000000"/>
                <w:sz w:val="18"/>
                <w:szCs w:val="18"/>
                <w:u w:val="none"/>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B9027">
            <w:pPr>
              <w:jc w:val="right"/>
              <w:rPr>
                <w:rFonts w:hint="eastAsia" w:ascii="宋体" w:hAnsi="宋体" w:eastAsia="宋体" w:cs="宋体"/>
                <w:i w:val="0"/>
                <w:color w:val="000000"/>
                <w:sz w:val="18"/>
                <w:szCs w:val="18"/>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06426">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30EF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9CEA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D430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003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B111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77E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4E98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89EB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正向指标</w:t>
            </w:r>
          </w:p>
        </w:tc>
      </w:tr>
      <w:tr w14:paraId="47C3462E">
        <w:tblPrEx>
          <w:tblCellMar>
            <w:top w:w="0" w:type="dxa"/>
            <w:left w:w="0" w:type="dxa"/>
            <w:bottom w:w="0" w:type="dxa"/>
            <w:right w:w="0"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90963">
            <w:pPr>
              <w:rPr>
                <w:rFonts w:hint="eastAsia" w:ascii="宋体" w:hAnsi="宋体" w:eastAsia="宋体" w:cs="宋体"/>
                <w:i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5D2B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51322424R000010101712</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社会保障缴费（新公务员医疗补助）</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D0AB2">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0.37</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EF6C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F8E0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8E5E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CD43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51A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FF57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38A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ADE9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69C2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正向指标</w:t>
            </w:r>
          </w:p>
        </w:tc>
      </w:tr>
      <w:tr w14:paraId="439622E9">
        <w:tblPrEx>
          <w:tblCellMar>
            <w:top w:w="0" w:type="dxa"/>
            <w:left w:w="0" w:type="dxa"/>
            <w:bottom w:w="0" w:type="dxa"/>
            <w:right w:w="0"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2067A">
            <w:pPr>
              <w:rPr>
                <w:rFonts w:hint="eastAsia" w:ascii="宋体" w:hAnsi="宋体" w:eastAsia="宋体" w:cs="宋体"/>
                <w:i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55E8B">
            <w:pPr>
              <w:rPr>
                <w:rFonts w:hint="eastAsia" w:ascii="宋体" w:hAnsi="宋体" w:eastAsia="宋体" w:cs="宋体"/>
                <w:i w:val="0"/>
                <w:color w:val="000000"/>
                <w:sz w:val="18"/>
                <w:szCs w:val="18"/>
                <w:u w:val="none"/>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C903D">
            <w:pPr>
              <w:jc w:val="right"/>
              <w:rPr>
                <w:rFonts w:hint="eastAsia" w:ascii="宋体" w:hAnsi="宋体" w:eastAsia="宋体" w:cs="宋体"/>
                <w:i w:val="0"/>
                <w:color w:val="000000"/>
                <w:sz w:val="18"/>
                <w:szCs w:val="18"/>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31D32">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1A55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5777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7E2D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EEE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739D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DF1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CEB6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54B0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正向指标</w:t>
            </w:r>
          </w:p>
        </w:tc>
      </w:tr>
      <w:tr w14:paraId="6F46ECBF">
        <w:tblPrEx>
          <w:tblCellMar>
            <w:top w:w="0" w:type="dxa"/>
            <w:left w:w="0" w:type="dxa"/>
            <w:bottom w:w="0" w:type="dxa"/>
            <w:right w:w="0"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A629A">
            <w:pPr>
              <w:rPr>
                <w:rFonts w:hint="eastAsia" w:ascii="宋体" w:hAnsi="宋体" w:eastAsia="宋体" w:cs="宋体"/>
                <w:i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70F1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51322424R000010101908</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社会保障缴费（新职工基本医疗保险）</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8169F">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1.75</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8B95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45AF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7B0A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5D0D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49B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7EA5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DB7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A8FB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8EFC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正向指标</w:t>
            </w:r>
          </w:p>
        </w:tc>
      </w:tr>
      <w:tr w14:paraId="2B3A4DE9">
        <w:tblPrEx>
          <w:tblCellMar>
            <w:top w:w="0" w:type="dxa"/>
            <w:left w:w="0" w:type="dxa"/>
            <w:bottom w:w="0" w:type="dxa"/>
            <w:right w:w="0"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052F8">
            <w:pPr>
              <w:rPr>
                <w:rFonts w:hint="eastAsia" w:ascii="宋体" w:hAnsi="宋体" w:eastAsia="宋体" w:cs="宋体"/>
                <w:i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74558">
            <w:pPr>
              <w:rPr>
                <w:rFonts w:hint="eastAsia" w:ascii="宋体" w:hAnsi="宋体" w:eastAsia="宋体" w:cs="宋体"/>
                <w:i w:val="0"/>
                <w:color w:val="000000"/>
                <w:sz w:val="18"/>
                <w:szCs w:val="18"/>
                <w:u w:val="none"/>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7A016">
            <w:pPr>
              <w:jc w:val="right"/>
              <w:rPr>
                <w:rFonts w:hint="eastAsia" w:ascii="宋体" w:hAnsi="宋体" w:eastAsia="宋体" w:cs="宋体"/>
                <w:i w:val="0"/>
                <w:color w:val="000000"/>
                <w:sz w:val="18"/>
                <w:szCs w:val="18"/>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4E6CD">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61F9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5B5A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79BA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84D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4813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9DC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02B2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E4D6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正向指标</w:t>
            </w:r>
          </w:p>
        </w:tc>
      </w:tr>
      <w:tr w14:paraId="76B207AA">
        <w:tblPrEx>
          <w:tblCellMar>
            <w:top w:w="0" w:type="dxa"/>
            <w:left w:w="0" w:type="dxa"/>
            <w:bottom w:w="0" w:type="dxa"/>
            <w:right w:w="0"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9214A">
            <w:pPr>
              <w:rPr>
                <w:rFonts w:hint="eastAsia" w:ascii="宋体" w:hAnsi="宋体" w:eastAsia="宋体" w:cs="宋体"/>
                <w:i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C690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51322424R000010102119</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社会保障缴费（新职业年金）</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1288A">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1.87</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1D62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2869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1B2A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BD90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947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A63D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0EB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5DEC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D085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正向指标</w:t>
            </w:r>
          </w:p>
        </w:tc>
      </w:tr>
      <w:tr w14:paraId="4C923995">
        <w:tblPrEx>
          <w:tblCellMar>
            <w:top w:w="0" w:type="dxa"/>
            <w:left w:w="0" w:type="dxa"/>
            <w:bottom w:w="0" w:type="dxa"/>
            <w:right w:w="0"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FCBC1">
            <w:pPr>
              <w:rPr>
                <w:rFonts w:hint="eastAsia" w:ascii="宋体" w:hAnsi="宋体" w:eastAsia="宋体" w:cs="宋体"/>
                <w:i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B40D0">
            <w:pPr>
              <w:rPr>
                <w:rFonts w:hint="eastAsia" w:ascii="宋体" w:hAnsi="宋体" w:eastAsia="宋体" w:cs="宋体"/>
                <w:i w:val="0"/>
                <w:color w:val="000000"/>
                <w:sz w:val="18"/>
                <w:szCs w:val="18"/>
                <w:u w:val="none"/>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0BECB">
            <w:pPr>
              <w:jc w:val="right"/>
              <w:rPr>
                <w:rFonts w:hint="eastAsia" w:ascii="宋体" w:hAnsi="宋体" w:eastAsia="宋体" w:cs="宋体"/>
                <w:i w:val="0"/>
                <w:color w:val="000000"/>
                <w:sz w:val="18"/>
                <w:szCs w:val="18"/>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A8FEA">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9C93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7E06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1F0F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790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3C16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4B7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7AAB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36D5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正向指标</w:t>
            </w:r>
          </w:p>
        </w:tc>
      </w:tr>
      <w:tr w14:paraId="38C2A915">
        <w:tblPrEx>
          <w:tblCellMar>
            <w:top w:w="0" w:type="dxa"/>
            <w:left w:w="0" w:type="dxa"/>
            <w:bottom w:w="0" w:type="dxa"/>
            <w:right w:w="0"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5A5DD">
            <w:pPr>
              <w:rPr>
                <w:rFonts w:hint="eastAsia" w:ascii="宋体" w:hAnsi="宋体" w:eastAsia="宋体" w:cs="宋体"/>
                <w:i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5C83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51322424R000010102322</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社会保障缴费（新机关事业单位基本养老保险）</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EBD80">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3.74</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681F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2D2A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66CA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AF88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112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51B6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A28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E5A3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FA97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正向指标</w:t>
            </w:r>
          </w:p>
        </w:tc>
      </w:tr>
      <w:tr w14:paraId="79527447">
        <w:tblPrEx>
          <w:tblCellMar>
            <w:top w:w="0" w:type="dxa"/>
            <w:left w:w="0" w:type="dxa"/>
            <w:bottom w:w="0" w:type="dxa"/>
            <w:right w:w="0"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C0642">
            <w:pPr>
              <w:rPr>
                <w:rFonts w:hint="eastAsia" w:ascii="宋体" w:hAnsi="宋体" w:eastAsia="宋体" w:cs="宋体"/>
                <w:i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B3CB7">
            <w:pPr>
              <w:rPr>
                <w:rFonts w:hint="eastAsia" w:ascii="宋体" w:hAnsi="宋体" w:eastAsia="宋体" w:cs="宋体"/>
                <w:i w:val="0"/>
                <w:color w:val="000000"/>
                <w:sz w:val="18"/>
                <w:szCs w:val="18"/>
                <w:u w:val="none"/>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BFB7C">
            <w:pPr>
              <w:jc w:val="right"/>
              <w:rPr>
                <w:rFonts w:hint="eastAsia" w:ascii="宋体" w:hAnsi="宋体" w:eastAsia="宋体" w:cs="宋体"/>
                <w:i w:val="0"/>
                <w:color w:val="000000"/>
                <w:sz w:val="18"/>
                <w:szCs w:val="18"/>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21E34">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0B46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9CDF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03B1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FA0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20FA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ED6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551D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9967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正向指标</w:t>
            </w:r>
          </w:p>
        </w:tc>
      </w:tr>
      <w:tr w14:paraId="0AC2F967">
        <w:tblPrEx>
          <w:tblCellMar>
            <w:top w:w="0" w:type="dxa"/>
            <w:left w:w="0" w:type="dxa"/>
            <w:bottom w:w="0" w:type="dxa"/>
            <w:right w:w="0"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D7EA1">
            <w:pPr>
              <w:rPr>
                <w:rFonts w:hint="eastAsia" w:ascii="宋体" w:hAnsi="宋体" w:eastAsia="宋体" w:cs="宋体"/>
                <w:i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EFBE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51322424Y000010098372</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日常公用经费（新）</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3D927">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0.15</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C7A51">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1E2E1">
            <w:pPr>
              <w:rPr>
                <w:rFonts w:hint="eastAsia" w:ascii="宋体" w:hAnsi="宋体" w:eastAsia="宋体" w:cs="宋体"/>
                <w:i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EE2C2">
            <w:pPr>
              <w:rPr>
                <w:rFonts w:hint="eastAsia" w:ascii="宋体" w:hAnsi="宋体" w:eastAsia="宋体" w:cs="宋体"/>
                <w:i w:val="0"/>
                <w:color w:val="000000"/>
                <w:sz w:val="18"/>
                <w:szCs w:val="18"/>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2B115">
            <w:pPr>
              <w:rPr>
                <w:rFonts w:hint="eastAsia" w:ascii="宋体" w:hAnsi="宋体" w:eastAsia="宋体" w:cs="宋体"/>
                <w:i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C48A0">
            <w:pPr>
              <w:jc w:val="center"/>
              <w:rPr>
                <w:rFonts w:hint="eastAsia" w:ascii="宋体" w:hAnsi="宋体" w:eastAsia="宋体" w:cs="宋体"/>
                <w:i w:val="0"/>
                <w:color w:val="000000"/>
                <w:sz w:val="18"/>
                <w:szCs w:val="18"/>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4F978">
            <w:pPr>
              <w:rPr>
                <w:rFonts w:hint="eastAsia" w:ascii="宋体" w:hAnsi="宋体" w:eastAsia="宋体" w:cs="宋体"/>
                <w:i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D1EA3">
            <w:pPr>
              <w:jc w:val="center"/>
              <w:rPr>
                <w:rFonts w:hint="eastAsia" w:ascii="宋体" w:hAnsi="宋体" w:eastAsia="宋体" w:cs="宋体"/>
                <w:i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560AC">
            <w:pPr>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8BE78">
            <w:pPr>
              <w:rPr>
                <w:rFonts w:hint="eastAsia" w:ascii="宋体" w:hAnsi="宋体" w:eastAsia="宋体" w:cs="宋体"/>
                <w:i w:val="0"/>
                <w:color w:val="000000"/>
                <w:sz w:val="18"/>
                <w:szCs w:val="18"/>
                <w:u w:val="none"/>
              </w:rPr>
            </w:pPr>
          </w:p>
        </w:tc>
      </w:tr>
      <w:tr w14:paraId="0D2CB2F0">
        <w:tblPrEx>
          <w:tblCellMar>
            <w:top w:w="0" w:type="dxa"/>
            <w:left w:w="0" w:type="dxa"/>
            <w:bottom w:w="0" w:type="dxa"/>
            <w:right w:w="0" w:type="dxa"/>
          </w:tblCellMar>
        </w:tblPrEx>
        <w:trPr>
          <w:trHeight w:val="452"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6436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161002</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松潘县社会工作服务中心</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E1EE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51000021R000000019951-工资性支出</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2E95C">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19.61</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E9E9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219B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5893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D43B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ECC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3C99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8E8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955A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65D2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正向指标</w:t>
            </w:r>
          </w:p>
        </w:tc>
      </w:tr>
      <w:tr w14:paraId="3A5E5ADE">
        <w:tblPrEx>
          <w:tblCellMar>
            <w:top w:w="0" w:type="dxa"/>
            <w:left w:w="0" w:type="dxa"/>
            <w:bottom w:w="0" w:type="dxa"/>
            <w:right w:w="0"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32B09">
            <w:pPr>
              <w:rPr>
                <w:rFonts w:hint="eastAsia" w:ascii="宋体" w:hAnsi="宋体" w:eastAsia="宋体" w:cs="宋体"/>
                <w:i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CAB57">
            <w:pPr>
              <w:rPr>
                <w:rFonts w:hint="eastAsia" w:ascii="宋体" w:hAnsi="宋体" w:eastAsia="宋体" w:cs="宋体"/>
                <w:i w:val="0"/>
                <w:color w:val="000000"/>
                <w:sz w:val="18"/>
                <w:szCs w:val="18"/>
                <w:u w:val="none"/>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B3308">
            <w:pPr>
              <w:jc w:val="right"/>
              <w:rPr>
                <w:rFonts w:hint="eastAsia" w:ascii="宋体" w:hAnsi="宋体" w:eastAsia="宋体" w:cs="宋体"/>
                <w:i w:val="0"/>
                <w:color w:val="000000"/>
                <w:sz w:val="18"/>
                <w:szCs w:val="18"/>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15A00">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D61A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F7C2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9A83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358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967F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1C4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768C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D057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正向指标</w:t>
            </w:r>
          </w:p>
        </w:tc>
      </w:tr>
      <w:tr w14:paraId="6E9C9059">
        <w:tblPrEx>
          <w:tblCellMar>
            <w:top w:w="0" w:type="dxa"/>
            <w:left w:w="0" w:type="dxa"/>
            <w:bottom w:w="0" w:type="dxa"/>
            <w:right w:w="0"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AFFD8">
            <w:pPr>
              <w:rPr>
                <w:rFonts w:hint="eastAsia" w:ascii="宋体" w:hAnsi="宋体" w:eastAsia="宋体" w:cs="宋体"/>
                <w:i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5944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51000021R000000019953</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单位缴费</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7A408">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0.14</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2E10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DE6F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8A77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BC50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758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DCE3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A86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524B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BFB8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正向指标</w:t>
            </w:r>
          </w:p>
        </w:tc>
      </w:tr>
      <w:tr w14:paraId="04877C27">
        <w:tblPrEx>
          <w:tblCellMar>
            <w:top w:w="0" w:type="dxa"/>
            <w:left w:w="0" w:type="dxa"/>
            <w:bottom w:w="0" w:type="dxa"/>
            <w:right w:w="0"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F544F">
            <w:pPr>
              <w:rPr>
                <w:rFonts w:hint="eastAsia" w:ascii="宋体" w:hAnsi="宋体" w:eastAsia="宋体" w:cs="宋体"/>
                <w:i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3E8FE">
            <w:pPr>
              <w:rPr>
                <w:rFonts w:hint="eastAsia" w:ascii="宋体" w:hAnsi="宋体" w:eastAsia="宋体" w:cs="宋体"/>
                <w:i w:val="0"/>
                <w:color w:val="000000"/>
                <w:sz w:val="18"/>
                <w:szCs w:val="18"/>
                <w:u w:val="none"/>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9A685">
            <w:pPr>
              <w:jc w:val="right"/>
              <w:rPr>
                <w:rFonts w:hint="eastAsia" w:ascii="宋体" w:hAnsi="宋体" w:eastAsia="宋体" w:cs="宋体"/>
                <w:i w:val="0"/>
                <w:color w:val="000000"/>
                <w:sz w:val="18"/>
                <w:szCs w:val="18"/>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3A70F">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CE8E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950C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5EF3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5B4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7607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CDE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8BF6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8FEC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正向指标</w:t>
            </w:r>
          </w:p>
        </w:tc>
      </w:tr>
      <w:tr w14:paraId="72940760">
        <w:tblPrEx>
          <w:tblCellMar>
            <w:top w:w="0" w:type="dxa"/>
            <w:left w:w="0" w:type="dxa"/>
            <w:bottom w:w="0" w:type="dxa"/>
            <w:right w:w="0" w:type="dxa"/>
          </w:tblCellMar>
        </w:tblPrEx>
        <w:trPr>
          <w:trHeight w:val="286"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9D4C7">
            <w:pPr>
              <w:rPr>
                <w:rFonts w:hint="eastAsia" w:ascii="宋体" w:hAnsi="宋体" w:eastAsia="宋体" w:cs="宋体"/>
                <w:i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408D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51000021Y000000011490</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日常公用经费</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38065">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0.35</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5DE3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提高预算编制质量，严格执行预算，保障单位日常运转。</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8148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E920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E8FA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科目调整次数</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4DB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EA0D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346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A5A2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3352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反向指标</w:t>
            </w:r>
          </w:p>
        </w:tc>
      </w:tr>
      <w:tr w14:paraId="13E1C5A0">
        <w:tblPrEx>
          <w:tblCellMar>
            <w:top w:w="0" w:type="dxa"/>
            <w:left w:w="0" w:type="dxa"/>
            <w:bottom w:w="0" w:type="dxa"/>
            <w:right w:w="0" w:type="dxa"/>
          </w:tblCellMar>
        </w:tblPrEx>
        <w:trPr>
          <w:trHeight w:val="113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1FCF1">
            <w:pPr>
              <w:rPr>
                <w:rFonts w:hint="eastAsia" w:ascii="宋体" w:hAnsi="宋体" w:eastAsia="宋体" w:cs="宋体"/>
                <w:i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A4CD7">
            <w:pPr>
              <w:rPr>
                <w:rFonts w:hint="eastAsia" w:ascii="宋体" w:hAnsi="宋体" w:eastAsia="宋体" w:cs="宋体"/>
                <w:i w:val="0"/>
                <w:color w:val="000000"/>
                <w:sz w:val="18"/>
                <w:szCs w:val="18"/>
                <w:u w:val="none"/>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2814D">
            <w:pPr>
              <w:jc w:val="right"/>
              <w:rPr>
                <w:rFonts w:hint="eastAsia" w:ascii="宋体" w:hAnsi="宋体" w:eastAsia="宋体" w:cs="宋体"/>
                <w:i w:val="0"/>
                <w:color w:val="000000"/>
                <w:sz w:val="18"/>
                <w:szCs w:val="18"/>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C60F3">
            <w:pPr>
              <w:rPr>
                <w:rFonts w:hint="eastAsia" w:ascii="宋体" w:hAnsi="宋体" w:eastAsia="宋体" w:cs="宋体"/>
                <w:i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5C6E7">
            <w:pPr>
              <w:rPr>
                <w:rFonts w:hint="eastAsia" w:ascii="宋体" w:hAnsi="宋体" w:eastAsia="宋体" w:cs="宋体"/>
                <w:i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A5FE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B629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预算编制准确率（计算方法为：∣（执行数</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预算数）/预算数∣）</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4E9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79B1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ADD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6E0E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B0C2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反向指标</w:t>
            </w:r>
          </w:p>
        </w:tc>
      </w:tr>
      <w:tr w14:paraId="343BC5F1">
        <w:tblPrEx>
          <w:tblCellMar>
            <w:top w:w="0" w:type="dxa"/>
            <w:left w:w="0" w:type="dxa"/>
            <w:bottom w:w="0" w:type="dxa"/>
            <w:right w:w="0" w:type="dxa"/>
          </w:tblCellMar>
        </w:tblPrEx>
        <w:trPr>
          <w:trHeight w:val="1356"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CB81F">
            <w:pPr>
              <w:rPr>
                <w:rFonts w:hint="eastAsia" w:ascii="宋体" w:hAnsi="宋体" w:eastAsia="宋体" w:cs="宋体"/>
                <w:i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29399">
            <w:pPr>
              <w:rPr>
                <w:rFonts w:hint="eastAsia" w:ascii="宋体" w:hAnsi="宋体" w:eastAsia="宋体" w:cs="宋体"/>
                <w:i w:val="0"/>
                <w:color w:val="000000"/>
                <w:sz w:val="18"/>
                <w:szCs w:val="18"/>
                <w:u w:val="none"/>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34376">
            <w:pPr>
              <w:jc w:val="right"/>
              <w:rPr>
                <w:rFonts w:hint="eastAsia" w:ascii="宋体" w:hAnsi="宋体" w:eastAsia="宋体" w:cs="宋体"/>
                <w:i w:val="0"/>
                <w:color w:val="000000"/>
                <w:sz w:val="18"/>
                <w:szCs w:val="18"/>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B5AC5">
            <w:pPr>
              <w:rPr>
                <w:rFonts w:hint="eastAsia" w:ascii="宋体" w:hAnsi="宋体" w:eastAsia="宋体" w:cs="宋体"/>
                <w:i w:val="0"/>
                <w:color w:val="000000"/>
                <w:sz w:val="18"/>
                <w:szCs w:val="18"/>
                <w:u w:val="none"/>
              </w:rPr>
            </w:pP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3D7A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DCEB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5639B">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“三公”经费</w:t>
            </w:r>
            <w:r>
              <w:rPr>
                <w:rFonts w:ascii="宋体" w:hAnsi="宋体" w:eastAsia="宋体" w:cs="宋体"/>
                <w:i w:val="0"/>
                <w:color w:val="000000"/>
                <w:kern w:val="0"/>
                <w:sz w:val="18"/>
                <w:szCs w:val="18"/>
                <w:u w:val="none"/>
                <w:lang w:val="en-US" w:eastAsia="zh-CN" w:bidi="ar"/>
              </w:rPr>
              <w:t>控制率[计算方法为：（</w:t>
            </w:r>
            <w:r>
              <w:rPr>
                <w:rFonts w:hint="eastAsia" w:ascii="宋体" w:hAnsi="宋体" w:cs="宋体"/>
                <w:i w:val="0"/>
                <w:color w:val="000000"/>
                <w:kern w:val="0"/>
                <w:sz w:val="18"/>
                <w:szCs w:val="18"/>
                <w:u w:val="none"/>
                <w:lang w:val="en-US" w:eastAsia="zh-CN" w:bidi="ar"/>
              </w:rPr>
              <w:t>“三公”经费</w:t>
            </w:r>
            <w:r>
              <w:rPr>
                <w:rFonts w:ascii="宋体" w:hAnsi="宋体" w:eastAsia="宋体" w:cs="宋体"/>
                <w:i w:val="0"/>
                <w:color w:val="000000"/>
                <w:kern w:val="0"/>
                <w:sz w:val="18"/>
                <w:szCs w:val="18"/>
                <w:u w:val="none"/>
                <w:lang w:val="en-US" w:eastAsia="zh-CN" w:bidi="ar"/>
              </w:rPr>
              <w:t>实际支出数/预算安排数]×100%）</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F94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694B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4F3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1916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7994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反向指标</w:t>
            </w:r>
          </w:p>
        </w:tc>
      </w:tr>
      <w:tr w14:paraId="18D66B58">
        <w:tblPrEx>
          <w:tblCellMar>
            <w:top w:w="0" w:type="dxa"/>
            <w:left w:w="0" w:type="dxa"/>
            <w:bottom w:w="0" w:type="dxa"/>
            <w:right w:w="0" w:type="dxa"/>
          </w:tblCellMar>
        </w:tblPrEx>
        <w:trPr>
          <w:trHeight w:val="286"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3542B">
            <w:pPr>
              <w:rPr>
                <w:rFonts w:hint="eastAsia" w:ascii="宋体" w:hAnsi="宋体" w:eastAsia="宋体" w:cs="宋体"/>
                <w:i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4D4BB">
            <w:pPr>
              <w:rPr>
                <w:rFonts w:hint="eastAsia" w:ascii="宋体" w:hAnsi="宋体" w:eastAsia="宋体" w:cs="宋体"/>
                <w:i w:val="0"/>
                <w:color w:val="000000"/>
                <w:sz w:val="18"/>
                <w:szCs w:val="18"/>
                <w:u w:val="none"/>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8DEE7">
            <w:pPr>
              <w:jc w:val="right"/>
              <w:rPr>
                <w:rFonts w:hint="eastAsia" w:ascii="宋体" w:hAnsi="宋体" w:eastAsia="宋体" w:cs="宋体"/>
                <w:i w:val="0"/>
                <w:color w:val="000000"/>
                <w:sz w:val="18"/>
                <w:szCs w:val="18"/>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F97B4">
            <w:pPr>
              <w:rPr>
                <w:rFonts w:hint="eastAsia" w:ascii="宋体" w:hAnsi="宋体" w:eastAsia="宋体" w:cs="宋体"/>
                <w:i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5A99F">
            <w:pPr>
              <w:rPr>
                <w:rFonts w:hint="eastAsia" w:ascii="宋体" w:hAnsi="宋体" w:eastAsia="宋体" w:cs="宋体"/>
                <w:i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0061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F3F7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运转保障率</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52F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4D4F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70D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1E96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6875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正向指标</w:t>
            </w:r>
          </w:p>
        </w:tc>
      </w:tr>
      <w:tr w14:paraId="2F990881">
        <w:tblPrEx>
          <w:tblCellMar>
            <w:top w:w="0" w:type="dxa"/>
            <w:left w:w="0" w:type="dxa"/>
            <w:bottom w:w="0" w:type="dxa"/>
            <w:right w:w="0"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0557E">
            <w:pPr>
              <w:rPr>
                <w:rFonts w:hint="eastAsia" w:ascii="宋体" w:hAnsi="宋体" w:eastAsia="宋体" w:cs="宋体"/>
                <w:i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A31E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51322424R000010101308-住房公积金（新）</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F224C">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2.70</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BAEE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2F76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E2C2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9037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417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C1D0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95B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5318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4B20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正向指标</w:t>
            </w:r>
          </w:p>
        </w:tc>
      </w:tr>
      <w:tr w14:paraId="103F95D3">
        <w:tblPrEx>
          <w:tblCellMar>
            <w:top w:w="0" w:type="dxa"/>
            <w:left w:w="0" w:type="dxa"/>
            <w:bottom w:w="0" w:type="dxa"/>
            <w:right w:w="0"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41B21">
            <w:pPr>
              <w:rPr>
                <w:rFonts w:hint="eastAsia" w:ascii="宋体" w:hAnsi="宋体" w:eastAsia="宋体" w:cs="宋体"/>
                <w:i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627FA">
            <w:pPr>
              <w:rPr>
                <w:rFonts w:hint="eastAsia" w:ascii="宋体" w:hAnsi="宋体" w:eastAsia="宋体" w:cs="宋体"/>
                <w:i w:val="0"/>
                <w:color w:val="000000"/>
                <w:sz w:val="18"/>
                <w:szCs w:val="18"/>
                <w:u w:val="none"/>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A57E2">
            <w:pPr>
              <w:jc w:val="right"/>
              <w:rPr>
                <w:rFonts w:hint="eastAsia" w:ascii="宋体" w:hAnsi="宋体" w:eastAsia="宋体" w:cs="宋体"/>
                <w:i w:val="0"/>
                <w:color w:val="000000"/>
                <w:sz w:val="18"/>
                <w:szCs w:val="18"/>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F4E74">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7FAF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9550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33D7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F52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D419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4AC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52FD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41EC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正向指标</w:t>
            </w:r>
          </w:p>
        </w:tc>
      </w:tr>
      <w:tr w14:paraId="53D71C2E">
        <w:tblPrEx>
          <w:tblCellMar>
            <w:top w:w="0" w:type="dxa"/>
            <w:left w:w="0" w:type="dxa"/>
            <w:bottom w:w="0" w:type="dxa"/>
            <w:right w:w="0"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EFB42">
            <w:pPr>
              <w:rPr>
                <w:rFonts w:hint="eastAsia" w:ascii="宋体" w:hAnsi="宋体" w:eastAsia="宋体" w:cs="宋体"/>
                <w:i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89E9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51322424R000010101712</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社会保障缴费（新公务员医疗补助）</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3051C">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0.37</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D20A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14AD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EC38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A3D0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E33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7A38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D8E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E7DD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96C6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正向指标</w:t>
            </w:r>
          </w:p>
        </w:tc>
      </w:tr>
      <w:tr w14:paraId="0F7F33D9">
        <w:tblPrEx>
          <w:tblCellMar>
            <w:top w:w="0" w:type="dxa"/>
            <w:left w:w="0" w:type="dxa"/>
            <w:bottom w:w="0" w:type="dxa"/>
            <w:right w:w="0"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1877D">
            <w:pPr>
              <w:rPr>
                <w:rFonts w:hint="eastAsia" w:ascii="宋体" w:hAnsi="宋体" w:eastAsia="宋体" w:cs="宋体"/>
                <w:i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94A59">
            <w:pPr>
              <w:rPr>
                <w:rFonts w:hint="eastAsia" w:ascii="宋体" w:hAnsi="宋体" w:eastAsia="宋体" w:cs="宋体"/>
                <w:i w:val="0"/>
                <w:color w:val="000000"/>
                <w:sz w:val="18"/>
                <w:szCs w:val="18"/>
                <w:u w:val="none"/>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A6608">
            <w:pPr>
              <w:jc w:val="right"/>
              <w:rPr>
                <w:rFonts w:hint="eastAsia" w:ascii="宋体" w:hAnsi="宋体" w:eastAsia="宋体" w:cs="宋体"/>
                <w:i w:val="0"/>
                <w:color w:val="000000"/>
                <w:sz w:val="18"/>
                <w:szCs w:val="18"/>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C98DA">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316C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5C35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CEED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FDD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83DB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C6B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473B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801B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正向指标</w:t>
            </w:r>
          </w:p>
        </w:tc>
      </w:tr>
      <w:tr w14:paraId="398D60B8">
        <w:tblPrEx>
          <w:tblCellMar>
            <w:top w:w="0" w:type="dxa"/>
            <w:left w:w="0" w:type="dxa"/>
            <w:bottom w:w="0" w:type="dxa"/>
            <w:right w:w="0"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71AD3">
            <w:pPr>
              <w:rPr>
                <w:rFonts w:hint="eastAsia" w:ascii="宋体" w:hAnsi="宋体" w:eastAsia="宋体" w:cs="宋体"/>
                <w:i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7084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51322424R000010101908</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社会保障缴费（新职工基本医疗保险）</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EDDAF">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1.39</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CAB6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BE07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9EE4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4B59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50E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189C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038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E86A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CD0C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正向指标</w:t>
            </w:r>
          </w:p>
        </w:tc>
      </w:tr>
      <w:tr w14:paraId="10784376">
        <w:tblPrEx>
          <w:tblCellMar>
            <w:top w:w="0" w:type="dxa"/>
            <w:left w:w="0" w:type="dxa"/>
            <w:bottom w:w="0" w:type="dxa"/>
            <w:right w:w="0"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DEA99">
            <w:pPr>
              <w:rPr>
                <w:rFonts w:hint="eastAsia" w:ascii="宋体" w:hAnsi="宋体" w:eastAsia="宋体" w:cs="宋体"/>
                <w:i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DB979">
            <w:pPr>
              <w:rPr>
                <w:rFonts w:hint="eastAsia" w:ascii="宋体" w:hAnsi="宋体" w:eastAsia="宋体" w:cs="宋体"/>
                <w:i w:val="0"/>
                <w:color w:val="000000"/>
                <w:sz w:val="18"/>
                <w:szCs w:val="18"/>
                <w:u w:val="none"/>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418D9">
            <w:pPr>
              <w:jc w:val="right"/>
              <w:rPr>
                <w:rFonts w:hint="eastAsia" w:ascii="宋体" w:hAnsi="宋体" w:eastAsia="宋体" w:cs="宋体"/>
                <w:i w:val="0"/>
                <w:color w:val="000000"/>
                <w:sz w:val="18"/>
                <w:szCs w:val="18"/>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8A73C">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2F0F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3940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26EE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C9F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E088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B5A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FBB0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A543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正向指标</w:t>
            </w:r>
          </w:p>
        </w:tc>
      </w:tr>
      <w:tr w14:paraId="2F3DF502">
        <w:tblPrEx>
          <w:tblCellMar>
            <w:top w:w="0" w:type="dxa"/>
            <w:left w:w="0" w:type="dxa"/>
            <w:bottom w:w="0" w:type="dxa"/>
            <w:right w:w="0"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0FA1B">
            <w:pPr>
              <w:rPr>
                <w:rFonts w:hint="eastAsia" w:ascii="宋体" w:hAnsi="宋体" w:eastAsia="宋体" w:cs="宋体"/>
                <w:i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6CE3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51322424R000010102119</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社会保障缴费（新职业年金）</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65929">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1.46</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D5B6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70E6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7143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F9D0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A06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AF73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192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F228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B337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正向指标</w:t>
            </w:r>
          </w:p>
        </w:tc>
      </w:tr>
      <w:tr w14:paraId="474CA5A7">
        <w:tblPrEx>
          <w:tblCellMar>
            <w:top w:w="0" w:type="dxa"/>
            <w:left w:w="0" w:type="dxa"/>
            <w:bottom w:w="0" w:type="dxa"/>
            <w:right w:w="0"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C1B2F">
            <w:pPr>
              <w:rPr>
                <w:rFonts w:hint="eastAsia" w:ascii="宋体" w:hAnsi="宋体" w:eastAsia="宋体" w:cs="宋体"/>
                <w:i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42295">
            <w:pPr>
              <w:rPr>
                <w:rFonts w:hint="eastAsia" w:ascii="宋体" w:hAnsi="宋体" w:eastAsia="宋体" w:cs="宋体"/>
                <w:i w:val="0"/>
                <w:color w:val="000000"/>
                <w:sz w:val="18"/>
                <w:szCs w:val="18"/>
                <w:u w:val="none"/>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101BC">
            <w:pPr>
              <w:jc w:val="right"/>
              <w:rPr>
                <w:rFonts w:hint="eastAsia" w:ascii="宋体" w:hAnsi="宋体" w:eastAsia="宋体" w:cs="宋体"/>
                <w:i w:val="0"/>
                <w:color w:val="000000"/>
                <w:sz w:val="18"/>
                <w:szCs w:val="18"/>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C359E">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4E3B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24AC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6E64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353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0DEC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C37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564C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4A89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正向指标</w:t>
            </w:r>
          </w:p>
        </w:tc>
      </w:tr>
      <w:tr w14:paraId="1F92D420">
        <w:tblPrEx>
          <w:tblCellMar>
            <w:top w:w="0" w:type="dxa"/>
            <w:left w:w="0" w:type="dxa"/>
            <w:bottom w:w="0" w:type="dxa"/>
            <w:right w:w="0"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021E6">
            <w:pPr>
              <w:rPr>
                <w:rFonts w:hint="eastAsia" w:ascii="宋体" w:hAnsi="宋体" w:eastAsia="宋体" w:cs="宋体"/>
                <w:i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7673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51322424R000010102322</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社会保障缴费（新机关事业单位基本养老保险）</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98B5D">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2.92</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2D34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E954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1F2E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E70E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51B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6128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9D4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19AF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6697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正向指标</w:t>
            </w:r>
          </w:p>
        </w:tc>
      </w:tr>
      <w:tr w14:paraId="5C5065E3">
        <w:tblPrEx>
          <w:tblCellMar>
            <w:top w:w="0" w:type="dxa"/>
            <w:left w:w="0" w:type="dxa"/>
            <w:bottom w:w="0" w:type="dxa"/>
            <w:right w:w="0"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AC068">
            <w:pPr>
              <w:rPr>
                <w:rFonts w:hint="eastAsia" w:ascii="宋体" w:hAnsi="宋体" w:eastAsia="宋体" w:cs="宋体"/>
                <w:i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A4616">
            <w:pPr>
              <w:rPr>
                <w:rFonts w:hint="eastAsia" w:ascii="宋体" w:hAnsi="宋体" w:eastAsia="宋体" w:cs="宋体"/>
                <w:i w:val="0"/>
                <w:color w:val="000000"/>
                <w:sz w:val="18"/>
                <w:szCs w:val="18"/>
                <w:u w:val="none"/>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57432">
            <w:pPr>
              <w:jc w:val="right"/>
              <w:rPr>
                <w:rFonts w:hint="eastAsia" w:ascii="宋体" w:hAnsi="宋体" w:eastAsia="宋体" w:cs="宋体"/>
                <w:i w:val="0"/>
                <w:color w:val="000000"/>
                <w:sz w:val="18"/>
                <w:szCs w:val="18"/>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657F2">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1EF4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5DFC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89E4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322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1993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F1B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9096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5636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正向指标</w:t>
            </w:r>
          </w:p>
        </w:tc>
      </w:tr>
      <w:tr w14:paraId="4967034C">
        <w:tblPrEx>
          <w:tblCellMar>
            <w:top w:w="0" w:type="dxa"/>
            <w:left w:w="0" w:type="dxa"/>
            <w:bottom w:w="0" w:type="dxa"/>
            <w:right w:w="0"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20375">
            <w:pPr>
              <w:rPr>
                <w:rFonts w:hint="eastAsia" w:ascii="宋体" w:hAnsi="宋体" w:eastAsia="宋体" w:cs="宋体"/>
                <w:i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3CA2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51322424Y000010098372</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日常公用经费（新）</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8583C">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0.05</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799F2">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4D845">
            <w:pPr>
              <w:rPr>
                <w:rFonts w:hint="eastAsia" w:ascii="宋体" w:hAnsi="宋体" w:eastAsia="宋体" w:cs="宋体"/>
                <w:i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5D502">
            <w:pPr>
              <w:rPr>
                <w:rFonts w:hint="eastAsia" w:ascii="宋体" w:hAnsi="宋体" w:eastAsia="宋体" w:cs="宋体"/>
                <w:i w:val="0"/>
                <w:color w:val="000000"/>
                <w:sz w:val="18"/>
                <w:szCs w:val="18"/>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5008C">
            <w:pPr>
              <w:rPr>
                <w:rFonts w:hint="eastAsia" w:ascii="宋体" w:hAnsi="宋体" w:eastAsia="宋体" w:cs="宋体"/>
                <w:i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E9345">
            <w:pPr>
              <w:jc w:val="center"/>
              <w:rPr>
                <w:rFonts w:hint="eastAsia" w:ascii="宋体" w:hAnsi="宋体" w:eastAsia="宋体" w:cs="宋体"/>
                <w:i w:val="0"/>
                <w:color w:val="000000"/>
                <w:sz w:val="18"/>
                <w:szCs w:val="18"/>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2FDF1">
            <w:pPr>
              <w:rPr>
                <w:rFonts w:hint="eastAsia" w:ascii="宋体" w:hAnsi="宋体" w:eastAsia="宋体" w:cs="宋体"/>
                <w:i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2ABD2">
            <w:pPr>
              <w:jc w:val="center"/>
              <w:rPr>
                <w:rFonts w:hint="eastAsia" w:ascii="宋体" w:hAnsi="宋体" w:eastAsia="宋体" w:cs="宋体"/>
                <w:i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3B0A8">
            <w:pPr>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3151D">
            <w:pPr>
              <w:rPr>
                <w:rFonts w:hint="eastAsia" w:ascii="宋体" w:hAnsi="宋体" w:eastAsia="宋体" w:cs="宋体"/>
                <w:i w:val="0"/>
                <w:color w:val="000000"/>
                <w:sz w:val="18"/>
                <w:szCs w:val="18"/>
                <w:u w:val="none"/>
              </w:rPr>
            </w:pPr>
          </w:p>
        </w:tc>
      </w:tr>
      <w:tr w14:paraId="313E692D">
        <w:tblPrEx>
          <w:tblCellMar>
            <w:top w:w="0" w:type="dxa"/>
            <w:left w:w="0" w:type="dxa"/>
            <w:bottom w:w="0" w:type="dxa"/>
            <w:right w:w="0" w:type="dxa"/>
          </w:tblCellMar>
        </w:tblPrEx>
        <w:trPr>
          <w:trHeight w:val="286" w:hRule="atLeast"/>
        </w:trPr>
        <w:tc>
          <w:tcPr>
            <w:tcW w:w="660" w:type="dxa"/>
            <w:tcBorders>
              <w:top w:val="nil"/>
              <w:left w:val="nil"/>
              <w:bottom w:val="nil"/>
              <w:right w:val="nil"/>
            </w:tcBorders>
            <w:shd w:val="clear" w:color="auto" w:fill="auto"/>
            <w:tcMar>
              <w:top w:w="15" w:type="dxa"/>
              <w:left w:w="15" w:type="dxa"/>
              <w:right w:w="15" w:type="dxa"/>
            </w:tcMar>
            <w:vAlign w:val="center"/>
          </w:tcPr>
          <w:p w14:paraId="295BA35B">
            <w:pPr>
              <w:rPr>
                <w:rFonts w:hint="eastAsia" w:ascii="宋体" w:hAnsi="宋体" w:eastAsia="宋体" w:cs="宋体"/>
                <w:i w:val="0"/>
                <w:color w:val="000000"/>
                <w:sz w:val="18"/>
                <w:szCs w:val="18"/>
                <w:u w:val="none"/>
              </w:rPr>
            </w:pPr>
          </w:p>
        </w:tc>
        <w:tc>
          <w:tcPr>
            <w:tcW w:w="1020" w:type="dxa"/>
            <w:tcBorders>
              <w:top w:val="nil"/>
              <w:left w:val="nil"/>
              <w:bottom w:val="nil"/>
              <w:right w:val="nil"/>
            </w:tcBorders>
            <w:shd w:val="clear" w:color="auto" w:fill="auto"/>
            <w:tcMar>
              <w:top w:w="15" w:type="dxa"/>
              <w:left w:w="15" w:type="dxa"/>
              <w:right w:w="15" w:type="dxa"/>
            </w:tcMar>
            <w:vAlign w:val="center"/>
          </w:tcPr>
          <w:p w14:paraId="3630224C">
            <w:pPr>
              <w:rPr>
                <w:rFonts w:hint="eastAsia" w:ascii="宋体" w:hAnsi="宋体" w:eastAsia="宋体" w:cs="宋体"/>
                <w:i w:val="0"/>
                <w:color w:val="000000"/>
                <w:sz w:val="18"/>
                <w:szCs w:val="18"/>
                <w:u w:val="none"/>
              </w:rPr>
            </w:pPr>
          </w:p>
        </w:tc>
        <w:tc>
          <w:tcPr>
            <w:tcW w:w="793" w:type="dxa"/>
            <w:tcBorders>
              <w:top w:val="nil"/>
              <w:left w:val="nil"/>
              <w:bottom w:val="nil"/>
              <w:right w:val="nil"/>
            </w:tcBorders>
            <w:shd w:val="clear" w:color="auto" w:fill="auto"/>
            <w:tcMar>
              <w:top w:w="15" w:type="dxa"/>
              <w:left w:w="15" w:type="dxa"/>
              <w:right w:w="15" w:type="dxa"/>
            </w:tcMar>
            <w:vAlign w:val="center"/>
          </w:tcPr>
          <w:p w14:paraId="5D9B2805">
            <w:pPr>
              <w:rPr>
                <w:rFonts w:hint="eastAsia" w:ascii="宋体" w:hAnsi="宋体" w:eastAsia="宋体" w:cs="宋体"/>
                <w:i w:val="0"/>
                <w:color w:val="000000"/>
                <w:sz w:val="18"/>
                <w:szCs w:val="18"/>
                <w:u w:val="none"/>
              </w:rPr>
            </w:pPr>
          </w:p>
        </w:tc>
        <w:tc>
          <w:tcPr>
            <w:tcW w:w="1067" w:type="dxa"/>
            <w:tcBorders>
              <w:top w:val="nil"/>
              <w:left w:val="nil"/>
              <w:bottom w:val="nil"/>
              <w:right w:val="nil"/>
            </w:tcBorders>
            <w:shd w:val="clear" w:color="auto" w:fill="auto"/>
            <w:tcMar>
              <w:top w:w="15" w:type="dxa"/>
              <w:left w:w="15" w:type="dxa"/>
              <w:right w:w="15" w:type="dxa"/>
            </w:tcMar>
            <w:vAlign w:val="center"/>
          </w:tcPr>
          <w:p w14:paraId="27D3B66B">
            <w:pPr>
              <w:rPr>
                <w:rFonts w:hint="eastAsia" w:ascii="宋体" w:hAnsi="宋体" w:eastAsia="宋体" w:cs="宋体"/>
                <w:i w:val="0"/>
                <w:color w:val="000000"/>
                <w:sz w:val="18"/>
                <w:szCs w:val="18"/>
                <w:u w:val="none"/>
              </w:rPr>
            </w:pPr>
          </w:p>
        </w:tc>
        <w:tc>
          <w:tcPr>
            <w:tcW w:w="630" w:type="dxa"/>
            <w:tcBorders>
              <w:top w:val="nil"/>
              <w:left w:val="nil"/>
              <w:bottom w:val="nil"/>
              <w:right w:val="nil"/>
            </w:tcBorders>
            <w:shd w:val="clear" w:color="auto" w:fill="auto"/>
            <w:tcMar>
              <w:top w:w="15" w:type="dxa"/>
              <w:left w:w="15" w:type="dxa"/>
              <w:right w:w="15" w:type="dxa"/>
            </w:tcMar>
            <w:vAlign w:val="center"/>
          </w:tcPr>
          <w:p w14:paraId="4433B5DC">
            <w:pPr>
              <w:rPr>
                <w:rFonts w:hint="eastAsia" w:ascii="宋体" w:hAnsi="宋体" w:eastAsia="宋体" w:cs="宋体"/>
                <w:i w:val="0"/>
                <w:color w:val="000000"/>
                <w:sz w:val="18"/>
                <w:szCs w:val="18"/>
                <w:u w:val="none"/>
              </w:rPr>
            </w:pPr>
          </w:p>
        </w:tc>
        <w:tc>
          <w:tcPr>
            <w:tcW w:w="553" w:type="dxa"/>
            <w:tcBorders>
              <w:top w:val="nil"/>
              <w:left w:val="nil"/>
              <w:bottom w:val="nil"/>
              <w:right w:val="nil"/>
            </w:tcBorders>
            <w:shd w:val="clear" w:color="auto" w:fill="auto"/>
            <w:tcMar>
              <w:top w:w="15" w:type="dxa"/>
              <w:left w:w="15" w:type="dxa"/>
              <w:right w:w="15" w:type="dxa"/>
            </w:tcMar>
            <w:vAlign w:val="center"/>
          </w:tcPr>
          <w:p w14:paraId="784ECD67">
            <w:pPr>
              <w:rPr>
                <w:rFonts w:hint="eastAsia" w:ascii="宋体" w:hAnsi="宋体" w:eastAsia="宋体" w:cs="宋体"/>
                <w:i w:val="0"/>
                <w:color w:val="000000"/>
                <w:sz w:val="18"/>
                <w:szCs w:val="18"/>
                <w:u w:val="none"/>
              </w:rPr>
            </w:pPr>
          </w:p>
        </w:tc>
        <w:tc>
          <w:tcPr>
            <w:tcW w:w="678" w:type="dxa"/>
            <w:tcBorders>
              <w:top w:val="nil"/>
              <w:left w:val="nil"/>
              <w:bottom w:val="nil"/>
              <w:right w:val="nil"/>
            </w:tcBorders>
            <w:shd w:val="clear" w:color="auto" w:fill="auto"/>
            <w:tcMar>
              <w:top w:w="15" w:type="dxa"/>
              <w:left w:w="15" w:type="dxa"/>
              <w:right w:w="15" w:type="dxa"/>
            </w:tcMar>
            <w:vAlign w:val="center"/>
          </w:tcPr>
          <w:p w14:paraId="0612E050">
            <w:pPr>
              <w:rPr>
                <w:rFonts w:hint="eastAsia" w:ascii="宋体" w:hAnsi="宋体" w:eastAsia="宋体" w:cs="宋体"/>
                <w:i w:val="0"/>
                <w:color w:val="000000"/>
                <w:sz w:val="18"/>
                <w:szCs w:val="18"/>
                <w:u w:val="none"/>
              </w:rPr>
            </w:pPr>
          </w:p>
        </w:tc>
        <w:tc>
          <w:tcPr>
            <w:tcW w:w="844" w:type="dxa"/>
            <w:tcBorders>
              <w:top w:val="nil"/>
              <w:left w:val="nil"/>
              <w:bottom w:val="nil"/>
              <w:right w:val="nil"/>
            </w:tcBorders>
            <w:shd w:val="clear" w:color="auto" w:fill="auto"/>
            <w:tcMar>
              <w:top w:w="15" w:type="dxa"/>
              <w:left w:w="15" w:type="dxa"/>
              <w:right w:w="15" w:type="dxa"/>
            </w:tcMar>
            <w:vAlign w:val="center"/>
          </w:tcPr>
          <w:p w14:paraId="0122264B">
            <w:pPr>
              <w:rPr>
                <w:rFonts w:hint="eastAsia" w:ascii="宋体" w:hAnsi="宋体" w:eastAsia="宋体" w:cs="宋体"/>
                <w:i w:val="0"/>
                <w:color w:val="000000"/>
                <w:sz w:val="18"/>
                <w:szCs w:val="18"/>
                <w:u w:val="none"/>
              </w:rPr>
            </w:pPr>
          </w:p>
        </w:tc>
        <w:tc>
          <w:tcPr>
            <w:tcW w:w="685" w:type="dxa"/>
            <w:tcBorders>
              <w:top w:val="nil"/>
              <w:left w:val="nil"/>
              <w:bottom w:val="nil"/>
              <w:right w:val="nil"/>
            </w:tcBorders>
            <w:shd w:val="clear" w:color="auto" w:fill="auto"/>
            <w:tcMar>
              <w:top w:w="15" w:type="dxa"/>
              <w:left w:w="15" w:type="dxa"/>
              <w:right w:w="15" w:type="dxa"/>
            </w:tcMar>
            <w:vAlign w:val="center"/>
          </w:tcPr>
          <w:p w14:paraId="77C40741">
            <w:pPr>
              <w:rPr>
                <w:rFonts w:hint="eastAsia" w:ascii="宋体" w:hAnsi="宋体" w:eastAsia="宋体" w:cs="宋体"/>
                <w:i w:val="0"/>
                <w:color w:val="000000"/>
                <w:sz w:val="18"/>
                <w:szCs w:val="18"/>
                <w:u w:val="none"/>
              </w:rPr>
            </w:pPr>
          </w:p>
        </w:tc>
        <w:tc>
          <w:tcPr>
            <w:tcW w:w="686" w:type="dxa"/>
            <w:tcBorders>
              <w:top w:val="nil"/>
              <w:left w:val="nil"/>
              <w:bottom w:val="nil"/>
              <w:right w:val="nil"/>
            </w:tcBorders>
            <w:shd w:val="clear" w:color="auto" w:fill="auto"/>
            <w:tcMar>
              <w:top w:w="15" w:type="dxa"/>
              <w:left w:w="15" w:type="dxa"/>
              <w:right w:w="15" w:type="dxa"/>
            </w:tcMar>
            <w:vAlign w:val="center"/>
          </w:tcPr>
          <w:p w14:paraId="422087C0">
            <w:pPr>
              <w:rPr>
                <w:rFonts w:hint="eastAsia" w:ascii="宋体" w:hAnsi="宋体" w:eastAsia="宋体" w:cs="宋体"/>
                <w:i w:val="0"/>
                <w:color w:val="000000"/>
                <w:sz w:val="18"/>
                <w:szCs w:val="18"/>
                <w:u w:val="none"/>
              </w:rPr>
            </w:pPr>
          </w:p>
        </w:tc>
        <w:tc>
          <w:tcPr>
            <w:tcW w:w="643" w:type="dxa"/>
            <w:tcBorders>
              <w:top w:val="nil"/>
              <w:left w:val="nil"/>
              <w:bottom w:val="nil"/>
              <w:right w:val="nil"/>
            </w:tcBorders>
            <w:shd w:val="clear" w:color="auto" w:fill="auto"/>
            <w:tcMar>
              <w:top w:w="15" w:type="dxa"/>
              <w:left w:w="15" w:type="dxa"/>
              <w:right w:w="15" w:type="dxa"/>
            </w:tcMar>
            <w:vAlign w:val="center"/>
          </w:tcPr>
          <w:p w14:paraId="7F35A78A">
            <w:pPr>
              <w:rPr>
                <w:rFonts w:hint="eastAsia" w:ascii="宋体" w:hAnsi="宋体" w:eastAsia="宋体" w:cs="宋体"/>
                <w:i w:val="0"/>
                <w:color w:val="000000"/>
                <w:sz w:val="18"/>
                <w:szCs w:val="18"/>
                <w:u w:val="none"/>
              </w:rPr>
            </w:pPr>
          </w:p>
        </w:tc>
        <w:tc>
          <w:tcPr>
            <w:tcW w:w="750" w:type="dxa"/>
            <w:tcBorders>
              <w:top w:val="nil"/>
              <w:left w:val="nil"/>
              <w:bottom w:val="nil"/>
              <w:right w:val="nil"/>
            </w:tcBorders>
            <w:shd w:val="clear" w:color="auto" w:fill="auto"/>
            <w:noWrap/>
            <w:tcMar>
              <w:top w:w="15" w:type="dxa"/>
              <w:left w:w="15" w:type="dxa"/>
              <w:right w:w="15" w:type="dxa"/>
            </w:tcMar>
            <w:vAlign w:val="center"/>
          </w:tcPr>
          <w:p w14:paraId="5C2A846C">
            <w:pPr>
              <w:rPr>
                <w:rFonts w:hint="eastAsia" w:ascii="宋体" w:hAnsi="宋体" w:eastAsia="宋体" w:cs="宋体"/>
                <w:i w:val="0"/>
                <w:color w:val="000000"/>
                <w:sz w:val="22"/>
                <w:szCs w:val="22"/>
                <w:u w:val="none"/>
              </w:rPr>
            </w:pPr>
          </w:p>
        </w:tc>
      </w:tr>
      <w:tr w14:paraId="5B73FE54">
        <w:tblPrEx>
          <w:tblCellMar>
            <w:top w:w="0" w:type="dxa"/>
            <w:left w:w="0" w:type="dxa"/>
            <w:bottom w:w="0" w:type="dxa"/>
            <w:right w:w="0" w:type="dxa"/>
          </w:tblCellMar>
        </w:tblPrEx>
        <w:trPr>
          <w:trHeight w:val="286" w:hRule="atLeast"/>
        </w:trPr>
        <w:tc>
          <w:tcPr>
            <w:tcW w:w="9009" w:type="dxa"/>
            <w:gridSpan w:val="12"/>
            <w:tcBorders>
              <w:top w:val="nil"/>
              <w:left w:val="nil"/>
              <w:bottom w:val="nil"/>
              <w:right w:val="nil"/>
            </w:tcBorders>
            <w:shd w:val="clear" w:color="auto" w:fill="auto"/>
            <w:tcMar>
              <w:top w:w="15" w:type="dxa"/>
              <w:left w:w="15" w:type="dxa"/>
              <w:right w:w="15" w:type="dxa"/>
            </w:tcMar>
            <w:vAlign w:val="center"/>
          </w:tcPr>
          <w:p w14:paraId="4C370EBA">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w:t>
            </w:r>
            <w:r>
              <w:rPr>
                <w:rFonts w:ascii="宋体" w:hAnsi="宋体" w:eastAsia="宋体" w:cs="宋体"/>
                <w:i w:val="0"/>
                <w:color w:val="000000"/>
                <w:kern w:val="0"/>
                <w:sz w:val="18"/>
                <w:szCs w:val="18"/>
                <w:u w:val="none"/>
                <w:lang w:val="en-US" w:eastAsia="zh-CN" w:bidi="ar"/>
              </w:rPr>
              <w:t>报表说明</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该报表统计项目绩效目标信息，用于财政部门、预算单位查询所有项目绩效目标。</w:t>
            </w:r>
          </w:p>
        </w:tc>
      </w:tr>
      <w:tr w14:paraId="0F03F34D">
        <w:tblPrEx>
          <w:tblCellMar>
            <w:top w:w="0" w:type="dxa"/>
            <w:left w:w="0" w:type="dxa"/>
            <w:bottom w:w="0" w:type="dxa"/>
            <w:right w:w="0" w:type="dxa"/>
          </w:tblCellMar>
        </w:tblPrEx>
        <w:trPr>
          <w:trHeight w:val="286" w:hRule="atLeast"/>
        </w:trPr>
        <w:tc>
          <w:tcPr>
            <w:tcW w:w="9009" w:type="dxa"/>
            <w:gridSpan w:val="12"/>
            <w:tcBorders>
              <w:top w:val="nil"/>
              <w:left w:val="nil"/>
              <w:bottom w:val="nil"/>
              <w:right w:val="nil"/>
            </w:tcBorders>
            <w:shd w:val="clear" w:color="auto" w:fill="auto"/>
            <w:tcMar>
              <w:top w:w="15" w:type="dxa"/>
              <w:left w:w="15" w:type="dxa"/>
              <w:right w:w="15" w:type="dxa"/>
            </w:tcMar>
            <w:vAlign w:val="center"/>
          </w:tcPr>
          <w:p w14:paraId="29C35E7F">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2.</w:t>
            </w:r>
            <w:r>
              <w:rPr>
                <w:rFonts w:ascii="宋体" w:hAnsi="宋体" w:eastAsia="宋体" w:cs="宋体"/>
                <w:i w:val="0"/>
                <w:color w:val="000000"/>
                <w:kern w:val="0"/>
                <w:sz w:val="18"/>
                <w:szCs w:val="18"/>
                <w:u w:val="none"/>
                <w:lang w:val="en-US" w:eastAsia="zh-CN" w:bidi="ar"/>
              </w:rPr>
              <w:t>取数口径：部门项目绩效目标表信息，包括年初预算、追加预算、结转预算，调整预算的绩效目标（以终审状态）。</w:t>
            </w:r>
          </w:p>
        </w:tc>
      </w:tr>
      <w:tr w14:paraId="738EA421">
        <w:tblPrEx>
          <w:tblCellMar>
            <w:top w:w="0" w:type="dxa"/>
            <w:left w:w="0" w:type="dxa"/>
            <w:bottom w:w="0" w:type="dxa"/>
            <w:right w:w="0" w:type="dxa"/>
          </w:tblCellMar>
        </w:tblPrEx>
        <w:trPr>
          <w:trHeight w:val="286" w:hRule="atLeast"/>
        </w:trPr>
        <w:tc>
          <w:tcPr>
            <w:tcW w:w="9009" w:type="dxa"/>
            <w:gridSpan w:val="12"/>
            <w:tcBorders>
              <w:top w:val="nil"/>
              <w:left w:val="nil"/>
              <w:bottom w:val="nil"/>
              <w:right w:val="nil"/>
            </w:tcBorders>
            <w:shd w:val="clear" w:color="auto" w:fill="auto"/>
            <w:tcMar>
              <w:top w:w="15" w:type="dxa"/>
              <w:left w:w="15" w:type="dxa"/>
              <w:right w:w="15" w:type="dxa"/>
            </w:tcMar>
            <w:vAlign w:val="center"/>
          </w:tcPr>
          <w:p w14:paraId="582377F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适用地区：全省范围（省、市州、县区）</w:t>
            </w:r>
          </w:p>
        </w:tc>
      </w:tr>
      <w:tr w14:paraId="18F16B6A">
        <w:tblPrEx>
          <w:tblCellMar>
            <w:top w:w="0" w:type="dxa"/>
            <w:left w:w="0" w:type="dxa"/>
            <w:bottom w:w="0" w:type="dxa"/>
            <w:right w:w="0" w:type="dxa"/>
          </w:tblCellMar>
        </w:tblPrEx>
        <w:trPr>
          <w:trHeight w:val="286" w:hRule="atLeast"/>
        </w:trPr>
        <w:tc>
          <w:tcPr>
            <w:tcW w:w="2473" w:type="dxa"/>
            <w:gridSpan w:val="3"/>
            <w:tcBorders>
              <w:top w:val="nil"/>
              <w:left w:val="nil"/>
              <w:bottom w:val="nil"/>
              <w:right w:val="nil"/>
            </w:tcBorders>
            <w:shd w:val="clear" w:color="auto" w:fill="auto"/>
            <w:tcMar>
              <w:top w:w="15" w:type="dxa"/>
              <w:left w:w="15" w:type="dxa"/>
              <w:right w:w="15" w:type="dxa"/>
            </w:tcMar>
            <w:vAlign w:val="center"/>
          </w:tcPr>
          <w:p w14:paraId="1ACF354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适用用户：财政用户、单位用户</w:t>
            </w:r>
          </w:p>
        </w:tc>
        <w:tc>
          <w:tcPr>
            <w:tcW w:w="1067" w:type="dxa"/>
            <w:tcBorders>
              <w:top w:val="nil"/>
              <w:left w:val="nil"/>
              <w:bottom w:val="nil"/>
              <w:right w:val="nil"/>
            </w:tcBorders>
            <w:shd w:val="clear" w:color="auto" w:fill="auto"/>
            <w:tcMar>
              <w:top w:w="15" w:type="dxa"/>
              <w:left w:w="15" w:type="dxa"/>
              <w:right w:w="15" w:type="dxa"/>
            </w:tcMar>
            <w:vAlign w:val="center"/>
          </w:tcPr>
          <w:p w14:paraId="7B6E0680">
            <w:pPr>
              <w:rPr>
                <w:rFonts w:hint="eastAsia" w:ascii="宋体" w:hAnsi="宋体" w:eastAsia="宋体" w:cs="宋体"/>
                <w:i w:val="0"/>
                <w:color w:val="000000"/>
                <w:sz w:val="18"/>
                <w:szCs w:val="18"/>
                <w:u w:val="none"/>
              </w:rPr>
            </w:pPr>
          </w:p>
        </w:tc>
        <w:tc>
          <w:tcPr>
            <w:tcW w:w="630" w:type="dxa"/>
            <w:tcBorders>
              <w:top w:val="nil"/>
              <w:left w:val="nil"/>
              <w:bottom w:val="nil"/>
              <w:right w:val="nil"/>
            </w:tcBorders>
            <w:shd w:val="clear" w:color="auto" w:fill="auto"/>
            <w:tcMar>
              <w:top w:w="15" w:type="dxa"/>
              <w:left w:w="15" w:type="dxa"/>
              <w:right w:w="15" w:type="dxa"/>
            </w:tcMar>
            <w:vAlign w:val="center"/>
          </w:tcPr>
          <w:p w14:paraId="457F91CB">
            <w:pPr>
              <w:rPr>
                <w:rFonts w:hint="eastAsia" w:ascii="宋体" w:hAnsi="宋体" w:eastAsia="宋体" w:cs="宋体"/>
                <w:i w:val="0"/>
                <w:color w:val="000000"/>
                <w:sz w:val="18"/>
                <w:szCs w:val="18"/>
                <w:u w:val="none"/>
              </w:rPr>
            </w:pPr>
          </w:p>
        </w:tc>
        <w:tc>
          <w:tcPr>
            <w:tcW w:w="553" w:type="dxa"/>
            <w:tcBorders>
              <w:top w:val="nil"/>
              <w:left w:val="nil"/>
              <w:bottom w:val="nil"/>
              <w:right w:val="nil"/>
            </w:tcBorders>
            <w:shd w:val="clear" w:color="auto" w:fill="auto"/>
            <w:tcMar>
              <w:top w:w="15" w:type="dxa"/>
              <w:left w:w="15" w:type="dxa"/>
              <w:right w:w="15" w:type="dxa"/>
            </w:tcMar>
            <w:vAlign w:val="center"/>
          </w:tcPr>
          <w:p w14:paraId="776148B0">
            <w:pPr>
              <w:rPr>
                <w:rFonts w:hint="eastAsia" w:ascii="宋体" w:hAnsi="宋体" w:eastAsia="宋体" w:cs="宋体"/>
                <w:i w:val="0"/>
                <w:color w:val="000000"/>
                <w:sz w:val="18"/>
                <w:szCs w:val="18"/>
                <w:u w:val="none"/>
              </w:rPr>
            </w:pPr>
          </w:p>
        </w:tc>
        <w:tc>
          <w:tcPr>
            <w:tcW w:w="678" w:type="dxa"/>
            <w:tcBorders>
              <w:top w:val="nil"/>
              <w:left w:val="nil"/>
              <w:bottom w:val="nil"/>
              <w:right w:val="nil"/>
            </w:tcBorders>
            <w:shd w:val="clear" w:color="auto" w:fill="auto"/>
            <w:tcMar>
              <w:top w:w="15" w:type="dxa"/>
              <w:left w:w="15" w:type="dxa"/>
              <w:right w:w="15" w:type="dxa"/>
            </w:tcMar>
            <w:vAlign w:val="center"/>
          </w:tcPr>
          <w:p w14:paraId="5D6AE937">
            <w:pPr>
              <w:rPr>
                <w:rFonts w:hint="eastAsia" w:ascii="宋体" w:hAnsi="宋体" w:eastAsia="宋体" w:cs="宋体"/>
                <w:i w:val="0"/>
                <w:color w:val="000000"/>
                <w:sz w:val="18"/>
                <w:szCs w:val="18"/>
                <w:u w:val="none"/>
              </w:rPr>
            </w:pPr>
          </w:p>
        </w:tc>
        <w:tc>
          <w:tcPr>
            <w:tcW w:w="844" w:type="dxa"/>
            <w:tcBorders>
              <w:top w:val="nil"/>
              <w:left w:val="nil"/>
              <w:bottom w:val="nil"/>
              <w:right w:val="nil"/>
            </w:tcBorders>
            <w:shd w:val="clear" w:color="auto" w:fill="auto"/>
            <w:tcMar>
              <w:top w:w="15" w:type="dxa"/>
              <w:left w:w="15" w:type="dxa"/>
              <w:right w:w="15" w:type="dxa"/>
            </w:tcMar>
            <w:vAlign w:val="center"/>
          </w:tcPr>
          <w:p w14:paraId="47B6CBC4">
            <w:pPr>
              <w:rPr>
                <w:rFonts w:hint="eastAsia" w:ascii="宋体" w:hAnsi="宋体" w:eastAsia="宋体" w:cs="宋体"/>
                <w:i w:val="0"/>
                <w:color w:val="000000"/>
                <w:sz w:val="18"/>
                <w:szCs w:val="18"/>
                <w:u w:val="none"/>
              </w:rPr>
            </w:pPr>
          </w:p>
        </w:tc>
        <w:tc>
          <w:tcPr>
            <w:tcW w:w="685" w:type="dxa"/>
            <w:tcBorders>
              <w:top w:val="nil"/>
              <w:left w:val="nil"/>
              <w:bottom w:val="nil"/>
              <w:right w:val="nil"/>
            </w:tcBorders>
            <w:shd w:val="clear" w:color="auto" w:fill="auto"/>
            <w:tcMar>
              <w:top w:w="15" w:type="dxa"/>
              <w:left w:w="15" w:type="dxa"/>
              <w:right w:w="15" w:type="dxa"/>
            </w:tcMar>
            <w:vAlign w:val="center"/>
          </w:tcPr>
          <w:p w14:paraId="654DADDD">
            <w:pPr>
              <w:rPr>
                <w:rFonts w:hint="eastAsia" w:ascii="宋体" w:hAnsi="宋体" w:eastAsia="宋体" w:cs="宋体"/>
                <w:i w:val="0"/>
                <w:color w:val="000000"/>
                <w:sz w:val="18"/>
                <w:szCs w:val="18"/>
                <w:u w:val="none"/>
              </w:rPr>
            </w:pPr>
          </w:p>
        </w:tc>
        <w:tc>
          <w:tcPr>
            <w:tcW w:w="686" w:type="dxa"/>
            <w:tcBorders>
              <w:top w:val="nil"/>
              <w:left w:val="nil"/>
              <w:bottom w:val="nil"/>
              <w:right w:val="nil"/>
            </w:tcBorders>
            <w:shd w:val="clear" w:color="auto" w:fill="auto"/>
            <w:tcMar>
              <w:top w:w="15" w:type="dxa"/>
              <w:left w:w="15" w:type="dxa"/>
              <w:right w:w="15" w:type="dxa"/>
            </w:tcMar>
            <w:vAlign w:val="center"/>
          </w:tcPr>
          <w:p w14:paraId="08C91B0E">
            <w:pPr>
              <w:rPr>
                <w:rFonts w:hint="eastAsia" w:ascii="宋体" w:hAnsi="宋体" w:eastAsia="宋体" w:cs="宋体"/>
                <w:i w:val="0"/>
                <w:color w:val="000000"/>
                <w:sz w:val="18"/>
                <w:szCs w:val="18"/>
                <w:u w:val="none"/>
              </w:rPr>
            </w:pPr>
          </w:p>
        </w:tc>
        <w:tc>
          <w:tcPr>
            <w:tcW w:w="643" w:type="dxa"/>
            <w:tcBorders>
              <w:top w:val="nil"/>
              <w:left w:val="nil"/>
              <w:bottom w:val="nil"/>
              <w:right w:val="nil"/>
            </w:tcBorders>
            <w:shd w:val="clear" w:color="auto" w:fill="auto"/>
            <w:tcMar>
              <w:top w:w="15" w:type="dxa"/>
              <w:left w:w="15" w:type="dxa"/>
              <w:right w:w="15" w:type="dxa"/>
            </w:tcMar>
            <w:vAlign w:val="center"/>
          </w:tcPr>
          <w:p w14:paraId="4B2921A9">
            <w:pPr>
              <w:rPr>
                <w:rFonts w:hint="eastAsia" w:ascii="宋体" w:hAnsi="宋体" w:eastAsia="宋体" w:cs="宋体"/>
                <w:i w:val="0"/>
                <w:color w:val="000000"/>
                <w:sz w:val="18"/>
                <w:szCs w:val="18"/>
                <w:u w:val="none"/>
              </w:rPr>
            </w:pPr>
          </w:p>
        </w:tc>
        <w:tc>
          <w:tcPr>
            <w:tcW w:w="750" w:type="dxa"/>
            <w:tcBorders>
              <w:top w:val="nil"/>
              <w:left w:val="nil"/>
              <w:bottom w:val="nil"/>
              <w:right w:val="nil"/>
            </w:tcBorders>
            <w:shd w:val="clear" w:color="auto" w:fill="auto"/>
            <w:noWrap/>
            <w:tcMar>
              <w:top w:w="15" w:type="dxa"/>
              <w:left w:w="15" w:type="dxa"/>
              <w:right w:w="15" w:type="dxa"/>
            </w:tcMar>
            <w:vAlign w:val="center"/>
          </w:tcPr>
          <w:p w14:paraId="386902CA">
            <w:pPr>
              <w:rPr>
                <w:rFonts w:hint="eastAsia" w:ascii="宋体" w:hAnsi="宋体" w:eastAsia="宋体" w:cs="宋体"/>
                <w:i w:val="0"/>
                <w:color w:val="000000"/>
                <w:sz w:val="22"/>
                <w:szCs w:val="22"/>
                <w:u w:val="none"/>
              </w:rPr>
            </w:pPr>
          </w:p>
        </w:tc>
      </w:tr>
      <w:tr w14:paraId="733A4615">
        <w:tblPrEx>
          <w:tblCellMar>
            <w:top w:w="0" w:type="dxa"/>
            <w:left w:w="0" w:type="dxa"/>
            <w:bottom w:w="0" w:type="dxa"/>
            <w:right w:w="0" w:type="dxa"/>
          </w:tblCellMar>
        </w:tblPrEx>
        <w:trPr>
          <w:trHeight w:val="286" w:hRule="atLeast"/>
        </w:trPr>
        <w:tc>
          <w:tcPr>
            <w:tcW w:w="660" w:type="dxa"/>
            <w:tcBorders>
              <w:top w:val="nil"/>
              <w:left w:val="nil"/>
              <w:bottom w:val="nil"/>
              <w:right w:val="nil"/>
            </w:tcBorders>
            <w:shd w:val="clear" w:color="auto" w:fill="auto"/>
            <w:tcMar>
              <w:top w:w="15" w:type="dxa"/>
              <w:left w:w="15" w:type="dxa"/>
              <w:right w:w="15" w:type="dxa"/>
            </w:tcMar>
            <w:vAlign w:val="center"/>
          </w:tcPr>
          <w:p w14:paraId="6A1DD92E">
            <w:pPr>
              <w:rPr>
                <w:rFonts w:hint="eastAsia" w:ascii="宋体" w:hAnsi="宋体" w:eastAsia="宋体" w:cs="宋体"/>
                <w:i w:val="0"/>
                <w:color w:val="000000"/>
                <w:sz w:val="18"/>
                <w:szCs w:val="18"/>
                <w:u w:val="none"/>
              </w:rPr>
            </w:pPr>
          </w:p>
        </w:tc>
        <w:tc>
          <w:tcPr>
            <w:tcW w:w="1020" w:type="dxa"/>
            <w:tcBorders>
              <w:top w:val="nil"/>
              <w:left w:val="nil"/>
              <w:bottom w:val="nil"/>
              <w:right w:val="nil"/>
            </w:tcBorders>
            <w:shd w:val="clear" w:color="auto" w:fill="auto"/>
            <w:tcMar>
              <w:top w:w="15" w:type="dxa"/>
              <w:left w:w="15" w:type="dxa"/>
              <w:right w:w="15" w:type="dxa"/>
            </w:tcMar>
            <w:vAlign w:val="center"/>
          </w:tcPr>
          <w:p w14:paraId="612094DF">
            <w:pPr>
              <w:rPr>
                <w:rFonts w:hint="eastAsia" w:ascii="宋体" w:hAnsi="宋体" w:eastAsia="宋体" w:cs="宋体"/>
                <w:i w:val="0"/>
                <w:color w:val="000000"/>
                <w:sz w:val="18"/>
                <w:szCs w:val="18"/>
                <w:u w:val="none"/>
              </w:rPr>
            </w:pPr>
          </w:p>
        </w:tc>
        <w:tc>
          <w:tcPr>
            <w:tcW w:w="793" w:type="dxa"/>
            <w:tcBorders>
              <w:top w:val="nil"/>
              <w:left w:val="nil"/>
              <w:bottom w:val="nil"/>
              <w:right w:val="nil"/>
            </w:tcBorders>
            <w:shd w:val="clear" w:color="auto" w:fill="auto"/>
            <w:tcMar>
              <w:top w:w="15" w:type="dxa"/>
              <w:left w:w="15" w:type="dxa"/>
              <w:right w:w="15" w:type="dxa"/>
            </w:tcMar>
            <w:vAlign w:val="center"/>
          </w:tcPr>
          <w:p w14:paraId="6973B19F">
            <w:pPr>
              <w:rPr>
                <w:rFonts w:hint="eastAsia" w:ascii="宋体" w:hAnsi="宋体" w:eastAsia="宋体" w:cs="宋体"/>
                <w:i w:val="0"/>
                <w:color w:val="000000"/>
                <w:sz w:val="18"/>
                <w:szCs w:val="18"/>
                <w:u w:val="none"/>
              </w:rPr>
            </w:pPr>
          </w:p>
        </w:tc>
        <w:tc>
          <w:tcPr>
            <w:tcW w:w="1067" w:type="dxa"/>
            <w:tcBorders>
              <w:top w:val="nil"/>
              <w:left w:val="nil"/>
              <w:bottom w:val="nil"/>
              <w:right w:val="nil"/>
            </w:tcBorders>
            <w:shd w:val="clear" w:color="auto" w:fill="auto"/>
            <w:tcMar>
              <w:top w:w="15" w:type="dxa"/>
              <w:left w:w="15" w:type="dxa"/>
              <w:right w:w="15" w:type="dxa"/>
            </w:tcMar>
            <w:vAlign w:val="center"/>
          </w:tcPr>
          <w:p w14:paraId="34EC5B54">
            <w:pPr>
              <w:rPr>
                <w:rFonts w:hint="eastAsia" w:ascii="宋体" w:hAnsi="宋体" w:eastAsia="宋体" w:cs="宋体"/>
                <w:i w:val="0"/>
                <w:color w:val="000000"/>
                <w:sz w:val="18"/>
                <w:szCs w:val="18"/>
                <w:u w:val="none"/>
              </w:rPr>
            </w:pPr>
          </w:p>
        </w:tc>
        <w:tc>
          <w:tcPr>
            <w:tcW w:w="630" w:type="dxa"/>
            <w:tcBorders>
              <w:top w:val="nil"/>
              <w:left w:val="nil"/>
              <w:bottom w:val="nil"/>
              <w:right w:val="nil"/>
            </w:tcBorders>
            <w:shd w:val="clear" w:color="auto" w:fill="auto"/>
            <w:tcMar>
              <w:top w:w="15" w:type="dxa"/>
              <w:left w:w="15" w:type="dxa"/>
              <w:right w:w="15" w:type="dxa"/>
            </w:tcMar>
            <w:vAlign w:val="center"/>
          </w:tcPr>
          <w:p w14:paraId="107396AE">
            <w:pPr>
              <w:rPr>
                <w:rFonts w:hint="eastAsia" w:ascii="宋体" w:hAnsi="宋体" w:eastAsia="宋体" w:cs="宋体"/>
                <w:i w:val="0"/>
                <w:color w:val="000000"/>
                <w:sz w:val="18"/>
                <w:szCs w:val="18"/>
                <w:u w:val="none"/>
              </w:rPr>
            </w:pPr>
          </w:p>
        </w:tc>
        <w:tc>
          <w:tcPr>
            <w:tcW w:w="553" w:type="dxa"/>
            <w:tcBorders>
              <w:top w:val="nil"/>
              <w:left w:val="nil"/>
              <w:bottom w:val="nil"/>
              <w:right w:val="nil"/>
            </w:tcBorders>
            <w:shd w:val="clear" w:color="auto" w:fill="auto"/>
            <w:tcMar>
              <w:top w:w="15" w:type="dxa"/>
              <w:left w:w="15" w:type="dxa"/>
              <w:right w:w="15" w:type="dxa"/>
            </w:tcMar>
            <w:vAlign w:val="center"/>
          </w:tcPr>
          <w:p w14:paraId="01C7ACFC">
            <w:pPr>
              <w:rPr>
                <w:rFonts w:hint="eastAsia" w:ascii="宋体" w:hAnsi="宋体" w:eastAsia="宋体" w:cs="宋体"/>
                <w:i w:val="0"/>
                <w:color w:val="000000"/>
                <w:sz w:val="18"/>
                <w:szCs w:val="18"/>
                <w:u w:val="none"/>
              </w:rPr>
            </w:pPr>
          </w:p>
        </w:tc>
        <w:tc>
          <w:tcPr>
            <w:tcW w:w="678" w:type="dxa"/>
            <w:tcBorders>
              <w:top w:val="nil"/>
              <w:left w:val="nil"/>
              <w:bottom w:val="nil"/>
              <w:right w:val="nil"/>
            </w:tcBorders>
            <w:shd w:val="clear" w:color="auto" w:fill="auto"/>
            <w:tcMar>
              <w:top w:w="15" w:type="dxa"/>
              <w:left w:w="15" w:type="dxa"/>
              <w:right w:w="15" w:type="dxa"/>
            </w:tcMar>
            <w:vAlign w:val="center"/>
          </w:tcPr>
          <w:p w14:paraId="17B0F4CA">
            <w:pPr>
              <w:rPr>
                <w:rFonts w:hint="eastAsia" w:ascii="宋体" w:hAnsi="宋体" w:eastAsia="宋体" w:cs="宋体"/>
                <w:i w:val="0"/>
                <w:color w:val="000000"/>
                <w:sz w:val="18"/>
                <w:szCs w:val="18"/>
                <w:u w:val="none"/>
              </w:rPr>
            </w:pPr>
          </w:p>
        </w:tc>
        <w:tc>
          <w:tcPr>
            <w:tcW w:w="844" w:type="dxa"/>
            <w:tcBorders>
              <w:top w:val="nil"/>
              <w:left w:val="nil"/>
              <w:bottom w:val="nil"/>
              <w:right w:val="nil"/>
            </w:tcBorders>
            <w:shd w:val="clear" w:color="auto" w:fill="auto"/>
            <w:tcMar>
              <w:top w:w="15" w:type="dxa"/>
              <w:left w:w="15" w:type="dxa"/>
              <w:right w:w="15" w:type="dxa"/>
            </w:tcMar>
            <w:vAlign w:val="center"/>
          </w:tcPr>
          <w:p w14:paraId="713B05F8">
            <w:pPr>
              <w:rPr>
                <w:rFonts w:hint="eastAsia" w:ascii="宋体" w:hAnsi="宋体" w:eastAsia="宋体" w:cs="宋体"/>
                <w:i w:val="0"/>
                <w:color w:val="000000"/>
                <w:sz w:val="18"/>
                <w:szCs w:val="18"/>
                <w:u w:val="none"/>
              </w:rPr>
            </w:pPr>
          </w:p>
        </w:tc>
        <w:tc>
          <w:tcPr>
            <w:tcW w:w="685" w:type="dxa"/>
            <w:tcBorders>
              <w:top w:val="nil"/>
              <w:left w:val="nil"/>
              <w:bottom w:val="nil"/>
              <w:right w:val="nil"/>
            </w:tcBorders>
            <w:shd w:val="clear" w:color="auto" w:fill="auto"/>
            <w:tcMar>
              <w:top w:w="15" w:type="dxa"/>
              <w:left w:w="15" w:type="dxa"/>
              <w:right w:w="15" w:type="dxa"/>
            </w:tcMar>
            <w:vAlign w:val="center"/>
          </w:tcPr>
          <w:p w14:paraId="6BB0730D">
            <w:pPr>
              <w:rPr>
                <w:rFonts w:hint="eastAsia" w:ascii="宋体" w:hAnsi="宋体" w:eastAsia="宋体" w:cs="宋体"/>
                <w:i w:val="0"/>
                <w:color w:val="000000"/>
                <w:sz w:val="18"/>
                <w:szCs w:val="18"/>
                <w:u w:val="none"/>
              </w:rPr>
            </w:pPr>
          </w:p>
        </w:tc>
        <w:tc>
          <w:tcPr>
            <w:tcW w:w="686" w:type="dxa"/>
            <w:tcBorders>
              <w:top w:val="nil"/>
              <w:left w:val="nil"/>
              <w:bottom w:val="nil"/>
              <w:right w:val="nil"/>
            </w:tcBorders>
            <w:shd w:val="clear" w:color="auto" w:fill="auto"/>
            <w:tcMar>
              <w:top w:w="15" w:type="dxa"/>
              <w:left w:w="15" w:type="dxa"/>
              <w:right w:w="15" w:type="dxa"/>
            </w:tcMar>
            <w:vAlign w:val="center"/>
          </w:tcPr>
          <w:p w14:paraId="63ABD1F7">
            <w:pPr>
              <w:rPr>
                <w:rFonts w:hint="eastAsia" w:ascii="宋体" w:hAnsi="宋体" w:eastAsia="宋体" w:cs="宋体"/>
                <w:i w:val="0"/>
                <w:color w:val="000000"/>
                <w:sz w:val="18"/>
                <w:szCs w:val="18"/>
                <w:u w:val="none"/>
              </w:rPr>
            </w:pPr>
          </w:p>
        </w:tc>
        <w:tc>
          <w:tcPr>
            <w:tcW w:w="643" w:type="dxa"/>
            <w:tcBorders>
              <w:top w:val="nil"/>
              <w:left w:val="nil"/>
              <w:bottom w:val="nil"/>
              <w:right w:val="nil"/>
            </w:tcBorders>
            <w:shd w:val="clear" w:color="auto" w:fill="auto"/>
            <w:tcMar>
              <w:top w:w="15" w:type="dxa"/>
              <w:left w:w="15" w:type="dxa"/>
              <w:right w:w="15" w:type="dxa"/>
            </w:tcMar>
            <w:vAlign w:val="center"/>
          </w:tcPr>
          <w:p w14:paraId="29A22410">
            <w:pPr>
              <w:rPr>
                <w:rFonts w:hint="eastAsia" w:ascii="宋体" w:hAnsi="宋体" w:eastAsia="宋体" w:cs="宋体"/>
                <w:i w:val="0"/>
                <w:color w:val="000000"/>
                <w:sz w:val="18"/>
                <w:szCs w:val="18"/>
                <w:u w:val="none"/>
              </w:rPr>
            </w:pPr>
          </w:p>
        </w:tc>
        <w:tc>
          <w:tcPr>
            <w:tcW w:w="750" w:type="dxa"/>
            <w:tcBorders>
              <w:top w:val="nil"/>
              <w:left w:val="nil"/>
              <w:bottom w:val="nil"/>
              <w:right w:val="nil"/>
            </w:tcBorders>
            <w:shd w:val="clear" w:color="auto" w:fill="auto"/>
            <w:noWrap/>
            <w:tcMar>
              <w:top w:w="15" w:type="dxa"/>
              <w:left w:w="15" w:type="dxa"/>
              <w:right w:w="15" w:type="dxa"/>
            </w:tcMar>
            <w:vAlign w:val="center"/>
          </w:tcPr>
          <w:p w14:paraId="5CA66F8A">
            <w:pPr>
              <w:rPr>
                <w:rFonts w:hint="eastAsia" w:ascii="宋体" w:hAnsi="宋体" w:eastAsia="宋体" w:cs="宋体"/>
                <w:i w:val="0"/>
                <w:color w:val="000000"/>
                <w:sz w:val="22"/>
                <w:szCs w:val="22"/>
                <w:u w:val="none"/>
              </w:rPr>
            </w:pPr>
          </w:p>
        </w:tc>
      </w:tr>
      <w:tr w14:paraId="04D00B3C">
        <w:tblPrEx>
          <w:tblCellMar>
            <w:top w:w="0" w:type="dxa"/>
            <w:left w:w="0" w:type="dxa"/>
            <w:bottom w:w="0" w:type="dxa"/>
            <w:right w:w="0" w:type="dxa"/>
          </w:tblCellMar>
        </w:tblPrEx>
        <w:trPr>
          <w:trHeight w:val="286" w:hRule="atLeast"/>
        </w:trPr>
        <w:tc>
          <w:tcPr>
            <w:tcW w:w="660" w:type="dxa"/>
            <w:tcBorders>
              <w:top w:val="nil"/>
              <w:left w:val="nil"/>
              <w:bottom w:val="nil"/>
              <w:right w:val="nil"/>
            </w:tcBorders>
            <w:shd w:val="clear" w:color="auto" w:fill="auto"/>
            <w:tcMar>
              <w:top w:w="15" w:type="dxa"/>
              <w:left w:w="15" w:type="dxa"/>
              <w:right w:w="15" w:type="dxa"/>
            </w:tcMar>
            <w:vAlign w:val="center"/>
          </w:tcPr>
          <w:p w14:paraId="23749A0B">
            <w:pPr>
              <w:rPr>
                <w:rFonts w:hint="eastAsia" w:ascii="宋体" w:hAnsi="宋体" w:eastAsia="宋体" w:cs="宋体"/>
                <w:i w:val="0"/>
                <w:color w:val="000000"/>
                <w:sz w:val="18"/>
                <w:szCs w:val="18"/>
                <w:u w:val="none"/>
              </w:rPr>
            </w:pPr>
          </w:p>
        </w:tc>
        <w:tc>
          <w:tcPr>
            <w:tcW w:w="1020" w:type="dxa"/>
            <w:tcBorders>
              <w:top w:val="nil"/>
              <w:left w:val="nil"/>
              <w:bottom w:val="nil"/>
              <w:right w:val="nil"/>
            </w:tcBorders>
            <w:shd w:val="clear" w:color="auto" w:fill="auto"/>
            <w:tcMar>
              <w:top w:w="15" w:type="dxa"/>
              <w:left w:w="15" w:type="dxa"/>
              <w:right w:w="15" w:type="dxa"/>
            </w:tcMar>
            <w:vAlign w:val="center"/>
          </w:tcPr>
          <w:p w14:paraId="44DF99C9">
            <w:pPr>
              <w:rPr>
                <w:rFonts w:hint="eastAsia" w:ascii="宋体" w:hAnsi="宋体" w:eastAsia="宋体" w:cs="宋体"/>
                <w:i w:val="0"/>
                <w:color w:val="000000"/>
                <w:sz w:val="18"/>
                <w:szCs w:val="18"/>
                <w:u w:val="none"/>
              </w:rPr>
            </w:pPr>
          </w:p>
        </w:tc>
        <w:tc>
          <w:tcPr>
            <w:tcW w:w="793" w:type="dxa"/>
            <w:tcBorders>
              <w:top w:val="nil"/>
              <w:left w:val="nil"/>
              <w:bottom w:val="nil"/>
              <w:right w:val="nil"/>
            </w:tcBorders>
            <w:shd w:val="clear" w:color="auto" w:fill="auto"/>
            <w:tcMar>
              <w:top w:w="15" w:type="dxa"/>
              <w:left w:w="15" w:type="dxa"/>
              <w:right w:w="15" w:type="dxa"/>
            </w:tcMar>
            <w:vAlign w:val="center"/>
          </w:tcPr>
          <w:p w14:paraId="6A4C9D26">
            <w:pPr>
              <w:rPr>
                <w:rFonts w:hint="eastAsia" w:ascii="宋体" w:hAnsi="宋体" w:eastAsia="宋体" w:cs="宋体"/>
                <w:i w:val="0"/>
                <w:color w:val="000000"/>
                <w:sz w:val="18"/>
                <w:szCs w:val="18"/>
                <w:u w:val="none"/>
              </w:rPr>
            </w:pPr>
          </w:p>
        </w:tc>
        <w:tc>
          <w:tcPr>
            <w:tcW w:w="1067" w:type="dxa"/>
            <w:tcBorders>
              <w:top w:val="nil"/>
              <w:left w:val="nil"/>
              <w:bottom w:val="nil"/>
              <w:right w:val="nil"/>
            </w:tcBorders>
            <w:shd w:val="clear" w:color="auto" w:fill="auto"/>
            <w:tcMar>
              <w:top w:w="15" w:type="dxa"/>
              <w:left w:w="15" w:type="dxa"/>
              <w:right w:w="15" w:type="dxa"/>
            </w:tcMar>
            <w:vAlign w:val="center"/>
          </w:tcPr>
          <w:p w14:paraId="084C5F1E">
            <w:pPr>
              <w:rPr>
                <w:rFonts w:hint="eastAsia" w:ascii="宋体" w:hAnsi="宋体" w:eastAsia="宋体" w:cs="宋体"/>
                <w:i w:val="0"/>
                <w:color w:val="000000"/>
                <w:sz w:val="18"/>
                <w:szCs w:val="18"/>
                <w:u w:val="none"/>
              </w:rPr>
            </w:pPr>
          </w:p>
        </w:tc>
        <w:tc>
          <w:tcPr>
            <w:tcW w:w="630" w:type="dxa"/>
            <w:tcBorders>
              <w:top w:val="nil"/>
              <w:left w:val="nil"/>
              <w:bottom w:val="nil"/>
              <w:right w:val="nil"/>
            </w:tcBorders>
            <w:shd w:val="clear" w:color="auto" w:fill="auto"/>
            <w:tcMar>
              <w:top w:w="15" w:type="dxa"/>
              <w:left w:w="15" w:type="dxa"/>
              <w:right w:w="15" w:type="dxa"/>
            </w:tcMar>
            <w:vAlign w:val="center"/>
          </w:tcPr>
          <w:p w14:paraId="7D9F42AE">
            <w:pPr>
              <w:rPr>
                <w:rFonts w:hint="eastAsia" w:ascii="宋体" w:hAnsi="宋体" w:eastAsia="宋体" w:cs="宋体"/>
                <w:i w:val="0"/>
                <w:color w:val="000000"/>
                <w:sz w:val="18"/>
                <w:szCs w:val="18"/>
                <w:u w:val="none"/>
              </w:rPr>
            </w:pPr>
          </w:p>
        </w:tc>
        <w:tc>
          <w:tcPr>
            <w:tcW w:w="553" w:type="dxa"/>
            <w:tcBorders>
              <w:top w:val="nil"/>
              <w:left w:val="nil"/>
              <w:bottom w:val="nil"/>
              <w:right w:val="nil"/>
            </w:tcBorders>
            <w:shd w:val="clear" w:color="auto" w:fill="auto"/>
            <w:tcMar>
              <w:top w:w="15" w:type="dxa"/>
              <w:left w:w="15" w:type="dxa"/>
              <w:right w:w="15" w:type="dxa"/>
            </w:tcMar>
            <w:vAlign w:val="center"/>
          </w:tcPr>
          <w:p w14:paraId="0F8D177A">
            <w:pPr>
              <w:rPr>
                <w:rFonts w:hint="eastAsia" w:ascii="宋体" w:hAnsi="宋体" w:eastAsia="宋体" w:cs="宋体"/>
                <w:i w:val="0"/>
                <w:color w:val="000000"/>
                <w:sz w:val="18"/>
                <w:szCs w:val="18"/>
                <w:u w:val="none"/>
              </w:rPr>
            </w:pPr>
          </w:p>
        </w:tc>
        <w:tc>
          <w:tcPr>
            <w:tcW w:w="678" w:type="dxa"/>
            <w:tcBorders>
              <w:top w:val="nil"/>
              <w:left w:val="nil"/>
              <w:bottom w:val="nil"/>
              <w:right w:val="nil"/>
            </w:tcBorders>
            <w:shd w:val="clear" w:color="auto" w:fill="auto"/>
            <w:tcMar>
              <w:top w:w="15" w:type="dxa"/>
              <w:left w:w="15" w:type="dxa"/>
              <w:right w:w="15" w:type="dxa"/>
            </w:tcMar>
            <w:vAlign w:val="center"/>
          </w:tcPr>
          <w:p w14:paraId="03DAD622">
            <w:pPr>
              <w:rPr>
                <w:rFonts w:hint="eastAsia" w:ascii="宋体" w:hAnsi="宋体" w:eastAsia="宋体" w:cs="宋体"/>
                <w:i w:val="0"/>
                <w:color w:val="000000"/>
                <w:sz w:val="18"/>
                <w:szCs w:val="18"/>
                <w:u w:val="none"/>
              </w:rPr>
            </w:pPr>
          </w:p>
        </w:tc>
        <w:tc>
          <w:tcPr>
            <w:tcW w:w="844" w:type="dxa"/>
            <w:tcBorders>
              <w:top w:val="nil"/>
              <w:left w:val="nil"/>
              <w:bottom w:val="nil"/>
              <w:right w:val="nil"/>
            </w:tcBorders>
            <w:shd w:val="clear" w:color="auto" w:fill="auto"/>
            <w:tcMar>
              <w:top w:w="15" w:type="dxa"/>
              <w:left w:w="15" w:type="dxa"/>
              <w:right w:w="15" w:type="dxa"/>
            </w:tcMar>
            <w:vAlign w:val="center"/>
          </w:tcPr>
          <w:p w14:paraId="16841A00">
            <w:pPr>
              <w:rPr>
                <w:rFonts w:hint="eastAsia" w:ascii="宋体" w:hAnsi="宋体" w:eastAsia="宋体" w:cs="宋体"/>
                <w:i w:val="0"/>
                <w:color w:val="000000"/>
                <w:sz w:val="18"/>
                <w:szCs w:val="18"/>
                <w:u w:val="none"/>
              </w:rPr>
            </w:pPr>
          </w:p>
        </w:tc>
        <w:tc>
          <w:tcPr>
            <w:tcW w:w="685" w:type="dxa"/>
            <w:tcBorders>
              <w:top w:val="nil"/>
              <w:left w:val="nil"/>
              <w:bottom w:val="nil"/>
              <w:right w:val="nil"/>
            </w:tcBorders>
            <w:shd w:val="clear" w:color="auto" w:fill="auto"/>
            <w:tcMar>
              <w:top w:w="15" w:type="dxa"/>
              <w:left w:w="15" w:type="dxa"/>
              <w:right w:w="15" w:type="dxa"/>
            </w:tcMar>
            <w:vAlign w:val="center"/>
          </w:tcPr>
          <w:p w14:paraId="4357DF1E">
            <w:pPr>
              <w:rPr>
                <w:rFonts w:hint="eastAsia" w:ascii="宋体" w:hAnsi="宋体" w:eastAsia="宋体" w:cs="宋体"/>
                <w:i w:val="0"/>
                <w:color w:val="000000"/>
                <w:sz w:val="18"/>
                <w:szCs w:val="18"/>
                <w:u w:val="none"/>
              </w:rPr>
            </w:pPr>
          </w:p>
        </w:tc>
        <w:tc>
          <w:tcPr>
            <w:tcW w:w="686" w:type="dxa"/>
            <w:tcBorders>
              <w:top w:val="nil"/>
              <w:left w:val="nil"/>
              <w:bottom w:val="nil"/>
              <w:right w:val="nil"/>
            </w:tcBorders>
            <w:shd w:val="clear" w:color="auto" w:fill="auto"/>
            <w:tcMar>
              <w:top w:w="15" w:type="dxa"/>
              <w:left w:w="15" w:type="dxa"/>
              <w:right w:w="15" w:type="dxa"/>
            </w:tcMar>
            <w:vAlign w:val="center"/>
          </w:tcPr>
          <w:p w14:paraId="5DEBAF27">
            <w:pPr>
              <w:rPr>
                <w:rFonts w:hint="eastAsia" w:ascii="宋体" w:hAnsi="宋体" w:eastAsia="宋体" w:cs="宋体"/>
                <w:i w:val="0"/>
                <w:color w:val="000000"/>
                <w:sz w:val="18"/>
                <w:szCs w:val="18"/>
                <w:u w:val="none"/>
              </w:rPr>
            </w:pPr>
          </w:p>
        </w:tc>
        <w:tc>
          <w:tcPr>
            <w:tcW w:w="643" w:type="dxa"/>
            <w:tcBorders>
              <w:top w:val="nil"/>
              <w:left w:val="nil"/>
              <w:bottom w:val="nil"/>
              <w:right w:val="nil"/>
            </w:tcBorders>
            <w:shd w:val="clear" w:color="auto" w:fill="auto"/>
            <w:tcMar>
              <w:top w:w="15" w:type="dxa"/>
              <w:left w:w="15" w:type="dxa"/>
              <w:right w:w="15" w:type="dxa"/>
            </w:tcMar>
            <w:vAlign w:val="center"/>
          </w:tcPr>
          <w:p w14:paraId="4466E7DF">
            <w:pPr>
              <w:rPr>
                <w:rFonts w:hint="eastAsia" w:ascii="宋体" w:hAnsi="宋体" w:eastAsia="宋体" w:cs="宋体"/>
                <w:i w:val="0"/>
                <w:color w:val="000000"/>
                <w:sz w:val="18"/>
                <w:szCs w:val="18"/>
                <w:u w:val="none"/>
              </w:rPr>
            </w:pPr>
          </w:p>
        </w:tc>
        <w:tc>
          <w:tcPr>
            <w:tcW w:w="750" w:type="dxa"/>
            <w:tcBorders>
              <w:top w:val="nil"/>
              <w:left w:val="nil"/>
              <w:bottom w:val="nil"/>
              <w:right w:val="nil"/>
            </w:tcBorders>
            <w:shd w:val="clear" w:color="auto" w:fill="auto"/>
            <w:noWrap/>
            <w:tcMar>
              <w:top w:w="15" w:type="dxa"/>
              <w:left w:w="15" w:type="dxa"/>
              <w:right w:w="15" w:type="dxa"/>
            </w:tcMar>
            <w:vAlign w:val="center"/>
          </w:tcPr>
          <w:p w14:paraId="7746FC1A">
            <w:pPr>
              <w:rPr>
                <w:rFonts w:hint="eastAsia" w:ascii="宋体" w:hAnsi="宋体" w:eastAsia="宋体" w:cs="宋体"/>
                <w:i w:val="0"/>
                <w:color w:val="000000"/>
                <w:sz w:val="22"/>
                <w:szCs w:val="22"/>
                <w:u w:val="none"/>
              </w:rPr>
            </w:pPr>
          </w:p>
        </w:tc>
      </w:tr>
      <w:tr w14:paraId="6CF0A3DC">
        <w:tblPrEx>
          <w:tblCellMar>
            <w:top w:w="0" w:type="dxa"/>
            <w:left w:w="0" w:type="dxa"/>
            <w:bottom w:w="0" w:type="dxa"/>
            <w:right w:w="0" w:type="dxa"/>
          </w:tblCellMar>
        </w:tblPrEx>
        <w:trPr>
          <w:trHeight w:val="286" w:hRule="atLeast"/>
        </w:trPr>
        <w:tc>
          <w:tcPr>
            <w:tcW w:w="660" w:type="dxa"/>
            <w:tcBorders>
              <w:top w:val="nil"/>
              <w:left w:val="nil"/>
              <w:bottom w:val="nil"/>
              <w:right w:val="nil"/>
            </w:tcBorders>
            <w:shd w:val="clear" w:color="auto" w:fill="auto"/>
            <w:tcMar>
              <w:top w:w="15" w:type="dxa"/>
              <w:left w:w="15" w:type="dxa"/>
              <w:right w:w="15" w:type="dxa"/>
            </w:tcMar>
            <w:vAlign w:val="center"/>
          </w:tcPr>
          <w:p w14:paraId="444284FE">
            <w:pPr>
              <w:rPr>
                <w:rFonts w:hint="eastAsia" w:ascii="宋体" w:hAnsi="宋体" w:eastAsia="宋体" w:cs="宋体"/>
                <w:i w:val="0"/>
                <w:color w:val="000000"/>
                <w:sz w:val="18"/>
                <w:szCs w:val="18"/>
                <w:u w:val="none"/>
              </w:rPr>
            </w:pPr>
          </w:p>
        </w:tc>
        <w:tc>
          <w:tcPr>
            <w:tcW w:w="1020" w:type="dxa"/>
            <w:tcBorders>
              <w:top w:val="nil"/>
              <w:left w:val="nil"/>
              <w:bottom w:val="nil"/>
              <w:right w:val="nil"/>
            </w:tcBorders>
            <w:shd w:val="clear" w:color="auto" w:fill="auto"/>
            <w:tcMar>
              <w:top w:w="15" w:type="dxa"/>
              <w:left w:w="15" w:type="dxa"/>
              <w:right w:w="15" w:type="dxa"/>
            </w:tcMar>
            <w:vAlign w:val="center"/>
          </w:tcPr>
          <w:p w14:paraId="289E657F">
            <w:pPr>
              <w:rPr>
                <w:rFonts w:hint="eastAsia" w:ascii="宋体" w:hAnsi="宋体" w:eastAsia="宋体" w:cs="宋体"/>
                <w:i w:val="0"/>
                <w:color w:val="000000"/>
                <w:sz w:val="18"/>
                <w:szCs w:val="18"/>
                <w:u w:val="none"/>
              </w:rPr>
            </w:pPr>
          </w:p>
        </w:tc>
        <w:tc>
          <w:tcPr>
            <w:tcW w:w="793" w:type="dxa"/>
            <w:tcBorders>
              <w:top w:val="nil"/>
              <w:left w:val="nil"/>
              <w:bottom w:val="nil"/>
              <w:right w:val="nil"/>
            </w:tcBorders>
            <w:shd w:val="clear" w:color="auto" w:fill="auto"/>
            <w:tcMar>
              <w:top w:w="15" w:type="dxa"/>
              <w:left w:w="15" w:type="dxa"/>
              <w:right w:w="15" w:type="dxa"/>
            </w:tcMar>
            <w:vAlign w:val="center"/>
          </w:tcPr>
          <w:p w14:paraId="09DD4F6C">
            <w:pPr>
              <w:rPr>
                <w:rFonts w:hint="eastAsia" w:ascii="宋体" w:hAnsi="宋体" w:eastAsia="宋体" w:cs="宋体"/>
                <w:i w:val="0"/>
                <w:color w:val="000000"/>
                <w:sz w:val="18"/>
                <w:szCs w:val="18"/>
                <w:u w:val="none"/>
              </w:rPr>
            </w:pPr>
          </w:p>
        </w:tc>
        <w:tc>
          <w:tcPr>
            <w:tcW w:w="1067" w:type="dxa"/>
            <w:tcBorders>
              <w:top w:val="nil"/>
              <w:left w:val="nil"/>
              <w:bottom w:val="nil"/>
              <w:right w:val="nil"/>
            </w:tcBorders>
            <w:shd w:val="clear" w:color="auto" w:fill="auto"/>
            <w:tcMar>
              <w:top w:w="15" w:type="dxa"/>
              <w:left w:w="15" w:type="dxa"/>
              <w:right w:w="15" w:type="dxa"/>
            </w:tcMar>
            <w:vAlign w:val="center"/>
          </w:tcPr>
          <w:p w14:paraId="2B8ACF2C">
            <w:pPr>
              <w:rPr>
                <w:rFonts w:hint="eastAsia" w:ascii="宋体" w:hAnsi="宋体" w:eastAsia="宋体" w:cs="宋体"/>
                <w:i w:val="0"/>
                <w:color w:val="000000"/>
                <w:sz w:val="18"/>
                <w:szCs w:val="18"/>
                <w:u w:val="none"/>
              </w:rPr>
            </w:pPr>
          </w:p>
        </w:tc>
        <w:tc>
          <w:tcPr>
            <w:tcW w:w="630" w:type="dxa"/>
            <w:tcBorders>
              <w:top w:val="nil"/>
              <w:left w:val="nil"/>
              <w:bottom w:val="nil"/>
              <w:right w:val="nil"/>
            </w:tcBorders>
            <w:shd w:val="clear" w:color="auto" w:fill="auto"/>
            <w:tcMar>
              <w:top w:w="15" w:type="dxa"/>
              <w:left w:w="15" w:type="dxa"/>
              <w:right w:w="15" w:type="dxa"/>
            </w:tcMar>
            <w:vAlign w:val="center"/>
          </w:tcPr>
          <w:p w14:paraId="5F592D6C">
            <w:pPr>
              <w:rPr>
                <w:rFonts w:hint="eastAsia" w:ascii="宋体" w:hAnsi="宋体" w:eastAsia="宋体" w:cs="宋体"/>
                <w:i w:val="0"/>
                <w:color w:val="000000"/>
                <w:sz w:val="18"/>
                <w:szCs w:val="18"/>
                <w:u w:val="none"/>
              </w:rPr>
            </w:pPr>
          </w:p>
        </w:tc>
        <w:tc>
          <w:tcPr>
            <w:tcW w:w="553" w:type="dxa"/>
            <w:tcBorders>
              <w:top w:val="nil"/>
              <w:left w:val="nil"/>
              <w:bottom w:val="nil"/>
              <w:right w:val="nil"/>
            </w:tcBorders>
            <w:shd w:val="clear" w:color="auto" w:fill="auto"/>
            <w:tcMar>
              <w:top w:w="15" w:type="dxa"/>
              <w:left w:w="15" w:type="dxa"/>
              <w:right w:w="15" w:type="dxa"/>
            </w:tcMar>
            <w:vAlign w:val="center"/>
          </w:tcPr>
          <w:p w14:paraId="34CA30B5">
            <w:pPr>
              <w:rPr>
                <w:rFonts w:hint="eastAsia" w:ascii="宋体" w:hAnsi="宋体" w:eastAsia="宋体" w:cs="宋体"/>
                <w:i w:val="0"/>
                <w:color w:val="000000"/>
                <w:sz w:val="18"/>
                <w:szCs w:val="18"/>
                <w:u w:val="none"/>
              </w:rPr>
            </w:pPr>
          </w:p>
        </w:tc>
        <w:tc>
          <w:tcPr>
            <w:tcW w:w="678" w:type="dxa"/>
            <w:tcBorders>
              <w:top w:val="nil"/>
              <w:left w:val="nil"/>
              <w:bottom w:val="nil"/>
              <w:right w:val="nil"/>
            </w:tcBorders>
            <w:shd w:val="clear" w:color="auto" w:fill="auto"/>
            <w:tcMar>
              <w:top w:w="15" w:type="dxa"/>
              <w:left w:w="15" w:type="dxa"/>
              <w:right w:w="15" w:type="dxa"/>
            </w:tcMar>
            <w:vAlign w:val="center"/>
          </w:tcPr>
          <w:p w14:paraId="30FE667A">
            <w:pPr>
              <w:rPr>
                <w:rFonts w:hint="eastAsia" w:ascii="宋体" w:hAnsi="宋体" w:eastAsia="宋体" w:cs="宋体"/>
                <w:i w:val="0"/>
                <w:color w:val="000000"/>
                <w:sz w:val="18"/>
                <w:szCs w:val="18"/>
                <w:u w:val="none"/>
              </w:rPr>
            </w:pPr>
          </w:p>
        </w:tc>
        <w:tc>
          <w:tcPr>
            <w:tcW w:w="844" w:type="dxa"/>
            <w:tcBorders>
              <w:top w:val="nil"/>
              <w:left w:val="nil"/>
              <w:bottom w:val="nil"/>
              <w:right w:val="nil"/>
            </w:tcBorders>
            <w:shd w:val="clear" w:color="auto" w:fill="auto"/>
            <w:tcMar>
              <w:top w:w="15" w:type="dxa"/>
              <w:left w:w="15" w:type="dxa"/>
              <w:right w:w="15" w:type="dxa"/>
            </w:tcMar>
            <w:vAlign w:val="center"/>
          </w:tcPr>
          <w:p w14:paraId="6AC38C67">
            <w:pPr>
              <w:rPr>
                <w:rFonts w:hint="eastAsia" w:ascii="宋体" w:hAnsi="宋体" w:eastAsia="宋体" w:cs="宋体"/>
                <w:i w:val="0"/>
                <w:color w:val="000000"/>
                <w:sz w:val="18"/>
                <w:szCs w:val="18"/>
                <w:u w:val="none"/>
              </w:rPr>
            </w:pPr>
          </w:p>
        </w:tc>
        <w:tc>
          <w:tcPr>
            <w:tcW w:w="685" w:type="dxa"/>
            <w:tcBorders>
              <w:top w:val="nil"/>
              <w:left w:val="nil"/>
              <w:bottom w:val="nil"/>
              <w:right w:val="nil"/>
            </w:tcBorders>
            <w:shd w:val="clear" w:color="auto" w:fill="auto"/>
            <w:tcMar>
              <w:top w:w="15" w:type="dxa"/>
              <w:left w:w="15" w:type="dxa"/>
              <w:right w:w="15" w:type="dxa"/>
            </w:tcMar>
            <w:vAlign w:val="center"/>
          </w:tcPr>
          <w:p w14:paraId="37F80793">
            <w:pPr>
              <w:rPr>
                <w:rFonts w:hint="eastAsia" w:ascii="宋体" w:hAnsi="宋体" w:eastAsia="宋体" w:cs="宋体"/>
                <w:i w:val="0"/>
                <w:color w:val="000000"/>
                <w:sz w:val="18"/>
                <w:szCs w:val="18"/>
                <w:u w:val="none"/>
              </w:rPr>
            </w:pPr>
          </w:p>
        </w:tc>
        <w:tc>
          <w:tcPr>
            <w:tcW w:w="686" w:type="dxa"/>
            <w:tcBorders>
              <w:top w:val="nil"/>
              <w:left w:val="nil"/>
              <w:bottom w:val="nil"/>
              <w:right w:val="nil"/>
            </w:tcBorders>
            <w:shd w:val="clear" w:color="auto" w:fill="auto"/>
            <w:tcMar>
              <w:top w:w="15" w:type="dxa"/>
              <w:left w:w="15" w:type="dxa"/>
              <w:right w:w="15" w:type="dxa"/>
            </w:tcMar>
            <w:vAlign w:val="center"/>
          </w:tcPr>
          <w:p w14:paraId="45410FF1">
            <w:pPr>
              <w:rPr>
                <w:rFonts w:hint="eastAsia" w:ascii="宋体" w:hAnsi="宋体" w:eastAsia="宋体" w:cs="宋体"/>
                <w:i w:val="0"/>
                <w:color w:val="000000"/>
                <w:sz w:val="18"/>
                <w:szCs w:val="18"/>
                <w:u w:val="none"/>
              </w:rPr>
            </w:pPr>
          </w:p>
        </w:tc>
        <w:tc>
          <w:tcPr>
            <w:tcW w:w="643" w:type="dxa"/>
            <w:tcBorders>
              <w:top w:val="nil"/>
              <w:left w:val="nil"/>
              <w:bottom w:val="nil"/>
              <w:right w:val="nil"/>
            </w:tcBorders>
            <w:shd w:val="clear" w:color="auto" w:fill="auto"/>
            <w:tcMar>
              <w:top w:w="15" w:type="dxa"/>
              <w:left w:w="15" w:type="dxa"/>
              <w:right w:w="15" w:type="dxa"/>
            </w:tcMar>
            <w:vAlign w:val="center"/>
          </w:tcPr>
          <w:p w14:paraId="497EFDFF">
            <w:pPr>
              <w:rPr>
                <w:rFonts w:hint="eastAsia" w:ascii="宋体" w:hAnsi="宋体" w:eastAsia="宋体" w:cs="宋体"/>
                <w:i w:val="0"/>
                <w:color w:val="000000"/>
                <w:sz w:val="18"/>
                <w:szCs w:val="18"/>
                <w:u w:val="none"/>
              </w:rPr>
            </w:pPr>
          </w:p>
        </w:tc>
        <w:tc>
          <w:tcPr>
            <w:tcW w:w="750" w:type="dxa"/>
            <w:tcBorders>
              <w:top w:val="nil"/>
              <w:left w:val="nil"/>
              <w:bottom w:val="nil"/>
              <w:right w:val="nil"/>
            </w:tcBorders>
            <w:shd w:val="clear" w:color="auto" w:fill="auto"/>
            <w:noWrap/>
            <w:tcMar>
              <w:top w:w="15" w:type="dxa"/>
              <w:left w:w="15" w:type="dxa"/>
              <w:right w:w="15" w:type="dxa"/>
            </w:tcMar>
            <w:vAlign w:val="center"/>
          </w:tcPr>
          <w:p w14:paraId="3E0243DB">
            <w:pPr>
              <w:rPr>
                <w:rFonts w:hint="eastAsia" w:ascii="宋体" w:hAnsi="宋体" w:eastAsia="宋体" w:cs="宋体"/>
                <w:i w:val="0"/>
                <w:color w:val="000000"/>
                <w:sz w:val="22"/>
                <w:szCs w:val="22"/>
                <w:u w:val="none"/>
              </w:rPr>
            </w:pPr>
          </w:p>
        </w:tc>
      </w:tr>
      <w:tr w14:paraId="7EE02D2B">
        <w:tblPrEx>
          <w:tblCellMar>
            <w:top w:w="0" w:type="dxa"/>
            <w:left w:w="0" w:type="dxa"/>
            <w:bottom w:w="0" w:type="dxa"/>
            <w:right w:w="0" w:type="dxa"/>
          </w:tblCellMar>
        </w:tblPrEx>
        <w:trPr>
          <w:trHeight w:val="286" w:hRule="atLeast"/>
        </w:trPr>
        <w:tc>
          <w:tcPr>
            <w:tcW w:w="660" w:type="dxa"/>
            <w:tcBorders>
              <w:top w:val="nil"/>
              <w:left w:val="nil"/>
              <w:bottom w:val="nil"/>
              <w:right w:val="nil"/>
            </w:tcBorders>
            <w:shd w:val="clear" w:color="auto" w:fill="auto"/>
            <w:tcMar>
              <w:top w:w="15" w:type="dxa"/>
              <w:left w:w="15" w:type="dxa"/>
              <w:right w:w="15" w:type="dxa"/>
            </w:tcMar>
            <w:vAlign w:val="center"/>
          </w:tcPr>
          <w:p w14:paraId="2AF99317">
            <w:pPr>
              <w:rPr>
                <w:rFonts w:hint="eastAsia" w:ascii="宋体" w:hAnsi="宋体" w:eastAsia="宋体" w:cs="宋体"/>
                <w:i w:val="0"/>
                <w:color w:val="000000"/>
                <w:sz w:val="18"/>
                <w:szCs w:val="18"/>
                <w:u w:val="none"/>
              </w:rPr>
            </w:pPr>
          </w:p>
        </w:tc>
        <w:tc>
          <w:tcPr>
            <w:tcW w:w="1020" w:type="dxa"/>
            <w:tcBorders>
              <w:top w:val="nil"/>
              <w:left w:val="nil"/>
              <w:bottom w:val="nil"/>
              <w:right w:val="nil"/>
            </w:tcBorders>
            <w:shd w:val="clear" w:color="auto" w:fill="auto"/>
            <w:tcMar>
              <w:top w:w="15" w:type="dxa"/>
              <w:left w:w="15" w:type="dxa"/>
              <w:right w:w="15" w:type="dxa"/>
            </w:tcMar>
            <w:vAlign w:val="center"/>
          </w:tcPr>
          <w:p w14:paraId="038B5601">
            <w:pPr>
              <w:rPr>
                <w:rFonts w:hint="eastAsia" w:ascii="宋体" w:hAnsi="宋体" w:eastAsia="宋体" w:cs="宋体"/>
                <w:i w:val="0"/>
                <w:color w:val="000000"/>
                <w:sz w:val="18"/>
                <w:szCs w:val="18"/>
                <w:u w:val="none"/>
              </w:rPr>
            </w:pPr>
          </w:p>
        </w:tc>
        <w:tc>
          <w:tcPr>
            <w:tcW w:w="793" w:type="dxa"/>
            <w:tcBorders>
              <w:top w:val="nil"/>
              <w:left w:val="nil"/>
              <w:bottom w:val="nil"/>
              <w:right w:val="nil"/>
            </w:tcBorders>
            <w:shd w:val="clear" w:color="auto" w:fill="auto"/>
            <w:tcMar>
              <w:top w:w="15" w:type="dxa"/>
              <w:left w:w="15" w:type="dxa"/>
              <w:right w:w="15" w:type="dxa"/>
            </w:tcMar>
            <w:vAlign w:val="center"/>
          </w:tcPr>
          <w:p w14:paraId="066BF6F2">
            <w:pPr>
              <w:rPr>
                <w:rFonts w:hint="eastAsia" w:ascii="宋体" w:hAnsi="宋体" w:eastAsia="宋体" w:cs="宋体"/>
                <w:i w:val="0"/>
                <w:color w:val="000000"/>
                <w:sz w:val="18"/>
                <w:szCs w:val="18"/>
                <w:u w:val="none"/>
              </w:rPr>
            </w:pPr>
          </w:p>
        </w:tc>
        <w:tc>
          <w:tcPr>
            <w:tcW w:w="1067" w:type="dxa"/>
            <w:tcBorders>
              <w:top w:val="nil"/>
              <w:left w:val="nil"/>
              <w:bottom w:val="nil"/>
              <w:right w:val="nil"/>
            </w:tcBorders>
            <w:shd w:val="clear" w:color="auto" w:fill="auto"/>
            <w:tcMar>
              <w:top w:w="15" w:type="dxa"/>
              <w:left w:w="15" w:type="dxa"/>
              <w:right w:w="15" w:type="dxa"/>
            </w:tcMar>
            <w:vAlign w:val="center"/>
          </w:tcPr>
          <w:p w14:paraId="08B27692">
            <w:pPr>
              <w:rPr>
                <w:rFonts w:hint="eastAsia" w:ascii="宋体" w:hAnsi="宋体" w:eastAsia="宋体" w:cs="宋体"/>
                <w:i w:val="0"/>
                <w:color w:val="000000"/>
                <w:sz w:val="18"/>
                <w:szCs w:val="18"/>
                <w:u w:val="none"/>
              </w:rPr>
            </w:pPr>
          </w:p>
        </w:tc>
        <w:tc>
          <w:tcPr>
            <w:tcW w:w="630" w:type="dxa"/>
            <w:tcBorders>
              <w:top w:val="nil"/>
              <w:left w:val="nil"/>
              <w:bottom w:val="nil"/>
              <w:right w:val="nil"/>
            </w:tcBorders>
            <w:shd w:val="clear" w:color="auto" w:fill="auto"/>
            <w:tcMar>
              <w:top w:w="15" w:type="dxa"/>
              <w:left w:w="15" w:type="dxa"/>
              <w:right w:w="15" w:type="dxa"/>
            </w:tcMar>
            <w:vAlign w:val="center"/>
          </w:tcPr>
          <w:p w14:paraId="1259FB0B">
            <w:pPr>
              <w:rPr>
                <w:rFonts w:hint="eastAsia" w:ascii="宋体" w:hAnsi="宋体" w:eastAsia="宋体" w:cs="宋体"/>
                <w:i w:val="0"/>
                <w:color w:val="000000"/>
                <w:sz w:val="18"/>
                <w:szCs w:val="18"/>
                <w:u w:val="none"/>
              </w:rPr>
            </w:pPr>
          </w:p>
        </w:tc>
        <w:tc>
          <w:tcPr>
            <w:tcW w:w="553" w:type="dxa"/>
            <w:tcBorders>
              <w:top w:val="nil"/>
              <w:left w:val="nil"/>
              <w:bottom w:val="nil"/>
              <w:right w:val="nil"/>
            </w:tcBorders>
            <w:shd w:val="clear" w:color="auto" w:fill="auto"/>
            <w:tcMar>
              <w:top w:w="15" w:type="dxa"/>
              <w:left w:w="15" w:type="dxa"/>
              <w:right w:w="15" w:type="dxa"/>
            </w:tcMar>
            <w:vAlign w:val="center"/>
          </w:tcPr>
          <w:p w14:paraId="5D5A6967">
            <w:pPr>
              <w:rPr>
                <w:rFonts w:hint="eastAsia" w:ascii="宋体" w:hAnsi="宋体" w:eastAsia="宋体" w:cs="宋体"/>
                <w:i w:val="0"/>
                <w:color w:val="000000"/>
                <w:sz w:val="18"/>
                <w:szCs w:val="18"/>
                <w:u w:val="none"/>
              </w:rPr>
            </w:pPr>
          </w:p>
        </w:tc>
        <w:tc>
          <w:tcPr>
            <w:tcW w:w="678" w:type="dxa"/>
            <w:tcBorders>
              <w:top w:val="nil"/>
              <w:left w:val="nil"/>
              <w:bottom w:val="nil"/>
              <w:right w:val="nil"/>
            </w:tcBorders>
            <w:shd w:val="clear" w:color="auto" w:fill="auto"/>
            <w:tcMar>
              <w:top w:w="15" w:type="dxa"/>
              <w:left w:w="15" w:type="dxa"/>
              <w:right w:w="15" w:type="dxa"/>
            </w:tcMar>
            <w:vAlign w:val="center"/>
          </w:tcPr>
          <w:p w14:paraId="1AC5A017">
            <w:pPr>
              <w:rPr>
                <w:rFonts w:hint="eastAsia" w:ascii="宋体" w:hAnsi="宋体" w:eastAsia="宋体" w:cs="宋体"/>
                <w:i w:val="0"/>
                <w:color w:val="000000"/>
                <w:sz w:val="18"/>
                <w:szCs w:val="18"/>
                <w:u w:val="none"/>
              </w:rPr>
            </w:pPr>
          </w:p>
        </w:tc>
        <w:tc>
          <w:tcPr>
            <w:tcW w:w="844" w:type="dxa"/>
            <w:tcBorders>
              <w:top w:val="nil"/>
              <w:left w:val="nil"/>
              <w:bottom w:val="nil"/>
              <w:right w:val="nil"/>
            </w:tcBorders>
            <w:shd w:val="clear" w:color="auto" w:fill="auto"/>
            <w:tcMar>
              <w:top w:w="15" w:type="dxa"/>
              <w:left w:w="15" w:type="dxa"/>
              <w:right w:w="15" w:type="dxa"/>
            </w:tcMar>
            <w:vAlign w:val="center"/>
          </w:tcPr>
          <w:p w14:paraId="3A2B4A2E">
            <w:pPr>
              <w:rPr>
                <w:rFonts w:hint="eastAsia" w:ascii="宋体" w:hAnsi="宋体" w:eastAsia="宋体" w:cs="宋体"/>
                <w:i w:val="0"/>
                <w:color w:val="000000"/>
                <w:sz w:val="18"/>
                <w:szCs w:val="18"/>
                <w:u w:val="none"/>
              </w:rPr>
            </w:pPr>
          </w:p>
        </w:tc>
        <w:tc>
          <w:tcPr>
            <w:tcW w:w="685" w:type="dxa"/>
            <w:tcBorders>
              <w:top w:val="nil"/>
              <w:left w:val="nil"/>
              <w:bottom w:val="nil"/>
              <w:right w:val="nil"/>
            </w:tcBorders>
            <w:shd w:val="clear" w:color="auto" w:fill="auto"/>
            <w:tcMar>
              <w:top w:w="15" w:type="dxa"/>
              <w:left w:w="15" w:type="dxa"/>
              <w:right w:w="15" w:type="dxa"/>
            </w:tcMar>
            <w:vAlign w:val="center"/>
          </w:tcPr>
          <w:p w14:paraId="5BFF4A51">
            <w:pPr>
              <w:rPr>
                <w:rFonts w:hint="eastAsia" w:ascii="宋体" w:hAnsi="宋体" w:eastAsia="宋体" w:cs="宋体"/>
                <w:i w:val="0"/>
                <w:color w:val="000000"/>
                <w:sz w:val="18"/>
                <w:szCs w:val="18"/>
                <w:u w:val="none"/>
              </w:rPr>
            </w:pPr>
          </w:p>
        </w:tc>
        <w:tc>
          <w:tcPr>
            <w:tcW w:w="686" w:type="dxa"/>
            <w:tcBorders>
              <w:top w:val="nil"/>
              <w:left w:val="nil"/>
              <w:bottom w:val="nil"/>
              <w:right w:val="nil"/>
            </w:tcBorders>
            <w:shd w:val="clear" w:color="auto" w:fill="auto"/>
            <w:tcMar>
              <w:top w:w="15" w:type="dxa"/>
              <w:left w:w="15" w:type="dxa"/>
              <w:right w:w="15" w:type="dxa"/>
            </w:tcMar>
            <w:vAlign w:val="center"/>
          </w:tcPr>
          <w:p w14:paraId="77D76066">
            <w:pPr>
              <w:rPr>
                <w:rFonts w:hint="eastAsia" w:ascii="宋体" w:hAnsi="宋体" w:eastAsia="宋体" w:cs="宋体"/>
                <w:i w:val="0"/>
                <w:color w:val="000000"/>
                <w:sz w:val="18"/>
                <w:szCs w:val="18"/>
                <w:u w:val="none"/>
              </w:rPr>
            </w:pPr>
          </w:p>
        </w:tc>
        <w:tc>
          <w:tcPr>
            <w:tcW w:w="643" w:type="dxa"/>
            <w:tcBorders>
              <w:top w:val="nil"/>
              <w:left w:val="nil"/>
              <w:bottom w:val="nil"/>
              <w:right w:val="nil"/>
            </w:tcBorders>
            <w:shd w:val="clear" w:color="auto" w:fill="auto"/>
            <w:tcMar>
              <w:top w:w="15" w:type="dxa"/>
              <w:left w:w="15" w:type="dxa"/>
              <w:right w:w="15" w:type="dxa"/>
            </w:tcMar>
            <w:vAlign w:val="center"/>
          </w:tcPr>
          <w:p w14:paraId="6E89E1A4">
            <w:pPr>
              <w:rPr>
                <w:rFonts w:hint="eastAsia" w:ascii="宋体" w:hAnsi="宋体" w:eastAsia="宋体" w:cs="宋体"/>
                <w:i w:val="0"/>
                <w:color w:val="000000"/>
                <w:sz w:val="18"/>
                <w:szCs w:val="18"/>
                <w:u w:val="none"/>
              </w:rPr>
            </w:pPr>
          </w:p>
        </w:tc>
        <w:tc>
          <w:tcPr>
            <w:tcW w:w="750" w:type="dxa"/>
            <w:tcBorders>
              <w:top w:val="nil"/>
              <w:left w:val="nil"/>
              <w:bottom w:val="nil"/>
              <w:right w:val="nil"/>
            </w:tcBorders>
            <w:shd w:val="clear" w:color="auto" w:fill="auto"/>
            <w:noWrap/>
            <w:tcMar>
              <w:top w:w="15" w:type="dxa"/>
              <w:left w:w="15" w:type="dxa"/>
              <w:right w:w="15" w:type="dxa"/>
            </w:tcMar>
            <w:vAlign w:val="center"/>
          </w:tcPr>
          <w:p w14:paraId="21862EF7">
            <w:pPr>
              <w:rPr>
                <w:rFonts w:hint="eastAsia" w:ascii="宋体" w:hAnsi="宋体" w:eastAsia="宋体" w:cs="宋体"/>
                <w:i w:val="0"/>
                <w:color w:val="000000"/>
                <w:sz w:val="22"/>
                <w:szCs w:val="22"/>
                <w:u w:val="none"/>
              </w:rPr>
            </w:pPr>
          </w:p>
        </w:tc>
      </w:tr>
    </w:tbl>
    <w:p w14:paraId="758DDF92">
      <w:pPr>
        <w:widowControl/>
        <w:jc w:val="center"/>
        <w:rPr>
          <w:rFonts w:hint="eastAsia" w:ascii="Times New Roman" w:hAnsi="Times New Roman" w:eastAsia="黑体"/>
          <w:color w:val="auto"/>
          <w:sz w:val="44"/>
          <w:szCs w:val="44"/>
          <w:highlight w:val="none"/>
        </w:rPr>
      </w:pPr>
    </w:p>
    <w:p w14:paraId="76AF7C50">
      <w:pPr>
        <w:widowControl/>
        <w:jc w:val="center"/>
        <w:rPr>
          <w:rFonts w:hint="eastAsia" w:ascii="Times New Roman" w:hAnsi="Times New Roman" w:eastAsia="黑体"/>
          <w:color w:val="auto"/>
          <w:sz w:val="44"/>
          <w:szCs w:val="44"/>
          <w:highlight w:val="none"/>
        </w:rPr>
      </w:pPr>
    </w:p>
    <w:p w14:paraId="129B1D17">
      <w:pPr>
        <w:widowControl/>
        <w:jc w:val="both"/>
        <w:rPr>
          <w:rFonts w:hint="eastAsia" w:ascii="Times New Roman" w:hAnsi="Times New Roman" w:eastAsia="黑体"/>
          <w:color w:val="auto"/>
          <w:sz w:val="44"/>
          <w:szCs w:val="44"/>
          <w:highlight w:val="none"/>
        </w:rPr>
      </w:pPr>
    </w:p>
    <w:p w14:paraId="20C41393">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val="en-US" w:eastAsia="zh-CN"/>
        </w:rPr>
        <w:t>五</w:t>
      </w:r>
      <w:r>
        <w:rPr>
          <w:rStyle w:val="29"/>
          <w:rFonts w:hint="eastAsia" w:ascii="Times New Roman" w:hAnsi="Times New Roman" w:eastAsia="黑体"/>
          <w:b w:val="0"/>
          <w:color w:val="auto"/>
          <w:highlight w:val="none"/>
        </w:rPr>
        <w:t>部分 附表</w:t>
      </w:r>
      <w:bookmarkEnd w:id="45"/>
      <w:bookmarkEnd w:id="47"/>
      <w:bookmarkStart w:id="48" w:name="_Toc15396619"/>
    </w:p>
    <w:p w14:paraId="098CA1F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5801CB3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8"/>
    </w:p>
    <w:p w14:paraId="44A278E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9" w:name="_Toc15396620"/>
      <w:r>
        <w:rPr>
          <w:rFonts w:hint="eastAsia" w:ascii="Times New Roman" w:hAnsi="Times New Roman" w:eastAsia="仿宋_GB2312" w:cs="仿宋_GB2312"/>
          <w:color w:val="auto"/>
          <w:sz w:val="32"/>
          <w:szCs w:val="32"/>
          <w:highlight w:val="none"/>
        </w:rPr>
        <w:t>二、收入决算表</w:t>
      </w:r>
      <w:bookmarkEnd w:id="49"/>
    </w:p>
    <w:p w14:paraId="40DE40A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0" w:name="_Toc15396621"/>
      <w:r>
        <w:rPr>
          <w:rFonts w:hint="eastAsia" w:ascii="Times New Roman" w:hAnsi="Times New Roman" w:eastAsia="仿宋_GB2312" w:cs="仿宋_GB2312"/>
          <w:color w:val="auto"/>
          <w:sz w:val="32"/>
          <w:szCs w:val="32"/>
          <w:highlight w:val="none"/>
        </w:rPr>
        <w:t>三、支出决算表</w:t>
      </w:r>
      <w:bookmarkEnd w:id="50"/>
    </w:p>
    <w:p w14:paraId="0C9AAE5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2"/>
      <w:r>
        <w:rPr>
          <w:rFonts w:hint="eastAsia" w:ascii="Times New Roman" w:hAnsi="Times New Roman" w:eastAsia="仿宋_GB2312" w:cs="仿宋_GB2312"/>
          <w:color w:val="auto"/>
          <w:sz w:val="32"/>
          <w:szCs w:val="32"/>
          <w:highlight w:val="none"/>
        </w:rPr>
        <w:t>四、财政拨款收入支出决算总表</w:t>
      </w:r>
      <w:bookmarkEnd w:id="51"/>
    </w:p>
    <w:p w14:paraId="152797C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3"/>
      <w:r>
        <w:rPr>
          <w:rFonts w:hint="eastAsia" w:ascii="Times New Roman" w:hAnsi="Times New Roman" w:eastAsia="仿宋_GB2312" w:cs="仿宋_GB2312"/>
          <w:color w:val="auto"/>
          <w:sz w:val="32"/>
          <w:szCs w:val="32"/>
          <w:highlight w:val="none"/>
        </w:rPr>
        <w:t>五、财政拨款支出决算明细表</w:t>
      </w:r>
      <w:bookmarkEnd w:id="52"/>
      <w:bookmarkStart w:id="53" w:name="_Toc15396624"/>
    </w:p>
    <w:p w14:paraId="4958B12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3"/>
    </w:p>
    <w:p w14:paraId="61AA201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5"/>
      <w:r>
        <w:rPr>
          <w:rFonts w:hint="eastAsia" w:ascii="Times New Roman" w:hAnsi="Times New Roman" w:eastAsia="仿宋_GB2312" w:cs="仿宋_GB2312"/>
          <w:color w:val="auto"/>
          <w:sz w:val="32"/>
          <w:szCs w:val="32"/>
          <w:highlight w:val="none"/>
        </w:rPr>
        <w:t>七、一般公共预算财政拨款支出决算明细表</w:t>
      </w:r>
      <w:bookmarkEnd w:id="54"/>
    </w:p>
    <w:p w14:paraId="3375886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6"/>
      <w:r>
        <w:rPr>
          <w:rFonts w:hint="eastAsia" w:ascii="Times New Roman" w:hAnsi="Times New Roman" w:eastAsia="仿宋_GB2312" w:cs="仿宋_GB2312"/>
          <w:color w:val="auto"/>
          <w:sz w:val="32"/>
          <w:szCs w:val="32"/>
          <w:highlight w:val="none"/>
        </w:rPr>
        <w:t>八、一般公共预算财政拨款基本支出决算表</w:t>
      </w:r>
      <w:bookmarkEnd w:id="55"/>
    </w:p>
    <w:p w14:paraId="63EF746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7"/>
      <w:r>
        <w:rPr>
          <w:rFonts w:hint="eastAsia" w:ascii="Times New Roman" w:hAnsi="Times New Roman" w:eastAsia="仿宋_GB2312" w:cs="仿宋_GB2312"/>
          <w:color w:val="auto"/>
          <w:sz w:val="32"/>
          <w:szCs w:val="32"/>
          <w:highlight w:val="none"/>
        </w:rPr>
        <w:t>九、一般公共预算财政拨款项目支出决算表</w:t>
      </w:r>
      <w:bookmarkEnd w:id="56"/>
    </w:p>
    <w:p w14:paraId="4AF8DB8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8"/>
      <w:r>
        <w:rPr>
          <w:rFonts w:hint="eastAsia" w:ascii="Times New Roman" w:hAnsi="Times New Roman" w:eastAsia="仿宋_GB2312" w:cs="仿宋_GB2312"/>
          <w:color w:val="auto"/>
          <w:sz w:val="32"/>
          <w:szCs w:val="32"/>
          <w:highlight w:val="none"/>
        </w:rPr>
        <w:t>十、</w:t>
      </w:r>
      <w:bookmarkEnd w:id="57"/>
      <w:r>
        <w:rPr>
          <w:rFonts w:hint="eastAsia" w:ascii="Times New Roman" w:hAnsi="Times New Roman" w:eastAsia="仿宋_GB2312" w:cs="仿宋_GB2312"/>
          <w:color w:val="auto"/>
          <w:sz w:val="32"/>
          <w:szCs w:val="32"/>
          <w:highlight w:val="none"/>
        </w:rPr>
        <w:t>政府性基金预算财政拨款收入支出决算表</w:t>
      </w:r>
    </w:p>
    <w:p w14:paraId="6157252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9"/>
      <w:r>
        <w:rPr>
          <w:rFonts w:hint="eastAsia" w:ascii="Times New Roman" w:hAnsi="Times New Roman" w:eastAsia="仿宋_GB2312" w:cs="仿宋_GB2312"/>
          <w:color w:val="auto"/>
          <w:sz w:val="32"/>
          <w:szCs w:val="32"/>
          <w:highlight w:val="none"/>
        </w:rPr>
        <w:t>十一、</w:t>
      </w:r>
      <w:bookmarkEnd w:id="58"/>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2354C85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30"/>
      <w:r>
        <w:rPr>
          <w:rFonts w:hint="eastAsia" w:ascii="Times New Roman" w:hAnsi="Times New Roman" w:eastAsia="仿宋_GB2312" w:cs="仿宋_GB2312"/>
          <w:color w:val="auto"/>
          <w:sz w:val="32"/>
          <w:szCs w:val="32"/>
          <w:highlight w:val="none"/>
        </w:rPr>
        <w:t>十二、</w:t>
      </w:r>
      <w:bookmarkEnd w:id="59"/>
      <w:r>
        <w:rPr>
          <w:rFonts w:hint="eastAsia" w:ascii="Times New Roman" w:hAnsi="Times New Roman" w:eastAsia="仿宋_GB2312" w:cs="仿宋_GB2312"/>
          <w:color w:val="auto"/>
          <w:sz w:val="32"/>
          <w:szCs w:val="32"/>
          <w:highlight w:val="none"/>
          <w:lang w:eastAsia="zh-CN"/>
        </w:rPr>
        <w:t>国有资本经营预算财政拨款支出决算表</w:t>
      </w:r>
    </w:p>
    <w:p w14:paraId="1AF6B41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0" w:name="_Toc15396631"/>
      <w:r>
        <w:rPr>
          <w:rFonts w:hint="eastAsia" w:ascii="Times New Roman" w:hAnsi="Times New Roman" w:eastAsia="仿宋_GB2312" w:cs="仿宋_GB2312"/>
          <w:color w:val="auto"/>
          <w:sz w:val="32"/>
          <w:szCs w:val="32"/>
          <w:highlight w:val="none"/>
        </w:rPr>
        <w:t>十三、</w:t>
      </w:r>
      <w:bookmarkEnd w:id="60"/>
      <w:r>
        <w:rPr>
          <w:rFonts w:hint="eastAsia" w:ascii="Times New Roman" w:hAnsi="Times New Roman" w:eastAsia="仿宋_GB2312" w:cs="仿宋_GB2312"/>
          <w:color w:val="auto"/>
          <w:sz w:val="32"/>
          <w:szCs w:val="32"/>
          <w:highlight w:val="none"/>
          <w:lang w:eastAsia="zh-CN"/>
        </w:rPr>
        <w:t>财政拨款“三公”经费支出决算表</w:t>
      </w:r>
    </w:p>
    <w:p w14:paraId="39B63338">
      <w:pPr>
        <w:rPr>
          <w:rFonts w:hint="eastAsia" w:ascii="Times New Roman" w:hAnsi="Times New Roman"/>
          <w:lang w:eastAsia="zh-CN"/>
        </w:rPr>
      </w:pPr>
    </w:p>
    <w:sectPr>
      <w:footerReference r:id="rId8" w:type="first"/>
      <w:footerReference r:id="rId7"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40F97B-1F71-4633-BDFC-280F6615FA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E229F052-C85D-49F9-B173-0B1D29512F2E}"/>
  </w:font>
  <w:font w:name="仿宋">
    <w:panose1 w:val="02010609060101010101"/>
    <w:charset w:val="86"/>
    <w:family w:val="modern"/>
    <w:pitch w:val="default"/>
    <w:sig w:usb0="800002BF" w:usb1="38CF7CFA" w:usb2="00000016" w:usb3="00000000" w:csb0="00040001" w:csb1="00000000"/>
    <w:embedRegular r:id="rId3" w:fontKey="{C580F0A4-040F-4BB1-B28B-FC6A85BEB541}"/>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script"/>
    <w:pitch w:val="default"/>
    <w:sig w:usb0="00000001" w:usb1="080E0000" w:usb2="00000000" w:usb3="00000000" w:csb0="00040000" w:csb1="00000000"/>
    <w:embedRegular r:id="rId4" w:fontKey="{4DC8F3F4-8B33-437C-B08F-AEE68236C0D6}"/>
  </w:font>
  <w:font w:name="楷体_GB2312">
    <w:panose1 w:val="02010609030101010101"/>
    <w:charset w:val="86"/>
    <w:family w:val="auto"/>
    <w:pitch w:val="default"/>
    <w:sig w:usb0="00000001" w:usb1="080E0000" w:usb2="00000000" w:usb3="00000000" w:csb0="00040000" w:csb1="00000000"/>
    <w:embedRegular r:id="rId5" w:fontKey="{9F918E78-D78C-44F9-87C1-091AD3AE9A9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64859">
    <w:pPr>
      <w:pStyle w:val="11"/>
      <w:jc w:val="center"/>
    </w:pPr>
  </w:p>
  <w:p w14:paraId="6D896A68">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D6E16">
    <w:pPr>
      <w:pStyle w:val="11"/>
      <w:rPr>
        <w:rFonts w:hint="eastAsia" w:eastAsia="宋体"/>
        <w:lang w:val="en-US" w:eastAsia="zh-CN"/>
      </w:rPr>
    </w:pPr>
    <w:r>
      <w:rPr>
        <w:rFonts w:hint="eastAsia"/>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81B5">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85D33D">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685D33D">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68331118">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8FB45">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804586">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3804586">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FE7BB">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62BB1">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F80003"/>
    <w:multiLevelType w:val="singleLevel"/>
    <w:tmpl w:val="FCF80003"/>
    <w:lvl w:ilvl="0" w:tentative="0">
      <w:start w:val="1"/>
      <w:numFmt w:val="chineseCounting"/>
      <w:suff w:val="nothing"/>
      <w:lvlText w:val="%1、"/>
      <w:lvlJc w:val="left"/>
      <w:rPr>
        <w:rFonts w:hint="eastAsia"/>
      </w:rPr>
    </w:lvl>
  </w:abstractNum>
  <w:abstractNum w:abstractNumId="1">
    <w:nsid w:val="6915BD43"/>
    <w:multiLevelType w:val="singleLevel"/>
    <w:tmpl w:val="6915BD43"/>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8864D5"/>
    <w:rsid w:val="07996F6E"/>
    <w:rsid w:val="07DFD8BA"/>
    <w:rsid w:val="09867E8F"/>
    <w:rsid w:val="0A2032A3"/>
    <w:rsid w:val="0A4525A2"/>
    <w:rsid w:val="0A782F07"/>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41020C"/>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42274B"/>
    <w:rsid w:val="2BFF7BC6"/>
    <w:rsid w:val="2C8A61B5"/>
    <w:rsid w:val="2DF04E50"/>
    <w:rsid w:val="2E586DFA"/>
    <w:rsid w:val="2E5B582C"/>
    <w:rsid w:val="2F040D46"/>
    <w:rsid w:val="2F6B035B"/>
    <w:rsid w:val="2FAE5751"/>
    <w:rsid w:val="2FB1A395"/>
    <w:rsid w:val="2FD9A7D8"/>
    <w:rsid w:val="2FDBF714"/>
    <w:rsid w:val="30AB6865"/>
    <w:rsid w:val="319F7F4E"/>
    <w:rsid w:val="32BD1EF1"/>
    <w:rsid w:val="3304709D"/>
    <w:rsid w:val="336C2ED2"/>
    <w:rsid w:val="33A773CB"/>
    <w:rsid w:val="349D6851"/>
    <w:rsid w:val="35BE7A8E"/>
    <w:rsid w:val="36AA5135"/>
    <w:rsid w:val="36BE0DA7"/>
    <w:rsid w:val="376B6AA6"/>
    <w:rsid w:val="376D39B2"/>
    <w:rsid w:val="37E16F03"/>
    <w:rsid w:val="37F53A3B"/>
    <w:rsid w:val="389B6C89"/>
    <w:rsid w:val="38D469F0"/>
    <w:rsid w:val="39627CCD"/>
    <w:rsid w:val="397BAF1F"/>
    <w:rsid w:val="3AB79AF3"/>
    <w:rsid w:val="3AC30C17"/>
    <w:rsid w:val="3AE834C0"/>
    <w:rsid w:val="3B7EF35A"/>
    <w:rsid w:val="3B9FDB6C"/>
    <w:rsid w:val="3BF5BC2F"/>
    <w:rsid w:val="3CEBA265"/>
    <w:rsid w:val="3D98207C"/>
    <w:rsid w:val="3DEE7CF3"/>
    <w:rsid w:val="3E1E40DF"/>
    <w:rsid w:val="3E740A63"/>
    <w:rsid w:val="3E78745D"/>
    <w:rsid w:val="3EE17838"/>
    <w:rsid w:val="3F55381A"/>
    <w:rsid w:val="3F7F7599"/>
    <w:rsid w:val="3FF4CAE0"/>
    <w:rsid w:val="3FF7B227"/>
    <w:rsid w:val="44E268DA"/>
    <w:rsid w:val="450D13D7"/>
    <w:rsid w:val="45506656"/>
    <w:rsid w:val="486A6C7A"/>
    <w:rsid w:val="4A3178E5"/>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CED16D1"/>
    <w:rsid w:val="5D1F11B5"/>
    <w:rsid w:val="5D695134"/>
    <w:rsid w:val="5DAE1B18"/>
    <w:rsid w:val="5DE7D9E5"/>
    <w:rsid w:val="5ECEC941"/>
    <w:rsid w:val="5FBF9FF3"/>
    <w:rsid w:val="5FCD4E2C"/>
    <w:rsid w:val="5FE532A2"/>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1F7639A"/>
    <w:rsid w:val="7205210D"/>
    <w:rsid w:val="72233669"/>
    <w:rsid w:val="72734D90"/>
    <w:rsid w:val="73160E6D"/>
    <w:rsid w:val="7332FE48"/>
    <w:rsid w:val="73AB61DA"/>
    <w:rsid w:val="73AD73D5"/>
    <w:rsid w:val="73B6EB34"/>
    <w:rsid w:val="73FA497D"/>
    <w:rsid w:val="744731E5"/>
    <w:rsid w:val="74BBD01D"/>
    <w:rsid w:val="74ED5379"/>
    <w:rsid w:val="75DEEEC2"/>
    <w:rsid w:val="75E32345"/>
    <w:rsid w:val="76847137"/>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191C86"/>
    <w:rsid w:val="7B291B14"/>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uiPriority w:val="0"/>
    <w:pPr>
      <w:ind w:left="400" w:leftChars="200" w:hanging="200" w:hangingChars="200"/>
    </w:p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6">
    <w:name w:val="15"/>
    <w:basedOn w:val="17"/>
    <w:qFormat/>
    <w:uiPriority w:val="0"/>
    <w:rPr>
      <w:rFonts w:ascii="Times New Roman" w:hAnsi="Times New Roman"/>
      <w:b/>
      <w:bC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6622</Words>
  <Characters>7575</Characters>
  <Lines>61</Lines>
  <Paragraphs>17</Paragraphs>
  <TotalTime>65</TotalTime>
  <ScaleCrop>false</ScaleCrop>
  <LinksUpToDate>false</LinksUpToDate>
  <CharactersWithSpaces>7599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奕夕^_^</cp:lastModifiedBy>
  <cp:lastPrinted>2025-08-06T17:34:00Z</cp:lastPrinted>
  <dcterms:modified xsi:type="dcterms:W3CDTF">2025-10-17T07:51:15Z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CF70B6D4DE5E493AB6E12EB34BEB9A83_13</vt:lpwstr>
  </property>
  <property fmtid="{D5CDD505-2E9C-101B-9397-08002B2CF9AE}" pid="4" name="KSOTemplateDocerSaveRecord">
    <vt:lpwstr>eyJoZGlkIjoiNTU1MWNhN2ZmY2ZhZmY3ODhlYTg0MWU5OGMyY2QwZmUiLCJ1c2VySWQiOiI0MzQ2NTM0NzEifQ==</vt:lpwstr>
  </property>
</Properties>
</file>