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autoSpaceDE/>
        <w:autoSpaceDN/>
        <w:spacing w:before="0" w:after="160" w:line="240" w:lineRule="auto"/>
        <w:ind w:right="0"/>
        <w:jc w:val="both"/>
        <w:rPr>
          <w:rFonts w:hint="default" w:ascii="黑体" w:hAnsi="黑体" w:eastAsia="黑体"/>
          <w:color w:val="auto"/>
          <w:spacing w:val="-6"/>
          <w:position w:val="0"/>
          <w:sz w:val="32"/>
          <w:szCs w:val="32"/>
        </w:rPr>
      </w:pPr>
      <w:r>
        <w:rPr>
          <w:rFonts w:hint="default" w:ascii="黑体" w:hAnsi="黑体" w:eastAsia="黑体"/>
          <w:color w:val="auto"/>
          <w:spacing w:val="-6"/>
          <w:position w:val="0"/>
          <w:sz w:val="32"/>
          <w:szCs w:val="32"/>
        </w:rPr>
        <w:t>附件1</w:t>
      </w:r>
    </w:p>
    <w:tbl>
      <w:tblPr>
        <w:tblStyle w:val="28"/>
        <w:tblpPr w:leftFromText="180" w:rightFromText="180" w:vertAnchor="text" w:horzAnchor="page" w:tblpX="1479" w:tblpY="766"/>
        <w:tblOverlap w:val="never"/>
        <w:tblW w:w="13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6"/>
        <w:gridCol w:w="2178"/>
        <w:gridCol w:w="1770"/>
        <w:gridCol w:w="1800"/>
        <w:gridCol w:w="870"/>
        <w:gridCol w:w="645"/>
        <w:gridCol w:w="915"/>
        <w:gridCol w:w="178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13474"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trPr>
        <w:tc>
          <w:tcPr>
            <w:tcW w:w="13474"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6</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8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4215"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8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17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77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7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64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91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178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265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0"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21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1"/>
                <w:szCs w:val="21"/>
                <w:u w:val="none"/>
                <w:lang w:val="en-US" w:eastAsia="zh-CN"/>
              </w:rPr>
              <w:t>115132240089272228</w:t>
            </w:r>
          </w:p>
        </w:tc>
        <w:tc>
          <w:tcPr>
            <w:tcW w:w="177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eastAsia="zh-CN"/>
              </w:rPr>
            </w:pPr>
            <w:r>
              <w:rPr>
                <w:rFonts w:hint="eastAsia" w:ascii="宋体" w:hAnsi="宋体" w:eastAsia="宋体"/>
                <w:i w:val="0"/>
                <w:color w:val="000000"/>
                <w:position w:val="0"/>
                <w:sz w:val="24"/>
                <w:szCs w:val="24"/>
                <w:u w:val="none"/>
                <w:lang w:eastAsia="zh-CN"/>
              </w:rPr>
              <w:t>松潘县林业和草原局</w:t>
            </w:r>
          </w:p>
        </w:tc>
        <w:tc>
          <w:tcPr>
            <w:tcW w:w="87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64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91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178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21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660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87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64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91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178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trPr>
        <w:tc>
          <w:tcPr>
            <w:tcW w:w="13474"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28"/>
        <w:tblpPr w:leftFromText="180" w:rightFromText="180" w:vertAnchor="text" w:horzAnchor="page" w:tblpX="1436" w:tblpY="16"/>
        <w:tblOverlap w:val="never"/>
        <w:tblW w:w="13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806"/>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 xml:space="preserve">年  </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6</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7256"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6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罚款</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115132240089272228</w:t>
            </w: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eastAsia="zh-CN"/>
              </w:rPr>
            </w:pPr>
            <w:r>
              <w:rPr>
                <w:rFonts w:hint="eastAsia" w:ascii="宋体" w:hAnsi="宋体" w:eastAsia="宋体"/>
                <w:i w:val="0"/>
                <w:color w:val="000000"/>
                <w:position w:val="0"/>
                <w:sz w:val="24"/>
                <w:szCs w:val="24"/>
                <w:u w:val="none"/>
                <w:lang w:eastAsia="zh-CN"/>
              </w:rPr>
              <w:t>松潘县林业和草原局</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26</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40.515</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12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26</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40.515</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6" w:type="first"/>
          <w:headerReference r:id="rId3" w:type="default"/>
          <w:footerReference r:id="rId4" w:type="default"/>
          <w:footerReference r:id="rId5"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28"/>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 xml:space="preserve">年  </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6</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115132240089272228</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eastAsia="zh-CN"/>
              </w:rPr>
            </w:pPr>
            <w:r>
              <w:rPr>
                <w:rFonts w:hint="eastAsia" w:ascii="宋体" w:hAnsi="宋体" w:eastAsia="宋体"/>
                <w:i w:val="0"/>
                <w:color w:val="000000"/>
                <w:position w:val="0"/>
                <w:sz w:val="22"/>
                <w:szCs w:val="22"/>
                <w:u w:val="none"/>
                <w:lang w:eastAsia="zh-CN"/>
              </w:rPr>
              <w:t>松潘县林业和草原局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28"/>
        <w:tblpPr w:leftFromText="180" w:rightFromText="180" w:vertAnchor="text" w:horzAnchor="page" w:tblpX="1341" w:tblpY="325"/>
        <w:tblOverlap w:val="never"/>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8"/>
        <w:gridCol w:w="1527"/>
        <w:gridCol w:w="2991"/>
        <w:gridCol w:w="3877"/>
        <w:gridCol w:w="4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 xml:space="preserve">年 </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6</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115132240089272228</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eastAsia="zh-CN"/>
              </w:rPr>
            </w:pPr>
            <w:r>
              <w:rPr>
                <w:rFonts w:hint="eastAsia" w:ascii="宋体" w:hAnsi="宋体" w:eastAsia="宋体"/>
                <w:i w:val="0"/>
                <w:color w:val="000000"/>
                <w:position w:val="0"/>
                <w:sz w:val="24"/>
                <w:szCs w:val="24"/>
                <w:u w:val="none"/>
                <w:lang w:eastAsia="zh-CN"/>
              </w:rPr>
              <w:t>松潘县林业和草原局</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17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0"/>
        <w:jc w:val="left"/>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640"/>
        <w:jc w:val="left"/>
        <w:rPr>
          <w:rFonts w:hint="default" w:ascii="黑体" w:hAnsi="黑体" w:eastAsia="黑体"/>
          <w:color w:val="auto"/>
          <w:position w:val="0"/>
          <w:sz w:val="32"/>
          <w:szCs w:val="32"/>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附件2</w:t>
      </w: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eastAsia="zh-CN"/>
        </w:rPr>
        <w:t>松潘县司法局</w:t>
      </w:r>
      <w:bookmarkStart w:id="0" w:name="_GoBack"/>
      <w:bookmarkEnd w:id="0"/>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eastAsia" w:ascii="仿宋_GB2312" w:hAnsi="仿宋_GB2312" w:eastAsia="仿宋_GB2312"/>
          <w:color w:val="auto"/>
          <w:position w:val="0"/>
          <w:sz w:val="32"/>
          <w:szCs w:val="32"/>
          <w:u w:val="none"/>
          <w:lang w:eastAsia="zh-CN"/>
        </w:rPr>
        <w:t>松潘县林业和草原局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2021</w:t>
      </w:r>
      <w:r>
        <w:rPr>
          <w:rFonts w:hint="default" w:ascii="仿宋_GB2312" w:hAnsi="仿宋_GB2312" w:eastAsia="仿宋_GB2312"/>
          <w:color w:val="auto"/>
          <w:position w:val="0"/>
          <w:sz w:val="32"/>
          <w:szCs w:val="32"/>
          <w:u w:val="single"/>
        </w:rPr>
        <w:t xml:space="preserve">年 </w:t>
      </w:r>
      <w:r>
        <w:rPr>
          <w:rFonts w:hint="eastAsia" w:ascii="仿宋_GB2312" w:hAnsi="仿宋_GB2312" w:eastAsia="仿宋_GB2312"/>
          <w:color w:val="auto"/>
          <w:position w:val="0"/>
          <w:sz w:val="32"/>
          <w:szCs w:val="32"/>
          <w:u w:val="single"/>
          <w:lang w:val="en-US" w:eastAsia="zh-CN"/>
        </w:rPr>
        <w:t>1</w:t>
      </w:r>
      <w:r>
        <w:rPr>
          <w:rFonts w:hint="default" w:ascii="仿宋_GB2312" w:hAnsi="仿宋_GB2312" w:eastAsia="仿宋_GB2312"/>
          <w:color w:val="auto"/>
          <w:position w:val="0"/>
          <w:sz w:val="32"/>
          <w:szCs w:val="32"/>
          <w:u w:val="single"/>
        </w:rPr>
        <w:t xml:space="preserve">  月  </w:t>
      </w:r>
      <w:r>
        <w:rPr>
          <w:rFonts w:hint="eastAsia" w:ascii="仿宋_GB2312" w:hAnsi="仿宋_GB2312" w:eastAsia="仿宋_GB2312"/>
          <w:color w:val="auto"/>
          <w:position w:val="0"/>
          <w:sz w:val="32"/>
          <w:szCs w:val="32"/>
          <w:u w:val="single"/>
          <w:lang w:val="en-US" w:eastAsia="zh-CN"/>
        </w:rPr>
        <w:t>7</w:t>
      </w:r>
      <w:r>
        <w:rPr>
          <w:rFonts w:hint="default" w:ascii="仿宋_GB2312" w:hAnsi="仿宋_GB2312" w:eastAsia="仿宋_GB2312"/>
          <w:color w:val="auto"/>
          <w:position w:val="0"/>
          <w:sz w:val="32"/>
          <w:szCs w:val="32"/>
          <w:u w:val="single"/>
        </w:rPr>
        <w:t xml:space="preserve"> 日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eastAsia" w:ascii="仿宋_GB2312" w:hAnsi="仿宋_GB2312" w:eastAsia="仿宋_GB2312"/>
          <w:color w:val="auto"/>
          <w:position w:val="0"/>
          <w:sz w:val="32"/>
          <w:szCs w:val="32"/>
          <w:u w:val="single"/>
          <w:lang w:eastAsia="zh-CN"/>
        </w:rPr>
        <w:t>松潘</w:t>
      </w:r>
      <w:r>
        <w:rPr>
          <w:rFonts w:hint="default" w:ascii="仿宋_GB2312" w:hAnsi="仿宋_GB2312" w:eastAsia="仿宋_GB2312"/>
          <w:color w:val="auto"/>
          <w:position w:val="0"/>
          <w:sz w:val="32"/>
          <w:szCs w:val="32"/>
          <w:u w:val="single"/>
        </w:rPr>
        <w:t>县人民政府网站行政执法公示专栏 （网址：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eastAsia" w:ascii="仿宋_GB2312" w:hAnsi="仿宋_GB2312" w:eastAsia="仿宋_GB2312"/>
          <w:color w:val="auto"/>
          <w:position w:val="0"/>
          <w:sz w:val="32"/>
          <w:szCs w:val="32"/>
          <w:u w:val="single"/>
          <w:lang w:eastAsia="zh-CN"/>
        </w:rPr>
        <w:t>2020</w:t>
      </w:r>
      <w:r>
        <w:rPr>
          <w:rFonts w:hint="default" w:ascii="仿宋_GB2312" w:hAnsi="仿宋_GB2312" w:eastAsia="仿宋_GB2312"/>
          <w:color w:val="auto"/>
          <w:position w:val="0"/>
          <w:sz w:val="32"/>
          <w:szCs w:val="32"/>
          <w:u w:val="single"/>
        </w:rPr>
        <w:t>年度本机关实施行政许可、行政处罚、行政强制和行政检查的情况</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eastAsia" w:ascii="仿宋_GB2312" w:hAnsi="仿宋_GB2312" w:eastAsia="仿宋_GB2312"/>
          <w:color w:val="auto"/>
          <w:position w:val="0"/>
          <w:sz w:val="32"/>
          <w:szCs w:val="32"/>
          <w:lang w:eastAsia="zh-CN"/>
        </w:rPr>
        <w:t>2020</w:t>
      </w:r>
      <w:r>
        <w:rPr>
          <w:rFonts w:hint="default" w:ascii="仿宋_GB2312" w:hAnsi="仿宋_GB2312" w:eastAsia="仿宋_GB2312"/>
          <w:color w:val="auto"/>
          <w:position w:val="0"/>
          <w:sz w:val="32"/>
          <w:szCs w:val="32"/>
        </w:rPr>
        <w:t>年度行政许可、行政处罚、行政强制、行政检查实施情况统计表</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报备机关（盖章）：</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r>
        <w:rPr>
          <w:rFonts w:hint="eastAsia" w:ascii="仿宋_GB2312" w:hAnsi="仿宋_GB2312" w:eastAsia="仿宋_GB2312"/>
          <w:color w:val="auto"/>
          <w:position w:val="0"/>
          <w:sz w:val="32"/>
          <w:szCs w:val="32"/>
          <w:u w:val="none"/>
          <w:lang w:val="en-US" w:eastAsia="zh-CN"/>
        </w:rPr>
        <w:t>2021</w:t>
      </w:r>
      <w:r>
        <w:rPr>
          <w:rFonts w:hint="default" w:ascii="仿宋_GB2312" w:hAnsi="仿宋_GB2312" w:eastAsia="仿宋_GB2312"/>
          <w:color w:val="auto"/>
          <w:position w:val="0"/>
          <w:sz w:val="32"/>
          <w:szCs w:val="32"/>
          <w:u w:val="none"/>
        </w:rPr>
        <w:t xml:space="preserve"> 年</w:t>
      </w:r>
      <w:r>
        <w:rPr>
          <w:rFonts w:hint="eastAsia" w:ascii="仿宋_GB2312" w:hAnsi="仿宋_GB2312" w:eastAsia="仿宋_GB2312"/>
          <w:color w:val="auto"/>
          <w:position w:val="0"/>
          <w:sz w:val="32"/>
          <w:szCs w:val="32"/>
          <w:u w:val="none"/>
          <w:lang w:val="en-US" w:eastAsia="zh-CN"/>
        </w:rPr>
        <w:t>1</w:t>
      </w:r>
      <w:r>
        <w:rPr>
          <w:rFonts w:hint="default" w:ascii="仿宋_GB2312" w:hAnsi="仿宋_GB2312" w:eastAsia="仿宋_GB2312"/>
          <w:color w:val="auto"/>
          <w:position w:val="0"/>
          <w:sz w:val="32"/>
          <w:szCs w:val="32"/>
          <w:u w:val="none"/>
        </w:rPr>
        <w:t xml:space="preserve"> 月 </w:t>
      </w:r>
      <w:r>
        <w:rPr>
          <w:rFonts w:hint="eastAsia" w:ascii="仿宋_GB2312" w:hAnsi="仿宋_GB2312" w:eastAsia="仿宋_GB2312"/>
          <w:color w:val="auto"/>
          <w:position w:val="0"/>
          <w:sz w:val="32"/>
          <w:szCs w:val="32"/>
          <w:u w:val="none"/>
          <w:lang w:val="en-US" w:eastAsia="zh-CN"/>
        </w:rPr>
        <w:t>6</w:t>
      </w:r>
      <w:r>
        <w:rPr>
          <w:rFonts w:hint="default" w:ascii="仿宋_GB2312" w:hAnsi="仿宋_GB2312" w:eastAsia="仿宋_GB2312"/>
          <w:color w:val="auto"/>
          <w:position w:val="0"/>
          <w:sz w:val="32"/>
          <w:szCs w:val="32"/>
          <w:u w:val="none"/>
        </w:rPr>
        <w:t xml:space="preserve"> 日</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（联系人：</w:t>
      </w:r>
      <w:r>
        <w:rPr>
          <w:rFonts w:hint="eastAsia" w:ascii="仿宋_GB2312" w:hAnsi="仿宋_GB2312" w:eastAsia="仿宋_GB2312"/>
          <w:color w:val="auto"/>
          <w:position w:val="0"/>
          <w:sz w:val="32"/>
          <w:szCs w:val="32"/>
          <w:u w:val="none"/>
          <w:lang w:eastAsia="zh-CN"/>
        </w:rPr>
        <w:t>何梦</w:t>
      </w:r>
      <w:r>
        <w:rPr>
          <w:rFonts w:hint="default" w:ascii="仿宋_GB2312" w:hAnsi="仿宋_GB2312" w:eastAsia="仿宋_GB2312"/>
          <w:color w:val="auto"/>
          <w:position w:val="0"/>
          <w:sz w:val="32"/>
          <w:szCs w:val="32"/>
          <w:u w:val="none"/>
        </w:rPr>
        <w:t xml:space="preserve">          电话：</w:t>
      </w:r>
      <w:r>
        <w:rPr>
          <w:rFonts w:hint="eastAsia" w:ascii="仿宋_GB2312" w:hAnsi="仿宋_GB2312" w:eastAsia="仿宋_GB2312"/>
          <w:color w:val="auto"/>
          <w:position w:val="0"/>
          <w:sz w:val="32"/>
          <w:szCs w:val="32"/>
          <w:u w:val="none"/>
          <w:lang w:val="en-US" w:eastAsia="zh-CN"/>
        </w:rPr>
        <w:t>7232609</w:t>
      </w:r>
      <w:r>
        <w:rPr>
          <w:rFonts w:hint="default" w:ascii="仿宋_GB2312" w:hAnsi="仿宋_GB2312" w:eastAsia="仿宋_GB2312"/>
          <w:color w:val="auto"/>
          <w:position w:val="0"/>
          <w:sz w:val="32"/>
          <w:szCs w:val="32"/>
          <w:u w:val="none"/>
        </w:rPr>
        <w:t xml:space="preserve">     ）</w:t>
      </w: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附件3</w:t>
      </w:r>
    </w:p>
    <w:tbl>
      <w:tblPr>
        <w:tblStyle w:val="28"/>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170"/>
        <w:gridCol w:w="795"/>
        <w:gridCol w:w="795"/>
        <w:gridCol w:w="795"/>
        <w:gridCol w:w="795"/>
        <w:gridCol w:w="555"/>
        <w:gridCol w:w="765"/>
        <w:gridCol w:w="540"/>
        <w:gridCol w:w="420"/>
        <w:gridCol w:w="795"/>
        <w:gridCol w:w="795"/>
        <w:gridCol w:w="615"/>
        <w:gridCol w:w="630"/>
        <w:gridCol w:w="585"/>
        <w:gridCol w:w="600"/>
        <w:gridCol w:w="630"/>
        <w:gridCol w:w="615"/>
        <w:gridCol w:w="690"/>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4775"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eastAsia" w:ascii="方正小标宋简体" w:hAnsi="方正小标宋简体" w:eastAsia="方正小标宋简体"/>
                <w:i w:val="0"/>
                <w:color w:val="000000"/>
                <w:position w:val="0"/>
                <w:sz w:val="32"/>
                <w:szCs w:val="32"/>
                <w:u w:val="none"/>
                <w:lang w:eastAsia="zh-CN"/>
              </w:rPr>
              <w:t>2020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6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4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42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8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州级行政执法部门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县级政府和部门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405150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乡镇政府</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填表单位：（盖章）               填表人：</w:t>
            </w:r>
            <w:r>
              <w:rPr>
                <w:rFonts w:hint="eastAsia" w:ascii="宋体" w:hAnsi="宋体" w:eastAsia="宋体"/>
                <w:i w:val="0"/>
                <w:color w:val="000000"/>
                <w:position w:val="0"/>
                <w:sz w:val="24"/>
                <w:szCs w:val="24"/>
                <w:u w:val="none"/>
                <w:lang w:eastAsia="zh-CN"/>
              </w:rPr>
              <w:t>何梦</w:t>
            </w:r>
            <w:r>
              <w:rPr>
                <w:rFonts w:hint="default" w:ascii="宋体" w:hAnsi="宋体" w:eastAsia="宋体"/>
                <w:i w:val="0"/>
                <w:color w:val="000000"/>
                <w:position w:val="0"/>
                <w:sz w:val="24"/>
                <w:szCs w:val="24"/>
                <w:u w:val="none"/>
              </w:rPr>
              <w:t xml:space="preserve">     审核人：          电话：</w:t>
            </w:r>
            <w:r>
              <w:rPr>
                <w:rFonts w:hint="eastAsia" w:ascii="宋体" w:hAnsi="宋体" w:eastAsia="宋体"/>
                <w:i w:val="0"/>
                <w:color w:val="000000"/>
                <w:position w:val="0"/>
                <w:sz w:val="24"/>
                <w:szCs w:val="24"/>
                <w:u w:val="none"/>
                <w:lang w:val="en-US" w:eastAsia="zh-CN"/>
              </w:rPr>
              <w:t>7232609</w:t>
            </w:r>
            <w:r>
              <w:rPr>
                <w:rFonts w:hint="default" w:ascii="宋体" w:hAnsi="宋体" w:eastAsia="宋体"/>
                <w:i w:val="0"/>
                <w:color w:val="000000"/>
                <w:position w:val="0"/>
                <w:sz w:val="24"/>
                <w:szCs w:val="24"/>
                <w:u w:val="none"/>
              </w:rPr>
              <w:t xml:space="preserve">  填表日期：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6</w:t>
            </w:r>
            <w:r>
              <w:rPr>
                <w:rFonts w:hint="default" w:ascii="宋体" w:hAnsi="宋体" w:eastAsia="宋体"/>
                <w:i w:val="0"/>
                <w:color w:val="000000"/>
                <w:position w:val="0"/>
                <w:sz w:val="24"/>
                <w:szCs w:val="24"/>
                <w:u w:val="none"/>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Fonts w:hint="default" w:ascii="宋体" w:hAnsi="宋体" w:eastAsia="宋体"/>
                <w:i w:val="0"/>
                <w:color w:val="000000"/>
                <w:position w:val="0"/>
                <w:sz w:val="28"/>
                <w:szCs w:val="28"/>
                <w:u w:val="none"/>
              </w:rPr>
              <w:t xml:space="preserve">                                        </w:t>
            </w:r>
          </w:p>
          <w:p>
            <w:pPr>
              <w:pageBreakBefore w:val="0"/>
              <w:numPr>
                <w:ilvl w:val="0"/>
                <w:numId w:val="0"/>
              </w:numPr>
              <w:autoSpaceDE/>
              <w:autoSpaceDN/>
              <w:bidi w:val="0"/>
              <w:snapToGrid/>
              <w:spacing w:before="0" w:after="160" w:line="240" w:lineRule="auto"/>
              <w:ind w:right="0" w:firstLine="0"/>
              <w:jc w:val="both"/>
              <w:rPr>
                <w:rFonts w:hint="default" w:ascii="宋体" w:hAnsi="宋体" w:eastAsia="宋体"/>
                <w:i w:val="0"/>
                <w:color w:val="000000"/>
                <w:position w:val="0"/>
                <w:sz w:val="28"/>
                <w:szCs w:val="28"/>
                <w:u w:val="none"/>
              </w:rPr>
            </w:pPr>
            <w:r>
              <w:rPr>
                <w:rStyle w:val="50"/>
                <w:rFonts w:hint="default" w:ascii="方正小标宋简体" w:hAnsi="方正小标宋简体" w:eastAsia="方正小标宋简体"/>
                <w:color w:val="000000"/>
                <w:position w:val="0"/>
                <w:sz w:val="28"/>
                <w:szCs w:val="28"/>
                <w:u w:val="none"/>
              </w:rPr>
              <w:t>说明</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3.“纠错案件”包括通知自行纠正、撤销和责令限期重新作出。</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bottom w:val="none" w:color="000000" w:sz="0" w:space="0"/>
      </w:pBdr>
      <w:autoSpaceDE/>
      <w:autoSpaceDN/>
      <w:snapToGrid w:val="0"/>
      <w:spacing w:before="0" w:after="160" w:line="240" w:lineRule="auto"/>
      <w:ind w:right="0" w:firstLine="0"/>
      <w:jc w:val="center"/>
      <w:rPr>
        <w:rFonts w:hint="default" w:ascii="Calibri" w:hAnsi="黑体" w:eastAsia="黑体"/>
        <w:color w:val="auto"/>
        <w:positio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evenAndOddHeaders w:val="1"/>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8D6F1E"/>
    <w:rsid w:val="01553E7A"/>
    <w:rsid w:val="018F2478"/>
    <w:rsid w:val="094055F3"/>
    <w:rsid w:val="0ED31F9F"/>
    <w:rsid w:val="100D2E50"/>
    <w:rsid w:val="10FC18D2"/>
    <w:rsid w:val="198429F3"/>
    <w:rsid w:val="2CA469BB"/>
    <w:rsid w:val="32F64CB7"/>
    <w:rsid w:val="340C3DAB"/>
    <w:rsid w:val="3FA92DB4"/>
    <w:rsid w:val="453145F0"/>
    <w:rsid w:val="465F713D"/>
    <w:rsid w:val="4F3E1C75"/>
    <w:rsid w:val="597E6633"/>
    <w:rsid w:val="59905C2F"/>
    <w:rsid w:val="5F043B8F"/>
    <w:rsid w:val="5F3D5DB3"/>
    <w:rsid w:val="615A2AD5"/>
    <w:rsid w:val="68824071"/>
    <w:rsid w:val="6A5D4332"/>
    <w:rsid w:val="6A991E32"/>
    <w:rsid w:val="6C1C7B94"/>
    <w:rsid w:val="6CB72E52"/>
    <w:rsid w:val="6EB2794D"/>
    <w:rsid w:val="72077121"/>
    <w:rsid w:val="75BE0755"/>
    <w:rsid w:val="7E76147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7"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15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152"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8"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6"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3"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imes New Roman"/>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imes New Roman"/>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29">
    <w:name w:val="Default Paragraph Font"/>
    <w:semiHidden/>
    <w:unhideWhenUsed/>
    <w:qFormat/>
    <w:uiPriority w:val="2"/>
  </w:style>
  <w:style w:type="table" w:default="1" w:styleId="28">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2">
    <w:name w:val="Body Text"/>
    <w:basedOn w:val="1"/>
    <w:link w:val="48"/>
    <w:qFormat/>
    <w:uiPriority w:val="151"/>
    <w:pPr>
      <w:widowControl/>
      <w:wordWrap/>
      <w:autoSpaceDE/>
      <w:autoSpaceDN/>
      <w:ind w:right="34" w:firstLine="0"/>
      <w:jc w:val="center"/>
    </w:pPr>
    <w:rPr>
      <w:rFonts w:ascii="宋体" w:hAnsi="宋体" w:eastAsia="Times New Roman"/>
      <w:b/>
      <w:spacing w:val="-10"/>
      <w:w w:val="100"/>
      <w:sz w:val="18"/>
      <w:szCs w:val="18"/>
      <w:shd w:val="clear"/>
    </w:rPr>
  </w:style>
  <w:style w:type="paragraph" w:styleId="13">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6">
    <w:name w:val="Date"/>
    <w:basedOn w:val="1"/>
    <w:next w:val="1"/>
    <w:link w:val="49"/>
    <w:unhideWhenUsed/>
    <w:qFormat/>
    <w:uiPriority w:val="152"/>
    <w:pPr>
      <w:widowControl/>
      <w:wordWrap/>
      <w:autoSpaceDE/>
      <w:autoSpaceDN/>
      <w:ind w:left="100" w:firstLine="0"/>
    </w:pPr>
  </w:style>
  <w:style w:type="paragraph" w:styleId="17">
    <w:name w:val="Balloon Text"/>
    <w:basedOn w:val="1"/>
    <w:link w:val="47"/>
    <w:unhideWhenUsed/>
    <w:qFormat/>
    <w:uiPriority w:val="153"/>
    <w:rPr>
      <w:w w:val="100"/>
      <w:sz w:val="18"/>
      <w:szCs w:val="18"/>
      <w:shd w:val="clear"/>
    </w:rPr>
  </w:style>
  <w:style w:type="paragraph" w:styleId="18">
    <w:name w:val="footer"/>
    <w:basedOn w:val="1"/>
    <w:link w:val="46"/>
    <w:unhideWhenUsed/>
    <w:qFormat/>
    <w:uiPriority w:val="154"/>
    <w:pPr>
      <w:widowControl/>
      <w:tabs>
        <w:tab w:val="center" w:pos="4153"/>
        <w:tab w:val="right" w:pos="8306"/>
      </w:tabs>
      <w:wordWrap/>
      <w:autoSpaceDE/>
      <w:autoSpaceDN/>
    </w:pPr>
    <w:rPr>
      <w:w w:val="100"/>
      <w:sz w:val="18"/>
      <w:szCs w:val="18"/>
      <w:shd w:val="clear"/>
    </w:rPr>
  </w:style>
  <w:style w:type="paragraph" w:styleId="19">
    <w:name w:val="header"/>
    <w:basedOn w:val="1"/>
    <w:link w:val="45"/>
    <w:unhideWhenUsed/>
    <w:qFormat/>
    <w:uiPriority w:val="155"/>
    <w:pPr>
      <w:widowControl/>
      <w:tabs>
        <w:tab w:val="center" w:pos="4153"/>
        <w:tab w:val="right" w:pos="8306"/>
      </w:tabs>
      <w:wordWrap/>
      <w:autoSpaceDE/>
      <w:autoSpaceDN/>
      <w:jc w:val="center"/>
    </w:pPr>
    <w:rPr>
      <w:w w:val="100"/>
      <w:sz w:val="18"/>
      <w:szCs w:val="18"/>
      <w:shd w:val="clear"/>
    </w:rPr>
  </w:style>
  <w:style w:type="paragraph" w:styleId="20">
    <w:name w:val="toc 1"/>
    <w:next w:val="1"/>
    <w:unhideWhenUsed/>
    <w:qFormat/>
    <w:uiPriority w:val="28"/>
    <w:pPr>
      <w:widowControl/>
      <w:wordWrap/>
      <w:autoSpaceDE/>
      <w:autoSpaceDN/>
      <w:jc w:val="both"/>
    </w:pPr>
    <w:rPr>
      <w:rFonts w:ascii="Times New Roman" w:hAnsi="Times New Roman" w:eastAsia="Times New Roman" w:cs="Times New Roman"/>
      <w:w w:val="100"/>
      <w:sz w:val="21"/>
      <w:szCs w:val="21"/>
      <w:shd w:val="clear"/>
    </w:rPr>
  </w:style>
  <w:style w:type="paragraph" w:styleId="21">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22">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23">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4">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5">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6">
    <w:name w:val="Normal (Web)"/>
    <w:basedOn w:val="1"/>
    <w:qFormat/>
    <w:uiPriority w:val="156"/>
    <w:pPr>
      <w:widowControl/>
      <w:wordWrap/>
      <w:autoSpaceDE/>
      <w:autoSpaceDN/>
    </w:pPr>
    <w:rPr>
      <w:rFonts w:ascii="宋体" w:hAnsi="宋体" w:eastAsia="宋体"/>
      <w:w w:val="100"/>
      <w:sz w:val="24"/>
      <w:szCs w:val="24"/>
      <w:shd w:val="clear"/>
    </w:rPr>
  </w:style>
  <w:style w:type="paragraph" w:styleId="27">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30">
    <w:name w:val="Strong"/>
    <w:qFormat/>
    <w:uiPriority w:val="20"/>
    <w:rPr>
      <w:b/>
      <w:w w:val="100"/>
      <w:sz w:val="20"/>
      <w:szCs w:val="20"/>
      <w:shd w:val="clear"/>
    </w:rPr>
  </w:style>
  <w:style w:type="character" w:styleId="31">
    <w:name w:val="page number"/>
    <w:basedOn w:val="29"/>
    <w:qFormat/>
    <w:uiPriority w:val="157"/>
  </w:style>
  <w:style w:type="character" w:styleId="32">
    <w:name w:val="Emphasis"/>
    <w:qFormat/>
    <w:uiPriority w:val="18"/>
    <w:rPr>
      <w:i/>
      <w:w w:val="100"/>
      <w:sz w:val="21"/>
      <w:szCs w:val="21"/>
      <w:shd w:val="clear"/>
    </w:rPr>
  </w:style>
  <w:style w:type="character" w:styleId="33">
    <w:name w:val="Hyperlink"/>
    <w:unhideWhenUsed/>
    <w:qFormat/>
    <w:uiPriority w:val="158"/>
    <w:rPr>
      <w:color w:val="0000FF"/>
      <w:w w:val="100"/>
      <w:sz w:val="20"/>
      <w:szCs w:val="20"/>
      <w:u w:val="single"/>
      <w:shd w:val="clear"/>
    </w:rPr>
  </w:style>
  <w:style w:type="paragraph" w:styleId="34">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5">
    <w:name w:val="Subtle Emphasis"/>
    <w:qFormat/>
    <w:uiPriority w:val="17"/>
    <w:rPr>
      <w:i/>
      <w:color w:val="404040"/>
      <w:w w:val="100"/>
      <w:sz w:val="21"/>
      <w:szCs w:val="21"/>
      <w:shd w:val="clear"/>
    </w:rPr>
  </w:style>
  <w:style w:type="character" w:customStyle="1" w:styleId="36">
    <w:name w:val="Intense Emphasis"/>
    <w:qFormat/>
    <w:uiPriority w:val="19"/>
    <w:rPr>
      <w:i/>
      <w:color w:val="5B9BD5"/>
      <w:w w:val="100"/>
      <w:sz w:val="21"/>
      <w:szCs w:val="21"/>
      <w:shd w:val="clear"/>
    </w:rPr>
  </w:style>
  <w:style w:type="paragraph" w:styleId="37">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38">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39">
    <w:name w:val="Subtle Reference"/>
    <w:qFormat/>
    <w:uiPriority w:val="23"/>
    <w:rPr>
      <w:smallCaps/>
      <w:color w:val="5A5A5A"/>
      <w:w w:val="100"/>
      <w:sz w:val="21"/>
      <w:szCs w:val="21"/>
      <w:shd w:val="clear"/>
    </w:rPr>
  </w:style>
  <w:style w:type="character" w:customStyle="1" w:styleId="40">
    <w:name w:val="Intense Reference"/>
    <w:qFormat/>
    <w:uiPriority w:val="24"/>
    <w:rPr>
      <w:b/>
      <w:smallCaps/>
      <w:color w:val="5B9BD5"/>
      <w:w w:val="100"/>
      <w:sz w:val="21"/>
      <w:szCs w:val="21"/>
      <w:shd w:val="clear"/>
    </w:rPr>
  </w:style>
  <w:style w:type="character" w:customStyle="1" w:styleId="41">
    <w:name w:val="Book Title"/>
    <w:qFormat/>
    <w:uiPriority w:val="25"/>
    <w:rPr>
      <w:b/>
      <w:i/>
      <w:w w:val="100"/>
      <w:sz w:val="21"/>
      <w:szCs w:val="21"/>
      <w:shd w:val="clear"/>
    </w:rPr>
  </w:style>
  <w:style w:type="paragraph" w:styleId="42">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3">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paragraph" w:customStyle="1" w:styleId="44">
    <w:name w:val="列出段落1"/>
    <w:basedOn w:val="1"/>
    <w:qFormat/>
    <w:uiPriority w:val="159"/>
    <w:pPr>
      <w:widowControl/>
      <w:wordWrap/>
      <w:autoSpaceDE/>
      <w:autoSpaceDN/>
      <w:ind w:firstLine="420"/>
    </w:pPr>
  </w:style>
  <w:style w:type="character" w:customStyle="1" w:styleId="45">
    <w:name w:val="页眉 Char"/>
    <w:link w:val="19"/>
    <w:qFormat/>
    <w:uiPriority w:val="160"/>
    <w:rPr>
      <w:w w:val="100"/>
      <w:sz w:val="18"/>
      <w:szCs w:val="18"/>
      <w:shd w:val="clear"/>
    </w:rPr>
  </w:style>
  <w:style w:type="character" w:customStyle="1" w:styleId="46">
    <w:name w:val="页脚 Char"/>
    <w:link w:val="18"/>
    <w:qFormat/>
    <w:uiPriority w:val="161"/>
    <w:rPr>
      <w:w w:val="100"/>
      <w:sz w:val="18"/>
      <w:szCs w:val="18"/>
      <w:shd w:val="clear"/>
    </w:rPr>
  </w:style>
  <w:style w:type="character" w:customStyle="1" w:styleId="47">
    <w:name w:val="批注框文本 Char"/>
    <w:link w:val="17"/>
    <w:semiHidden/>
    <w:qFormat/>
    <w:uiPriority w:val="162"/>
    <w:rPr>
      <w:w w:val="100"/>
      <w:sz w:val="18"/>
      <w:szCs w:val="18"/>
      <w:shd w:val="clear"/>
    </w:rPr>
  </w:style>
  <w:style w:type="character" w:customStyle="1" w:styleId="48">
    <w:name w:val="正文文本 Char"/>
    <w:link w:val="12"/>
    <w:qFormat/>
    <w:uiPriority w:val="163"/>
    <w:rPr>
      <w:rFonts w:ascii="宋体" w:hAnsi="宋体" w:eastAsia="Times New Roman"/>
      <w:b/>
      <w:spacing w:val="-10"/>
      <w:w w:val="100"/>
      <w:sz w:val="18"/>
      <w:szCs w:val="18"/>
      <w:shd w:val="clear"/>
    </w:rPr>
  </w:style>
  <w:style w:type="character" w:customStyle="1" w:styleId="49">
    <w:name w:val="日期 Char"/>
    <w:link w:val="16"/>
    <w:semiHidden/>
    <w:qFormat/>
    <w:uiPriority w:val="164"/>
    <w:rPr>
      <w:rFonts w:ascii="Calibri" w:hAnsi="Calibri" w:eastAsia="黑体"/>
      <w:w w:val="100"/>
      <w:sz w:val="21"/>
      <w:szCs w:val="21"/>
      <w:shd w:val="clear"/>
    </w:rPr>
  </w:style>
  <w:style w:type="character" w:customStyle="1" w:styleId="50">
    <w:name w:val="font61"/>
    <w:basedOn w:val="29"/>
    <w:qFormat/>
    <w:uiPriority w:val="165"/>
    <w:rPr>
      <w:rFonts w:ascii="方正小标宋简体" w:hAnsi="方正小标宋简体" w:eastAsia="方正小标宋简体"/>
      <w:color w:val="000000"/>
      <w:w w:val="100"/>
      <w:sz w:val="28"/>
      <w:szCs w:val="28"/>
      <w:u w:val="none"/>
      <w:shd w:val="clear"/>
    </w:rPr>
  </w:style>
  <w:style w:type="character" w:customStyle="1" w:styleId="51">
    <w:name w:val="font71"/>
    <w:basedOn w:val="29"/>
    <w:qFormat/>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13</Pages>
  <Words>311</Words>
  <Characters>0</Characters>
  <Lines>14</Lines>
  <Paragraphs>4</Paragraphs>
  <TotalTime>91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2019-12-18T02:27:00Z</dcterms:created>
  <dc:creator>USER</dc:creator>
  <cp:lastModifiedBy>松潘县林业局</cp:lastModifiedBy>
  <cp:lastPrinted>2021-01-06T03:44:00Z</cp:lastPrinted>
  <dcterms:modified xsi:type="dcterms:W3CDTF">2021-01-06T06:51:25Z</dcterms:modified>
  <dc:title>四川省人民政府法制办公室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