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77425"/>
      <w:bookmarkStart w:id="3" w:name="_Toc15378441"/>
      <w:bookmarkStart w:id="4" w:name="_Toc15377193"/>
      <w:bookmarkStart w:id="5" w:name="_Toc15396597"/>
      <w:r>
        <w:rPr>
          <w:rFonts w:ascii="黑体" w:hAnsi="黑体" w:eastAsia="黑体"/>
          <w:sz w:val="72"/>
          <w:szCs w:val="72"/>
        </w:rPr>
        <w:t>202</w:t>
      </w:r>
      <w:r>
        <w:rPr>
          <w:rFonts w:hint="eastAsia" w:ascii="黑体" w:hAnsi="黑体" w:eastAsia="黑体"/>
          <w:sz w:val="72"/>
          <w:szCs w:val="72"/>
        </w:rPr>
        <w:t>1年度</w:t>
      </w:r>
      <w:bookmarkEnd w:id="1"/>
      <w:bookmarkEnd w:id="2"/>
      <w:bookmarkEnd w:id="3"/>
      <w:bookmarkEnd w:id="4"/>
      <w:bookmarkEnd w:id="5"/>
    </w:p>
    <w:p>
      <w:pPr>
        <w:jc w:val="center"/>
        <w:rPr>
          <w:rFonts w:ascii="方正小标宋简体" w:eastAsia="方正小标宋简体"/>
          <w:sz w:val="72"/>
          <w:szCs w:val="72"/>
        </w:rPr>
      </w:pPr>
      <w:bookmarkStart w:id="6" w:name="_Toc15378442"/>
      <w:bookmarkStart w:id="7" w:name="_Toc15396598"/>
      <w:bookmarkStart w:id="8" w:name="_Toc15396476"/>
      <w:bookmarkStart w:id="9" w:name="_Toc15377426"/>
      <w:bookmarkStart w:id="10" w:name="_Toc15377194"/>
      <w:r>
        <w:rPr>
          <w:rFonts w:hint="eastAsia" w:ascii="方正小标宋简体" w:eastAsia="方正小标宋简体"/>
          <w:sz w:val="72"/>
          <w:szCs w:val="72"/>
        </w:rPr>
        <w:t>松潘县</w:t>
      </w:r>
      <w:bookmarkEnd w:id="0"/>
      <w:bookmarkStart w:id="11" w:name="_Toc15306268"/>
      <w:r>
        <w:rPr>
          <w:rFonts w:hint="eastAsia" w:ascii="方正小标宋简体" w:eastAsia="方正小标宋简体"/>
          <w:sz w:val="72"/>
          <w:szCs w:val="72"/>
        </w:rPr>
        <w:t>白羊乡人民政府</w:t>
      </w:r>
    </w:p>
    <w:p>
      <w:pPr>
        <w:jc w:val="center"/>
        <w:rPr>
          <w:rFonts w:ascii="方正小标宋简体" w:eastAsia="方正小标宋简体"/>
          <w:sz w:val="72"/>
          <w:szCs w:val="72"/>
        </w:rPr>
      </w:pPr>
      <w:r>
        <w:rPr>
          <w:rFonts w:hint="eastAsia" w:ascii="方正小标宋简体" w:eastAsia="方正小标宋简体"/>
          <w:sz w:val="72"/>
          <w:szCs w:val="72"/>
        </w:rPr>
        <w:t>部门决算</w:t>
      </w:r>
      <w:bookmarkEnd w:id="6"/>
      <w:bookmarkEnd w:id="7"/>
      <w:bookmarkEnd w:id="8"/>
      <w:bookmarkEnd w:id="9"/>
      <w:bookmarkEnd w:id="10"/>
      <w:bookmarkEnd w:id="11"/>
      <w:r>
        <w:rPr>
          <w:rFonts w:hint="eastAsia" w:ascii="方正小标宋简体" w:eastAsia="方正小标宋简体"/>
          <w:sz w:val="72"/>
          <w:szCs w:val="72"/>
        </w:rPr>
        <w:t>编制说明</w:t>
      </w:r>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2"/>
        <w:spacing w:before="0" w:after="0" w:line="240" w:lineRule="exact"/>
        <w:jc w:val="center"/>
        <w:rPr>
          <w:rFonts w:ascii="仿宋_GB2312" w:hAnsi="仿宋_GB2312" w:eastAsia="仿宋_GB2312" w:cs="仿宋_GB2312"/>
          <w:b w:val="0"/>
          <w:bCs w:val="0"/>
        </w:rPr>
      </w:pPr>
      <w:r>
        <w:rPr>
          <w:rFonts w:hint="eastAsia" w:ascii="仿宋_GB2312" w:hAnsi="仿宋_GB2312" w:eastAsia="仿宋_GB2312" w:cs="仿宋_GB2312"/>
          <w:b w:val="0"/>
          <w:bCs w:val="0"/>
        </w:rPr>
        <w:t>公开时间：2022年9月23日</w:t>
      </w:r>
    </w:p>
    <w:p>
      <w:pPr>
        <w:pStyle w:val="2"/>
        <w:tabs>
          <w:tab w:val="right" w:leader="dot" w:pos="8306"/>
        </w:tabs>
        <w:spacing w:before="0" w:after="0" w:line="240" w:lineRule="exact"/>
        <w:rPr>
          <w:rFonts w:ascii="仿宋_GB2312" w:hAnsi="仿宋_GB2312" w:eastAsia="仿宋_GB2312" w:cs="仿宋_GB2312"/>
        </w:rPr>
      </w:pPr>
      <w:r>
        <w:rPr>
          <w:rFonts w:hint="eastAsia" w:ascii="仿宋_GB2312" w:hAnsi="仿宋_GB2312" w:eastAsia="仿宋_GB2312" w:cs="仿宋_GB2312"/>
          <w:b w:val="0"/>
          <w:bCs w:val="0"/>
          <w:caps w:val="0"/>
        </w:rPr>
        <w:fldChar w:fldCharType="begin"/>
      </w:r>
      <w:r>
        <w:rPr>
          <w:rFonts w:hint="eastAsia" w:ascii="仿宋_GB2312" w:hAnsi="仿宋_GB2312" w:eastAsia="仿宋_GB2312" w:cs="仿宋_GB2312"/>
          <w:b w:val="0"/>
          <w:bCs w:val="0"/>
          <w:caps w:val="0"/>
        </w:rPr>
        <w:instrText xml:space="preserve"> TOC \o \u </w:instrText>
      </w:r>
      <w:r>
        <w:rPr>
          <w:rFonts w:hint="eastAsia" w:ascii="仿宋_GB2312" w:hAnsi="仿宋_GB2312" w:eastAsia="仿宋_GB2312" w:cs="仿宋_GB2312"/>
          <w:b w:val="0"/>
          <w:bCs w:val="0"/>
          <w:caps w:val="0"/>
        </w:rPr>
        <w:fldChar w:fldCharType="separate"/>
      </w:r>
      <w:r>
        <w:rPr>
          <w:rFonts w:hint="eastAsia" w:ascii="仿宋_GB2312" w:hAnsi="仿宋_GB2312" w:eastAsia="仿宋_GB2312" w:cs="仿宋_GB2312"/>
        </w:rPr>
        <w:t>第一部分</w:t>
      </w:r>
      <w:r>
        <w:rPr>
          <w:rFonts w:hint="eastAsia" w:ascii="仿宋_GB2312" w:hAnsi="仿宋_GB2312" w:eastAsia="仿宋_GB2312" w:cs="仿宋_GB2312"/>
          <w:bCs w:val="0"/>
        </w:rPr>
        <w:t>部门概况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_Toc4238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（一）基</w:t>
      </w:r>
      <w:r>
        <w:rPr>
          <w:rFonts w:hint="eastAsia" w:ascii="仿宋_GB2312" w:hAnsi="仿宋_GB2312" w:eastAsia="仿宋_GB2312" w:cs="仿宋_GB2312"/>
        </w:rPr>
        <w:t>本职能及主要工作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_Toc31678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p>
    <w:p>
      <w:pPr>
        <w:pStyle w:val="10"/>
        <w:tabs>
          <w:tab w:val="right" w:leader="dot" w:pos="8306"/>
        </w:tabs>
        <w:spacing w:line="240" w:lineRule="exact"/>
        <w:ind w:left="0" w:firstLine="200" w:firstLineChars="100"/>
        <w:rPr>
          <w:rFonts w:ascii="仿宋_GB2312" w:hAnsi="仿宋_GB2312" w:eastAsia="仿宋_GB2312" w:cs="仿宋_GB2312"/>
          <w:i w:val="0"/>
          <w:iCs w:val="0"/>
        </w:rPr>
      </w:pPr>
      <w:r>
        <w:rPr>
          <w:rFonts w:hint="eastAsia" w:ascii="仿宋_GB2312" w:hAnsi="仿宋_GB2312" w:eastAsia="仿宋_GB2312" w:cs="仿宋_GB2312"/>
          <w:bCs/>
          <w:i w:val="0"/>
          <w:iCs w:val="0"/>
          <w:color w:val="000000"/>
        </w:rPr>
        <w:t>（二）2021年重点工作完成情况。</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_Toc27236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3</w:t>
      </w:r>
      <w:r>
        <w:rPr>
          <w:rFonts w:hint="eastAsia" w:ascii="仿宋_GB2312" w:hAnsi="仿宋_GB2312" w:eastAsia="仿宋_GB2312" w:cs="仿宋_GB2312"/>
          <w:i w:val="0"/>
          <w:iCs w:val="0"/>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二、机</w:t>
      </w:r>
      <w:r>
        <w:rPr>
          <w:rFonts w:hint="eastAsia" w:ascii="仿宋_GB2312" w:hAnsi="仿宋_GB2312" w:eastAsia="仿宋_GB2312" w:cs="仿宋_GB2312"/>
        </w:rPr>
        <w:t>构设置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_Toc7682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p>
    <w:p>
      <w:pPr>
        <w:pStyle w:val="2"/>
        <w:tabs>
          <w:tab w:val="right" w:leader="dot" w:pos="8306"/>
        </w:tabs>
        <w:spacing w:before="0" w:after="0" w:line="240" w:lineRule="exact"/>
        <w:rPr>
          <w:rFonts w:ascii="仿宋_GB2312" w:hAnsi="仿宋_GB2312" w:eastAsia="仿宋_GB2312" w:cs="仿宋_GB2312"/>
        </w:rPr>
      </w:pPr>
      <w:r>
        <w:rPr>
          <w:rFonts w:hint="eastAsia" w:ascii="仿宋_GB2312" w:hAnsi="仿宋_GB2312" w:eastAsia="仿宋_GB2312" w:cs="仿宋_GB2312"/>
          <w:color w:val="000000"/>
        </w:rPr>
        <w:t>第二部分</w:t>
      </w:r>
      <w:r>
        <w:rPr>
          <w:rFonts w:hint="eastAsia" w:ascii="仿宋_GB2312" w:hAnsi="仿宋_GB2312" w:eastAsia="仿宋_GB2312" w:cs="仿宋_GB2312"/>
          <w:bCs w:val="0"/>
        </w:rPr>
        <w:t>2021年度部门决算情况说明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_Toc22455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color w:val="000000"/>
        </w:rPr>
        <w:t>收</w:t>
      </w:r>
      <w:r>
        <w:rPr>
          <w:rFonts w:hint="eastAsia" w:ascii="仿宋_GB2312" w:hAnsi="仿宋_GB2312" w:eastAsia="仿宋_GB2312" w:cs="仿宋_GB2312"/>
        </w:rPr>
        <w:t>入支出决算总体情况说明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_Toc7870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color w:val="000000"/>
        </w:rPr>
        <w:t>收</w:t>
      </w:r>
      <w:r>
        <w:rPr>
          <w:rFonts w:hint="eastAsia" w:ascii="仿宋_GB2312" w:hAnsi="仿宋_GB2312" w:eastAsia="仿宋_GB2312" w:cs="仿宋_GB2312"/>
        </w:rPr>
        <w:t>入决算情况说明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_Toc10024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三、</w:t>
      </w:r>
      <w:r>
        <w:rPr>
          <w:rFonts w:hint="eastAsia" w:ascii="仿宋_GB2312" w:hAnsi="仿宋_GB2312" w:eastAsia="仿宋_GB2312" w:cs="仿宋_GB2312"/>
          <w:color w:val="000000"/>
        </w:rPr>
        <w:t>支</w:t>
      </w:r>
      <w:r>
        <w:rPr>
          <w:rFonts w:hint="eastAsia" w:ascii="仿宋_GB2312" w:hAnsi="仿宋_GB2312" w:eastAsia="仿宋_GB2312" w:cs="仿宋_GB2312"/>
        </w:rPr>
        <w:t>出决算情况说明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_Toc1949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四、财</w:t>
      </w:r>
      <w:r>
        <w:rPr>
          <w:rFonts w:hint="eastAsia" w:ascii="仿宋_GB2312" w:hAnsi="仿宋_GB2312" w:eastAsia="仿宋_GB2312" w:cs="仿宋_GB2312"/>
        </w:rPr>
        <w:t>政拨款收入支出决算总体情况说明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_Toc659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五、一</w:t>
      </w:r>
      <w:r>
        <w:rPr>
          <w:rFonts w:hint="eastAsia" w:ascii="仿宋_GB2312" w:hAnsi="仿宋_GB2312" w:eastAsia="仿宋_GB2312" w:cs="仿宋_GB2312"/>
        </w:rPr>
        <w:t>般公共预算财政拨款支出决算情况说明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_Toc24672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（一）一般公共预算财政拨款支出决算总体情况</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_Toc12249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5</w:t>
      </w:r>
      <w:r>
        <w:rPr>
          <w:rFonts w:hint="eastAsia" w:ascii="仿宋_GB2312" w:hAnsi="仿宋_GB2312" w:eastAsia="仿宋_GB2312" w:cs="仿宋_GB2312"/>
          <w:i w:val="0"/>
          <w:iCs w:val="0"/>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（二）一般公共预算财政拨款支出决算结构情况</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_Toc18435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5</w:t>
      </w:r>
      <w:r>
        <w:rPr>
          <w:rFonts w:hint="eastAsia" w:ascii="仿宋_GB2312" w:hAnsi="仿宋_GB2312" w:eastAsia="仿宋_GB2312" w:cs="仿宋_GB2312"/>
          <w:i w:val="0"/>
          <w:iCs w:val="0"/>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（三）一般公共预算财政拨款支出决算具体情况</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_Toc26678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5</w:t>
      </w:r>
      <w:r>
        <w:rPr>
          <w:rFonts w:hint="eastAsia" w:ascii="仿宋_GB2312" w:hAnsi="仿宋_GB2312" w:eastAsia="仿宋_GB2312" w:cs="仿宋_GB2312"/>
          <w:i w:val="0"/>
          <w:iCs w:val="0"/>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六、一</w:t>
      </w:r>
      <w:r>
        <w:rPr>
          <w:rFonts w:hint="eastAsia" w:ascii="仿宋_GB2312" w:hAnsi="仿宋_GB2312" w:eastAsia="仿宋_GB2312" w:cs="仿宋_GB2312"/>
        </w:rPr>
        <w:t>般公共预算财政拨款基本支出决算情况说明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_Toc6198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七、</w:t>
      </w:r>
      <w:r>
        <w:rPr>
          <w:rFonts w:hint="eastAsia" w:ascii="仿宋_GB2312" w:hAnsi="仿宋_GB2312" w:eastAsia="仿宋_GB2312" w:cs="仿宋_GB2312"/>
        </w:rPr>
        <w:t>“三公”经费财政拨款支出决算情况说明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_Toc13920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（一）“三公”经费财政拨款支出决算总体情况说明</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_Toc29075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6</w:t>
      </w:r>
      <w:r>
        <w:rPr>
          <w:rFonts w:hint="eastAsia" w:ascii="仿宋_GB2312" w:hAnsi="仿宋_GB2312" w:eastAsia="仿宋_GB2312" w:cs="仿宋_GB2312"/>
          <w:i w:val="0"/>
          <w:iCs w:val="0"/>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（二）“三公”经费财政拨款支出决算具体情况说明</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_Toc24151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6</w:t>
      </w:r>
      <w:r>
        <w:rPr>
          <w:rFonts w:hint="eastAsia" w:ascii="仿宋_GB2312" w:hAnsi="仿宋_GB2312" w:eastAsia="仿宋_GB2312" w:cs="仿宋_GB2312"/>
          <w:i w:val="0"/>
          <w:iCs w:val="0"/>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八、</w:t>
      </w:r>
      <w:r>
        <w:rPr>
          <w:rFonts w:hint="eastAsia" w:ascii="仿宋_GB2312" w:hAnsi="仿宋_GB2312" w:eastAsia="仿宋_GB2312" w:cs="仿宋_GB2312"/>
        </w:rPr>
        <w:t>政府性基金预算支出决算情况说明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_Toc25824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九、国有资本经营预算支出决算情况说明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_Toc27636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7</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十</w:t>
      </w:r>
      <w:r>
        <w:rPr>
          <w:rFonts w:hint="eastAsia" w:ascii="仿宋_GB2312" w:hAnsi="仿宋_GB2312" w:eastAsia="仿宋_GB2312" w:cs="仿宋_GB2312"/>
        </w:rPr>
        <w:t>、其他重要事项的情况说明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_Toc15308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（一）机关运行经费支出情况</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_Toc17852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8</w:t>
      </w:r>
      <w:r>
        <w:rPr>
          <w:rFonts w:hint="eastAsia" w:ascii="仿宋_GB2312" w:hAnsi="仿宋_GB2312" w:eastAsia="仿宋_GB2312" w:cs="仿宋_GB2312"/>
          <w:i w:val="0"/>
          <w:iCs w:val="0"/>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（二）政府采购支出情况</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_Toc369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8</w:t>
      </w:r>
      <w:r>
        <w:rPr>
          <w:rFonts w:hint="eastAsia" w:ascii="仿宋_GB2312" w:hAnsi="仿宋_GB2312" w:eastAsia="仿宋_GB2312" w:cs="仿宋_GB2312"/>
          <w:i w:val="0"/>
          <w:iCs w:val="0"/>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（三）国有资产占有使用情况</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_Toc12272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8</w:t>
      </w:r>
      <w:r>
        <w:rPr>
          <w:rFonts w:hint="eastAsia" w:ascii="仿宋_GB2312" w:hAnsi="仿宋_GB2312" w:eastAsia="仿宋_GB2312" w:cs="仿宋_GB2312"/>
          <w:i w:val="0"/>
          <w:iCs w:val="0"/>
        </w:rPr>
        <w:fldChar w:fldCharType="end"/>
      </w:r>
    </w:p>
    <w:p>
      <w:pPr>
        <w:pStyle w:val="10"/>
        <w:tabs>
          <w:tab w:val="right" w:leader="dot" w:pos="8306"/>
        </w:tabs>
        <w:spacing w:line="240" w:lineRule="exact"/>
        <w:rPr>
          <w:rFonts w:ascii="仿宋_GB2312" w:hAnsi="仿宋_GB2312" w:eastAsia="仿宋_GB2312" w:cs="仿宋_GB2312"/>
          <w:i w:val="0"/>
          <w:iCs w:val="0"/>
        </w:rPr>
      </w:pPr>
      <w:r>
        <w:rPr>
          <w:rFonts w:hint="eastAsia" w:ascii="仿宋_GB2312" w:hAnsi="仿宋_GB2312" w:eastAsia="仿宋_GB2312" w:cs="仿宋_GB2312"/>
          <w:i w:val="0"/>
          <w:iCs w:val="0"/>
          <w:color w:val="000000"/>
        </w:rPr>
        <w:t>（四）预算绩效管理情况</w:t>
      </w:r>
      <w:r>
        <w:rPr>
          <w:rFonts w:hint="eastAsia" w:ascii="仿宋_GB2312" w:hAnsi="仿宋_GB2312" w:eastAsia="仿宋_GB2312" w:cs="仿宋_GB2312"/>
          <w:i w:val="0"/>
          <w:iCs w:val="0"/>
        </w:rPr>
        <w:tab/>
      </w:r>
      <w:r>
        <w:rPr>
          <w:rFonts w:hint="eastAsia" w:ascii="仿宋_GB2312" w:hAnsi="仿宋_GB2312" w:eastAsia="仿宋_GB2312" w:cs="仿宋_GB2312"/>
          <w:i w:val="0"/>
          <w:iCs w:val="0"/>
        </w:rPr>
        <w:fldChar w:fldCharType="begin"/>
      </w:r>
      <w:r>
        <w:rPr>
          <w:rFonts w:hint="eastAsia" w:ascii="仿宋_GB2312" w:hAnsi="仿宋_GB2312" w:eastAsia="仿宋_GB2312" w:cs="仿宋_GB2312"/>
          <w:i w:val="0"/>
          <w:iCs w:val="0"/>
        </w:rPr>
        <w:instrText xml:space="preserve"> PAGEREF _Toc29960 </w:instrText>
      </w:r>
      <w:r>
        <w:rPr>
          <w:rFonts w:hint="eastAsia" w:ascii="仿宋_GB2312" w:hAnsi="仿宋_GB2312" w:eastAsia="仿宋_GB2312" w:cs="仿宋_GB2312"/>
          <w:i w:val="0"/>
          <w:iCs w:val="0"/>
        </w:rPr>
        <w:fldChar w:fldCharType="separate"/>
      </w:r>
      <w:r>
        <w:rPr>
          <w:rFonts w:hint="eastAsia" w:ascii="仿宋_GB2312" w:hAnsi="仿宋_GB2312" w:eastAsia="仿宋_GB2312" w:cs="仿宋_GB2312"/>
          <w:i w:val="0"/>
          <w:iCs w:val="0"/>
        </w:rPr>
        <w:t>8</w:t>
      </w:r>
      <w:r>
        <w:rPr>
          <w:rFonts w:hint="eastAsia" w:ascii="仿宋_GB2312" w:hAnsi="仿宋_GB2312" w:eastAsia="仿宋_GB2312" w:cs="仿宋_GB2312"/>
          <w:i w:val="0"/>
          <w:iCs w:val="0"/>
        </w:rPr>
        <w:fldChar w:fldCharType="end"/>
      </w:r>
    </w:p>
    <w:p>
      <w:pPr>
        <w:pStyle w:val="2"/>
        <w:tabs>
          <w:tab w:val="right" w:leader="dot" w:pos="8306"/>
        </w:tabs>
        <w:spacing w:before="0" w:after="0" w:line="240" w:lineRule="exact"/>
        <w:rPr>
          <w:rFonts w:ascii="仿宋_GB2312" w:hAnsi="仿宋_GB2312" w:eastAsia="仿宋_GB2312" w:cs="仿宋_GB2312"/>
        </w:rPr>
      </w:pPr>
      <w:r>
        <w:rPr>
          <w:rFonts w:hint="eastAsia" w:ascii="仿宋_GB2312" w:hAnsi="仿宋_GB2312" w:eastAsia="仿宋_GB2312" w:cs="仿宋_GB2312"/>
        </w:rPr>
        <w:t>第三部分</w:t>
      </w:r>
      <w:r>
        <w:rPr>
          <w:rFonts w:hint="eastAsia" w:ascii="仿宋_GB2312" w:hAnsi="仿宋_GB2312" w:eastAsia="仿宋_GB2312" w:cs="仿宋_GB2312"/>
          <w:color w:val="000000"/>
        </w:rPr>
        <w:t>名</w:t>
      </w:r>
      <w:r>
        <w:rPr>
          <w:rFonts w:hint="eastAsia" w:ascii="仿宋_GB2312" w:hAnsi="仿宋_GB2312" w:eastAsia="仿宋_GB2312" w:cs="仿宋_GB2312"/>
        </w:rPr>
        <w:t>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_Toc5045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p>
    <w:p>
      <w:pPr>
        <w:pStyle w:val="2"/>
        <w:tabs>
          <w:tab w:val="right" w:leader="dot" w:pos="8306"/>
        </w:tabs>
        <w:spacing w:before="0" w:after="0" w:line="240" w:lineRule="exact"/>
        <w:rPr>
          <w:rFonts w:ascii="仿宋_GB2312" w:hAnsi="仿宋_GB2312" w:eastAsia="仿宋_GB2312" w:cs="仿宋_GB2312"/>
        </w:rPr>
      </w:pPr>
      <w:r>
        <w:rPr>
          <w:rFonts w:hint="eastAsia" w:ascii="仿宋_GB2312" w:hAnsi="仿宋_GB2312" w:eastAsia="仿宋_GB2312" w:cs="仿宋_GB2312"/>
          <w:color w:val="000000"/>
        </w:rPr>
        <w:t>第</w:t>
      </w:r>
      <w:r>
        <w:rPr>
          <w:rFonts w:hint="eastAsia" w:ascii="仿宋_GB2312" w:hAnsi="仿宋_GB2312" w:eastAsia="仿宋_GB2312" w:cs="仿宋_GB2312"/>
        </w:rPr>
        <w:t>四部分附件</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_Toc3780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p>
    <w:p>
      <w:pPr>
        <w:pStyle w:val="2"/>
        <w:tabs>
          <w:tab w:val="right" w:leader="dot" w:pos="8306"/>
        </w:tabs>
        <w:spacing w:before="0" w:after="0" w:line="240" w:lineRule="exact"/>
        <w:rPr>
          <w:rFonts w:ascii="仿宋_GB2312" w:hAnsi="仿宋_GB2312" w:eastAsia="仿宋_GB2312" w:cs="仿宋_GB2312"/>
        </w:rPr>
      </w:pPr>
      <w:r>
        <w:rPr>
          <w:rFonts w:hint="eastAsia" w:ascii="仿宋_GB2312" w:hAnsi="仿宋_GB2312" w:eastAsia="仿宋_GB2312" w:cs="仿宋_GB2312"/>
        </w:rPr>
        <w:t>附件1</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_Toc30086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p>
    <w:p>
      <w:pPr>
        <w:pStyle w:val="2"/>
        <w:tabs>
          <w:tab w:val="right" w:leader="dot" w:pos="8306"/>
        </w:tabs>
        <w:spacing w:before="0" w:after="0" w:line="240" w:lineRule="exact"/>
        <w:rPr>
          <w:rFonts w:ascii="仿宋_GB2312" w:hAnsi="仿宋_GB2312" w:eastAsia="仿宋_GB2312" w:cs="仿宋_GB2312"/>
        </w:rPr>
      </w:pPr>
      <w:r>
        <w:rPr>
          <w:rFonts w:hint="eastAsia" w:ascii="仿宋_GB2312" w:hAnsi="仿宋_GB2312" w:eastAsia="仿宋_GB2312" w:cs="仿宋_GB2312"/>
        </w:rPr>
        <w:t>白羊乡部门2021年部门整体支出绩效评价报告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_Toc25058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p>
    <w:p>
      <w:pPr>
        <w:pStyle w:val="2"/>
        <w:tabs>
          <w:tab w:val="right" w:leader="dot" w:pos="8306"/>
        </w:tabs>
        <w:spacing w:before="0" w:after="0" w:line="240" w:lineRule="exact"/>
        <w:rPr>
          <w:rFonts w:ascii="仿宋_GB2312" w:hAnsi="仿宋_GB2312" w:eastAsia="仿宋_GB2312" w:cs="仿宋_GB2312"/>
        </w:rPr>
      </w:pPr>
      <w:r>
        <w:rPr>
          <w:rFonts w:hint="eastAsia" w:ascii="仿宋_GB2312" w:hAnsi="仿宋_GB2312" w:eastAsia="仿宋_GB2312" w:cs="仿宋_GB2312"/>
          <w:color w:val="000000"/>
        </w:rPr>
        <w:t>第</w:t>
      </w:r>
      <w:r>
        <w:rPr>
          <w:rFonts w:hint="eastAsia" w:ascii="仿宋_GB2312" w:hAnsi="仿宋_GB2312" w:eastAsia="仿宋_GB2312" w:cs="仿宋_GB2312"/>
        </w:rPr>
        <w:t>五部分附表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_Toc408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一、收</w:t>
      </w:r>
      <w:r>
        <w:rPr>
          <w:rFonts w:hint="eastAsia" w:ascii="仿宋_GB2312" w:hAnsi="仿宋_GB2312" w:eastAsia="仿宋_GB2312" w:cs="仿宋_GB2312"/>
        </w:rPr>
        <w:t>入支出决算总表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_Toc24582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color w:val="000000"/>
        </w:rPr>
        <w:t>二、收</w:t>
      </w:r>
      <w:r>
        <w:rPr>
          <w:rFonts w:hint="eastAsia" w:ascii="仿宋_GB2312" w:hAnsi="仿宋_GB2312" w:eastAsia="仿宋_GB2312" w:cs="仿宋_GB2312"/>
        </w:rPr>
        <w:t>入决算表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_Toc2106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三、</w:t>
      </w:r>
      <w:r>
        <w:rPr>
          <w:rFonts w:hint="eastAsia" w:ascii="仿宋_GB2312" w:hAnsi="仿宋_GB2312" w:eastAsia="仿宋_GB2312" w:cs="仿宋_GB2312"/>
          <w:color w:val="000000"/>
        </w:rPr>
        <w:t>支</w:t>
      </w:r>
      <w:r>
        <w:rPr>
          <w:rFonts w:hint="eastAsia" w:ascii="仿宋_GB2312" w:hAnsi="仿宋_GB2312" w:eastAsia="仿宋_GB2312" w:cs="仿宋_GB2312"/>
        </w:rPr>
        <w:t>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_Toc4248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四、</w:t>
      </w:r>
      <w:r>
        <w:rPr>
          <w:rFonts w:hint="eastAsia" w:ascii="仿宋_GB2312" w:hAnsi="仿宋_GB2312" w:eastAsia="仿宋_GB2312" w:cs="仿宋_GB2312"/>
          <w:color w:val="000000"/>
        </w:rPr>
        <w:t>财</w:t>
      </w:r>
      <w:r>
        <w:rPr>
          <w:rFonts w:hint="eastAsia" w:ascii="仿宋_GB2312" w:hAnsi="仿宋_GB2312" w:eastAsia="仿宋_GB2312" w:cs="仿宋_GB2312"/>
        </w:rPr>
        <w:t>政拨款收入支出决算总表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_Toc21053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五、</w:t>
      </w:r>
      <w:r>
        <w:rPr>
          <w:rFonts w:hint="eastAsia" w:ascii="仿宋_GB2312" w:hAnsi="仿宋_GB2312" w:eastAsia="仿宋_GB2312" w:cs="仿宋_GB2312"/>
          <w:color w:val="000000"/>
        </w:rPr>
        <w:t>财</w:t>
      </w:r>
      <w:r>
        <w:rPr>
          <w:rFonts w:hint="eastAsia" w:ascii="仿宋_GB2312" w:hAnsi="仿宋_GB2312" w:eastAsia="仿宋_GB2312" w:cs="仿宋_GB2312"/>
        </w:rPr>
        <w:t>政拨款支出决算明细表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_Toc9222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六、</w:t>
      </w:r>
      <w:r>
        <w:rPr>
          <w:rFonts w:hint="eastAsia" w:ascii="仿宋_GB2312" w:hAnsi="仿宋_GB2312" w:eastAsia="仿宋_GB2312" w:cs="仿宋_GB2312"/>
          <w:color w:val="000000"/>
        </w:rPr>
        <w:t>一</w:t>
      </w:r>
      <w:r>
        <w:rPr>
          <w:rFonts w:hint="eastAsia" w:ascii="仿宋_GB2312" w:hAnsi="仿宋_GB2312" w:eastAsia="仿宋_GB2312" w:cs="仿宋_GB2312"/>
        </w:rPr>
        <w:t>般公共预算财政拨款支出决算表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_Toc13744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七、</w:t>
      </w:r>
      <w:r>
        <w:rPr>
          <w:rFonts w:hint="eastAsia" w:ascii="仿宋_GB2312" w:hAnsi="仿宋_GB2312" w:eastAsia="仿宋_GB2312" w:cs="仿宋_GB2312"/>
          <w:color w:val="000000"/>
        </w:rPr>
        <w:t>一</w:t>
      </w:r>
      <w:r>
        <w:rPr>
          <w:rFonts w:hint="eastAsia" w:ascii="仿宋_GB2312" w:hAnsi="仿宋_GB2312" w:eastAsia="仿宋_GB2312" w:cs="仿宋_GB2312"/>
        </w:rPr>
        <w:t>般公共预算财政拨款支出决算明细表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_Toc18963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八、</w:t>
      </w:r>
      <w:r>
        <w:rPr>
          <w:rFonts w:hint="eastAsia" w:ascii="仿宋_GB2312" w:hAnsi="仿宋_GB2312" w:eastAsia="仿宋_GB2312" w:cs="仿宋_GB2312"/>
          <w:color w:val="000000"/>
        </w:rPr>
        <w:t>一</w:t>
      </w:r>
      <w:r>
        <w:rPr>
          <w:rFonts w:hint="eastAsia" w:ascii="仿宋_GB2312" w:hAnsi="仿宋_GB2312" w:eastAsia="仿宋_GB2312" w:cs="仿宋_GB2312"/>
        </w:rPr>
        <w:t>般公共预算财政拨款基本支出决算表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_Toc21878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九、</w:t>
      </w:r>
      <w:r>
        <w:rPr>
          <w:rFonts w:hint="eastAsia" w:ascii="仿宋_GB2312" w:hAnsi="仿宋_GB2312" w:eastAsia="仿宋_GB2312" w:cs="仿宋_GB2312"/>
          <w:color w:val="000000"/>
        </w:rPr>
        <w:t>一</w:t>
      </w:r>
      <w:r>
        <w:rPr>
          <w:rFonts w:hint="eastAsia" w:ascii="仿宋_GB2312" w:hAnsi="仿宋_GB2312" w:eastAsia="仿宋_GB2312" w:cs="仿宋_GB2312"/>
        </w:rPr>
        <w:t>般公共预算财政拨款项目支出决算表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_Toc11161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十、</w:t>
      </w:r>
      <w:r>
        <w:rPr>
          <w:rFonts w:hint="eastAsia" w:ascii="仿宋_GB2312" w:hAnsi="仿宋_GB2312" w:eastAsia="仿宋_GB2312" w:cs="仿宋_GB2312"/>
          <w:color w:val="000000"/>
        </w:rPr>
        <w:t>一</w:t>
      </w:r>
      <w:r>
        <w:rPr>
          <w:rFonts w:hint="eastAsia" w:ascii="仿宋_GB2312" w:hAnsi="仿宋_GB2312" w:eastAsia="仿宋_GB2312" w:cs="仿宋_GB2312"/>
        </w:rPr>
        <w:t>般公共预算财政拨款“三公”经费支出决算表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_Toc2681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十一、</w:t>
      </w:r>
      <w:r>
        <w:rPr>
          <w:rFonts w:hint="eastAsia" w:ascii="仿宋_GB2312" w:hAnsi="仿宋_GB2312" w:eastAsia="仿宋_GB2312" w:cs="仿宋_GB2312"/>
          <w:color w:val="000000"/>
        </w:rPr>
        <w:t>政</w:t>
      </w:r>
      <w:r>
        <w:rPr>
          <w:rFonts w:hint="eastAsia" w:ascii="仿宋_GB2312" w:hAnsi="仿宋_GB2312" w:eastAsia="仿宋_GB2312" w:cs="仿宋_GB2312"/>
        </w:rPr>
        <w:t>府性基金预算财政拨款收入支出决算表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_Toc11116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十二、</w:t>
      </w:r>
      <w:r>
        <w:rPr>
          <w:rFonts w:hint="eastAsia" w:ascii="仿宋_GB2312" w:hAnsi="仿宋_GB2312" w:eastAsia="仿宋_GB2312" w:cs="仿宋_GB2312"/>
          <w:color w:val="000000"/>
        </w:rPr>
        <w:t>政</w:t>
      </w:r>
      <w:r>
        <w:rPr>
          <w:rFonts w:hint="eastAsia" w:ascii="仿宋_GB2312" w:hAnsi="仿宋_GB2312" w:eastAsia="仿宋_GB2312" w:cs="仿宋_GB2312"/>
        </w:rPr>
        <w:t>府性基金预算财政拨款“三公”经费支出决算表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_Toc11146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十三、</w:t>
      </w:r>
      <w:r>
        <w:rPr>
          <w:rFonts w:hint="eastAsia" w:ascii="仿宋_GB2312" w:hAnsi="仿宋_GB2312" w:eastAsia="仿宋_GB2312" w:cs="仿宋_GB2312"/>
          <w:color w:val="000000"/>
        </w:rPr>
        <w:t>国</w:t>
      </w:r>
      <w:r>
        <w:rPr>
          <w:rFonts w:hint="eastAsia" w:ascii="仿宋_GB2312" w:hAnsi="仿宋_GB2312" w:eastAsia="仿宋_GB2312" w:cs="仿宋_GB2312"/>
        </w:rPr>
        <w:t>有资本经营预算财政拨款支出决算表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_Toc28478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pStyle w:val="17"/>
        <w:tabs>
          <w:tab w:val="right" w:leader="dot" w:pos="8306"/>
        </w:tabs>
        <w:spacing w:line="240" w:lineRule="exact"/>
        <w:rPr>
          <w:rFonts w:ascii="仿宋_GB2312" w:hAnsi="仿宋_GB2312" w:eastAsia="仿宋_GB2312" w:cs="仿宋_GB2312"/>
        </w:rPr>
      </w:pPr>
      <w:r>
        <w:rPr>
          <w:rFonts w:hint="eastAsia" w:ascii="仿宋_GB2312" w:hAnsi="仿宋_GB2312" w:eastAsia="仿宋_GB2312" w:cs="仿宋_GB2312"/>
        </w:rPr>
        <w:t>十四、国有资本经营预算财政拨款支出决算表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_Toc20781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18</w:t>
      </w:r>
      <w:r>
        <w:rPr>
          <w:rFonts w:hint="eastAsia" w:ascii="仿宋_GB2312" w:hAnsi="仿宋_GB2312" w:eastAsia="仿宋_GB2312" w:cs="仿宋_GB2312"/>
        </w:rPr>
        <w:fldChar w:fldCharType="end"/>
      </w:r>
    </w:p>
    <w:p>
      <w:pPr>
        <w:spacing w:line="240" w:lineRule="exact"/>
      </w:pPr>
      <w:r>
        <w:rPr>
          <w:rFonts w:hint="eastAsia" w:ascii="仿宋_GB2312" w:hAnsi="仿宋_GB2312" w:eastAsia="仿宋_GB2312" w:cs="仿宋_GB2312"/>
          <w:bCs/>
          <w:caps/>
          <w:sz w:val="20"/>
          <w:szCs w:val="20"/>
        </w:rPr>
        <w:fldChar w:fldCharType="end"/>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Fonts w:ascii="黑体" w:eastAsia="黑体"/>
          <w:color w:val="000000"/>
          <w:sz w:val="32"/>
          <w:szCs w:val="32"/>
        </w:rPr>
      </w:pPr>
      <w:bookmarkStart w:id="14" w:name="_Toc79163601"/>
      <w:bookmarkStart w:id="15" w:name="_Toc4238"/>
      <w:r>
        <w:rPr>
          <w:rFonts w:hint="eastAsia" w:ascii="黑体" w:hAnsi="黑体" w:eastAsia="黑体"/>
          <w:b w:val="0"/>
        </w:rPr>
        <w:t>第一部分</w:t>
      </w:r>
      <w:r>
        <w:rPr>
          <w:rStyle w:val="24"/>
          <w:rFonts w:hint="eastAsia" w:ascii="黑体" w:hAnsi="黑体" w:eastAsia="黑体"/>
          <w:b w:val="0"/>
          <w:bCs w:val="0"/>
        </w:rPr>
        <w:t>部门概况</w:t>
      </w:r>
      <w:bookmarkEnd w:id="12"/>
      <w:bookmarkEnd w:id="13"/>
      <w:bookmarkEnd w:id="14"/>
      <w:bookmarkEnd w:id="15"/>
    </w:p>
    <w:p>
      <w:pPr>
        <w:pStyle w:val="4"/>
        <w:rPr>
          <w:rStyle w:val="25"/>
          <w:rFonts w:ascii="仿宋" w:hAnsi="仿宋" w:eastAsia="仿宋"/>
          <w:b w:val="0"/>
          <w:bCs w:val="0"/>
        </w:rPr>
      </w:pPr>
      <w:bookmarkStart w:id="16" w:name="_Toc31678"/>
      <w:bookmarkStart w:id="17" w:name="_Toc15396600"/>
      <w:bookmarkStart w:id="18" w:name="_Toc79163602"/>
      <w:bookmarkStart w:id="19"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p>
    <w:p>
      <w:pPr>
        <w:widowControl/>
        <w:shd w:val="clear" w:color="auto" w:fill="FFFFFF"/>
        <w:spacing w:before="150" w:after="150" w:line="480" w:lineRule="atLeast"/>
        <w:ind w:firstLine="542"/>
        <w:jc w:val="left"/>
        <w:rPr>
          <w:rFonts w:ascii="仿宋_GB2312" w:hAnsi="仿宋_GB2312" w:eastAsia="仿宋_GB2312" w:cs="仿宋_GB2312"/>
          <w:b/>
          <w:bCs/>
          <w:color w:val="000000"/>
          <w:kern w:val="0"/>
          <w:sz w:val="32"/>
          <w:szCs w:val="32"/>
        </w:rPr>
      </w:pPr>
      <w:bookmarkStart w:id="20" w:name="_Toc79163603"/>
      <w:bookmarkStart w:id="21" w:name="_Toc15378445"/>
      <w:bookmarkStart w:id="22" w:name="_Toc15377198"/>
      <w:r>
        <w:rPr>
          <w:rFonts w:hint="eastAsia" w:ascii="仿宋" w:hAnsi="仿宋" w:eastAsia="仿宋"/>
          <w:bCs/>
          <w:color w:val="000000"/>
          <w:sz w:val="32"/>
          <w:szCs w:val="32"/>
        </w:rPr>
        <w:t>（一）主要职能。</w:t>
      </w:r>
      <w:bookmarkEnd w:id="20"/>
      <w:r>
        <w:rPr>
          <w:rFonts w:hint="eastAsia" w:ascii="仿宋_GB2312" w:hAnsi="仿宋_GB2312" w:eastAsia="仿宋_GB2312" w:cs="仿宋_GB2312"/>
          <w:color w:val="000000"/>
          <w:kern w:val="0"/>
          <w:sz w:val="32"/>
          <w:szCs w:val="32"/>
        </w:rPr>
        <w:t>部门决算是各单位预算执行情况的综合反映，是政府宏观经济决策的重要参考，也是编制部门预算、强化预算管理的基本依据。2021年我乡部门预算工作在县财政局的领导和指导下，按照部门预算上报要求，精心编制，认真审核，努力提高部门预算执行情况。</w:t>
      </w:r>
    </w:p>
    <w:p>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23" w:name="_Toc27236"/>
      <w:r>
        <w:rPr>
          <w:rFonts w:hint="eastAsia" w:ascii="仿宋" w:hAnsi="仿宋" w:eastAsia="仿宋"/>
          <w:bCs/>
          <w:color w:val="000000"/>
          <w:sz w:val="32"/>
          <w:szCs w:val="32"/>
        </w:rPr>
        <w:t>（二）2021年重点工作完成情况。</w:t>
      </w:r>
      <w:bookmarkEnd w:id="23"/>
    </w:p>
    <w:p>
      <w:pPr>
        <w:pStyle w:val="7"/>
        <w:adjustRightInd w:val="0"/>
        <w:snapToGrid w:val="0"/>
        <w:spacing w:before="93" w:line="600" w:lineRule="exact"/>
        <w:ind w:firstLine="672" w:firstLineChars="210"/>
        <w:outlineLvl w:val="2"/>
        <w:rPr>
          <w:rFonts w:ascii="仿宋" w:hAnsi="仿宋" w:eastAsia="仿宋"/>
          <w:bCs/>
          <w:color w:val="000000"/>
          <w:sz w:val="32"/>
          <w:szCs w:val="32"/>
        </w:rPr>
      </w:pPr>
      <w:bookmarkStart w:id="24" w:name="_Toc7357"/>
      <w:r>
        <w:rPr>
          <w:rFonts w:hint="eastAsia" w:hAnsi="仿宋_GB2312" w:cs="仿宋_GB2312"/>
          <w:sz w:val="32"/>
        </w:rPr>
        <w:t>2021年，白羊乡在县委、县政府的正确领导下，</w:t>
      </w:r>
      <w:bookmarkStart w:id="190" w:name="_GoBack"/>
      <w:bookmarkEnd w:id="190"/>
      <w:r>
        <w:rPr>
          <w:rFonts w:hint="eastAsia" w:hAnsi="仿宋_GB2312" w:cs="仿宋_GB2312"/>
          <w:sz w:val="32"/>
        </w:rPr>
        <w:t>紧扣全乡工作大局，不断创新思路，锐意进取，注重协调发展，追求工作实效，大力推进经济、政治、文化建设。2021年我乡经济实力不断增强，农业产业化发展更加科学，社会发展更加和谐，人民生活更加富裕。全乡职工</w:t>
      </w:r>
      <w:r>
        <w:rPr>
          <w:rFonts w:hint="eastAsia" w:hAnsi="仿宋_GB2312" w:cs="仿宋_GB2312"/>
          <w:sz w:val="32"/>
          <w:shd w:val="clear" w:color="auto" w:fill="FFFFFF"/>
        </w:rPr>
        <w:t>统一认识，全力以赴，扎实工作，</w:t>
      </w:r>
      <w:r>
        <w:rPr>
          <w:rFonts w:hint="eastAsia" w:hAnsi="仿宋_GB2312" w:cs="仿宋_GB2312"/>
          <w:sz w:val="32"/>
        </w:rPr>
        <w:t>顺利推进各项目标任务</w:t>
      </w:r>
      <w:bookmarkEnd w:id="24"/>
    </w:p>
    <w:bookmarkEnd w:id="21"/>
    <w:bookmarkEnd w:id="22"/>
    <w:p>
      <w:pPr>
        <w:pStyle w:val="4"/>
        <w:rPr>
          <w:rStyle w:val="25"/>
          <w:b w:val="0"/>
          <w:bCs w:val="0"/>
        </w:rPr>
      </w:pPr>
      <w:bookmarkStart w:id="25" w:name="_Toc15396601"/>
      <w:bookmarkStart w:id="26" w:name="_Toc79163605"/>
      <w:bookmarkStart w:id="27" w:name="_Toc7682"/>
      <w:bookmarkStart w:id="28"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5"/>
      <w:bookmarkEnd w:id="26"/>
      <w:bookmarkEnd w:id="27"/>
      <w:bookmarkEnd w:id="28"/>
    </w:p>
    <w:p>
      <w:pPr>
        <w:widowControl/>
        <w:shd w:val="clear" w:color="auto" w:fill="FFFFFF"/>
        <w:spacing w:before="150" w:after="150" w:line="480" w:lineRule="atLeast"/>
        <w:ind w:firstLine="540"/>
        <w:jc w:val="left"/>
        <w:rPr>
          <w:rFonts w:ascii="仿宋_GB2312" w:hAnsi="仿宋_GB2312" w:eastAsia="仿宋_GB2312" w:cs="仿宋_GB2312"/>
          <w:color w:val="000000"/>
          <w:kern w:val="0"/>
          <w:sz w:val="32"/>
          <w:szCs w:val="32"/>
        </w:rPr>
      </w:pPr>
      <w:bookmarkStart w:id="29" w:name="_Toc15377204"/>
      <w:bookmarkStart w:id="30" w:name="_Toc15396602"/>
      <w:bookmarkStart w:id="31" w:name="_Toc79163609"/>
      <w:bookmarkStart w:id="32" w:name="_Toc79163859"/>
      <w:r>
        <w:rPr>
          <w:rFonts w:hint="eastAsia" w:ascii="仿宋_GB2312" w:hAnsi="仿宋_GB2312" w:eastAsia="仿宋_GB2312" w:cs="仿宋_GB2312"/>
          <w:color w:val="000000"/>
          <w:kern w:val="0"/>
          <w:sz w:val="32"/>
          <w:szCs w:val="32"/>
        </w:rPr>
        <w:t>白羊乡2021年部门预算编报独立核算的机构数是1户，与去年机构数相同。人员编制数36（其中行政编制20人，行政工勤2人，事业编制14人）。年末实有人数27人，与去年人员编制数相同。</w:t>
      </w:r>
    </w:p>
    <w:p>
      <w:pPr>
        <w:pStyle w:val="3"/>
        <w:ind w:right="440"/>
        <w:jc w:val="center"/>
      </w:pPr>
      <w:bookmarkStart w:id="33" w:name="_Toc22455"/>
      <w:r>
        <w:rPr>
          <w:rFonts w:hint="eastAsia" w:ascii="黑体" w:hAnsi="黑体" w:eastAsia="黑体"/>
          <w:b w:val="0"/>
          <w:color w:val="000000"/>
        </w:rPr>
        <w:t>第二部分</w:t>
      </w:r>
      <w:r>
        <w:rPr>
          <w:rStyle w:val="24"/>
          <w:rFonts w:ascii="黑体" w:hAnsi="黑体" w:eastAsia="黑体"/>
          <w:b w:val="0"/>
          <w:bCs w:val="0"/>
        </w:rPr>
        <w:t>202</w:t>
      </w:r>
      <w:r>
        <w:rPr>
          <w:rStyle w:val="24"/>
          <w:rFonts w:hint="eastAsia" w:ascii="黑体" w:hAnsi="黑体" w:eastAsia="黑体"/>
          <w:b w:val="0"/>
          <w:bCs w:val="0"/>
        </w:rPr>
        <w:t>1年度部门决算情况说明</w:t>
      </w:r>
      <w:bookmarkEnd w:id="29"/>
      <w:bookmarkEnd w:id="30"/>
      <w:bookmarkEnd w:id="31"/>
      <w:bookmarkEnd w:id="32"/>
      <w:bookmarkEnd w:id="33"/>
    </w:p>
    <w:p>
      <w:pPr>
        <w:pStyle w:val="35"/>
        <w:numPr>
          <w:ilvl w:val="0"/>
          <w:numId w:val="1"/>
        </w:numPr>
        <w:spacing w:line="600" w:lineRule="exact"/>
        <w:ind w:firstLineChars="0"/>
        <w:outlineLvl w:val="1"/>
        <w:rPr>
          <w:rStyle w:val="25"/>
          <w:rFonts w:ascii="黑体" w:hAnsi="黑体" w:eastAsia="黑体"/>
          <w:b w:val="0"/>
        </w:rPr>
      </w:pPr>
      <w:bookmarkStart w:id="34" w:name="_Toc79163610"/>
      <w:bookmarkStart w:id="35" w:name="_Toc79163860"/>
      <w:bookmarkStart w:id="36" w:name="_Toc7870"/>
      <w:bookmarkStart w:id="37" w:name="_Toc15396603"/>
      <w:bookmarkStart w:id="38"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34"/>
      <w:bookmarkEnd w:id="35"/>
      <w:bookmarkEnd w:id="36"/>
      <w:bookmarkEnd w:id="37"/>
      <w:bookmarkEnd w:id="38"/>
    </w:p>
    <w:p>
      <w:pPr>
        <w:spacing w:line="600" w:lineRule="exact"/>
        <w:ind w:firstLine="640" w:firstLineChars="200"/>
        <w:rPr>
          <w:rFonts w:ascii="仿宋_GB2312" w:eastAsia="仿宋_GB2312"/>
          <w:color w:val="000000"/>
          <w:sz w:val="32"/>
          <w:szCs w:val="32"/>
        </w:rPr>
      </w:pPr>
      <w:r>
        <w:rPr>
          <w:rFonts w:ascii="仿宋" w:hAnsi="仿宋" w:eastAsia="仿宋"/>
          <w:color w:val="FF0000"/>
          <w:sz w:val="32"/>
          <w:szCs w:val="32"/>
        </w:rPr>
        <w:t>202</w:t>
      </w:r>
      <w:r>
        <w:rPr>
          <w:rFonts w:hint="eastAsia" w:ascii="仿宋" w:hAnsi="仿宋" w:eastAsia="仿宋"/>
          <w:color w:val="FF0000"/>
          <w:sz w:val="32"/>
          <w:szCs w:val="32"/>
        </w:rPr>
        <w:t>1年度收入1050.15万元，上年结转682.13万元；支出总计1732.28万元。</w:t>
      </w:r>
      <w:r>
        <w:rPr>
          <w:rFonts w:hint="eastAsia" w:ascii="仿宋" w:hAnsi="仿宋" w:eastAsia="仿宋"/>
          <w:color w:val="000000"/>
          <w:sz w:val="32"/>
          <w:szCs w:val="32"/>
        </w:rPr>
        <w:t>与2020年相比，收、支总计各增加619.13万元，增长55.62</w:t>
      </w:r>
      <w:r>
        <w:rPr>
          <w:rFonts w:ascii="仿宋" w:hAnsi="仿宋" w:eastAsia="仿宋"/>
          <w:color w:val="000000"/>
          <w:sz w:val="32"/>
          <w:szCs w:val="32"/>
        </w:rPr>
        <w:t>%</w:t>
      </w:r>
      <w:r>
        <w:rPr>
          <w:rFonts w:hint="eastAsia" w:ascii="仿宋" w:hAnsi="仿宋" w:eastAsia="仿宋"/>
          <w:color w:val="000000"/>
          <w:sz w:val="32"/>
          <w:szCs w:val="32"/>
        </w:rPr>
        <w:t>。主要变动原因是灾后恢复建设。</w:t>
      </w:r>
    </w:p>
    <w:p>
      <w:pPr>
        <w:pStyle w:val="35"/>
        <w:numPr>
          <w:ilvl w:val="0"/>
          <w:numId w:val="1"/>
        </w:numPr>
        <w:spacing w:line="600" w:lineRule="exact"/>
        <w:ind w:firstLineChars="0"/>
        <w:outlineLvl w:val="1"/>
        <w:rPr>
          <w:rStyle w:val="25"/>
          <w:rFonts w:ascii="黑体" w:hAnsi="黑体" w:eastAsia="黑体"/>
          <w:b w:val="0"/>
        </w:rPr>
      </w:pPr>
      <w:bookmarkStart w:id="39" w:name="_Toc79163611"/>
      <w:bookmarkStart w:id="40" w:name="_Toc15396604"/>
      <w:bookmarkStart w:id="41" w:name="_Toc10024"/>
      <w:bookmarkStart w:id="42" w:name="_Toc15377206"/>
      <w:bookmarkStart w:id="43" w:name="_Toc79163861"/>
      <w:r>
        <w:rPr>
          <w:rFonts w:hint="eastAsia" w:ascii="黑体" w:hAnsi="黑体" w:eastAsia="黑体"/>
          <w:color w:val="000000"/>
          <w:sz w:val="32"/>
          <w:szCs w:val="32"/>
        </w:rPr>
        <w:t>收</w:t>
      </w:r>
      <w:r>
        <w:rPr>
          <w:rStyle w:val="25"/>
          <w:rFonts w:hint="eastAsia" w:ascii="黑体" w:hAnsi="黑体" w:eastAsia="黑体"/>
          <w:b w:val="0"/>
        </w:rPr>
        <w:t>入决算情况说明</w:t>
      </w:r>
      <w:bookmarkEnd w:id="39"/>
      <w:bookmarkEnd w:id="40"/>
      <w:bookmarkEnd w:id="41"/>
      <w:bookmarkEnd w:id="42"/>
      <w:bookmarkEnd w:id="43"/>
    </w:p>
    <w:p>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1年本年收入合计1050.15万元，其中：一般公共预算财政拨款收入1050.15万元，占100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；上级补助收入0万元，占0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pStyle w:val="35"/>
        <w:numPr>
          <w:ilvl w:val="0"/>
          <w:numId w:val="1"/>
        </w:numPr>
        <w:spacing w:line="600" w:lineRule="exact"/>
        <w:ind w:firstLineChars="0"/>
        <w:outlineLvl w:val="1"/>
        <w:rPr>
          <w:rStyle w:val="25"/>
          <w:rFonts w:ascii="黑体" w:hAnsi="黑体" w:eastAsia="黑体"/>
          <w:b w:val="0"/>
        </w:rPr>
      </w:pPr>
      <w:bookmarkStart w:id="44" w:name="_Toc15396605"/>
      <w:bookmarkStart w:id="45" w:name="_Toc79163612"/>
      <w:bookmarkStart w:id="46" w:name="_Toc1949"/>
      <w:bookmarkStart w:id="47" w:name="_Toc79163862"/>
      <w:bookmarkStart w:id="48"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bookmarkEnd w:id="48"/>
    </w:p>
    <w:p>
      <w:pPr>
        <w:spacing w:line="600" w:lineRule="exact"/>
        <w:ind w:firstLine="640" w:firstLineChars="200"/>
        <w:rPr>
          <w:rFonts w:ascii="仿宋_GB2312" w:eastAsia="仿宋_GB2312"/>
          <w:color w:val="FF0000"/>
          <w:sz w:val="32"/>
          <w:szCs w:val="32"/>
        </w:rPr>
      </w:pPr>
      <w:r>
        <w:rPr>
          <w:rFonts w:ascii="仿宋_GB2312" w:eastAsia="仿宋_GB2312"/>
          <w:sz w:val="32"/>
          <w:szCs w:val="32"/>
        </w:rPr>
        <w:t>202</w:t>
      </w:r>
      <w:r>
        <w:rPr>
          <w:rFonts w:hint="eastAsia" w:ascii="仿宋_GB2312" w:eastAsia="仿宋_GB2312"/>
          <w:sz w:val="32"/>
          <w:szCs w:val="32"/>
        </w:rPr>
        <w:t>1年本年支出合计1732.28万元，其中：基本支出639.37万元，占36.9</w:t>
      </w:r>
      <w:r>
        <w:rPr>
          <w:rFonts w:ascii="仿宋_GB2312" w:eastAsia="仿宋_GB2312"/>
          <w:sz w:val="32"/>
          <w:szCs w:val="32"/>
        </w:rPr>
        <w:t>%</w:t>
      </w:r>
      <w:r>
        <w:rPr>
          <w:rFonts w:hint="eastAsia" w:ascii="仿宋_GB2312" w:eastAsia="仿宋_GB2312"/>
          <w:sz w:val="32"/>
          <w:szCs w:val="32"/>
        </w:rPr>
        <w:t>；项目支出1092.91万元，占63.1</w:t>
      </w:r>
      <w:r>
        <w:rPr>
          <w:rFonts w:ascii="仿宋_GB2312" w:eastAsia="仿宋_GB2312"/>
          <w:sz w:val="32"/>
          <w:szCs w:val="32"/>
        </w:rPr>
        <w:t>%</w:t>
      </w:r>
      <w:r>
        <w:rPr>
          <w:rFonts w:hint="eastAsia" w:ascii="仿宋_GB2312" w:eastAsia="仿宋_GB2312"/>
          <w:sz w:val="32"/>
          <w:szCs w:val="32"/>
        </w:rPr>
        <w:t>；上缴上级支出0万元，占0</w:t>
      </w:r>
      <w:r>
        <w:rPr>
          <w:rFonts w:ascii="仿宋_GB2312" w:eastAsia="仿宋_GB2312"/>
          <w:sz w:val="32"/>
          <w:szCs w:val="32"/>
        </w:rPr>
        <w:t>%</w:t>
      </w:r>
      <w:r>
        <w:rPr>
          <w:rFonts w:hint="eastAsia" w:ascii="仿宋_GB2312" w:eastAsia="仿宋_GB2312"/>
          <w:sz w:val="32"/>
          <w:szCs w:val="32"/>
        </w:rPr>
        <w:t>；经营支出0万元，占0</w:t>
      </w:r>
      <w:r>
        <w:rPr>
          <w:rFonts w:ascii="仿宋_GB2312" w:eastAsia="仿宋_GB2312"/>
          <w:sz w:val="32"/>
          <w:szCs w:val="32"/>
        </w:rPr>
        <w:t>%</w:t>
      </w:r>
      <w:r>
        <w:rPr>
          <w:rFonts w:hint="eastAsia" w:ascii="仿宋_GB2312" w:eastAsia="仿宋_GB2312"/>
          <w:sz w:val="32"/>
          <w:szCs w:val="32"/>
        </w:rPr>
        <w:t>；对附属单位补助支出0万元，占0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Style w:val="25"/>
          <w:rFonts w:ascii="黑体" w:hAnsi="黑体" w:eastAsia="黑体"/>
          <w:b w:val="0"/>
        </w:rPr>
      </w:pPr>
      <w:bookmarkStart w:id="49" w:name="_Toc79163613"/>
      <w:bookmarkStart w:id="50" w:name="_Toc79163863"/>
      <w:bookmarkStart w:id="51" w:name="_Toc15377208"/>
      <w:bookmarkStart w:id="52" w:name="_Toc659"/>
      <w:bookmarkStart w:id="53"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9"/>
      <w:bookmarkEnd w:id="50"/>
      <w:bookmarkEnd w:id="51"/>
      <w:bookmarkEnd w:id="52"/>
      <w:bookmarkEnd w:id="53"/>
    </w:p>
    <w:p>
      <w:pPr>
        <w:spacing w:line="600" w:lineRule="exact"/>
        <w:ind w:firstLine="640"/>
        <w:rPr>
          <w:rFonts w:ascii="仿宋" w:hAnsi="仿宋" w:eastAsia="仿宋"/>
          <w:b/>
          <w:color w:val="00B050"/>
          <w:sz w:val="32"/>
          <w:szCs w:val="32"/>
        </w:rPr>
      </w:pPr>
      <w:r>
        <w:rPr>
          <w:rFonts w:ascii="仿宋" w:hAnsi="仿宋" w:eastAsia="仿宋"/>
          <w:color w:val="000000"/>
          <w:sz w:val="32"/>
          <w:szCs w:val="32"/>
        </w:rPr>
        <w:t>02</w:t>
      </w:r>
      <w:r>
        <w:rPr>
          <w:rFonts w:hint="eastAsia" w:ascii="仿宋" w:hAnsi="仿宋" w:eastAsia="仿宋"/>
          <w:color w:val="000000"/>
          <w:sz w:val="32"/>
          <w:szCs w:val="32"/>
        </w:rPr>
        <w:t>1年度收入1050.15万元，上年结转682.13万元；支出总计1732.28万元与2020年相比收、支总计各增加619.13万元，增长55.62</w:t>
      </w:r>
      <w:r>
        <w:rPr>
          <w:rFonts w:ascii="仿宋" w:hAnsi="仿宋" w:eastAsia="仿宋"/>
          <w:color w:val="000000"/>
          <w:sz w:val="32"/>
          <w:szCs w:val="32"/>
        </w:rPr>
        <w:t>%</w:t>
      </w:r>
      <w:r>
        <w:rPr>
          <w:rFonts w:hint="eastAsia" w:ascii="仿宋" w:hAnsi="仿宋" w:eastAsia="仿宋"/>
          <w:color w:val="000000"/>
          <w:sz w:val="32"/>
          <w:szCs w:val="32"/>
        </w:rPr>
        <w:t>。主要变动原因是灾后重新建设。</w:t>
      </w:r>
    </w:p>
    <w:p>
      <w:pPr>
        <w:spacing w:line="600" w:lineRule="exact"/>
        <w:ind w:firstLine="640" w:firstLineChars="200"/>
        <w:outlineLvl w:val="1"/>
        <w:rPr>
          <w:rStyle w:val="25"/>
          <w:rFonts w:ascii="黑体" w:hAnsi="黑体" w:eastAsia="黑体"/>
          <w:b w:val="0"/>
        </w:rPr>
      </w:pPr>
      <w:bookmarkStart w:id="54" w:name="_Toc24672"/>
      <w:bookmarkStart w:id="55" w:name="_Toc15377209"/>
      <w:bookmarkStart w:id="56" w:name="_Toc79163614"/>
      <w:bookmarkStart w:id="57"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4"/>
      <w:bookmarkEnd w:id="55"/>
      <w:bookmarkEnd w:id="56"/>
      <w:bookmarkEnd w:id="57"/>
    </w:p>
    <w:p>
      <w:pPr>
        <w:spacing w:line="600" w:lineRule="exact"/>
        <w:ind w:firstLine="643" w:firstLineChars="200"/>
        <w:outlineLvl w:val="2"/>
        <w:rPr>
          <w:rFonts w:ascii="仿宋" w:hAnsi="仿宋" w:eastAsia="仿宋"/>
          <w:b/>
          <w:color w:val="000000"/>
          <w:sz w:val="32"/>
          <w:szCs w:val="32"/>
        </w:rPr>
      </w:pPr>
      <w:bookmarkStart w:id="58" w:name="_Toc79163615"/>
      <w:bookmarkStart w:id="59" w:name="_Toc12249"/>
      <w:bookmarkStart w:id="60" w:name="_Toc15377210"/>
      <w:r>
        <w:rPr>
          <w:rFonts w:hint="eastAsia" w:ascii="仿宋" w:hAnsi="仿宋" w:eastAsia="仿宋"/>
          <w:b/>
          <w:color w:val="000000"/>
          <w:sz w:val="32"/>
          <w:szCs w:val="32"/>
        </w:rPr>
        <w:t>（一）一般公共预算财政拨款支出决算总体情况</w:t>
      </w:r>
      <w:bookmarkEnd w:id="58"/>
      <w:bookmarkEnd w:id="59"/>
      <w:bookmarkEnd w:id="60"/>
    </w:p>
    <w:p>
      <w:pPr>
        <w:spacing w:line="600" w:lineRule="exact"/>
        <w:ind w:firstLine="640" w:firstLineChars="200"/>
        <w:rPr>
          <w:rFonts w:ascii="仿宋" w:hAnsi="仿宋" w:eastAsia="仿宋"/>
          <w:color w:val="000000"/>
          <w:sz w:val="32"/>
          <w:szCs w:val="32"/>
        </w:rPr>
      </w:pPr>
      <w:r>
        <w:rPr>
          <w:rFonts w:ascii="仿宋" w:hAnsi="仿宋" w:eastAsia="仿宋"/>
          <w:color w:val="FF0000"/>
          <w:sz w:val="32"/>
          <w:szCs w:val="32"/>
        </w:rPr>
        <w:t>202</w:t>
      </w:r>
      <w:r>
        <w:rPr>
          <w:rFonts w:hint="eastAsia" w:ascii="仿宋" w:hAnsi="仿宋" w:eastAsia="仿宋"/>
          <w:color w:val="FF0000"/>
          <w:sz w:val="32"/>
          <w:szCs w:val="32"/>
        </w:rPr>
        <w:t>1年一般公共预算财政拨款支出1732.28万元，占本年支出合计的100</w:t>
      </w:r>
      <w:r>
        <w:rPr>
          <w:rFonts w:ascii="仿宋" w:hAnsi="仿宋" w:eastAsia="仿宋"/>
          <w:color w:val="FF0000"/>
          <w:sz w:val="32"/>
          <w:szCs w:val="32"/>
        </w:rPr>
        <w:t>%</w:t>
      </w:r>
      <w:r>
        <w:rPr>
          <w:rFonts w:hint="eastAsia" w:ascii="仿宋" w:hAnsi="仿宋" w:eastAsia="仿宋"/>
          <w:color w:val="FF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rPr>
        <w:t>20年相比，一般公共预算财政拨款增加619.13万元，增长32.3</w:t>
      </w:r>
      <w:r>
        <w:rPr>
          <w:rFonts w:ascii="仿宋" w:hAnsi="仿宋" w:eastAsia="仿宋"/>
          <w:color w:val="000000"/>
          <w:sz w:val="32"/>
          <w:szCs w:val="32"/>
        </w:rPr>
        <w:t>%</w:t>
      </w:r>
      <w:r>
        <w:rPr>
          <w:rFonts w:hint="eastAsia" w:ascii="仿宋" w:hAnsi="仿宋" w:eastAsia="仿宋"/>
          <w:color w:val="000000"/>
          <w:sz w:val="32"/>
          <w:szCs w:val="32"/>
        </w:rPr>
        <w:t>。主要变动原因是灾后恢复建设</w:t>
      </w:r>
    </w:p>
    <w:p>
      <w:pPr>
        <w:spacing w:line="600" w:lineRule="exact"/>
        <w:ind w:firstLine="643" w:firstLineChars="200"/>
        <w:outlineLvl w:val="2"/>
        <w:rPr>
          <w:rFonts w:ascii="仿宋" w:hAnsi="仿宋" w:eastAsia="仿宋"/>
          <w:b/>
          <w:color w:val="000000"/>
          <w:sz w:val="32"/>
          <w:szCs w:val="32"/>
        </w:rPr>
      </w:pPr>
      <w:bookmarkStart w:id="61" w:name="_Toc79163616"/>
      <w:bookmarkStart w:id="62" w:name="_Toc15377211"/>
      <w:bookmarkStart w:id="63" w:name="_Toc18435"/>
      <w:r>
        <w:rPr>
          <w:rFonts w:hint="eastAsia" w:ascii="仿宋" w:hAnsi="仿宋" w:eastAsia="仿宋"/>
          <w:b/>
          <w:color w:val="000000"/>
          <w:sz w:val="32"/>
          <w:szCs w:val="32"/>
        </w:rPr>
        <w:t>（二）一般公共预算财政拨款支出决算结构情况</w:t>
      </w:r>
      <w:bookmarkEnd w:id="61"/>
      <w:bookmarkEnd w:id="62"/>
      <w:bookmarkEnd w:id="63"/>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1年一般公共预算财政拨款支出1732.28万元，主要用于以下方面</w:t>
      </w:r>
      <w:r>
        <w:rPr>
          <w:rFonts w:ascii="仿宋" w:hAnsi="仿宋" w:eastAsia="仿宋"/>
          <w:color w:val="000000"/>
          <w:sz w:val="32"/>
          <w:szCs w:val="32"/>
        </w:rPr>
        <w:t>:</w:t>
      </w:r>
      <w:r>
        <w:rPr>
          <w:rFonts w:hint="eastAsia" w:ascii="仿宋" w:hAnsi="仿宋" w:eastAsia="仿宋"/>
          <w:b/>
          <w:color w:val="000000"/>
          <w:sz w:val="32"/>
          <w:szCs w:val="32"/>
        </w:rPr>
        <w:t>一般公共服务（类）</w:t>
      </w:r>
      <w:r>
        <w:rPr>
          <w:rFonts w:hint="eastAsia" w:ascii="仿宋" w:hAnsi="仿宋" w:eastAsia="仿宋"/>
          <w:color w:val="000000"/>
          <w:sz w:val="32"/>
          <w:szCs w:val="32"/>
        </w:rPr>
        <w:t>支出823.98万元，占47.57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支出56.56万元，占3.27</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rPr>
        <w:t>22.56万元，占1.3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住房保障支出</w:t>
      </w:r>
      <w:r>
        <w:rPr>
          <w:rFonts w:hint="eastAsia" w:ascii="仿宋" w:hAnsi="仿宋" w:eastAsia="仿宋"/>
          <w:color w:val="000000"/>
          <w:sz w:val="32"/>
          <w:szCs w:val="32"/>
        </w:rPr>
        <w:t>36.88万元，占2.10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城乡社区支出</w:t>
      </w:r>
      <w:r>
        <w:rPr>
          <w:rFonts w:hint="eastAsia" w:ascii="仿宋" w:hAnsi="仿宋" w:eastAsia="仿宋"/>
          <w:color w:val="000000"/>
          <w:sz w:val="32"/>
          <w:szCs w:val="32"/>
        </w:rPr>
        <w:t>157.77万元，占9.1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农林水支出</w:t>
      </w:r>
      <w:r>
        <w:rPr>
          <w:rFonts w:hint="eastAsia" w:ascii="仿宋" w:hAnsi="仿宋" w:eastAsia="仿宋"/>
          <w:color w:val="000000"/>
          <w:sz w:val="32"/>
          <w:szCs w:val="32"/>
        </w:rPr>
        <w:t>634.54万元，占36.63</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4" w:name="_Toc15377212"/>
      <w:bookmarkStart w:id="65" w:name="_Toc79163617"/>
      <w:bookmarkStart w:id="66" w:name="_Toc26678"/>
      <w:r>
        <w:rPr>
          <w:rFonts w:hint="eastAsia" w:ascii="仿宋" w:hAnsi="仿宋" w:eastAsia="仿宋"/>
          <w:b/>
          <w:color w:val="000000"/>
          <w:sz w:val="32"/>
          <w:szCs w:val="32"/>
        </w:rPr>
        <w:t>（三）一般公共预算财政拨款支出决算具体情况</w:t>
      </w:r>
      <w:bookmarkEnd w:id="64"/>
      <w:bookmarkEnd w:id="65"/>
      <w:bookmarkEnd w:id="66"/>
    </w:p>
    <w:p>
      <w:pPr>
        <w:spacing w:line="600" w:lineRule="exact"/>
        <w:ind w:firstLine="643" w:firstLineChars="200"/>
        <w:rPr>
          <w:rFonts w:ascii="仿宋_GB2312" w:eastAsia="仿宋_GB2312"/>
          <w:b/>
          <w:bCs/>
          <w:sz w:val="32"/>
          <w:szCs w:val="32"/>
        </w:rPr>
      </w:pPr>
      <w:bookmarkStart w:id="67" w:name="_Toc15377444"/>
      <w:bookmarkStart w:id="68" w:name="_Toc15378460"/>
      <w:bookmarkStart w:id="69" w:name="_Toc15377213"/>
      <w:r>
        <w:rPr>
          <w:rFonts w:ascii="仿宋_GB2312" w:eastAsia="仿宋_GB2312"/>
          <w:b/>
          <w:bCs/>
          <w:sz w:val="32"/>
          <w:szCs w:val="32"/>
        </w:rPr>
        <w:t>202</w:t>
      </w:r>
      <w:r>
        <w:rPr>
          <w:rFonts w:hint="eastAsia" w:ascii="仿宋_GB2312" w:eastAsia="仿宋_GB2312"/>
          <w:b/>
          <w:bCs/>
          <w:sz w:val="32"/>
          <w:szCs w:val="32"/>
        </w:rPr>
        <w:t>1年一般公共预算支出决算数为1732.28万元，完成预算100</w:t>
      </w:r>
      <w:r>
        <w:rPr>
          <w:rFonts w:ascii="仿宋_GB2312" w:eastAsia="仿宋_GB2312"/>
          <w:b/>
          <w:bCs/>
          <w:sz w:val="32"/>
          <w:szCs w:val="32"/>
        </w:rPr>
        <w:t>%</w:t>
      </w:r>
      <w:r>
        <w:rPr>
          <w:rFonts w:hint="eastAsia" w:ascii="仿宋_GB2312" w:eastAsia="仿宋_GB2312"/>
          <w:b/>
          <w:bCs/>
          <w:sz w:val="32"/>
          <w:szCs w:val="32"/>
        </w:rPr>
        <w:t>。其中：</w:t>
      </w:r>
      <w:bookmarkEnd w:id="67"/>
      <w:bookmarkEnd w:id="68"/>
      <w:bookmarkEnd w:id="69"/>
    </w:p>
    <w:p>
      <w:pPr>
        <w:spacing w:line="600" w:lineRule="exact"/>
        <w:ind w:firstLine="643" w:firstLineChars="200"/>
        <w:rPr>
          <w:rFonts w:ascii="仿宋" w:hAnsi="仿宋" w:eastAsia="仿宋"/>
          <w:b/>
          <w:color w:val="000000"/>
          <w:sz w:val="32"/>
          <w:szCs w:val="32"/>
        </w:rPr>
      </w:pPr>
      <w:r>
        <w:rPr>
          <w:rStyle w:val="22"/>
          <w:rFonts w:ascii="仿宋" w:hAnsi="仿宋" w:eastAsia="仿宋"/>
          <w:bCs/>
          <w:color w:val="000000"/>
          <w:sz w:val="32"/>
          <w:szCs w:val="32"/>
        </w:rPr>
        <w:t>1.</w:t>
      </w:r>
      <w:r>
        <w:rPr>
          <w:rStyle w:val="22"/>
          <w:rFonts w:hint="eastAsia" w:ascii="仿宋" w:hAnsi="仿宋" w:eastAsia="仿宋"/>
          <w:bCs/>
          <w:color w:val="000000"/>
          <w:sz w:val="32"/>
          <w:szCs w:val="32"/>
        </w:rPr>
        <w:t>一般公共服务2010101、2010301、2010302</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支出决算为823.98万元，完成预算100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，决算数等于调整预算数。</w:t>
      </w:r>
    </w:p>
    <w:p>
      <w:pPr>
        <w:spacing w:line="600" w:lineRule="exact"/>
        <w:ind w:firstLine="643" w:firstLineChars="200"/>
        <w:rPr>
          <w:rFonts w:ascii="仿宋" w:hAnsi="仿宋" w:eastAsia="仿宋"/>
          <w:b/>
          <w:color w:val="000000"/>
          <w:sz w:val="32"/>
          <w:szCs w:val="32"/>
        </w:rPr>
      </w:pPr>
      <w:r>
        <w:rPr>
          <w:rStyle w:val="22"/>
          <w:rFonts w:hint="eastAsia" w:ascii="仿宋" w:hAnsi="仿宋" w:eastAsia="仿宋"/>
          <w:bCs/>
          <w:color w:val="000000"/>
          <w:sz w:val="32"/>
          <w:szCs w:val="32"/>
        </w:rPr>
        <w:t>2</w:t>
      </w:r>
      <w:r>
        <w:rPr>
          <w:rStyle w:val="22"/>
          <w:rFonts w:ascii="仿宋" w:hAnsi="仿宋" w:eastAsia="仿宋"/>
          <w:bCs/>
          <w:color w:val="000000"/>
          <w:sz w:val="32"/>
          <w:szCs w:val="32"/>
        </w:rPr>
        <w:t>.</w:t>
      </w:r>
      <w:r>
        <w:rPr>
          <w:rStyle w:val="22"/>
          <w:rFonts w:hint="eastAsia" w:ascii="仿宋" w:hAnsi="仿宋" w:eastAsia="仿宋"/>
          <w:bCs/>
          <w:color w:val="000000"/>
          <w:sz w:val="32"/>
          <w:szCs w:val="32"/>
        </w:rPr>
        <w:t>社会保障和就业2080505</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支出决算为56.56万元，完成预算100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，决算数等于调整预算数。</w:t>
      </w:r>
    </w:p>
    <w:p>
      <w:pPr>
        <w:spacing w:line="600" w:lineRule="exact"/>
        <w:ind w:firstLine="643" w:firstLineChars="200"/>
        <w:rPr>
          <w:rStyle w:val="22"/>
          <w:rFonts w:ascii="仿宋" w:hAnsi="仿宋" w:eastAsia="仿宋"/>
          <w:b w:val="0"/>
          <w:bCs/>
          <w:color w:val="000000"/>
          <w:sz w:val="32"/>
          <w:szCs w:val="32"/>
        </w:rPr>
      </w:pPr>
      <w:r>
        <w:rPr>
          <w:rStyle w:val="22"/>
          <w:rFonts w:hint="eastAsia" w:ascii="仿宋" w:hAnsi="仿宋" w:eastAsia="仿宋"/>
          <w:bCs/>
          <w:color w:val="000000"/>
          <w:sz w:val="32"/>
          <w:szCs w:val="32"/>
        </w:rPr>
        <w:t>3</w:t>
      </w:r>
      <w:r>
        <w:rPr>
          <w:rStyle w:val="22"/>
          <w:rFonts w:ascii="仿宋" w:hAnsi="仿宋" w:eastAsia="仿宋"/>
          <w:bCs/>
          <w:color w:val="000000"/>
          <w:sz w:val="32"/>
          <w:szCs w:val="32"/>
        </w:rPr>
        <w:t>.</w:t>
      </w:r>
      <w:r>
        <w:rPr>
          <w:rFonts w:hint="eastAsia" w:ascii="仿宋" w:hAnsi="仿宋" w:eastAsia="仿宋"/>
          <w:b/>
          <w:bCs/>
          <w:color w:val="000000"/>
          <w:sz w:val="32"/>
          <w:szCs w:val="32"/>
        </w:rPr>
        <w:t>卫生健康</w:t>
      </w:r>
      <w:r>
        <w:rPr>
          <w:rStyle w:val="22"/>
          <w:rFonts w:hint="eastAsia" w:ascii="仿宋" w:hAnsi="仿宋" w:eastAsia="仿宋"/>
          <w:bCs/>
          <w:color w:val="000000"/>
          <w:sz w:val="32"/>
          <w:szCs w:val="32"/>
        </w:rPr>
        <w:t>2101101、2101102</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支出决算为22.55万元，完成预算100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，决算数等于调整预算数。</w:t>
      </w:r>
    </w:p>
    <w:p>
      <w:pPr>
        <w:spacing w:line="600" w:lineRule="exact"/>
        <w:ind w:firstLine="643" w:firstLineChars="200"/>
        <w:rPr>
          <w:rStyle w:val="22"/>
          <w:rFonts w:ascii="仿宋" w:hAnsi="仿宋" w:eastAsia="仿宋"/>
          <w:b w:val="0"/>
          <w:bCs/>
          <w:color w:val="000000"/>
          <w:sz w:val="32"/>
          <w:szCs w:val="32"/>
        </w:rPr>
      </w:pPr>
      <w:r>
        <w:rPr>
          <w:rStyle w:val="22"/>
          <w:rFonts w:hint="eastAsia" w:ascii="仿宋" w:hAnsi="仿宋" w:eastAsia="仿宋"/>
          <w:bCs/>
          <w:color w:val="000000"/>
          <w:sz w:val="32"/>
          <w:szCs w:val="32"/>
        </w:rPr>
        <w:t>4</w:t>
      </w:r>
      <w:r>
        <w:rPr>
          <w:rStyle w:val="22"/>
          <w:rFonts w:ascii="仿宋" w:hAnsi="仿宋" w:eastAsia="仿宋"/>
          <w:bCs/>
          <w:color w:val="000000"/>
          <w:sz w:val="32"/>
          <w:szCs w:val="32"/>
        </w:rPr>
        <w:t>.</w:t>
      </w:r>
      <w:r>
        <w:rPr>
          <w:rFonts w:hint="eastAsia" w:ascii="仿宋" w:hAnsi="仿宋" w:eastAsia="仿宋"/>
          <w:b/>
          <w:bCs/>
          <w:color w:val="000000"/>
          <w:sz w:val="32"/>
          <w:szCs w:val="32"/>
        </w:rPr>
        <w:t>城乡社区支出</w:t>
      </w:r>
      <w:r>
        <w:rPr>
          <w:rStyle w:val="22"/>
          <w:rFonts w:hint="eastAsia" w:ascii="仿宋" w:hAnsi="仿宋" w:eastAsia="仿宋"/>
          <w:bCs/>
          <w:color w:val="000000"/>
          <w:sz w:val="32"/>
          <w:szCs w:val="32"/>
        </w:rPr>
        <w:t>2120501</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支出决算为157.77万元，完成预算100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，决算数等于调整预算数。</w:t>
      </w:r>
    </w:p>
    <w:p>
      <w:pPr>
        <w:spacing w:line="600" w:lineRule="exact"/>
        <w:ind w:firstLine="643" w:firstLineChars="200"/>
        <w:rPr>
          <w:rFonts w:ascii="仿宋" w:hAnsi="仿宋" w:eastAsia="仿宋"/>
          <w:bCs/>
          <w:color w:val="000000"/>
          <w:sz w:val="32"/>
          <w:szCs w:val="32"/>
        </w:rPr>
      </w:pPr>
      <w:r>
        <w:rPr>
          <w:rStyle w:val="22"/>
          <w:rFonts w:hint="eastAsia" w:ascii="仿宋" w:hAnsi="仿宋" w:eastAsia="仿宋"/>
          <w:bCs/>
          <w:color w:val="000000"/>
          <w:sz w:val="32"/>
          <w:szCs w:val="32"/>
        </w:rPr>
        <w:t>5</w:t>
      </w:r>
      <w:r>
        <w:rPr>
          <w:rStyle w:val="22"/>
          <w:rFonts w:ascii="仿宋" w:hAnsi="仿宋" w:eastAsia="仿宋"/>
          <w:bCs/>
          <w:color w:val="000000"/>
          <w:sz w:val="32"/>
          <w:szCs w:val="32"/>
        </w:rPr>
        <w:t>.</w:t>
      </w:r>
      <w:r>
        <w:rPr>
          <w:rFonts w:hint="eastAsia" w:ascii="仿宋" w:hAnsi="仿宋" w:eastAsia="仿宋"/>
          <w:b/>
          <w:bCs/>
          <w:color w:val="000000"/>
          <w:sz w:val="32"/>
          <w:szCs w:val="32"/>
        </w:rPr>
        <w:t>农林水支出</w:t>
      </w:r>
      <w:r>
        <w:rPr>
          <w:rStyle w:val="22"/>
          <w:rFonts w:hint="eastAsia" w:ascii="仿宋" w:hAnsi="仿宋" w:eastAsia="仿宋"/>
          <w:bCs/>
          <w:color w:val="000000"/>
          <w:sz w:val="32"/>
          <w:szCs w:val="32"/>
        </w:rPr>
        <w:t>2130199、2130504、2130599、2130705</w:t>
      </w:r>
      <w:r>
        <w:rPr>
          <w:rStyle w:val="22"/>
          <w:rFonts w:ascii="仿宋" w:hAnsi="仿宋" w:eastAsia="仿宋"/>
          <w:bCs/>
          <w:color w:val="000000"/>
          <w:sz w:val="32"/>
          <w:szCs w:val="32"/>
        </w:rPr>
        <w:t>:</w:t>
      </w:r>
      <w:r>
        <w:rPr>
          <w:rStyle w:val="22"/>
          <w:rFonts w:hint="eastAsia" w:ascii="仿宋" w:hAnsi="仿宋" w:eastAsia="仿宋"/>
          <w:b w:val="0"/>
          <w:bCs/>
          <w:color w:val="000000"/>
          <w:sz w:val="32"/>
          <w:szCs w:val="32"/>
        </w:rPr>
        <w:t>支出决算为634.54万元，完成预算100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，决算数等于预调整预算数。</w:t>
      </w:r>
    </w:p>
    <w:p>
      <w:pPr>
        <w:tabs>
          <w:tab w:val="right" w:pos="8306"/>
        </w:tabs>
        <w:spacing w:line="600" w:lineRule="exact"/>
        <w:ind w:firstLine="640"/>
        <w:outlineLvl w:val="1"/>
        <w:rPr>
          <w:rStyle w:val="25"/>
        </w:rPr>
      </w:pPr>
      <w:bookmarkStart w:id="70" w:name="_Toc79163868"/>
      <w:bookmarkStart w:id="71" w:name="_Toc6198"/>
      <w:bookmarkStart w:id="72" w:name="_Toc15396608"/>
      <w:bookmarkStart w:id="73" w:name="_Toc79163618"/>
      <w:bookmarkStart w:id="74"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70"/>
      <w:bookmarkEnd w:id="71"/>
      <w:bookmarkEnd w:id="72"/>
      <w:bookmarkEnd w:id="73"/>
      <w:bookmarkEnd w:id="74"/>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1年一般公共预算财政拨款基本支出639.37万元，其中：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531.9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97.06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75" w:name="_Toc15396609"/>
      <w:bookmarkStart w:id="76" w:name="_Toc79163869"/>
      <w:bookmarkStart w:id="77" w:name="_Toc15377215"/>
      <w:bookmarkStart w:id="78" w:name="_Toc79163619"/>
      <w:bookmarkStart w:id="79" w:name="_Toc13920"/>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5"/>
      <w:bookmarkEnd w:id="76"/>
      <w:bookmarkEnd w:id="77"/>
      <w:bookmarkEnd w:id="78"/>
      <w:bookmarkEnd w:id="79"/>
    </w:p>
    <w:p>
      <w:pPr>
        <w:spacing w:line="600" w:lineRule="exact"/>
        <w:ind w:firstLine="640"/>
        <w:outlineLvl w:val="2"/>
        <w:rPr>
          <w:rFonts w:ascii="仿宋" w:hAnsi="仿宋" w:eastAsia="仿宋"/>
          <w:b/>
          <w:color w:val="000000"/>
          <w:sz w:val="32"/>
          <w:szCs w:val="32"/>
        </w:rPr>
      </w:pPr>
      <w:bookmarkStart w:id="80" w:name="_Toc29075"/>
      <w:bookmarkStart w:id="81" w:name="_Toc79163620"/>
      <w:bookmarkStart w:id="82" w:name="_Toc15377216"/>
      <w:r>
        <w:rPr>
          <w:rFonts w:hint="eastAsia" w:ascii="仿宋" w:hAnsi="仿宋" w:eastAsia="仿宋"/>
          <w:b/>
          <w:color w:val="000000"/>
          <w:sz w:val="32"/>
          <w:szCs w:val="32"/>
        </w:rPr>
        <w:t>（一）“三公”经费财政拨款支出决算总体情况说明</w:t>
      </w:r>
      <w:bookmarkEnd w:id="80"/>
      <w:bookmarkEnd w:id="81"/>
      <w:bookmarkEnd w:id="82"/>
    </w:p>
    <w:p>
      <w:pPr>
        <w:spacing w:line="600" w:lineRule="exact"/>
        <w:ind w:firstLine="640"/>
        <w:rPr>
          <w:rFonts w:ascii="仿宋" w:hAnsi="仿宋" w:eastAsia="仿宋"/>
          <w:b/>
          <w:color w:val="FF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1年“三公”经费财政拨款支出决算为8.32万元，完成预算100</w:t>
      </w:r>
      <w:r>
        <w:rPr>
          <w:rFonts w:ascii="仿宋" w:hAnsi="仿宋" w:eastAsia="仿宋"/>
          <w:color w:val="000000"/>
          <w:sz w:val="32"/>
          <w:szCs w:val="32"/>
        </w:rPr>
        <w:t>%</w:t>
      </w:r>
      <w:r>
        <w:rPr>
          <w:rFonts w:hint="eastAsia" w:ascii="仿宋" w:hAnsi="仿宋" w:eastAsia="仿宋"/>
          <w:color w:val="000000"/>
          <w:sz w:val="32"/>
          <w:szCs w:val="32"/>
        </w:rPr>
        <w:t>，决算数等于预算数。</w:t>
      </w:r>
    </w:p>
    <w:p>
      <w:pPr>
        <w:spacing w:line="600" w:lineRule="exact"/>
        <w:ind w:firstLine="640"/>
        <w:outlineLvl w:val="2"/>
        <w:rPr>
          <w:rFonts w:ascii="仿宋" w:hAnsi="仿宋" w:eastAsia="仿宋"/>
          <w:b/>
          <w:color w:val="000000"/>
          <w:sz w:val="32"/>
          <w:szCs w:val="32"/>
        </w:rPr>
      </w:pPr>
      <w:bookmarkStart w:id="83" w:name="_Toc79163621"/>
      <w:bookmarkStart w:id="84" w:name="_Toc24151"/>
      <w:bookmarkStart w:id="85" w:name="_Toc15377217"/>
      <w:r>
        <w:rPr>
          <w:rFonts w:hint="eastAsia" w:ascii="仿宋" w:hAnsi="仿宋" w:eastAsia="仿宋"/>
          <w:b/>
          <w:color w:val="000000"/>
          <w:sz w:val="32"/>
          <w:szCs w:val="32"/>
        </w:rPr>
        <w:t>（二）“三公”经费财政拨款支出决算具体情况说明</w:t>
      </w:r>
      <w:bookmarkEnd w:id="83"/>
      <w:bookmarkEnd w:id="84"/>
      <w:bookmarkEnd w:id="8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w:t>
      </w:r>
      <w:r>
        <w:rPr>
          <w:rFonts w:hint="eastAsia" w:ascii="仿宋" w:hAnsi="仿宋" w:eastAsia="仿宋"/>
          <w:color w:val="000000"/>
          <w:sz w:val="32"/>
          <w:szCs w:val="32"/>
        </w:rPr>
        <w:t>1年“三公”经费财政拨款支出决算中，因公出国（境）费支出决算0万元，占0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；公务用车购置及运行维护费支出决算7.94万元，占95.4</w:t>
      </w:r>
      <w:r>
        <w:rPr>
          <w:rFonts w:ascii="仿宋" w:hAnsi="仿宋" w:eastAsia="仿宋"/>
          <w:color w:val="000000"/>
          <w:sz w:val="32"/>
          <w:szCs w:val="32"/>
        </w:rPr>
        <w:t>%</w:t>
      </w:r>
      <w:r>
        <w:rPr>
          <w:rFonts w:hint="eastAsia" w:ascii="仿宋" w:hAnsi="仿宋" w:eastAsia="仿宋"/>
          <w:color w:val="000000"/>
          <w:sz w:val="32"/>
          <w:szCs w:val="32"/>
        </w:rPr>
        <w:t>；公务接待费支出决算0.38万元，占4.6</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p>
    <w:p>
      <w:pPr>
        <w:spacing w:line="600" w:lineRule="exact"/>
        <w:ind w:firstLine="640"/>
        <w:rPr>
          <w:rFonts w:ascii="仿宋_GB2312" w:eastAsia="仿宋_GB2312"/>
          <w:b/>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7.94万元</w:t>
      </w:r>
      <w:r>
        <w:rPr>
          <w:rFonts w:ascii="仿宋_GB2312" w:eastAsia="仿宋_GB2312"/>
          <w:color w:val="000000"/>
          <w:sz w:val="32"/>
          <w:szCs w:val="32"/>
        </w:rPr>
        <w:t>,</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w:t>
      </w:r>
      <w:r>
        <w:rPr>
          <w:rFonts w:hint="eastAsia" w:ascii="仿宋_GB2312" w:eastAsia="仿宋_GB2312"/>
          <w:color w:val="000000"/>
          <w:sz w:val="32"/>
          <w:szCs w:val="32"/>
        </w:rPr>
        <w:t>20年增加3.84万元，增长93.6</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sz w:val="32"/>
          <w:szCs w:val="32"/>
        </w:rPr>
        <w:t>主要原因是灾后公路毁损，车辆磨损大，车辆维修费、燃料费增加。</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7.94万元。主要用于出差等所需的公务用车燃料费、维修费、过路过桥费、保险费等支出。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rPr>
        <w:t>0.38万元，</w:t>
      </w:r>
      <w:r>
        <w:rPr>
          <w:rStyle w:val="22"/>
          <w:rFonts w:hint="eastAsia" w:ascii="仿宋" w:hAnsi="仿宋" w:eastAsia="仿宋"/>
          <w:b w:val="0"/>
          <w:bCs/>
          <w:color w:val="000000"/>
          <w:sz w:val="32"/>
          <w:szCs w:val="32"/>
        </w:rPr>
        <w:t>完成预算100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rPr>
        <w:t>20年增加0.38万元，增长100</w:t>
      </w:r>
      <w:r>
        <w:rPr>
          <w:rFonts w:ascii="仿宋_GB2312" w:eastAsia="仿宋_GB2312"/>
          <w:color w:val="000000"/>
          <w:sz w:val="32"/>
          <w:szCs w:val="32"/>
        </w:rPr>
        <w:t>%</w:t>
      </w:r>
      <w:r>
        <w:rPr>
          <w:rFonts w:hint="eastAsia" w:ascii="仿宋_GB2312" w:eastAsia="仿宋_GB2312"/>
          <w:color w:val="000000"/>
          <w:sz w:val="32"/>
          <w:szCs w:val="32"/>
        </w:rPr>
        <w:t>。主要原因是公务接待。其中：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0.38</w:t>
      </w:r>
      <w:r>
        <w:rPr>
          <w:rFonts w:hint="eastAsia" w:ascii="仿宋_GB2312" w:eastAsia="仿宋_GB2312"/>
          <w:sz w:val="32"/>
          <w:szCs w:val="32"/>
        </w:rPr>
        <w:t>万元，主要用于执行公务、开展业务活动开支的住宿费、用餐费，接待2批次20人。</w:t>
      </w:r>
    </w:p>
    <w:p>
      <w:pPr>
        <w:spacing w:line="600" w:lineRule="exact"/>
        <w:ind w:firstLine="640"/>
        <w:outlineLvl w:val="1"/>
        <w:rPr>
          <w:rFonts w:ascii="仿宋_GB2312" w:eastAsia="仿宋_GB2312"/>
          <w:color w:val="000000"/>
          <w:sz w:val="32"/>
          <w:szCs w:val="32"/>
        </w:rPr>
      </w:pPr>
      <w:bookmarkStart w:id="86" w:name="_Toc24228"/>
      <w:r>
        <w:rPr>
          <w:rFonts w:hint="eastAsia" w:ascii="仿宋" w:hAnsi="仿宋" w:eastAsia="仿宋"/>
          <w:b/>
          <w:color w:val="000000"/>
          <w:sz w:val="32"/>
          <w:szCs w:val="32"/>
        </w:rPr>
        <w:t>外事接待支出</w:t>
      </w:r>
      <w:r>
        <w:rPr>
          <w:rFonts w:hint="eastAsia" w:ascii="仿宋" w:hAnsi="仿宋" w:eastAsia="仿宋"/>
          <w:color w:val="000000"/>
          <w:sz w:val="32"/>
          <w:szCs w:val="32"/>
        </w:rPr>
        <w:t>0</w:t>
      </w:r>
      <w:r>
        <w:rPr>
          <w:rFonts w:hint="eastAsia" w:ascii="仿宋_GB2312" w:eastAsia="仿宋_GB2312"/>
          <w:color w:val="000000"/>
          <w:sz w:val="32"/>
          <w:szCs w:val="32"/>
        </w:rPr>
        <w:t>万元。</w:t>
      </w:r>
      <w:bookmarkEnd w:id="86"/>
      <w:bookmarkStart w:id="87" w:name="_Toc79163872"/>
      <w:bookmarkStart w:id="88" w:name="_Toc79163622"/>
      <w:bookmarkStart w:id="89" w:name="_Toc15396610"/>
      <w:bookmarkStart w:id="90" w:name="_Toc15377218"/>
    </w:p>
    <w:p>
      <w:pPr>
        <w:spacing w:line="600" w:lineRule="exact"/>
        <w:ind w:firstLine="640"/>
        <w:outlineLvl w:val="1"/>
        <w:rPr>
          <w:rStyle w:val="25"/>
          <w:rFonts w:ascii="黑体" w:hAnsi="黑体" w:eastAsia="黑体"/>
        </w:rPr>
      </w:pPr>
      <w:bookmarkStart w:id="91" w:name="_Toc25824"/>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7"/>
      <w:bookmarkEnd w:id="88"/>
      <w:bookmarkEnd w:id="89"/>
      <w:bookmarkEnd w:id="90"/>
      <w:bookmarkEnd w:id="91"/>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1年政府性基金预算拨款支出0万元。</w:t>
      </w:r>
    </w:p>
    <w:p>
      <w:pPr>
        <w:numPr>
          <w:ilvl w:val="0"/>
          <w:numId w:val="2"/>
        </w:numPr>
        <w:spacing w:line="600" w:lineRule="exact"/>
        <w:ind w:firstLine="640"/>
        <w:outlineLvl w:val="1"/>
        <w:rPr>
          <w:rStyle w:val="25"/>
          <w:rFonts w:ascii="黑体" w:hAnsi="黑体" w:eastAsia="黑体"/>
          <w:b w:val="0"/>
        </w:rPr>
      </w:pPr>
      <w:bookmarkStart w:id="92" w:name="_Toc79163623"/>
      <w:bookmarkStart w:id="93" w:name="_Toc27636"/>
      <w:bookmarkStart w:id="94" w:name="_Toc15396611"/>
      <w:bookmarkStart w:id="95" w:name="_Toc79163873"/>
      <w:bookmarkStart w:id="96" w:name="_Toc15377219"/>
      <w:r>
        <w:rPr>
          <w:rStyle w:val="25"/>
          <w:rFonts w:hint="eastAsia" w:ascii="黑体" w:hAnsi="黑体" w:eastAsia="黑体"/>
          <w:b w:val="0"/>
        </w:rPr>
        <w:t>国有资本经营预算支出决算情况说明</w:t>
      </w:r>
      <w:bookmarkEnd w:id="92"/>
      <w:bookmarkEnd w:id="93"/>
      <w:bookmarkEnd w:id="94"/>
      <w:bookmarkEnd w:id="95"/>
      <w:bookmarkEnd w:id="96"/>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w:t>
      </w:r>
      <w:r>
        <w:rPr>
          <w:rFonts w:hint="eastAsia" w:ascii="仿宋_GB2312" w:eastAsia="仿宋_GB2312"/>
          <w:color w:val="000000"/>
          <w:sz w:val="32"/>
          <w:szCs w:val="32"/>
        </w:rPr>
        <w:t>1年国有资本经营预算拨款支出0万元。</w:t>
      </w:r>
    </w:p>
    <w:p>
      <w:pPr>
        <w:spacing w:line="600" w:lineRule="exact"/>
        <w:ind w:firstLine="640" w:firstLineChars="200"/>
        <w:outlineLvl w:val="1"/>
        <w:rPr>
          <w:rStyle w:val="25"/>
          <w:rFonts w:ascii="黑体" w:hAnsi="黑体" w:eastAsia="黑体"/>
        </w:rPr>
      </w:pPr>
      <w:bookmarkStart w:id="97" w:name="_Toc15396612"/>
      <w:bookmarkStart w:id="98" w:name="_Toc15308"/>
      <w:bookmarkStart w:id="99" w:name="_Toc15377221"/>
      <w:bookmarkStart w:id="100" w:name="_Toc79163624"/>
      <w:bookmarkStart w:id="101" w:name="_Toc79163874"/>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7"/>
      <w:bookmarkEnd w:id="98"/>
      <w:bookmarkEnd w:id="99"/>
      <w:bookmarkEnd w:id="100"/>
      <w:bookmarkEnd w:id="101"/>
    </w:p>
    <w:p>
      <w:pPr>
        <w:spacing w:line="600" w:lineRule="exact"/>
        <w:ind w:firstLine="643" w:firstLineChars="200"/>
        <w:outlineLvl w:val="2"/>
        <w:rPr>
          <w:rFonts w:ascii="仿宋" w:hAnsi="仿宋" w:eastAsia="仿宋"/>
          <w:color w:val="000000"/>
          <w:sz w:val="32"/>
          <w:szCs w:val="32"/>
        </w:rPr>
      </w:pPr>
      <w:bookmarkStart w:id="102" w:name="_Toc79163875"/>
      <w:bookmarkStart w:id="103" w:name="_Toc15377222"/>
      <w:bookmarkStart w:id="104" w:name="_Toc17852"/>
      <w:bookmarkStart w:id="105" w:name="_Toc79163625"/>
      <w:r>
        <w:rPr>
          <w:rFonts w:hint="eastAsia" w:ascii="仿宋" w:hAnsi="仿宋" w:eastAsia="仿宋"/>
          <w:b/>
          <w:color w:val="000000"/>
          <w:sz w:val="32"/>
          <w:szCs w:val="32"/>
        </w:rPr>
        <w:t>（一）机关运行经费支出情况</w:t>
      </w:r>
      <w:bookmarkEnd w:id="102"/>
      <w:bookmarkEnd w:id="103"/>
      <w:bookmarkEnd w:id="104"/>
      <w:bookmarkEnd w:id="105"/>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1年，白羊乡机关运行经费支出97.06万元，比</w:t>
      </w:r>
      <w:r>
        <w:rPr>
          <w:rFonts w:ascii="仿宋_GB2312" w:eastAsia="仿宋_GB2312"/>
          <w:color w:val="000000"/>
          <w:sz w:val="32"/>
          <w:szCs w:val="32"/>
        </w:rPr>
        <w:t>20</w:t>
      </w:r>
      <w:r>
        <w:rPr>
          <w:rFonts w:hint="eastAsia" w:ascii="仿宋_GB2312" w:eastAsia="仿宋_GB2312"/>
          <w:color w:val="000000"/>
          <w:sz w:val="32"/>
          <w:szCs w:val="32"/>
        </w:rPr>
        <w:t>20年增加63.56万元，增长190.00</w:t>
      </w:r>
      <w:r>
        <w:rPr>
          <w:rFonts w:ascii="仿宋_GB2312" w:eastAsia="仿宋_GB2312"/>
          <w:color w:val="000000"/>
          <w:sz w:val="32"/>
          <w:szCs w:val="32"/>
        </w:rPr>
        <w:t>%</w:t>
      </w:r>
      <w:r>
        <w:rPr>
          <w:rFonts w:hint="eastAsia" w:ascii="仿宋_GB2312" w:eastAsia="仿宋_GB2312"/>
          <w:color w:val="000000"/>
          <w:sz w:val="32"/>
          <w:szCs w:val="32"/>
        </w:rPr>
        <w:t>。主要原因是办公经费增加。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06" w:name="_Toc15377223"/>
      <w:bookmarkStart w:id="107" w:name="_Toc79163626"/>
      <w:bookmarkStart w:id="108" w:name="_Toc369"/>
      <w:bookmarkStart w:id="109" w:name="_Toc79163876"/>
      <w:r>
        <w:rPr>
          <w:rFonts w:hint="eastAsia" w:ascii="仿宋" w:hAnsi="仿宋" w:eastAsia="仿宋"/>
          <w:b/>
          <w:color w:val="000000"/>
          <w:sz w:val="32"/>
          <w:szCs w:val="32"/>
        </w:rPr>
        <w:t>（二）政府采购支出情况</w:t>
      </w:r>
      <w:bookmarkEnd w:id="106"/>
      <w:bookmarkEnd w:id="107"/>
      <w:bookmarkEnd w:id="108"/>
      <w:bookmarkEnd w:id="10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rPr>
        <w:t>1年，我乡无政府采购</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0" w:name="_Toc15377224"/>
      <w:bookmarkStart w:id="111" w:name="_Toc79163877"/>
      <w:bookmarkStart w:id="112" w:name="_Toc79163627"/>
      <w:bookmarkStart w:id="113" w:name="_Toc12272"/>
      <w:r>
        <w:rPr>
          <w:rFonts w:hint="eastAsia" w:ascii="仿宋" w:hAnsi="仿宋" w:eastAsia="仿宋"/>
          <w:b/>
          <w:color w:val="000000"/>
          <w:sz w:val="32"/>
          <w:szCs w:val="32"/>
        </w:rPr>
        <w:t>（三）国有资产占有使用情况</w:t>
      </w:r>
      <w:bookmarkEnd w:id="110"/>
      <w:bookmarkEnd w:id="111"/>
      <w:bookmarkEnd w:id="112"/>
      <w:bookmarkEnd w:id="113"/>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w:t>
      </w:r>
      <w:r>
        <w:rPr>
          <w:rFonts w:hint="eastAsia" w:ascii="仿宋_GB2312" w:eastAsia="仿宋_GB2312"/>
          <w:color w:val="000000"/>
          <w:sz w:val="32"/>
          <w:szCs w:val="32"/>
        </w:rPr>
        <w:t>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日，白羊乡共有车辆2辆，其中：主要领导干部用车0辆、机要通信用车0辆、应急保障用车0辆、其他用车2辆，其他用车主要是用于</w:t>
      </w:r>
      <w:r>
        <w:rPr>
          <w:rFonts w:hint="eastAsia" w:ascii="仿宋_GB2312" w:eastAsia="仿宋_GB2312"/>
          <w:color w:val="000000" w:themeColor="text1"/>
          <w:sz w:val="32"/>
          <w:szCs w:val="32"/>
        </w:rPr>
        <w:t>日常开展工作</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万元以上通用设备0台，单价</w:t>
      </w:r>
      <w:r>
        <w:rPr>
          <w:rFonts w:ascii="仿宋_GB2312" w:eastAsia="仿宋_GB2312"/>
          <w:color w:val="000000"/>
          <w:sz w:val="32"/>
          <w:szCs w:val="32"/>
        </w:rPr>
        <w:t>100</w:t>
      </w:r>
      <w:r>
        <w:rPr>
          <w:rFonts w:hint="eastAsia" w:ascii="仿宋_GB2312" w:eastAsia="仿宋_GB2312"/>
          <w:color w:val="000000"/>
          <w:sz w:val="32"/>
          <w:szCs w:val="32"/>
        </w:rPr>
        <w:t>万元以上专用设备0台。</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14" w:name="_Toc29960"/>
      <w:bookmarkStart w:id="115" w:name="_Toc79163628"/>
      <w:bookmarkStart w:id="116" w:name="_Toc79163878"/>
      <w:r>
        <w:rPr>
          <w:rFonts w:hint="eastAsia" w:ascii="仿宋" w:hAnsi="仿宋" w:eastAsia="仿宋"/>
          <w:b/>
          <w:color w:val="000000"/>
          <w:sz w:val="32"/>
          <w:szCs w:val="32"/>
        </w:rPr>
        <w:t>（四）预算绩效管理情况。</w:t>
      </w:r>
      <w:bookmarkEnd w:id="114"/>
      <w:bookmarkEnd w:id="115"/>
      <w:bookmarkEnd w:id="116"/>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根据预算绩效管理要求，本部门（单位）在年初预算编制阶段，本部门对2021年一般公共预算项目支出开展了绩效目标管理，共编制绩效目标0个，涉及财政资金0万元。</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本部门无专项预算项目，因此未组织开展项目支出绩效评价。</w:t>
      </w:r>
    </w:p>
    <w:p>
      <w:pPr>
        <w:spacing w:line="58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1年部门整体支出绩效评价情况开展自评，《白羊乡部门</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1年部门整体支出绩效评价报告》见附件（附件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117" w:name="_Toc79163629"/>
      <w:bookmarkStart w:id="118" w:name="_Toc15377225"/>
      <w:bookmarkStart w:id="119" w:name="_Toc5045"/>
      <w:bookmarkStart w:id="120" w:name="_Toc79163879"/>
      <w:bookmarkStart w:id="121"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117"/>
      <w:bookmarkEnd w:id="118"/>
      <w:bookmarkEnd w:id="119"/>
      <w:bookmarkEnd w:id="120"/>
      <w:bookmarkEnd w:id="121"/>
    </w:p>
    <w:p>
      <w:pPr>
        <w:spacing w:line="600" w:lineRule="exact"/>
        <w:jc w:val="left"/>
        <w:rPr>
          <w:rFonts w:ascii="宋体"/>
          <w:b/>
          <w:color w:val="000000"/>
          <w:sz w:val="44"/>
          <w:szCs w:val="44"/>
        </w:rPr>
      </w:pPr>
    </w:p>
    <w:p>
      <w:pPr>
        <w:pStyle w:val="34"/>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w:t>
      </w:r>
      <w:r>
        <w:rPr>
          <w:rFonts w:hint="eastAsia" w:ascii="仿宋_GB2312" w:eastAsia="仿宋_GB2312"/>
          <w:color w:val="auto"/>
          <w:sz w:val="32"/>
          <w:szCs w:val="32"/>
        </w:rPr>
        <w:t>除上述收入以外的各项收入</w:t>
      </w:r>
      <w:r>
        <w:rPr>
          <w:rFonts w:hint="eastAsia" w:ascii="仿宋_GB2312" w:eastAsia="仿宋_GB2312"/>
          <w:sz w:val="32"/>
          <w:szCs w:val="32"/>
        </w:rPr>
        <w:t>。</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4"/>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r>
        <w:rPr>
          <w:rFonts w:hint="eastAsia" w:ascii="仿宋_GB2312" w:eastAsia="仿宋_GB2312"/>
          <w:sz w:val="32"/>
          <w:szCs w:val="32"/>
        </w:rPr>
        <w:t>指2010101人大事务行政运行、2010301政府相关行政运行、2010302一般行政管理事务</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0</w:t>
      </w:r>
      <w:r>
        <w:rPr>
          <w:rFonts w:ascii="仿宋_GB2312" w:eastAsia="仿宋_GB2312"/>
          <w:color w:val="000000"/>
          <w:sz w:val="32"/>
          <w:szCs w:val="32"/>
        </w:rPr>
        <w:t>.</w:t>
      </w:r>
      <w:r>
        <w:rPr>
          <w:rFonts w:hint="eastAsia" w:ascii="仿宋_GB2312" w:eastAsia="仿宋_GB2312"/>
          <w:color w:val="000000"/>
          <w:sz w:val="32"/>
          <w:szCs w:val="32"/>
        </w:rPr>
        <w:t>社会保障和就业（类）…（款）…（项）：指</w:t>
      </w:r>
      <w:r>
        <w:rPr>
          <w:rFonts w:hint="eastAsia" w:ascii="仿宋_GB2312" w:eastAsia="仿宋_GB2312"/>
          <w:sz w:val="32"/>
          <w:szCs w:val="32"/>
        </w:rPr>
        <w:t>2080505机关事业单位养老保险缴费</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1</w:t>
      </w:r>
      <w:r>
        <w:rPr>
          <w:rFonts w:ascii="仿宋_GB2312" w:eastAsia="仿宋_GB2312"/>
          <w:color w:val="000000"/>
          <w:sz w:val="32"/>
          <w:szCs w:val="32"/>
        </w:rPr>
        <w:t>.</w:t>
      </w:r>
      <w:r>
        <w:rPr>
          <w:rFonts w:hint="eastAsia" w:ascii="仿宋_GB2312" w:eastAsia="仿宋_GB2312"/>
          <w:color w:val="000000"/>
          <w:sz w:val="32"/>
          <w:szCs w:val="32"/>
        </w:rPr>
        <w:t>医疗卫生与计划生育（类）…（款）…（项）：</w:t>
      </w:r>
      <w:r>
        <w:rPr>
          <w:rFonts w:hint="eastAsia" w:ascii="仿宋_GB2312" w:eastAsia="仿宋_GB2312"/>
          <w:sz w:val="32"/>
          <w:szCs w:val="32"/>
        </w:rPr>
        <w:t>指2101101行政单位医疗支出、2101102事业单位医疗支出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2</w:t>
      </w:r>
      <w:r>
        <w:rPr>
          <w:rFonts w:ascii="仿宋_GB2312" w:eastAsia="仿宋_GB2312"/>
          <w:color w:val="000000"/>
          <w:sz w:val="32"/>
          <w:szCs w:val="32"/>
        </w:rPr>
        <w:t>.</w:t>
      </w:r>
      <w:r>
        <w:rPr>
          <w:rFonts w:hint="eastAsia" w:ascii="仿宋_GB2312" w:eastAsia="仿宋_GB2312"/>
          <w:color w:val="000000"/>
          <w:sz w:val="32"/>
          <w:szCs w:val="32"/>
        </w:rPr>
        <w:t>城乡社区（类）…（款）…（项）：指</w:t>
      </w:r>
      <w:r>
        <w:rPr>
          <w:rFonts w:hint="eastAsia" w:ascii="仿宋_GB2312" w:eastAsia="仿宋_GB2312"/>
          <w:sz w:val="32"/>
          <w:szCs w:val="32"/>
        </w:rPr>
        <w:t>2120501城乡环境卫生</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3</w:t>
      </w:r>
      <w:r>
        <w:rPr>
          <w:rFonts w:ascii="仿宋_GB2312" w:eastAsia="仿宋_GB2312"/>
          <w:color w:val="000000"/>
          <w:sz w:val="32"/>
          <w:szCs w:val="32"/>
        </w:rPr>
        <w:t>.</w:t>
      </w:r>
      <w:r>
        <w:rPr>
          <w:rFonts w:hint="eastAsia" w:ascii="仿宋_GB2312" w:eastAsia="仿宋_GB2312"/>
          <w:color w:val="000000"/>
          <w:sz w:val="32"/>
          <w:szCs w:val="32"/>
        </w:rPr>
        <w:t>农林水（类）…（款）…（项）：指</w:t>
      </w:r>
      <w:r>
        <w:rPr>
          <w:rStyle w:val="22"/>
          <w:rFonts w:hint="eastAsia" w:ascii="仿宋" w:hAnsi="仿宋" w:eastAsia="仿宋"/>
          <w:b w:val="0"/>
          <w:sz w:val="32"/>
          <w:szCs w:val="32"/>
        </w:rPr>
        <w:t>2130104事业</w:t>
      </w:r>
      <w:r>
        <w:rPr>
          <w:rStyle w:val="22"/>
          <w:rFonts w:hint="eastAsia" w:ascii="仿宋" w:hAnsi="仿宋" w:eastAsia="仿宋"/>
          <w:b w:val="0"/>
          <w:bCs/>
          <w:sz w:val="32"/>
          <w:szCs w:val="32"/>
        </w:rPr>
        <w:t>支出、2130504农村设施建设支出、2130506社会发展支出、2130599其他扶贫支出、2130705对村民委员会和村党支部的补助支出</w:t>
      </w:r>
      <w:r>
        <w:rPr>
          <w:rFonts w:hint="eastAsia" w:ascii="仿宋_GB2312" w:eastAsia="仿宋_GB2312"/>
          <w:color w:val="000000"/>
          <w:sz w:val="32"/>
          <w:szCs w:val="32"/>
        </w:rPr>
        <w:t>。</w:t>
      </w:r>
    </w:p>
    <w:p>
      <w:pPr>
        <w:ind w:firstLine="640" w:firstLineChars="200"/>
        <w:rPr>
          <w:rFonts w:ascii="仿宋" w:hAnsi="仿宋" w:eastAsia="仿宋"/>
          <w:b/>
          <w:color w:val="000000"/>
          <w:sz w:val="32"/>
          <w:szCs w:val="32"/>
        </w:rPr>
      </w:pPr>
      <w:r>
        <w:rPr>
          <w:rFonts w:hint="eastAsia" w:ascii="仿宋_GB2312" w:eastAsia="仿宋_GB2312"/>
          <w:color w:val="000000"/>
          <w:sz w:val="32"/>
          <w:szCs w:val="32"/>
        </w:rPr>
        <w:t>14</w:t>
      </w:r>
      <w:r>
        <w:rPr>
          <w:rFonts w:ascii="仿宋_GB2312" w:eastAsia="仿宋_GB2312"/>
          <w:color w:val="000000"/>
          <w:sz w:val="32"/>
          <w:szCs w:val="32"/>
        </w:rPr>
        <w:t>.</w:t>
      </w:r>
      <w:r>
        <w:rPr>
          <w:rFonts w:hint="eastAsia" w:ascii="仿宋_GB2312" w:eastAsia="仿宋_GB2312"/>
          <w:color w:val="000000"/>
          <w:sz w:val="32"/>
          <w:szCs w:val="32"/>
        </w:rPr>
        <w:t>住房保障（类）…（款）…（项）：指</w:t>
      </w:r>
      <w:r>
        <w:rPr>
          <w:rFonts w:hint="eastAsia" w:ascii="仿宋_GB2312" w:eastAsia="仿宋_GB2312"/>
          <w:sz w:val="32"/>
          <w:szCs w:val="32"/>
        </w:rPr>
        <w:t>2210201住房公积金支出</w:t>
      </w:r>
      <w:r>
        <w:rPr>
          <w:rFonts w:hint="eastAsia" w:ascii="仿宋_GB2312" w:eastAsia="仿宋_GB2312"/>
          <w:color w:val="000000"/>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rPr>
        <w:t>18</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4"/>
        <w:spacing w:line="560" w:lineRule="exact"/>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outlineLvl w:val="0"/>
        <w:rPr>
          <w:rFonts w:ascii="黑体" w:hAnsi="黑体" w:eastAsia="黑体"/>
          <w:color w:val="000000"/>
          <w:sz w:val="44"/>
          <w:szCs w:val="44"/>
        </w:rPr>
      </w:pPr>
      <w:bookmarkStart w:id="122" w:name="_Toc79163880"/>
      <w:bookmarkStart w:id="123" w:name="_Toc15396614"/>
      <w:bookmarkStart w:id="124" w:name="_Toc79163630"/>
      <w:bookmarkStart w:id="125" w:name="_Toc15377226"/>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bookmarkStart w:id="126" w:name="_Toc3780"/>
      <w:r>
        <w:rPr>
          <w:rFonts w:hint="eastAsia" w:ascii="黑体" w:hAnsi="黑体" w:eastAsia="黑体"/>
          <w:color w:val="000000"/>
          <w:sz w:val="44"/>
          <w:szCs w:val="44"/>
        </w:rPr>
        <w:t>第</w:t>
      </w:r>
      <w:r>
        <w:rPr>
          <w:rStyle w:val="24"/>
          <w:rFonts w:hint="eastAsia" w:ascii="黑体" w:hAnsi="黑体" w:eastAsia="黑体"/>
          <w:b w:val="0"/>
        </w:rPr>
        <w:t>四部分附件</w:t>
      </w:r>
      <w:bookmarkEnd w:id="122"/>
      <w:bookmarkEnd w:id="123"/>
      <w:bookmarkEnd w:id="124"/>
      <w:bookmarkEnd w:id="126"/>
    </w:p>
    <w:p>
      <w:pPr>
        <w:spacing w:line="600" w:lineRule="exact"/>
        <w:jc w:val="left"/>
        <w:outlineLvl w:val="0"/>
        <w:rPr>
          <w:rFonts w:ascii="方正小标宋简体" w:hAnsi="方正小标宋简体" w:eastAsia="方正小标宋简体" w:cs="方正小标宋简体"/>
          <w:sz w:val="32"/>
          <w:szCs w:val="32"/>
        </w:rPr>
      </w:pPr>
      <w:bookmarkStart w:id="127" w:name="_Toc79163631"/>
      <w:bookmarkStart w:id="128" w:name="_Toc30086"/>
      <w:r>
        <w:rPr>
          <w:rFonts w:hint="eastAsia" w:ascii="黑体" w:hAnsi="黑体" w:eastAsia="黑体" w:cs="黑体"/>
          <w:sz w:val="32"/>
          <w:szCs w:val="32"/>
        </w:rPr>
        <w:t>附件</w:t>
      </w:r>
      <w:r>
        <w:rPr>
          <w:rFonts w:ascii="黑体" w:hAnsi="黑体" w:eastAsia="黑体" w:cs="黑体"/>
          <w:sz w:val="32"/>
          <w:szCs w:val="32"/>
        </w:rPr>
        <w:t>1</w:t>
      </w:r>
      <w:bookmarkEnd w:id="127"/>
      <w:bookmarkEnd w:id="128"/>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29" w:name="_Toc79163632"/>
      <w:bookmarkStart w:id="130" w:name="_Toc25058"/>
      <w:r>
        <w:rPr>
          <w:rFonts w:hint="eastAsia" w:ascii="方正小标宋简体" w:hAnsi="黑体" w:eastAsia="方正小标宋简体" w:cs="黑体"/>
          <w:sz w:val="44"/>
          <w:szCs w:val="44"/>
        </w:rPr>
        <w:t>白羊乡部门</w:t>
      </w:r>
      <w:r>
        <w:rPr>
          <w:rFonts w:ascii="方正小标宋简体" w:hAnsi="黑体" w:eastAsia="方正小标宋简体" w:cs="黑体"/>
          <w:sz w:val="44"/>
          <w:szCs w:val="44"/>
        </w:rPr>
        <w:t>202</w:t>
      </w:r>
      <w:r>
        <w:rPr>
          <w:rFonts w:hint="eastAsia" w:ascii="方正小标宋简体" w:hAnsi="黑体" w:eastAsia="方正小标宋简体" w:cs="黑体"/>
          <w:sz w:val="44"/>
          <w:szCs w:val="44"/>
        </w:rPr>
        <w:t>1年部门整体支出绩效评价报告</w:t>
      </w:r>
      <w:bookmarkEnd w:id="129"/>
      <w:bookmarkEnd w:id="130"/>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pStyle w:val="8"/>
        <w:spacing w:line="360" w:lineRule="auto"/>
        <w:ind w:firstLine="600"/>
        <w:jc w:val="left"/>
        <w:rPr>
          <w:rFonts w:hAnsi="宋体" w:cs="宋体"/>
          <w:color w:val="000000"/>
          <w:kern w:val="0"/>
          <w:szCs w:val="32"/>
          <w:shd w:val="clear" w:color="auto" w:fill="FFFFFF"/>
          <w:lang w:val="zh-CN"/>
        </w:rPr>
      </w:pPr>
      <w:r>
        <w:rPr>
          <w:rFonts w:hint="eastAsia" w:hAnsi="宋体" w:cs="宋体"/>
          <w:color w:val="000000"/>
          <w:kern w:val="0"/>
          <w:szCs w:val="32"/>
          <w:shd w:val="clear" w:color="auto" w:fill="FFFFFF"/>
          <w:lang w:val="zh-CN"/>
        </w:rPr>
        <w:t>（一）机构组成。</w:t>
      </w:r>
    </w:p>
    <w:p>
      <w:pPr>
        <w:pStyle w:val="8"/>
        <w:spacing w:line="360" w:lineRule="auto"/>
        <w:ind w:firstLine="600"/>
        <w:jc w:val="left"/>
        <w:rPr>
          <w:rFonts w:hAnsi="仿宋_GB2312" w:cs="仿宋_GB2312"/>
          <w:sz w:val="30"/>
          <w:szCs w:val="30"/>
        </w:rPr>
      </w:pPr>
      <w:r>
        <w:rPr>
          <w:rFonts w:hint="eastAsia" w:hAnsi="仿宋_GB2312" w:cs="仿宋_GB2312"/>
          <w:sz w:val="30"/>
          <w:szCs w:val="30"/>
        </w:rPr>
        <w:t>松潘县白羊乡设5个内设机构：</w:t>
      </w:r>
    </w:p>
    <w:p>
      <w:pPr>
        <w:pStyle w:val="8"/>
        <w:spacing w:line="360" w:lineRule="auto"/>
        <w:ind w:left="641" w:firstLine="0"/>
        <w:jc w:val="left"/>
        <w:rPr>
          <w:rFonts w:hAnsi="仿宋_GB2312" w:cs="仿宋_GB2312"/>
          <w:sz w:val="30"/>
          <w:szCs w:val="30"/>
        </w:rPr>
      </w:pPr>
      <w:r>
        <w:rPr>
          <w:rFonts w:hint="eastAsia" w:hAnsi="仿宋_GB2312" w:cs="仿宋_GB2312"/>
          <w:sz w:val="30"/>
          <w:szCs w:val="30"/>
        </w:rPr>
        <w:t>1、办公室</w:t>
      </w:r>
    </w:p>
    <w:p>
      <w:pPr>
        <w:spacing w:line="360" w:lineRule="auto"/>
        <w:ind w:firstLine="600" w:firstLineChars="200"/>
        <w:rPr>
          <w:rFonts w:ascii="仿宋_GB2312" w:hAnsi="仿宋_GB2312" w:eastAsia="仿宋_GB2312" w:cs="仿宋_GB2312"/>
          <w:sz w:val="30"/>
          <w:szCs w:val="30"/>
        </w:rPr>
      </w:pPr>
      <w:r>
        <w:rPr>
          <w:rFonts w:hint="eastAsia" w:ascii="仿宋_GB2312" w:hAnsi="仿宋_GB2312" w:eastAsia="仿宋_GB2312" w:cs="仿宋_GB2312"/>
          <w:bCs/>
          <w:sz w:val="30"/>
          <w:szCs w:val="30"/>
        </w:rPr>
        <w:t>贯彻执行党和国家的有关方针、政策、法律和法规；执行上级政府的决定和命令；拟订适合本乡实际的政府措施，并有效的组织实施。负责组织编制本乡建设的总体规化。编制本乡财政预决算计划，负责经费的划拨和核算工作。</w:t>
      </w:r>
    </w:p>
    <w:p>
      <w:pPr>
        <w:pStyle w:val="8"/>
        <w:spacing w:line="360" w:lineRule="auto"/>
        <w:jc w:val="left"/>
        <w:rPr>
          <w:rFonts w:hAnsi="仿宋_GB2312" w:cs="仿宋_GB2312"/>
          <w:sz w:val="30"/>
          <w:szCs w:val="30"/>
        </w:rPr>
      </w:pPr>
      <w:r>
        <w:rPr>
          <w:rFonts w:hint="eastAsia" w:hAnsi="仿宋_GB2312" w:cs="仿宋_GB2312"/>
          <w:sz w:val="30"/>
          <w:szCs w:val="30"/>
        </w:rPr>
        <w:t>2、财政所</w:t>
      </w:r>
    </w:p>
    <w:p>
      <w:pPr>
        <w:pStyle w:val="8"/>
        <w:spacing w:line="360" w:lineRule="auto"/>
        <w:ind w:firstLine="600"/>
        <w:jc w:val="left"/>
        <w:rPr>
          <w:rFonts w:hAnsi="仿宋_GB2312" w:cs="仿宋_GB2312"/>
          <w:sz w:val="30"/>
          <w:szCs w:val="30"/>
        </w:rPr>
      </w:pPr>
      <w:r>
        <w:rPr>
          <w:rFonts w:hint="eastAsia" w:hAnsi="仿宋_GB2312" w:cs="仿宋_GB2312"/>
          <w:sz w:val="30"/>
          <w:szCs w:val="30"/>
        </w:rPr>
        <w:t>落实兑现各级惠农补助资金，对农民负担和农村政策实施监管；</w:t>
      </w:r>
    </w:p>
    <w:p>
      <w:pPr>
        <w:pStyle w:val="8"/>
        <w:spacing w:line="360" w:lineRule="auto"/>
        <w:ind w:firstLine="600"/>
        <w:jc w:val="left"/>
        <w:rPr>
          <w:rFonts w:hAnsi="仿宋_GB2312" w:cs="仿宋_GB2312"/>
          <w:sz w:val="30"/>
          <w:szCs w:val="30"/>
        </w:rPr>
      </w:pPr>
      <w:r>
        <w:rPr>
          <w:rFonts w:hint="eastAsia" w:hAnsi="仿宋_GB2312" w:cs="仿宋_GB2312"/>
          <w:sz w:val="30"/>
          <w:szCs w:val="30"/>
        </w:rPr>
        <w:t>围绕乡政府财源建设搞好服务；农村财务管理指导、监督和审计，依法代理村级财务，财政项目资金管理和乡政府机关财务代理；乡公有资产管理利用及村级集体资产监督管理；财政预算编制、执行及管理。</w:t>
      </w:r>
    </w:p>
    <w:p>
      <w:pPr>
        <w:pStyle w:val="8"/>
        <w:spacing w:line="360" w:lineRule="auto"/>
        <w:jc w:val="left"/>
        <w:rPr>
          <w:rFonts w:hAnsi="仿宋_GB2312" w:cs="仿宋_GB2312"/>
          <w:sz w:val="30"/>
          <w:szCs w:val="30"/>
        </w:rPr>
      </w:pPr>
      <w:r>
        <w:rPr>
          <w:rFonts w:hint="eastAsia" w:hAnsi="仿宋_GB2312" w:cs="仿宋_GB2312"/>
          <w:sz w:val="30"/>
          <w:szCs w:val="30"/>
        </w:rPr>
        <w:t>3、综合文化服务中心</w:t>
      </w:r>
    </w:p>
    <w:p>
      <w:pPr>
        <w:pStyle w:val="8"/>
        <w:spacing w:line="360" w:lineRule="auto"/>
        <w:ind w:firstLine="600"/>
        <w:jc w:val="left"/>
        <w:rPr>
          <w:rFonts w:hAnsi="仿宋_GB2312" w:cs="仿宋_GB2312"/>
          <w:sz w:val="30"/>
          <w:szCs w:val="30"/>
        </w:rPr>
      </w:pPr>
      <w:r>
        <w:rPr>
          <w:rFonts w:hint="eastAsia" w:hAnsi="仿宋_GB2312" w:cs="仿宋_GB2312"/>
          <w:sz w:val="30"/>
          <w:szCs w:val="30"/>
        </w:rPr>
        <w:t>具体负责文化中心日常开放运行工作，做好接待群众、设备调试维护、图书登记整理、环境卫生、值班安全等日常事务；积极开展群众性文化活动，抓好活动组织工作；具体指导和督促各村委、居委的文化室、图书室、“农家书屋”、健身场所等村级文化建设和文体活动。</w:t>
      </w:r>
    </w:p>
    <w:p>
      <w:pPr>
        <w:pStyle w:val="8"/>
        <w:spacing w:line="360" w:lineRule="auto"/>
        <w:jc w:val="left"/>
        <w:rPr>
          <w:rFonts w:hAnsi="仿宋_GB2312" w:cs="仿宋_GB2312"/>
          <w:sz w:val="30"/>
          <w:szCs w:val="30"/>
        </w:rPr>
      </w:pPr>
      <w:r>
        <w:rPr>
          <w:rFonts w:hint="eastAsia" w:hAnsi="仿宋_GB2312" w:cs="仿宋_GB2312"/>
          <w:sz w:val="30"/>
          <w:szCs w:val="30"/>
        </w:rPr>
        <w:t>4、经济发展服务中心</w:t>
      </w:r>
    </w:p>
    <w:p>
      <w:pPr>
        <w:pStyle w:val="8"/>
        <w:spacing w:line="360" w:lineRule="auto"/>
        <w:ind w:firstLine="600"/>
        <w:jc w:val="left"/>
        <w:rPr>
          <w:rFonts w:hAnsi="仿宋_GB2312" w:cs="仿宋_GB2312"/>
          <w:sz w:val="30"/>
          <w:szCs w:val="30"/>
        </w:rPr>
      </w:pPr>
      <w:r>
        <w:rPr>
          <w:rFonts w:hint="eastAsia" w:hAnsi="仿宋_GB2312" w:cs="仿宋_GB2312"/>
          <w:sz w:val="30"/>
          <w:szCs w:val="30"/>
        </w:rPr>
        <w:t>制定全乡经济发展规划和年度工作目标，负责乡属企业、个体、私营企业的规划管理、指导服务工作；做好项目筛选、储备、管理、申报等相关工作；负责做好编制年度财政资金预算，以及管理乡国有资产、集体资产等工作；协调与本乡经济发展相关的其它工作</w:t>
      </w:r>
    </w:p>
    <w:p>
      <w:pPr>
        <w:pStyle w:val="8"/>
        <w:spacing w:line="360" w:lineRule="auto"/>
        <w:jc w:val="left"/>
        <w:rPr>
          <w:rFonts w:hAnsi="仿宋_GB2312" w:cs="仿宋_GB2312"/>
          <w:sz w:val="30"/>
          <w:szCs w:val="30"/>
        </w:rPr>
      </w:pPr>
      <w:r>
        <w:rPr>
          <w:rFonts w:hint="eastAsia" w:hAnsi="仿宋_GB2312" w:cs="仿宋_GB2312"/>
          <w:sz w:val="30"/>
          <w:szCs w:val="30"/>
        </w:rPr>
        <w:t>5、社会事业服务中心</w:t>
      </w:r>
    </w:p>
    <w:p>
      <w:pPr>
        <w:pStyle w:val="8"/>
        <w:spacing w:line="360" w:lineRule="auto"/>
        <w:ind w:firstLine="600"/>
        <w:jc w:val="left"/>
        <w:rPr>
          <w:rFonts w:hAnsi="仿宋_GB2312" w:cs="仿宋_GB2312"/>
          <w:sz w:val="30"/>
          <w:szCs w:val="30"/>
        </w:rPr>
      </w:pPr>
      <w:r>
        <w:rPr>
          <w:rFonts w:hint="eastAsia" w:hAnsi="仿宋_GB2312" w:cs="仿宋_GB2312"/>
          <w:sz w:val="30"/>
          <w:szCs w:val="30"/>
        </w:rPr>
        <w:t>（1）审核上报就业、失业登记资料，开展登记失业人员日常管理工作。收集发布就业信息；提供就业指导、职业介绍、农村劳动力转移就业等服务；组织辖区相关人员参加职业培训、创业培训和职业技能鉴定。</w:t>
      </w:r>
    </w:p>
    <w:p>
      <w:pPr>
        <w:pStyle w:val="8"/>
        <w:spacing w:line="360" w:lineRule="auto"/>
        <w:ind w:firstLine="600"/>
        <w:jc w:val="left"/>
        <w:rPr>
          <w:rFonts w:hAnsi="仿宋_GB2312" w:cs="仿宋_GB2312"/>
          <w:sz w:val="30"/>
          <w:szCs w:val="30"/>
        </w:rPr>
      </w:pPr>
      <w:r>
        <w:rPr>
          <w:rFonts w:hint="eastAsia" w:hAnsi="仿宋_GB2312" w:cs="仿宋_GB2312"/>
          <w:sz w:val="30"/>
          <w:szCs w:val="30"/>
        </w:rPr>
        <w:t>（2）开展就业促进、就业服务工作。开发社区就业岗位，开发管理社区、村公益性岗位，开展创建充分就业社区、村居活动。审核上报就业困难人员认定材料，组织开展就业困难人员就业援助和动态管理工作，协助落实就业扶持政策；开展创业服务工作，指导开展信用社区创建工作；审核上报灵活就业人员就业情况，协助落实社会保险补贴政策；承担上级部门安排的其他就业服务工作。</w:t>
      </w:r>
    </w:p>
    <w:p>
      <w:pPr>
        <w:pStyle w:val="8"/>
        <w:spacing w:line="360" w:lineRule="auto"/>
        <w:ind w:firstLine="600"/>
        <w:jc w:val="left"/>
        <w:rPr>
          <w:rFonts w:hAnsi="宋体" w:cs="宋体"/>
          <w:color w:val="000000"/>
          <w:kern w:val="0"/>
          <w:szCs w:val="32"/>
          <w:shd w:val="clear" w:color="auto" w:fill="FFFFFF"/>
          <w:lang w:val="zh-CN"/>
        </w:rPr>
      </w:pPr>
      <w:r>
        <w:rPr>
          <w:rFonts w:hint="eastAsia" w:hAnsi="仿宋_GB2312" w:cs="仿宋_GB2312"/>
          <w:sz w:val="30"/>
          <w:szCs w:val="30"/>
        </w:rPr>
        <w:t>（3）协助开展本辖区人才引进和培训工作。协助开展本辖区各类人才开发服务工作，了解、掌握培训需求，组织推荐农村领导人才和实用人才参加培训。协助组织完成人才智力引进和留学归国专家服务工作，以项目开发形式短期聘用部分农业高科技人才下乡服务。</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pStyle w:val="19"/>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1、贯彻落实党和政府各项路线方针政策、法规规章和上级机关的决定和命令，加强农村党组织建设和基层政权建设，巩固党在农村的执政基础；</w:t>
      </w:r>
    </w:p>
    <w:p>
      <w:pPr>
        <w:pStyle w:val="19"/>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2、负责拟订本行政区域经济社会发展和乡村建设等规划，组织农村基础设施和各项公益事业建设，加快经济社会发展，改善群众生活环境；</w:t>
      </w:r>
    </w:p>
    <w:p>
      <w:pPr>
        <w:pStyle w:val="19"/>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3、指导农村经济发展，推进农业结构调整，促进经济增长方式转变，组织引导农村富余劳动力转移与就业，促进农民增收；</w:t>
      </w:r>
    </w:p>
    <w:p>
      <w:pPr>
        <w:pStyle w:val="19"/>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4、负责抓好义务教育、人口和计划生育、民政事务、救灾救助、就业培训、社会保障、劳动关系协调和新型合作医疗实施等工作，加强农村精神文明建设，促进农村社会事业发展；</w:t>
      </w:r>
    </w:p>
    <w:p>
      <w:pPr>
        <w:pStyle w:val="19"/>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5、推进基层民主法制建设，指导村（居）民委员会工作，维护群众合法权益；</w:t>
      </w:r>
    </w:p>
    <w:p>
      <w:pPr>
        <w:pStyle w:val="19"/>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6、加强社会治安综合治理，强化信访和矛盾纠纷调解工作，化解农村矛盾，维护农村社会和谐稳定，全面推进社会主义新农村建设。</w:t>
      </w:r>
    </w:p>
    <w:p>
      <w:pPr>
        <w:pStyle w:val="19"/>
        <w:shd w:val="clear" w:color="auto" w:fill="FFFFFF"/>
        <w:spacing w:before="0" w:beforeAutospacing="0" w:after="0" w:afterAutospacing="0" w:line="360" w:lineRule="auto"/>
        <w:ind w:firstLine="600" w:firstLineChars="2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7、承办县委县政府交办的其他事项。</w:t>
      </w:r>
    </w:p>
    <w:p>
      <w:pPr>
        <w:pStyle w:val="2"/>
        <w:ind w:firstLine="530"/>
        <w:rPr>
          <w:lang w:val="zh-CN"/>
        </w:rPr>
      </w:pPr>
      <w:r>
        <w:rPr>
          <w:rFonts w:hint="eastAsia" w:ascii="仿宋_GB2312" w:hAnsi="仿宋_GB2312" w:eastAsia="仿宋_GB2312" w:cs="仿宋_GB2312"/>
          <w:color w:val="333333"/>
          <w:sz w:val="30"/>
          <w:szCs w:val="30"/>
        </w:rPr>
        <w:t>白羊乡部门预算安排支出主要用于保障该部门机构正常运转、完成日常工作任务及承担相关事业发展相关工作。</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人员概况。</w:t>
      </w:r>
    </w:p>
    <w:p>
      <w:pPr>
        <w:widowControl/>
        <w:adjustRightInd w:val="0"/>
        <w:snapToGrid w:val="0"/>
        <w:spacing w:line="600" w:lineRule="exact"/>
        <w:ind w:firstLine="600" w:firstLineChars="200"/>
        <w:contextualSpacing/>
        <w:jc w:val="left"/>
        <w:rPr>
          <w:rFonts w:ascii="仿宋_GB2312" w:hAnsi="仿宋_GB2312" w:eastAsia="仿宋_GB2312" w:cs="仿宋_GB2312"/>
          <w:color w:val="000000"/>
          <w:kern w:val="0"/>
          <w:sz w:val="30"/>
          <w:szCs w:val="30"/>
          <w:lang w:val="zh-CN"/>
        </w:rPr>
      </w:pPr>
      <w:r>
        <w:rPr>
          <w:rFonts w:hint="eastAsia" w:ascii="仿宋_GB2312" w:hAnsi="仿宋_GB2312" w:eastAsia="仿宋_GB2312" w:cs="仿宋_GB2312"/>
          <w:color w:val="000000"/>
          <w:sz w:val="30"/>
          <w:szCs w:val="30"/>
        </w:rPr>
        <w:t>白羊乡2021年部门预算编报独立核算的机构数是1户，与去年机构数相同。人员编制数36（其中行政编制20人，行政工勤2人，事业编制14人）。年末实有人数28人，与去年人员编制数相同</w:t>
      </w:r>
      <w:r>
        <w:rPr>
          <w:rFonts w:hint="eastAsia" w:ascii="仿宋_GB2312" w:hAnsi="仿宋_GB2312" w:eastAsia="仿宋_GB2312" w:cs="仿宋_GB2312"/>
          <w:color w:val="000000"/>
          <w:kern w:val="0"/>
          <w:sz w:val="30"/>
          <w:szCs w:val="30"/>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rPr>
          <w:lang w:val="zh-CN"/>
        </w:rPr>
      </w:pPr>
      <w:r>
        <w:rPr>
          <w:rFonts w:ascii="仿宋" w:hAnsi="仿宋" w:eastAsia="仿宋"/>
          <w:color w:val="000000"/>
          <w:sz w:val="32"/>
          <w:szCs w:val="32"/>
        </w:rPr>
        <w:t>202</w:t>
      </w:r>
      <w:r>
        <w:rPr>
          <w:rFonts w:hint="eastAsia" w:ascii="仿宋" w:hAnsi="仿宋" w:eastAsia="仿宋"/>
          <w:color w:val="000000"/>
          <w:sz w:val="32"/>
          <w:szCs w:val="32"/>
        </w:rPr>
        <w:t>1年本年收入合计1050.15万元，其中：一般公共预算财政拨款收入1050.15万元，占100</w:t>
      </w:r>
      <w:r>
        <w:rPr>
          <w:rFonts w:ascii="仿宋" w:hAnsi="仿宋" w:eastAsia="仿宋"/>
          <w:color w:val="000000"/>
          <w:sz w:val="32"/>
          <w:szCs w:val="32"/>
        </w:rPr>
        <w:t>%</w:t>
      </w:r>
      <w:r>
        <w:rPr>
          <w:rFonts w:hint="eastAsia" w:ascii="仿宋" w:hAnsi="仿宋" w:eastAsia="仿宋"/>
          <w:color w:val="000000"/>
          <w:sz w:val="32"/>
          <w:szCs w:val="32"/>
        </w:rPr>
        <w:t>。</w:t>
      </w:r>
    </w:p>
    <w:p>
      <w:pPr>
        <w:widowControl/>
        <w:numPr>
          <w:ilvl w:val="0"/>
          <w:numId w:val="5"/>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_GB2312" w:eastAsia="仿宋_GB2312"/>
          <w:sz w:val="32"/>
          <w:szCs w:val="32"/>
        </w:rPr>
        <w:t>202</w:t>
      </w:r>
      <w:r>
        <w:rPr>
          <w:rFonts w:hint="eastAsia" w:ascii="仿宋_GB2312" w:eastAsia="仿宋_GB2312"/>
          <w:sz w:val="32"/>
          <w:szCs w:val="32"/>
        </w:rPr>
        <w:t>1年本年支出合计1732.28万元，其中：基本支出639.37万元，占36.9</w:t>
      </w:r>
      <w:r>
        <w:rPr>
          <w:rFonts w:ascii="仿宋_GB2312" w:eastAsia="仿宋_GB2312"/>
          <w:sz w:val="32"/>
          <w:szCs w:val="32"/>
        </w:rPr>
        <w:t>%</w:t>
      </w:r>
      <w:r>
        <w:rPr>
          <w:rFonts w:hint="eastAsia" w:ascii="仿宋_GB2312" w:eastAsia="仿宋_GB2312"/>
          <w:sz w:val="32"/>
          <w:szCs w:val="32"/>
        </w:rPr>
        <w:t>；项目支出1092.91万元，占63.1</w:t>
      </w:r>
      <w:r>
        <w:rPr>
          <w:rFonts w:ascii="仿宋_GB2312" w:eastAsia="仿宋_GB2312"/>
          <w:sz w:val="32"/>
          <w:szCs w:val="32"/>
        </w:rPr>
        <w:t>%</w:t>
      </w:r>
      <w:r>
        <w:rPr>
          <w:rFonts w:hint="eastAsia" w:ascii="仿宋_GB2312" w:eastAsia="仿宋_GB2312"/>
          <w:sz w:val="32"/>
          <w:szCs w:val="32"/>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widowControl/>
        <w:adjustRightInd w:val="0"/>
        <w:snapToGrid w:val="0"/>
        <w:spacing w:line="580" w:lineRule="exact"/>
        <w:ind w:firstLine="60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sz w:val="30"/>
          <w:szCs w:val="30"/>
        </w:rPr>
        <w:t>白羊乡人民政府按照县财政的要求及时组织财务人员进行预决的编制，对本年度相应用款进行及时清理和处理，做到账账相符、账实相符、账证相符,先有预算再有支出的原则，及时处理相关事务；对绩效目标进行季度梳理和年度分析，及时上报相关报表；对专项预算提前细化，分科目上报，做到收支平衡。</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1、政府采购支出情况</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2021年度，松潘县白羊乡政府采购支出总额0万元。截止2021年6月3</w:t>
      </w:r>
      <w:r>
        <w:rPr>
          <w:rFonts w:ascii="仿宋_GB2312" w:hAnsi="仿宋_GB2312" w:eastAsia="仿宋_GB2312" w:cs="仿宋_GB2312"/>
          <w:color w:val="000000"/>
          <w:sz w:val="30"/>
          <w:szCs w:val="30"/>
        </w:rPr>
        <w:t>0</w:t>
      </w:r>
      <w:r>
        <w:rPr>
          <w:rFonts w:hint="eastAsia" w:ascii="仿宋_GB2312" w:hAnsi="仿宋_GB2312" w:eastAsia="仿宋_GB2312" w:cs="仿宋_GB2312"/>
          <w:color w:val="000000"/>
          <w:sz w:val="30"/>
          <w:szCs w:val="30"/>
        </w:rPr>
        <w:t>日，2021年上半年政府采购支出未0万元。</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2、</w:t>
      </w:r>
      <w:r>
        <w:rPr>
          <w:rFonts w:hint="eastAsia" w:ascii="仿宋_GB2312" w:hAnsi="仿宋_GB2312" w:eastAsia="仿宋_GB2312" w:cs="仿宋_GB2312"/>
          <w:color w:val="000000"/>
          <w:sz w:val="30"/>
          <w:szCs w:val="30"/>
          <w:lang w:val="zh-CN"/>
        </w:rPr>
        <w:t>信息公开</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本乡2021年-2021年上半年预算通过政府门户网站公开，在本级政府门户网站上设立预决算公开统一平台。公开的数据，不存在虚列支出的问题，按照实际支出填报。</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3、</w:t>
      </w:r>
      <w:r>
        <w:rPr>
          <w:rFonts w:hint="eastAsia" w:ascii="仿宋_GB2312" w:hAnsi="仿宋_GB2312" w:eastAsia="仿宋_GB2312" w:cs="仿宋_GB2312"/>
          <w:color w:val="000000"/>
          <w:sz w:val="30"/>
          <w:szCs w:val="30"/>
          <w:lang w:val="zh-CN"/>
        </w:rPr>
        <w:t>绩效评价及依法接受财政监督情况</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日常业务经费和机关运行经费包括“三公”经费严格按照部门当年预算执行，无违反中央八项规定的行为，无因公出国（境）费用发生，公务接待严格按照相关规定执行，我会公务接待费、公务用车运行维护费按照厉行节约的要求均未超标准、超范围。各项支出都在县财政的监管下执行，手续齐全、合理、合法。</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rPr>
        <w:t>4、</w:t>
      </w:r>
      <w:r>
        <w:rPr>
          <w:rFonts w:hint="eastAsia" w:ascii="仿宋_GB2312" w:hAnsi="仿宋_GB2312" w:eastAsia="仿宋_GB2312" w:cs="仿宋_GB2312"/>
          <w:color w:val="000000"/>
          <w:sz w:val="30"/>
          <w:szCs w:val="30"/>
          <w:lang w:val="zh-CN"/>
        </w:rPr>
        <w:t>整体绩效</w:t>
      </w:r>
    </w:p>
    <w:p>
      <w:pPr>
        <w:widowControl/>
        <w:adjustRightInd w:val="0"/>
        <w:snapToGrid w:val="0"/>
        <w:spacing w:line="572" w:lineRule="exact"/>
        <w:ind w:firstLine="900" w:firstLineChars="300"/>
        <w:jc w:val="left"/>
        <w:rPr>
          <w:rFonts w:ascii="仿宋_GB2312" w:hAnsi="仿宋_GB2312" w:eastAsia="仿宋_GB2312" w:cs="仿宋_GB2312"/>
          <w:color w:val="000000"/>
          <w:sz w:val="30"/>
          <w:szCs w:val="30"/>
          <w:lang w:val="zh-CN"/>
        </w:rPr>
      </w:pPr>
      <w:r>
        <w:rPr>
          <w:rFonts w:hint="eastAsia" w:ascii="仿宋_GB2312" w:hAnsi="仿宋_GB2312" w:eastAsia="仿宋_GB2312" w:cs="仿宋_GB2312"/>
          <w:color w:val="000000"/>
          <w:sz w:val="30"/>
          <w:szCs w:val="30"/>
          <w:lang w:val="zh-CN"/>
        </w:rPr>
        <w:t>白羊乡人民政府认真按照工作职责，乡镇工作人员认真履行职责，对各项工作认真负责，重点项目绩效评价结果良好，群众满意度达</w:t>
      </w:r>
      <w:r>
        <w:rPr>
          <w:rFonts w:hint="eastAsia" w:ascii="仿宋_GB2312" w:hAnsi="仿宋_GB2312" w:eastAsia="仿宋_GB2312" w:cs="仿宋_GB2312"/>
          <w:color w:val="000000"/>
          <w:sz w:val="30"/>
          <w:szCs w:val="30"/>
        </w:rPr>
        <w:t>94</w:t>
      </w:r>
      <w:r>
        <w:rPr>
          <w:rFonts w:hint="eastAsia" w:ascii="仿宋_GB2312" w:hAnsi="仿宋_GB2312" w:eastAsia="仿宋_GB2312" w:cs="仿宋_GB2312"/>
          <w:color w:val="000000"/>
          <w:sz w:val="30"/>
          <w:szCs w:val="30"/>
          <w:lang w:val="zh-CN"/>
        </w:rPr>
        <w:t>%以上。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72" w:lineRule="exact"/>
        <w:ind w:firstLine="960" w:firstLineChars="30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widowControl/>
        <w:adjustRightInd w:val="0"/>
        <w:snapToGrid w:val="0"/>
        <w:spacing w:line="572" w:lineRule="exact"/>
        <w:ind w:firstLine="900" w:firstLineChars="300"/>
        <w:jc w:val="left"/>
        <w:rPr>
          <w:lang w:val="zh-CN"/>
        </w:rPr>
      </w:pPr>
      <w:r>
        <w:rPr>
          <w:rFonts w:hint="eastAsia" w:ascii="仿宋_GB2312" w:hAnsi="仿宋_GB2312" w:eastAsia="仿宋_GB2312" w:cs="仿宋_GB2312"/>
          <w:color w:val="000000"/>
          <w:sz w:val="30"/>
          <w:szCs w:val="30"/>
        </w:rPr>
        <w:t>2021年-2021年上半年，白羊乡人民政府认真落实县委、县政府决策部署，按照保进度、重质量、求实效的要求，全面推进各项重点工作，较好地完成了各项目标任务。整体支出绩效评价指标体系自评得分87分，部门整体支出绩效为“良好”。</w:t>
      </w:r>
    </w:p>
    <w:p>
      <w:pPr>
        <w:widowControl/>
        <w:adjustRightInd w:val="0"/>
        <w:snapToGrid w:val="0"/>
        <w:spacing w:line="580" w:lineRule="exact"/>
        <w:ind w:firstLine="960" w:firstLineChars="3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rPr>
        <w:t>二</w:t>
      </w:r>
      <w:r>
        <w:rPr>
          <w:rFonts w:hint="eastAsia" w:ascii="仿宋_GB2312" w:hAnsi="宋体" w:eastAsia="仿宋_GB2312" w:cs="宋体"/>
          <w:color w:val="000000"/>
          <w:kern w:val="0"/>
          <w:sz w:val="32"/>
          <w:szCs w:val="32"/>
          <w:shd w:val="clear" w:color="auto" w:fill="FFFFFF"/>
          <w:lang w:val="zh-CN"/>
        </w:rPr>
        <w:t>）改进建议。</w:t>
      </w:r>
    </w:p>
    <w:p>
      <w:pPr>
        <w:spacing w:line="580" w:lineRule="exact"/>
        <w:ind w:firstLine="60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0"/>
          <w:szCs w:val="30"/>
        </w:rPr>
        <w:t>科学合理编制预算，严格执行预算，规范账务处理，提高财务信息质量，完善管理制度，进一步加强资产管理。</w:t>
      </w:r>
    </w:p>
    <w:p>
      <w:pPr>
        <w:spacing w:line="580" w:lineRule="exact"/>
        <w:ind w:firstLine="640" w:firstLineChars="200"/>
        <w:rPr>
          <w:rFonts w:ascii="仿宋_GB2312" w:hAnsi="仿宋_GB2312" w:eastAsia="仿宋_GB2312" w:cs="仿宋_GB2312"/>
          <w:sz w:val="32"/>
          <w:szCs w:val="32"/>
        </w:rPr>
      </w:pPr>
    </w:p>
    <w:p>
      <w:pPr>
        <w:spacing w:line="600" w:lineRule="exact"/>
        <w:jc w:val="center"/>
        <w:outlineLvl w:val="0"/>
        <w:rPr>
          <w:rFonts w:ascii="黑体" w:hAnsi="黑体" w:eastAsia="黑体"/>
          <w:color w:val="000000"/>
          <w:sz w:val="44"/>
          <w:szCs w:val="44"/>
        </w:rPr>
      </w:pPr>
      <w:bookmarkStart w:id="131" w:name="_Toc15396618"/>
      <w:bookmarkStart w:id="132" w:name="_Toc79163635"/>
      <w:bookmarkStart w:id="133" w:name="_Toc79163885"/>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4"/>
          <w:rFonts w:ascii="黑体" w:hAnsi="黑体" w:eastAsia="黑体"/>
          <w:b w:val="0"/>
        </w:rPr>
      </w:pPr>
      <w:bookmarkStart w:id="134" w:name="_Toc408"/>
      <w:r>
        <w:rPr>
          <w:rFonts w:hint="eastAsia" w:ascii="黑体" w:hAnsi="黑体" w:eastAsia="黑体"/>
          <w:color w:val="000000"/>
          <w:sz w:val="44"/>
          <w:szCs w:val="44"/>
        </w:rPr>
        <w:t>第</w:t>
      </w:r>
      <w:r>
        <w:rPr>
          <w:rStyle w:val="24"/>
          <w:rFonts w:hint="eastAsia" w:ascii="黑体" w:hAnsi="黑体" w:eastAsia="黑体"/>
          <w:b w:val="0"/>
        </w:rPr>
        <w:t>五部分附表</w:t>
      </w:r>
      <w:bookmarkEnd w:id="125"/>
      <w:bookmarkEnd w:id="131"/>
      <w:bookmarkEnd w:id="132"/>
      <w:bookmarkEnd w:id="133"/>
      <w:bookmarkEnd w:id="134"/>
    </w:p>
    <w:p>
      <w:pPr>
        <w:pStyle w:val="4"/>
        <w:rPr>
          <w:rFonts w:ascii="仿宋" w:hAnsi="仿宋" w:eastAsia="仿宋"/>
          <w:color w:val="000000"/>
        </w:rPr>
      </w:pPr>
      <w:bookmarkStart w:id="135" w:name="_Toc79163886"/>
      <w:bookmarkStart w:id="136" w:name="_Toc15396619"/>
      <w:bookmarkStart w:id="137" w:name="_Toc79163636"/>
      <w:bookmarkStart w:id="138" w:name="_Toc24582"/>
      <w:r>
        <w:rPr>
          <w:rFonts w:hint="eastAsia" w:ascii="仿宋" w:hAnsi="仿宋" w:eastAsia="仿宋"/>
          <w:b w:val="0"/>
          <w:color w:val="000000"/>
        </w:rPr>
        <w:t>一、收</w:t>
      </w:r>
      <w:r>
        <w:rPr>
          <w:rStyle w:val="25"/>
          <w:rFonts w:hint="eastAsia" w:ascii="仿宋" w:hAnsi="仿宋" w:eastAsia="仿宋"/>
          <w:b w:val="0"/>
          <w:bCs w:val="0"/>
        </w:rPr>
        <w:t>入支出决算总表</w:t>
      </w:r>
      <w:bookmarkEnd w:id="135"/>
      <w:bookmarkEnd w:id="136"/>
      <w:bookmarkEnd w:id="137"/>
      <w:bookmarkEnd w:id="138"/>
    </w:p>
    <w:p>
      <w:pPr>
        <w:pStyle w:val="4"/>
        <w:rPr>
          <w:rFonts w:ascii="仿宋" w:hAnsi="仿宋" w:eastAsia="仿宋"/>
          <w:color w:val="000000"/>
        </w:rPr>
      </w:pPr>
      <w:bookmarkStart w:id="139" w:name="_Toc79163887"/>
      <w:bookmarkStart w:id="140" w:name="_Toc79163637"/>
      <w:bookmarkStart w:id="141" w:name="_Toc15396620"/>
      <w:bookmarkStart w:id="142" w:name="_Toc2106"/>
      <w:r>
        <w:rPr>
          <w:rFonts w:hint="eastAsia" w:ascii="仿宋" w:hAnsi="仿宋" w:eastAsia="仿宋"/>
          <w:b w:val="0"/>
          <w:color w:val="000000"/>
        </w:rPr>
        <w:t>二、收</w:t>
      </w:r>
      <w:r>
        <w:rPr>
          <w:rStyle w:val="25"/>
          <w:rFonts w:hint="eastAsia" w:ascii="仿宋" w:hAnsi="仿宋" w:eastAsia="仿宋"/>
          <w:b w:val="0"/>
          <w:bCs w:val="0"/>
        </w:rPr>
        <w:t>入决算表</w:t>
      </w:r>
      <w:bookmarkEnd w:id="139"/>
      <w:bookmarkEnd w:id="140"/>
      <w:bookmarkEnd w:id="141"/>
      <w:bookmarkEnd w:id="142"/>
    </w:p>
    <w:p>
      <w:pPr>
        <w:pStyle w:val="4"/>
        <w:rPr>
          <w:rFonts w:ascii="仿宋" w:hAnsi="仿宋" w:eastAsia="仿宋"/>
          <w:color w:val="000000"/>
        </w:rPr>
      </w:pPr>
      <w:bookmarkStart w:id="143" w:name="_Toc79163888"/>
      <w:bookmarkStart w:id="144" w:name="_Toc15396621"/>
      <w:bookmarkStart w:id="145" w:name="_Toc79163638"/>
      <w:bookmarkStart w:id="146" w:name="_Toc424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43"/>
      <w:bookmarkEnd w:id="144"/>
      <w:bookmarkEnd w:id="145"/>
      <w:bookmarkEnd w:id="146"/>
    </w:p>
    <w:p>
      <w:pPr>
        <w:pStyle w:val="4"/>
        <w:rPr>
          <w:rFonts w:ascii="仿宋" w:hAnsi="仿宋" w:eastAsia="仿宋"/>
          <w:b w:val="0"/>
          <w:color w:val="000000"/>
        </w:rPr>
      </w:pPr>
      <w:bookmarkStart w:id="147" w:name="_Toc79163639"/>
      <w:bookmarkStart w:id="148" w:name="_Toc79163889"/>
      <w:bookmarkStart w:id="149" w:name="_Toc15396622"/>
      <w:bookmarkStart w:id="150" w:name="_Toc21053"/>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47"/>
      <w:bookmarkEnd w:id="148"/>
      <w:bookmarkEnd w:id="149"/>
      <w:bookmarkEnd w:id="150"/>
    </w:p>
    <w:p>
      <w:pPr>
        <w:pStyle w:val="4"/>
        <w:rPr>
          <w:rStyle w:val="25"/>
          <w:rFonts w:ascii="仿宋" w:hAnsi="仿宋" w:eastAsia="仿宋"/>
          <w:b w:val="0"/>
          <w:bCs w:val="0"/>
        </w:rPr>
      </w:pPr>
      <w:bookmarkStart w:id="151" w:name="_Toc15396623"/>
      <w:bookmarkStart w:id="152" w:name="_Toc79163890"/>
      <w:bookmarkStart w:id="153" w:name="_Toc79163640"/>
      <w:bookmarkStart w:id="154" w:name="_Toc9222"/>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51"/>
      <w:bookmarkEnd w:id="152"/>
      <w:bookmarkEnd w:id="153"/>
      <w:bookmarkEnd w:id="154"/>
      <w:bookmarkStart w:id="155" w:name="_Toc15396624"/>
    </w:p>
    <w:p>
      <w:pPr>
        <w:pStyle w:val="4"/>
        <w:rPr>
          <w:rFonts w:ascii="仿宋" w:hAnsi="仿宋" w:eastAsia="仿宋"/>
          <w:color w:val="000000"/>
        </w:rPr>
      </w:pPr>
      <w:bookmarkStart w:id="156" w:name="_Toc79163891"/>
      <w:bookmarkStart w:id="157" w:name="_Toc79163641"/>
      <w:bookmarkStart w:id="158" w:name="_Toc1374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55"/>
      <w:bookmarkEnd w:id="156"/>
      <w:bookmarkEnd w:id="157"/>
      <w:bookmarkEnd w:id="158"/>
    </w:p>
    <w:p>
      <w:pPr>
        <w:pStyle w:val="4"/>
        <w:rPr>
          <w:rFonts w:ascii="仿宋" w:hAnsi="仿宋" w:eastAsia="仿宋"/>
          <w:color w:val="000000"/>
        </w:rPr>
      </w:pPr>
      <w:bookmarkStart w:id="159" w:name="_Toc15396625"/>
      <w:bookmarkStart w:id="160" w:name="_Toc79163642"/>
      <w:bookmarkStart w:id="161" w:name="_Toc79163892"/>
      <w:bookmarkStart w:id="162" w:name="_Toc18963"/>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59"/>
      <w:bookmarkEnd w:id="160"/>
      <w:bookmarkEnd w:id="161"/>
      <w:bookmarkEnd w:id="162"/>
    </w:p>
    <w:p>
      <w:pPr>
        <w:pStyle w:val="4"/>
        <w:rPr>
          <w:rFonts w:ascii="仿宋" w:hAnsi="仿宋" w:eastAsia="仿宋"/>
          <w:color w:val="000000"/>
        </w:rPr>
      </w:pPr>
      <w:bookmarkStart w:id="163" w:name="_Toc15396626"/>
      <w:bookmarkStart w:id="164" w:name="_Toc79163643"/>
      <w:bookmarkStart w:id="165" w:name="_Toc79163893"/>
      <w:bookmarkStart w:id="166" w:name="_Toc21878"/>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63"/>
      <w:bookmarkEnd w:id="164"/>
      <w:bookmarkEnd w:id="165"/>
      <w:bookmarkEnd w:id="166"/>
    </w:p>
    <w:p>
      <w:pPr>
        <w:pStyle w:val="4"/>
        <w:rPr>
          <w:rFonts w:ascii="仿宋" w:hAnsi="仿宋" w:eastAsia="仿宋"/>
          <w:color w:val="000000"/>
        </w:rPr>
      </w:pPr>
      <w:bookmarkStart w:id="167" w:name="_Toc79163894"/>
      <w:bookmarkStart w:id="168" w:name="_Toc15396627"/>
      <w:bookmarkStart w:id="169" w:name="_Toc79163644"/>
      <w:bookmarkStart w:id="170" w:name="_Toc11161"/>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67"/>
      <w:bookmarkEnd w:id="168"/>
      <w:bookmarkEnd w:id="169"/>
      <w:bookmarkEnd w:id="170"/>
    </w:p>
    <w:p>
      <w:pPr>
        <w:pStyle w:val="4"/>
        <w:rPr>
          <w:rFonts w:ascii="仿宋" w:hAnsi="仿宋" w:eastAsia="仿宋"/>
          <w:color w:val="000000"/>
        </w:rPr>
      </w:pPr>
      <w:bookmarkStart w:id="171" w:name="_Toc15396628"/>
      <w:bookmarkStart w:id="172" w:name="_Toc79163645"/>
      <w:bookmarkStart w:id="173" w:name="_Toc79163895"/>
      <w:bookmarkStart w:id="174" w:name="_Toc2681"/>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71"/>
      <w:bookmarkEnd w:id="172"/>
      <w:bookmarkEnd w:id="173"/>
      <w:bookmarkEnd w:id="174"/>
    </w:p>
    <w:p>
      <w:pPr>
        <w:pStyle w:val="4"/>
        <w:rPr>
          <w:rFonts w:ascii="仿宋" w:hAnsi="仿宋" w:eastAsia="仿宋"/>
          <w:color w:val="000000"/>
        </w:rPr>
      </w:pPr>
      <w:bookmarkStart w:id="175" w:name="_Toc79163646"/>
      <w:bookmarkStart w:id="176" w:name="_Toc15396629"/>
      <w:bookmarkStart w:id="177" w:name="_Toc11116"/>
      <w:bookmarkStart w:id="178" w:name="_Toc7916389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75"/>
      <w:bookmarkEnd w:id="176"/>
      <w:bookmarkEnd w:id="177"/>
      <w:bookmarkEnd w:id="178"/>
    </w:p>
    <w:p>
      <w:pPr>
        <w:pStyle w:val="4"/>
        <w:rPr>
          <w:rFonts w:ascii="仿宋" w:hAnsi="仿宋" w:eastAsia="仿宋"/>
          <w:color w:val="000000"/>
        </w:rPr>
      </w:pPr>
      <w:bookmarkStart w:id="179" w:name="_Toc79163897"/>
      <w:bookmarkStart w:id="180" w:name="_Toc15396630"/>
      <w:bookmarkStart w:id="181" w:name="_Toc79163647"/>
      <w:bookmarkStart w:id="182" w:name="_Toc11146"/>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79"/>
      <w:bookmarkEnd w:id="180"/>
      <w:bookmarkEnd w:id="181"/>
      <w:bookmarkEnd w:id="182"/>
    </w:p>
    <w:p>
      <w:pPr>
        <w:pStyle w:val="4"/>
        <w:rPr>
          <w:rStyle w:val="25"/>
          <w:rFonts w:ascii="仿宋" w:hAnsi="仿宋" w:eastAsia="仿宋"/>
          <w:b w:val="0"/>
          <w:bCs w:val="0"/>
        </w:rPr>
      </w:pPr>
      <w:bookmarkStart w:id="183" w:name="_Toc79163648"/>
      <w:bookmarkStart w:id="184" w:name="_Toc15396631"/>
      <w:bookmarkStart w:id="185" w:name="_Toc79163898"/>
      <w:bookmarkStart w:id="186" w:name="_Toc2847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有资本经营预算财政拨款收入支出决算表</w:t>
      </w:r>
      <w:bookmarkEnd w:id="183"/>
      <w:bookmarkEnd w:id="184"/>
      <w:bookmarkEnd w:id="185"/>
      <w:bookmarkEnd w:id="186"/>
    </w:p>
    <w:p>
      <w:pPr>
        <w:pStyle w:val="4"/>
        <w:rPr>
          <w:rStyle w:val="25"/>
          <w:rFonts w:ascii="仿宋" w:hAnsi="仿宋" w:eastAsia="仿宋"/>
          <w:b w:val="0"/>
          <w:bCs w:val="0"/>
        </w:rPr>
      </w:pPr>
      <w:bookmarkStart w:id="187" w:name="_Toc79163649"/>
      <w:bookmarkStart w:id="188" w:name="_Toc79163899"/>
      <w:bookmarkStart w:id="189" w:name="_Toc20781"/>
      <w:r>
        <w:rPr>
          <w:rStyle w:val="25"/>
          <w:rFonts w:hint="eastAsia" w:ascii="仿宋" w:hAnsi="仿宋" w:eastAsia="仿宋"/>
          <w:b w:val="0"/>
          <w:bCs w:val="0"/>
        </w:rPr>
        <w:t>十四、国有资本经营预算财政拨款支出决算表</w:t>
      </w:r>
      <w:bookmarkEnd w:id="187"/>
      <w:bookmarkEnd w:id="188"/>
      <w:bookmarkEnd w:id="189"/>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12</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E0F7ABD"/>
    <w:multiLevelType w:val="singleLevel"/>
    <w:tmpl w:val="EE0F7ABD"/>
    <w:lvl w:ilvl="0" w:tentative="0">
      <w:start w:val="2"/>
      <w:numFmt w:val="chineseCounting"/>
      <w:suff w:val="nothing"/>
      <w:lvlText w:val="（%1）"/>
      <w:lvlJc w:val="left"/>
      <w:rPr>
        <w:rFonts w:hint="eastAsia"/>
      </w:rPr>
    </w:lvl>
  </w:abstractNum>
  <w:abstractNum w:abstractNumId="3">
    <w:nsid w:val="0638508E"/>
    <w:multiLevelType w:val="singleLevel"/>
    <w:tmpl w:val="0638508E"/>
    <w:lvl w:ilvl="0" w:tentative="0">
      <w:start w:val="2"/>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zMDFjNDRiNDI1ZjdjOWYyNTYzY2ViNmU5OWEwMm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16757"/>
    <w:rsid w:val="00220536"/>
    <w:rsid w:val="002216A5"/>
    <w:rsid w:val="00223704"/>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E70DF"/>
    <w:rsid w:val="002F1818"/>
    <w:rsid w:val="002F567B"/>
    <w:rsid w:val="00305F0E"/>
    <w:rsid w:val="003216A9"/>
    <w:rsid w:val="00335A74"/>
    <w:rsid w:val="00345139"/>
    <w:rsid w:val="0036561B"/>
    <w:rsid w:val="0037013F"/>
    <w:rsid w:val="00380C92"/>
    <w:rsid w:val="003A1493"/>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2E07"/>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C2E32"/>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1DDB"/>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A572A"/>
    <w:rsid w:val="009B2C43"/>
    <w:rsid w:val="009B4EAE"/>
    <w:rsid w:val="009B7573"/>
    <w:rsid w:val="009C22F4"/>
    <w:rsid w:val="009C2A4B"/>
    <w:rsid w:val="009C2E98"/>
    <w:rsid w:val="009D3447"/>
    <w:rsid w:val="009D4711"/>
    <w:rsid w:val="009F1185"/>
    <w:rsid w:val="009F18CD"/>
    <w:rsid w:val="009F2A13"/>
    <w:rsid w:val="009F7527"/>
    <w:rsid w:val="00A04EB0"/>
    <w:rsid w:val="00A1286C"/>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697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1E3"/>
    <w:rsid w:val="00E472B1"/>
    <w:rsid w:val="00E50624"/>
    <w:rsid w:val="00E568DF"/>
    <w:rsid w:val="00E64269"/>
    <w:rsid w:val="00E70975"/>
    <w:rsid w:val="00E82267"/>
    <w:rsid w:val="00E853CE"/>
    <w:rsid w:val="00E867B6"/>
    <w:rsid w:val="00EA010F"/>
    <w:rsid w:val="00EC5A70"/>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B7363"/>
    <w:rsid w:val="00FD3CC1"/>
    <w:rsid w:val="00FE03FA"/>
    <w:rsid w:val="00FF1E02"/>
    <w:rsid w:val="00FF30B4"/>
    <w:rsid w:val="06044E14"/>
    <w:rsid w:val="06A05249"/>
    <w:rsid w:val="0A2032A3"/>
    <w:rsid w:val="0E8A20E3"/>
    <w:rsid w:val="10C055FF"/>
    <w:rsid w:val="11705998"/>
    <w:rsid w:val="118107EC"/>
    <w:rsid w:val="138610DC"/>
    <w:rsid w:val="16BB723D"/>
    <w:rsid w:val="1D155CEE"/>
    <w:rsid w:val="20012E70"/>
    <w:rsid w:val="21506FFA"/>
    <w:rsid w:val="235558E1"/>
    <w:rsid w:val="240371BF"/>
    <w:rsid w:val="29FD04D3"/>
    <w:rsid w:val="2A1B5A3F"/>
    <w:rsid w:val="2B8E31E1"/>
    <w:rsid w:val="2D085F65"/>
    <w:rsid w:val="2DC6208E"/>
    <w:rsid w:val="319F7F4E"/>
    <w:rsid w:val="419E1DAA"/>
    <w:rsid w:val="447B2820"/>
    <w:rsid w:val="4A2378F6"/>
    <w:rsid w:val="4AD97B54"/>
    <w:rsid w:val="4ECE2238"/>
    <w:rsid w:val="50210776"/>
    <w:rsid w:val="53BE0A79"/>
    <w:rsid w:val="545C0B84"/>
    <w:rsid w:val="56384123"/>
    <w:rsid w:val="61E16067"/>
    <w:rsid w:val="6C4A05C8"/>
    <w:rsid w:val="6D7479A4"/>
    <w:rsid w:val="71591DB1"/>
    <w:rsid w:val="72734D90"/>
    <w:rsid w:val="75BF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6">
    <w:name w:val="toc 7"/>
    <w:basedOn w:val="1"/>
    <w:next w:val="1"/>
    <w:unhideWhenUsed/>
    <w:qFormat/>
    <w:uiPriority w:val="39"/>
    <w:pPr>
      <w:ind w:left="1260"/>
      <w:jc w:val="left"/>
    </w:pPr>
    <w:rPr>
      <w:rFonts w:asciiTheme="minorHAnsi" w:eastAsiaTheme="minorHAnsi"/>
      <w:sz w:val="18"/>
      <w:szCs w:val="18"/>
    </w:rPr>
  </w:style>
  <w:style w:type="paragraph" w:styleId="7">
    <w:name w:val="Body Text"/>
    <w:basedOn w:val="1"/>
    <w:link w:val="33"/>
    <w:qFormat/>
    <w:uiPriority w:val="99"/>
    <w:pPr>
      <w:spacing w:beforeLines="30"/>
    </w:pPr>
    <w:rPr>
      <w:rFonts w:ascii="仿宋_GB2312" w:eastAsia="仿宋_GB2312"/>
      <w:kern w:val="0"/>
      <w:sz w:val="24"/>
      <w:szCs w:val="20"/>
    </w:rPr>
  </w:style>
  <w:style w:type="paragraph" w:styleId="8">
    <w:name w:val="Body Text Indent"/>
    <w:basedOn w:val="1"/>
    <w:qFormat/>
    <w:uiPriority w:val="0"/>
    <w:pPr>
      <w:spacing w:line="600" w:lineRule="exact"/>
      <w:ind w:firstLine="702"/>
    </w:pPr>
    <w:rPr>
      <w:rFonts w:ascii="仿宋_GB2312" w:eastAsia="仿宋_GB2312"/>
      <w:sz w:val="32"/>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28"/>
    <w:unhideWhenUsed/>
    <w:qFormat/>
    <w:uiPriority w:val="99"/>
    <w:rPr>
      <w:sz w:val="18"/>
      <w:szCs w:val="18"/>
    </w:rPr>
  </w:style>
  <w:style w:type="paragraph" w:styleId="13">
    <w:name w:val="footer"/>
    <w:basedOn w:val="1"/>
    <w:link w:val="32"/>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字符"/>
    <w:basedOn w:val="21"/>
    <w:link w:val="3"/>
    <w:qFormat/>
    <w:locked/>
    <w:uiPriority w:val="9"/>
    <w:rPr>
      <w:rFonts w:ascii="Times New Roman" w:hAnsi="Times New Roman" w:cs="Times New Roman"/>
      <w:b/>
      <w:bCs/>
      <w:kern w:val="44"/>
      <w:sz w:val="44"/>
      <w:szCs w:val="44"/>
    </w:rPr>
  </w:style>
  <w:style w:type="character" w:customStyle="1" w:styleId="25">
    <w:name w:val="标题 2 字符"/>
    <w:basedOn w:val="21"/>
    <w:link w:val="4"/>
    <w:qFormat/>
    <w:locked/>
    <w:uiPriority w:val="9"/>
    <w:rPr>
      <w:rFonts w:ascii="Cambria" w:hAnsi="Cambria" w:eastAsia="宋体" w:cs="Times New Roman"/>
      <w:b/>
      <w:bCs/>
      <w:kern w:val="2"/>
      <w:sz w:val="32"/>
      <w:szCs w:val="32"/>
    </w:rPr>
  </w:style>
  <w:style w:type="character" w:customStyle="1" w:styleId="26">
    <w:name w:val="标题 3 字符"/>
    <w:basedOn w:val="21"/>
    <w:link w:val="5"/>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字符"/>
    <w:basedOn w:val="21"/>
    <w:link w:val="12"/>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字符"/>
    <w:link w:val="14"/>
    <w:semiHidden/>
    <w:qFormat/>
    <w:locked/>
    <w:uiPriority w:val="99"/>
    <w:rPr>
      <w:sz w:val="18"/>
    </w:rPr>
  </w:style>
  <w:style w:type="character" w:customStyle="1" w:styleId="32">
    <w:name w:val="页脚 字符"/>
    <w:link w:val="13"/>
    <w:qFormat/>
    <w:locked/>
    <w:uiPriority w:val="99"/>
    <w:rPr>
      <w:sz w:val="18"/>
    </w:rPr>
  </w:style>
  <w:style w:type="character" w:customStyle="1" w:styleId="33">
    <w:name w:val="正文文本 字符"/>
    <w:link w:val="7"/>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39">
    <w:name w:val="Char"/>
    <w:basedOn w:val="1"/>
    <w:qFormat/>
    <w:uiPriority w:val="0"/>
    <w:pPr>
      <w:widowControl/>
      <w:spacing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C9242-01C4-45A1-8B00-5757968D243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18</Pages>
  <Words>6792</Words>
  <Characters>7497</Characters>
  <Lines>61</Lines>
  <Paragraphs>17</Paragraphs>
  <TotalTime>1</TotalTime>
  <ScaleCrop>false</ScaleCrop>
  <LinksUpToDate>false</LinksUpToDate>
  <CharactersWithSpaces>7541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Admin</cp:lastModifiedBy>
  <cp:lastPrinted>2022-09-21T09:05:00Z</cp:lastPrinted>
  <dcterms:modified xsi:type="dcterms:W3CDTF">2024-05-11T02:26:47Z</dcterms:modified>
  <dc:title>阿坝州部门决算说明</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34DC495BAC2745EC99C2B37C7CB7577F</vt:lpwstr>
  </property>
</Properties>
</file>