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15588D">
      <w:pPr>
        <w:pStyle w:val="10"/>
        <w:keepNext w:val="0"/>
        <w:keepLines w:val="0"/>
        <w:widowControl/>
        <w:suppressLineNumbers w:val="0"/>
        <w:spacing w:before="0" w:beforeAutospacing="0"/>
        <w:ind w:left="0"/>
        <w:jc w:val="center"/>
      </w:pPr>
      <w:r>
        <w:rPr>
          <w:sz w:val="42"/>
          <w:szCs w:val="42"/>
          <w:shd w:val="clear" w:fill="FFFFFF"/>
        </w:rPr>
        <w:t>202</w:t>
      </w:r>
      <w:r>
        <w:rPr>
          <w:rFonts w:hint="eastAsia"/>
          <w:sz w:val="42"/>
          <w:szCs w:val="42"/>
          <w:shd w:val="clear" w:fill="FFFFFF"/>
          <w:lang w:val="en-US" w:eastAsia="zh-CN"/>
        </w:rPr>
        <w:t>4</w:t>
      </w:r>
      <w:r>
        <w:rPr>
          <w:sz w:val="42"/>
          <w:szCs w:val="42"/>
          <w:shd w:val="clear" w:fill="FFFFFF"/>
        </w:rPr>
        <w:t>年度</w:t>
      </w:r>
    </w:p>
    <w:p w14:paraId="548B421D">
      <w:pPr>
        <w:pStyle w:val="10"/>
        <w:keepNext w:val="0"/>
        <w:keepLines w:val="0"/>
        <w:widowControl/>
        <w:suppressLineNumbers w:val="0"/>
        <w:spacing w:before="0" w:beforeAutospacing="0"/>
        <w:ind w:left="0"/>
        <w:jc w:val="center"/>
      </w:pPr>
      <w:r>
        <w:rPr>
          <w:sz w:val="42"/>
          <w:szCs w:val="42"/>
          <w:shd w:val="clear" w:fill="FFFFFF"/>
        </w:rPr>
        <w:t>阿坝州松潘县下八寨乡人民政府部门决算</w:t>
      </w:r>
    </w:p>
    <w:p w14:paraId="68B750D1">
      <w:pPr>
        <w:pStyle w:val="10"/>
        <w:keepNext w:val="0"/>
        <w:keepLines w:val="0"/>
        <w:widowControl/>
        <w:suppressLineNumbers w:val="0"/>
        <w:spacing w:before="0" w:beforeAutospacing="0"/>
        <w:ind w:left="0"/>
        <w:jc w:val="center"/>
      </w:pPr>
      <w:r>
        <w:rPr>
          <w:shd w:val="clear" w:fill="FFFFFF"/>
        </w:rPr>
        <w:t> </w:t>
      </w:r>
    </w:p>
    <w:p w14:paraId="35AD7FE0">
      <w:pPr>
        <w:pStyle w:val="10"/>
        <w:keepNext w:val="0"/>
        <w:keepLines w:val="0"/>
        <w:widowControl/>
        <w:suppressLineNumbers w:val="0"/>
        <w:spacing w:before="0" w:beforeAutospacing="0"/>
        <w:ind w:left="0"/>
        <w:jc w:val="center"/>
      </w:pPr>
      <w:r>
        <w:rPr>
          <w:shd w:val="clear" w:fill="FFFFFF"/>
        </w:rPr>
        <w:t> </w:t>
      </w:r>
    </w:p>
    <w:p w14:paraId="656EFAD6">
      <w:pPr>
        <w:pStyle w:val="10"/>
        <w:keepNext w:val="0"/>
        <w:keepLines w:val="0"/>
        <w:widowControl/>
        <w:suppressLineNumbers w:val="0"/>
        <w:spacing w:before="0" w:beforeAutospacing="0"/>
        <w:ind w:left="0"/>
        <w:jc w:val="center"/>
      </w:pPr>
      <w:r>
        <w:rPr>
          <w:shd w:val="clear" w:fill="FFFFFF"/>
        </w:rPr>
        <w:t> </w:t>
      </w:r>
    </w:p>
    <w:p w14:paraId="7BCF84EA">
      <w:pPr>
        <w:pStyle w:val="10"/>
        <w:keepNext w:val="0"/>
        <w:keepLines w:val="0"/>
        <w:widowControl/>
        <w:suppressLineNumbers w:val="0"/>
        <w:spacing w:before="0" w:beforeAutospacing="0"/>
        <w:ind w:left="0"/>
        <w:jc w:val="center"/>
      </w:pPr>
      <w:r>
        <w:rPr>
          <w:shd w:val="clear" w:fill="FFFFFF"/>
        </w:rPr>
        <w:t> </w:t>
      </w:r>
    </w:p>
    <w:p w14:paraId="45C018D5">
      <w:pPr>
        <w:pStyle w:val="10"/>
        <w:keepNext w:val="0"/>
        <w:keepLines w:val="0"/>
        <w:widowControl/>
        <w:suppressLineNumbers w:val="0"/>
        <w:spacing w:before="0" w:beforeAutospacing="0"/>
        <w:ind w:left="0"/>
        <w:jc w:val="center"/>
      </w:pPr>
      <w:r>
        <w:rPr>
          <w:shd w:val="clear" w:fill="FFFFFF"/>
        </w:rPr>
        <w:t> </w:t>
      </w:r>
    </w:p>
    <w:p w14:paraId="54FFA53D">
      <w:pPr>
        <w:pStyle w:val="10"/>
        <w:keepNext w:val="0"/>
        <w:keepLines w:val="0"/>
        <w:widowControl/>
        <w:suppressLineNumbers w:val="0"/>
        <w:spacing w:before="0" w:beforeAutospacing="0"/>
        <w:ind w:left="0"/>
        <w:jc w:val="center"/>
      </w:pPr>
      <w:r>
        <w:rPr>
          <w:shd w:val="clear" w:fill="FFFFFF"/>
        </w:rPr>
        <w:t> </w:t>
      </w:r>
    </w:p>
    <w:p w14:paraId="1FA2096B">
      <w:pPr>
        <w:pStyle w:val="10"/>
        <w:keepNext w:val="0"/>
        <w:keepLines w:val="0"/>
        <w:widowControl/>
        <w:suppressLineNumbers w:val="0"/>
        <w:spacing w:before="0" w:beforeAutospacing="0"/>
        <w:ind w:left="0"/>
        <w:jc w:val="center"/>
      </w:pPr>
      <w:r>
        <w:rPr>
          <w:shd w:val="clear" w:fill="FFFFFF"/>
        </w:rPr>
        <w:t> </w:t>
      </w:r>
    </w:p>
    <w:p w14:paraId="4EA650DF">
      <w:pPr>
        <w:pStyle w:val="10"/>
        <w:keepNext w:val="0"/>
        <w:keepLines w:val="0"/>
        <w:widowControl/>
        <w:suppressLineNumbers w:val="0"/>
        <w:spacing w:before="0" w:beforeAutospacing="0"/>
        <w:ind w:left="0"/>
        <w:jc w:val="center"/>
      </w:pPr>
      <w:r>
        <w:rPr>
          <w:shd w:val="clear" w:fill="FFFFFF"/>
        </w:rPr>
        <w:t>已经保密审查、内容审定，同意对外公开</w:t>
      </w:r>
    </w:p>
    <w:p w14:paraId="0674E56C">
      <w:pPr>
        <w:pStyle w:val="10"/>
        <w:keepNext w:val="0"/>
        <w:keepLines w:val="0"/>
        <w:widowControl/>
        <w:suppressLineNumbers w:val="0"/>
        <w:spacing w:before="0" w:beforeAutospacing="0"/>
        <w:ind w:left="0"/>
        <w:jc w:val="left"/>
      </w:pPr>
      <w:r>
        <w:rPr>
          <w:shd w:val="clear" w:fill="FFFFFF"/>
        </w:rPr>
        <w:t> </w:t>
      </w:r>
    </w:p>
    <w:p w14:paraId="6D4E4696">
      <w:pPr>
        <w:pStyle w:val="10"/>
        <w:keepNext w:val="0"/>
        <w:keepLines w:val="0"/>
        <w:widowControl/>
        <w:suppressLineNumbers w:val="0"/>
        <w:spacing w:before="0" w:beforeAutospacing="0"/>
        <w:ind w:left="0"/>
        <w:jc w:val="left"/>
      </w:pPr>
      <w:r>
        <w:rPr>
          <w:shd w:val="clear" w:fill="FFFFFF"/>
        </w:rPr>
        <w:t> </w:t>
      </w:r>
    </w:p>
    <w:p w14:paraId="6AC52C4C">
      <w:pPr>
        <w:pStyle w:val="10"/>
        <w:keepNext w:val="0"/>
        <w:keepLines w:val="0"/>
        <w:widowControl/>
        <w:suppressLineNumbers w:val="0"/>
        <w:spacing w:before="0" w:beforeAutospacing="0"/>
        <w:ind w:left="0"/>
        <w:jc w:val="center"/>
      </w:pPr>
      <w:r>
        <w:rPr>
          <w:shd w:val="clear" w:fill="FFFFFF"/>
        </w:rPr>
        <w:t> </w:t>
      </w:r>
    </w:p>
    <w:p w14:paraId="21B392EE">
      <w:pPr>
        <w:pStyle w:val="10"/>
        <w:keepNext w:val="0"/>
        <w:keepLines w:val="0"/>
        <w:widowControl/>
        <w:suppressLineNumbers w:val="0"/>
        <w:spacing w:before="0" w:beforeAutospacing="0"/>
        <w:ind w:left="0"/>
        <w:jc w:val="left"/>
      </w:pPr>
      <w:r>
        <w:rPr>
          <w:shd w:val="clear" w:fill="FFFFFF"/>
        </w:rPr>
        <w:t> </w:t>
      </w:r>
    </w:p>
    <w:p w14:paraId="79B31D2D">
      <w:pPr>
        <w:pStyle w:val="10"/>
        <w:keepNext w:val="0"/>
        <w:keepLines w:val="0"/>
        <w:widowControl/>
        <w:suppressLineNumbers w:val="0"/>
        <w:spacing w:before="0" w:beforeAutospacing="0"/>
        <w:ind w:left="0"/>
        <w:jc w:val="center"/>
      </w:pPr>
      <w:r>
        <w:rPr>
          <w:shd w:val="clear" w:fill="FFFFFF"/>
        </w:rPr>
        <w:t> </w:t>
      </w:r>
    </w:p>
    <w:p w14:paraId="6F3A32A8">
      <w:pPr>
        <w:pStyle w:val="10"/>
        <w:keepNext w:val="0"/>
        <w:keepLines w:val="0"/>
        <w:widowControl/>
        <w:suppressLineNumbers w:val="0"/>
        <w:spacing w:before="0" w:beforeAutospacing="0"/>
        <w:ind w:left="0"/>
        <w:jc w:val="center"/>
      </w:pPr>
      <w:r>
        <w:rPr>
          <w:shd w:val="clear" w:fill="FFFFFF"/>
        </w:rPr>
        <w:t> </w:t>
      </w:r>
    </w:p>
    <w:p w14:paraId="6AB2F802">
      <w:pPr>
        <w:pStyle w:val="10"/>
        <w:keepNext w:val="0"/>
        <w:keepLines w:val="0"/>
        <w:widowControl/>
        <w:suppressLineNumbers w:val="0"/>
        <w:spacing w:before="0" w:beforeAutospacing="0"/>
        <w:ind w:left="0"/>
        <w:jc w:val="center"/>
        <w:rPr>
          <w:shd w:val="clear" w:fill="FFFFFF"/>
        </w:rPr>
      </w:pPr>
    </w:p>
    <w:p w14:paraId="0F9AB6B8">
      <w:pPr>
        <w:pStyle w:val="10"/>
        <w:keepNext w:val="0"/>
        <w:keepLines w:val="0"/>
        <w:widowControl/>
        <w:suppressLineNumbers w:val="0"/>
        <w:spacing w:before="0" w:beforeAutospacing="0"/>
        <w:ind w:left="0"/>
        <w:jc w:val="center"/>
      </w:pPr>
      <w:r>
        <w:rPr>
          <w:shd w:val="clear" w:fill="FFFFFF"/>
        </w:rPr>
        <w:t> </w:t>
      </w:r>
    </w:p>
    <w:p w14:paraId="2E334186">
      <w:pPr>
        <w:pStyle w:val="10"/>
        <w:keepNext w:val="0"/>
        <w:keepLines w:val="0"/>
        <w:widowControl/>
        <w:suppressLineNumbers w:val="0"/>
        <w:spacing w:before="0" w:beforeAutospacing="0"/>
        <w:ind w:left="0"/>
        <w:jc w:val="center"/>
      </w:pPr>
      <w:r>
        <w:rPr>
          <w:shd w:val="clear" w:fill="FFFFFF"/>
        </w:rPr>
        <w:br w:type="textWrapping"/>
      </w:r>
    </w:p>
    <w:p w14:paraId="633F4944">
      <w:pPr>
        <w:pStyle w:val="10"/>
        <w:keepNext w:val="0"/>
        <w:keepLines w:val="0"/>
        <w:widowControl/>
        <w:suppressLineNumbers w:val="0"/>
        <w:spacing w:before="0" w:beforeAutospacing="0"/>
        <w:ind w:left="0"/>
        <w:jc w:val="center"/>
      </w:pPr>
      <w:r>
        <w:rPr>
          <w:shd w:val="clear" w:fill="FFFFFF"/>
        </w:rPr>
        <w:t> </w:t>
      </w:r>
    </w:p>
    <w:p w14:paraId="17467F83">
      <w:pPr>
        <w:pStyle w:val="10"/>
        <w:keepNext w:val="0"/>
        <w:keepLines w:val="0"/>
        <w:widowControl/>
        <w:suppressLineNumbers w:val="0"/>
        <w:spacing w:before="0" w:beforeAutospacing="0"/>
        <w:ind w:left="0"/>
        <w:jc w:val="center"/>
      </w:pPr>
      <w:r>
        <w:rPr>
          <w:shd w:val="clear" w:fill="FFFFFF"/>
        </w:rPr>
        <w:t>公开时间：202</w:t>
      </w:r>
      <w:r>
        <w:rPr>
          <w:rFonts w:hint="eastAsia"/>
          <w:shd w:val="clear" w:fill="FFFFFF"/>
          <w:lang w:val="en-US" w:eastAsia="zh-CN"/>
        </w:rPr>
        <w:t>5</w:t>
      </w:r>
      <w:r>
        <w:rPr>
          <w:shd w:val="clear" w:fill="FFFFFF"/>
        </w:rPr>
        <w:t>年</w:t>
      </w:r>
      <w:r>
        <w:rPr>
          <w:rFonts w:hint="eastAsia"/>
          <w:shd w:val="clear" w:fill="FFFFFF"/>
          <w:lang w:val="en-US" w:eastAsia="zh-CN"/>
        </w:rPr>
        <w:t>10</w:t>
      </w:r>
      <w:r>
        <w:rPr>
          <w:shd w:val="clear" w:fill="FFFFFF"/>
        </w:rPr>
        <w:t>月</w:t>
      </w:r>
      <w:r>
        <w:rPr>
          <w:rFonts w:hint="eastAsia"/>
          <w:shd w:val="clear" w:fill="FFFFFF"/>
          <w:lang w:val="en-US" w:eastAsia="zh-CN"/>
        </w:rPr>
        <w:t>16</w:t>
      </w:r>
      <w:r>
        <w:rPr>
          <w:shd w:val="clear" w:fill="FFFFFF"/>
        </w:rPr>
        <w:t>日</w:t>
      </w:r>
    </w:p>
    <w:p w14:paraId="0455EC55">
      <w:pPr>
        <w:pStyle w:val="10"/>
        <w:keepNext w:val="0"/>
        <w:keepLines w:val="0"/>
        <w:widowControl/>
        <w:suppressLineNumbers w:val="0"/>
        <w:spacing w:before="0" w:beforeAutospacing="0"/>
        <w:ind w:left="0"/>
        <w:jc w:val="left"/>
      </w:pPr>
      <w:r>
        <w:rPr>
          <w:shd w:val="clear" w:fill="FFFFFF"/>
        </w:rPr>
        <w:t> </w:t>
      </w:r>
    </w:p>
    <w:p w14:paraId="2523F6BB">
      <w:pPr>
        <w:pStyle w:val="10"/>
        <w:keepNext w:val="0"/>
        <w:keepLines w:val="0"/>
        <w:widowControl/>
        <w:suppressLineNumbers w:val="0"/>
        <w:spacing w:before="0" w:beforeAutospacing="0"/>
        <w:ind w:left="0"/>
        <w:jc w:val="left"/>
        <w:rPr>
          <w:rFonts w:hint="default" w:eastAsiaTheme="minorEastAsia"/>
          <w:shd w:val="clear" w:fill="FFFFFF"/>
          <w:lang w:val="en-US" w:eastAsia="zh-CN"/>
        </w:rPr>
      </w:pPr>
      <w:r>
        <w:rPr>
          <w:rFonts w:hint="eastAsia"/>
          <w:shd w:val="clear" w:fill="FFFFFF"/>
          <w:lang w:val="en-US" w:eastAsia="zh-CN"/>
        </w:rPr>
        <w:t xml:space="preserve">                           </w:t>
      </w:r>
      <w:r>
        <w:rPr>
          <w:shd w:val="clear" w:fill="FFFFFF"/>
        </w:rPr>
        <w:t>目录</w:t>
      </w:r>
    </w:p>
    <w:p w14:paraId="55112F46">
      <w:pPr>
        <w:pStyle w:val="10"/>
        <w:keepNext w:val="0"/>
        <w:keepLines w:val="0"/>
        <w:widowControl/>
        <w:suppressLineNumbers w:val="0"/>
        <w:spacing w:before="0" w:beforeAutospacing="0"/>
        <w:ind w:left="0"/>
        <w:jc w:val="left"/>
      </w:pPr>
      <w:r>
        <w:rPr>
          <w:shd w:val="clear" w:fill="FFFFFF"/>
        </w:rPr>
        <w:t>第一部分 部门概况</w:t>
      </w:r>
    </w:p>
    <w:p w14:paraId="649397B8">
      <w:pPr>
        <w:pStyle w:val="10"/>
        <w:keepNext w:val="0"/>
        <w:keepLines w:val="0"/>
        <w:widowControl/>
        <w:suppressLineNumbers w:val="0"/>
        <w:spacing w:before="0" w:beforeAutospacing="0"/>
        <w:ind w:left="420"/>
        <w:jc w:val="left"/>
      </w:pPr>
      <w:r>
        <w:rPr>
          <w:shd w:val="clear" w:fill="FFFFFF"/>
        </w:rPr>
        <w:t>一、基本职能及主要工作</w:t>
      </w:r>
    </w:p>
    <w:p w14:paraId="083FE286">
      <w:pPr>
        <w:pStyle w:val="10"/>
        <w:keepNext w:val="0"/>
        <w:keepLines w:val="0"/>
        <w:widowControl/>
        <w:suppressLineNumbers w:val="0"/>
        <w:spacing w:before="0" w:beforeAutospacing="0"/>
        <w:ind w:left="420"/>
        <w:jc w:val="left"/>
      </w:pPr>
      <w:r>
        <w:rPr>
          <w:shd w:val="clear" w:fill="FFFFFF"/>
        </w:rPr>
        <w:t>二、机构设置</w:t>
      </w:r>
    </w:p>
    <w:p w14:paraId="73704629">
      <w:pPr>
        <w:pStyle w:val="10"/>
        <w:keepNext w:val="0"/>
        <w:keepLines w:val="0"/>
        <w:widowControl/>
        <w:suppressLineNumbers w:val="0"/>
        <w:spacing w:before="0" w:beforeAutospacing="0"/>
        <w:ind w:left="0"/>
        <w:jc w:val="left"/>
      </w:pPr>
      <w:r>
        <w:rPr>
          <w:shd w:val="clear" w:fill="FFFFFF"/>
        </w:rPr>
        <w:t xml:space="preserve">第二部分 </w:t>
      </w:r>
      <w:r>
        <w:rPr>
          <w:rFonts w:hint="eastAsia"/>
          <w:shd w:val="clear" w:fill="FFFFFF"/>
          <w:lang w:eastAsia="zh-CN"/>
        </w:rPr>
        <w:t>202</w:t>
      </w:r>
      <w:r>
        <w:rPr>
          <w:rFonts w:hint="eastAsia"/>
          <w:shd w:val="clear" w:fill="FFFFFF"/>
          <w:lang w:val="en-US" w:eastAsia="zh-CN"/>
        </w:rPr>
        <w:t>4</w:t>
      </w:r>
      <w:r>
        <w:rPr>
          <w:shd w:val="clear" w:fill="FFFFFF"/>
        </w:rPr>
        <w:t>年度部门决算情况说明</w:t>
      </w:r>
    </w:p>
    <w:p w14:paraId="445F63A8">
      <w:pPr>
        <w:pStyle w:val="10"/>
        <w:keepNext w:val="0"/>
        <w:keepLines w:val="0"/>
        <w:widowControl/>
        <w:suppressLineNumbers w:val="0"/>
        <w:spacing w:before="0" w:beforeAutospacing="0"/>
        <w:ind w:left="420"/>
        <w:jc w:val="left"/>
      </w:pPr>
      <w:r>
        <w:rPr>
          <w:shd w:val="clear" w:fill="FFFFFF"/>
        </w:rPr>
        <w:t>一、收入支出决算总体情况说明</w:t>
      </w:r>
    </w:p>
    <w:p w14:paraId="0F80CE6C">
      <w:pPr>
        <w:pStyle w:val="10"/>
        <w:keepNext w:val="0"/>
        <w:keepLines w:val="0"/>
        <w:widowControl/>
        <w:suppressLineNumbers w:val="0"/>
        <w:spacing w:before="0" w:beforeAutospacing="0"/>
        <w:ind w:left="420"/>
        <w:jc w:val="left"/>
      </w:pPr>
      <w:r>
        <w:rPr>
          <w:shd w:val="clear" w:fill="FFFFFF"/>
        </w:rPr>
        <w:t>二、收入决算情况说明</w:t>
      </w:r>
    </w:p>
    <w:p w14:paraId="58DD1DA5">
      <w:pPr>
        <w:pStyle w:val="10"/>
        <w:keepNext w:val="0"/>
        <w:keepLines w:val="0"/>
        <w:widowControl/>
        <w:suppressLineNumbers w:val="0"/>
        <w:spacing w:before="0" w:beforeAutospacing="0"/>
        <w:ind w:left="420"/>
        <w:jc w:val="left"/>
      </w:pPr>
      <w:r>
        <w:rPr>
          <w:shd w:val="clear" w:fill="FFFFFF"/>
        </w:rPr>
        <w:t>三、支出决算情况说明</w:t>
      </w:r>
    </w:p>
    <w:p w14:paraId="76C71725">
      <w:pPr>
        <w:pStyle w:val="10"/>
        <w:keepNext w:val="0"/>
        <w:keepLines w:val="0"/>
        <w:widowControl/>
        <w:suppressLineNumbers w:val="0"/>
        <w:spacing w:before="0" w:beforeAutospacing="0"/>
        <w:ind w:left="420"/>
        <w:jc w:val="left"/>
      </w:pPr>
      <w:r>
        <w:rPr>
          <w:shd w:val="clear" w:fill="FFFFFF"/>
        </w:rPr>
        <w:t>四、财政拨款收入支出决算总体情况说明</w:t>
      </w:r>
    </w:p>
    <w:p w14:paraId="64D6C229">
      <w:pPr>
        <w:pStyle w:val="10"/>
        <w:keepNext w:val="0"/>
        <w:keepLines w:val="0"/>
        <w:widowControl/>
        <w:suppressLineNumbers w:val="0"/>
        <w:spacing w:before="0" w:beforeAutospacing="0"/>
        <w:ind w:left="420"/>
        <w:jc w:val="left"/>
      </w:pPr>
      <w:r>
        <w:rPr>
          <w:shd w:val="clear" w:fill="FFFFFF"/>
        </w:rPr>
        <w:t>五、一般公共预算财政拨款支出决算情况说明</w:t>
      </w:r>
    </w:p>
    <w:p w14:paraId="18B01AA2">
      <w:pPr>
        <w:pStyle w:val="10"/>
        <w:keepNext w:val="0"/>
        <w:keepLines w:val="0"/>
        <w:widowControl/>
        <w:suppressLineNumbers w:val="0"/>
        <w:spacing w:before="0" w:beforeAutospacing="0"/>
        <w:ind w:left="420"/>
        <w:jc w:val="left"/>
      </w:pPr>
      <w:r>
        <w:rPr>
          <w:shd w:val="clear" w:fill="FFFFFF"/>
        </w:rPr>
        <w:t>六、一般公共预算财政拨款基本支出决算情况说明</w:t>
      </w:r>
    </w:p>
    <w:p w14:paraId="3BC4A213">
      <w:pPr>
        <w:pStyle w:val="10"/>
        <w:keepNext w:val="0"/>
        <w:keepLines w:val="0"/>
        <w:widowControl/>
        <w:suppressLineNumbers w:val="0"/>
        <w:spacing w:before="0" w:beforeAutospacing="0"/>
        <w:ind w:left="420"/>
        <w:jc w:val="left"/>
      </w:pPr>
      <w:r>
        <w:rPr>
          <w:shd w:val="clear" w:fill="FFFFFF"/>
        </w:rPr>
        <w:t>七、财政拨款“三公”经费支出决算情况说明</w:t>
      </w:r>
    </w:p>
    <w:p w14:paraId="00FAF05E">
      <w:pPr>
        <w:pStyle w:val="10"/>
        <w:keepNext w:val="0"/>
        <w:keepLines w:val="0"/>
        <w:widowControl/>
        <w:suppressLineNumbers w:val="0"/>
        <w:spacing w:before="0" w:beforeAutospacing="0"/>
        <w:ind w:left="420"/>
        <w:jc w:val="left"/>
      </w:pPr>
      <w:r>
        <w:rPr>
          <w:shd w:val="clear" w:fill="FFFFFF"/>
        </w:rPr>
        <w:t>八、政府性基金预算支出决算情况说明</w:t>
      </w:r>
    </w:p>
    <w:p w14:paraId="7D7790E2">
      <w:pPr>
        <w:pStyle w:val="10"/>
        <w:keepNext w:val="0"/>
        <w:keepLines w:val="0"/>
        <w:widowControl/>
        <w:suppressLineNumbers w:val="0"/>
        <w:spacing w:before="0" w:beforeAutospacing="0"/>
        <w:ind w:left="0"/>
        <w:jc w:val="left"/>
      </w:pPr>
      <w:r>
        <w:rPr>
          <w:shd w:val="clear" w:fill="FFFFFF"/>
        </w:rPr>
        <w:t>  九、国有资本经营预算支出决算情况说明</w:t>
      </w:r>
    </w:p>
    <w:p w14:paraId="579E21B5">
      <w:pPr>
        <w:pStyle w:val="10"/>
        <w:keepNext w:val="0"/>
        <w:keepLines w:val="0"/>
        <w:widowControl/>
        <w:suppressLineNumbers w:val="0"/>
        <w:spacing w:before="0" w:beforeAutospacing="0"/>
        <w:ind w:left="0"/>
        <w:jc w:val="left"/>
      </w:pPr>
      <w:r>
        <w:rPr>
          <w:shd w:val="clear" w:fill="FFFFFF"/>
        </w:rPr>
        <w:t>  十、其他重要事项的情况说明 </w:t>
      </w:r>
    </w:p>
    <w:p w14:paraId="3832A016">
      <w:pPr>
        <w:pStyle w:val="10"/>
        <w:keepNext w:val="0"/>
        <w:keepLines w:val="0"/>
        <w:widowControl/>
        <w:suppressLineNumbers w:val="0"/>
        <w:spacing w:before="0" w:beforeAutospacing="0"/>
        <w:ind w:left="0"/>
        <w:jc w:val="left"/>
      </w:pPr>
      <w:r>
        <w:rPr>
          <w:shd w:val="clear" w:fill="FFFFFF"/>
        </w:rPr>
        <w:t>第三部分 名词解释</w:t>
      </w:r>
    </w:p>
    <w:p w14:paraId="2FB5BEFF">
      <w:pPr>
        <w:pStyle w:val="10"/>
        <w:keepNext w:val="0"/>
        <w:keepLines w:val="0"/>
        <w:widowControl/>
        <w:suppressLineNumbers w:val="0"/>
        <w:spacing w:before="0" w:beforeAutospacing="0"/>
        <w:ind w:left="0"/>
        <w:jc w:val="left"/>
      </w:pPr>
      <w:r>
        <w:rPr>
          <w:shd w:val="clear" w:fill="FFFFFF"/>
        </w:rPr>
        <w:t>第四部分 附件</w:t>
      </w:r>
    </w:p>
    <w:p w14:paraId="27A53970">
      <w:pPr>
        <w:pStyle w:val="10"/>
        <w:keepNext w:val="0"/>
        <w:keepLines w:val="0"/>
        <w:widowControl/>
        <w:suppressLineNumbers w:val="0"/>
        <w:spacing w:before="0" w:beforeAutospacing="0"/>
        <w:ind w:left="0"/>
        <w:jc w:val="left"/>
      </w:pPr>
      <w:r>
        <w:rPr>
          <w:shd w:val="clear" w:fill="FFFFFF"/>
        </w:rPr>
        <w:t>第五部分 附表</w:t>
      </w:r>
    </w:p>
    <w:p w14:paraId="1BCD275D">
      <w:pPr>
        <w:pStyle w:val="10"/>
        <w:keepNext w:val="0"/>
        <w:keepLines w:val="0"/>
        <w:widowControl/>
        <w:suppressLineNumbers w:val="0"/>
        <w:spacing w:before="0" w:beforeAutospacing="0"/>
        <w:ind w:left="420"/>
        <w:jc w:val="left"/>
      </w:pPr>
      <w:r>
        <w:rPr>
          <w:shd w:val="clear" w:fill="FFFFFF"/>
        </w:rPr>
        <w:t>一、收入支出决算总表</w:t>
      </w:r>
    </w:p>
    <w:p w14:paraId="00D62FEF">
      <w:pPr>
        <w:pStyle w:val="10"/>
        <w:keepNext w:val="0"/>
        <w:keepLines w:val="0"/>
        <w:widowControl/>
        <w:suppressLineNumbers w:val="0"/>
        <w:spacing w:before="0" w:beforeAutospacing="0"/>
        <w:ind w:left="420"/>
        <w:jc w:val="left"/>
      </w:pPr>
      <w:r>
        <w:rPr>
          <w:shd w:val="clear" w:fill="FFFFFF"/>
        </w:rPr>
        <w:t>二、收入决算表</w:t>
      </w:r>
    </w:p>
    <w:p w14:paraId="32959C99">
      <w:pPr>
        <w:pStyle w:val="10"/>
        <w:keepNext w:val="0"/>
        <w:keepLines w:val="0"/>
        <w:widowControl/>
        <w:suppressLineNumbers w:val="0"/>
        <w:spacing w:before="0" w:beforeAutospacing="0"/>
        <w:ind w:left="420"/>
        <w:jc w:val="left"/>
      </w:pPr>
      <w:r>
        <w:rPr>
          <w:shd w:val="clear" w:fill="FFFFFF"/>
        </w:rPr>
        <w:t>三、支出决算表</w:t>
      </w:r>
    </w:p>
    <w:p w14:paraId="0A19B8C1">
      <w:pPr>
        <w:pStyle w:val="10"/>
        <w:keepNext w:val="0"/>
        <w:keepLines w:val="0"/>
        <w:widowControl/>
        <w:suppressLineNumbers w:val="0"/>
        <w:spacing w:before="0" w:beforeAutospacing="0"/>
        <w:ind w:left="420"/>
        <w:jc w:val="left"/>
      </w:pPr>
      <w:r>
        <w:rPr>
          <w:shd w:val="clear" w:fill="FFFFFF"/>
        </w:rPr>
        <w:t>四、财政拨款收入支出决算总表</w:t>
      </w:r>
    </w:p>
    <w:p w14:paraId="31D4705E">
      <w:pPr>
        <w:pStyle w:val="10"/>
        <w:keepNext w:val="0"/>
        <w:keepLines w:val="0"/>
        <w:widowControl/>
        <w:suppressLineNumbers w:val="0"/>
        <w:spacing w:before="0" w:beforeAutospacing="0"/>
        <w:ind w:left="420"/>
        <w:jc w:val="left"/>
      </w:pPr>
      <w:r>
        <w:rPr>
          <w:shd w:val="clear" w:fill="FFFFFF"/>
        </w:rPr>
        <w:t>五、财政拨款支出决算明细表</w:t>
      </w:r>
    </w:p>
    <w:p w14:paraId="142A8374">
      <w:pPr>
        <w:pStyle w:val="10"/>
        <w:keepNext w:val="0"/>
        <w:keepLines w:val="0"/>
        <w:widowControl/>
        <w:suppressLineNumbers w:val="0"/>
        <w:spacing w:before="0" w:beforeAutospacing="0"/>
        <w:ind w:left="420"/>
        <w:jc w:val="left"/>
      </w:pPr>
      <w:r>
        <w:rPr>
          <w:shd w:val="clear" w:fill="FFFFFF"/>
        </w:rPr>
        <w:t>六、一般公共预算财政拨款支出决算表</w:t>
      </w:r>
    </w:p>
    <w:p w14:paraId="0FA1F262">
      <w:pPr>
        <w:pStyle w:val="10"/>
        <w:keepNext w:val="0"/>
        <w:keepLines w:val="0"/>
        <w:widowControl/>
        <w:suppressLineNumbers w:val="0"/>
        <w:spacing w:before="0" w:beforeAutospacing="0"/>
        <w:ind w:left="420"/>
        <w:jc w:val="left"/>
      </w:pPr>
      <w:r>
        <w:rPr>
          <w:shd w:val="clear" w:fill="FFFFFF"/>
        </w:rPr>
        <w:t>七、一般公共预算财政拨款支出决算明细表</w:t>
      </w:r>
    </w:p>
    <w:p w14:paraId="0EBD6520">
      <w:pPr>
        <w:pStyle w:val="10"/>
        <w:keepNext w:val="0"/>
        <w:keepLines w:val="0"/>
        <w:widowControl/>
        <w:suppressLineNumbers w:val="0"/>
        <w:spacing w:before="0" w:beforeAutospacing="0"/>
        <w:ind w:left="420"/>
        <w:jc w:val="left"/>
      </w:pPr>
      <w:r>
        <w:rPr>
          <w:shd w:val="clear" w:fill="FFFFFF"/>
        </w:rPr>
        <w:t>八、一般公共预算财政拨款基本支出决算表</w:t>
      </w:r>
    </w:p>
    <w:p w14:paraId="548913DF">
      <w:pPr>
        <w:pStyle w:val="10"/>
        <w:keepNext w:val="0"/>
        <w:keepLines w:val="0"/>
        <w:widowControl/>
        <w:suppressLineNumbers w:val="0"/>
        <w:spacing w:before="0" w:beforeAutospacing="0"/>
        <w:ind w:left="420"/>
        <w:jc w:val="left"/>
      </w:pPr>
      <w:r>
        <w:rPr>
          <w:shd w:val="clear" w:fill="FFFFFF"/>
        </w:rPr>
        <w:t>九、一般公共预算财政拨款项目支出决算表</w:t>
      </w:r>
    </w:p>
    <w:p w14:paraId="456C591B">
      <w:pPr>
        <w:pStyle w:val="10"/>
        <w:keepNext w:val="0"/>
        <w:keepLines w:val="0"/>
        <w:widowControl/>
        <w:suppressLineNumbers w:val="0"/>
        <w:spacing w:before="0" w:beforeAutospacing="0"/>
        <w:ind w:left="420"/>
        <w:jc w:val="left"/>
      </w:pPr>
      <w:r>
        <w:rPr>
          <w:shd w:val="clear" w:fill="FFFFFF"/>
        </w:rPr>
        <w:t>十、政府性基金预算财政拨款收入支出决算表</w:t>
      </w:r>
    </w:p>
    <w:p w14:paraId="2F0B38F1">
      <w:pPr>
        <w:pStyle w:val="10"/>
        <w:keepNext w:val="0"/>
        <w:keepLines w:val="0"/>
        <w:widowControl/>
        <w:suppressLineNumbers w:val="0"/>
        <w:spacing w:before="0" w:beforeAutospacing="0"/>
        <w:ind w:left="420"/>
        <w:jc w:val="left"/>
      </w:pPr>
      <w:r>
        <w:rPr>
          <w:shd w:val="clear" w:fill="FFFFFF"/>
        </w:rPr>
        <w:t>十一、国有资本经营预算财政拨款收入支出决算表</w:t>
      </w:r>
    </w:p>
    <w:p w14:paraId="14F2683A">
      <w:pPr>
        <w:pStyle w:val="10"/>
        <w:keepNext w:val="0"/>
        <w:keepLines w:val="0"/>
        <w:widowControl/>
        <w:suppressLineNumbers w:val="0"/>
        <w:spacing w:before="0" w:beforeAutospacing="0"/>
        <w:ind w:left="420"/>
        <w:jc w:val="left"/>
      </w:pPr>
      <w:r>
        <w:rPr>
          <w:shd w:val="clear" w:fill="FFFFFF"/>
        </w:rPr>
        <w:t>十二、国有资本经营预算财政拨款支出决算表</w:t>
      </w:r>
    </w:p>
    <w:p w14:paraId="084FE69B">
      <w:pPr>
        <w:pStyle w:val="10"/>
        <w:keepNext w:val="0"/>
        <w:keepLines w:val="0"/>
        <w:widowControl/>
        <w:suppressLineNumbers w:val="0"/>
        <w:spacing w:before="0" w:beforeAutospacing="0"/>
        <w:ind w:left="420"/>
        <w:jc w:val="left"/>
      </w:pPr>
      <w:r>
        <w:rPr>
          <w:shd w:val="clear" w:fill="FFFFFF"/>
        </w:rPr>
        <w:t>十三、财政拨款“三公”经费支出决算表</w:t>
      </w:r>
    </w:p>
    <w:p w14:paraId="21E3A77F">
      <w:pPr>
        <w:pStyle w:val="10"/>
        <w:keepNext w:val="0"/>
        <w:keepLines w:val="0"/>
        <w:widowControl/>
        <w:suppressLineNumbers w:val="0"/>
        <w:spacing w:before="0" w:beforeAutospacing="0"/>
        <w:ind w:left="0"/>
        <w:jc w:val="left"/>
      </w:pPr>
      <w:r>
        <w:rPr>
          <w:rFonts w:hint="eastAsia"/>
          <w:shd w:val="clear" w:fill="FFFFFF"/>
          <w:lang w:eastAsia="zh-CN"/>
        </w:rPr>
        <w:t>（</w:t>
      </w:r>
      <w:r>
        <w:rPr>
          <w:shd w:val="clear" w:fill="FFFFFF"/>
        </w:rPr>
        <w:t>注：请部门根据实际注明页码</w:t>
      </w:r>
      <w:r>
        <w:rPr>
          <w:rFonts w:hint="eastAsia"/>
          <w:shd w:val="clear" w:fill="FFFFFF"/>
          <w:lang w:eastAsia="zh-CN"/>
        </w:rPr>
        <w:t>）</w:t>
      </w:r>
    </w:p>
    <w:p w14:paraId="7E1EF62F">
      <w:pPr>
        <w:pStyle w:val="3"/>
        <w:keepNext w:val="0"/>
        <w:keepLines w:val="0"/>
        <w:widowControl/>
        <w:suppressLineNumbers w:val="0"/>
        <w:spacing w:before="0" w:beforeAutospacing="0"/>
        <w:ind w:left="0"/>
        <w:jc w:val="center"/>
        <w:rPr>
          <w:shd w:val="clear" w:fill="FFFFFF"/>
        </w:rPr>
      </w:pPr>
    </w:p>
    <w:p w14:paraId="50A6B87E">
      <w:pPr>
        <w:pStyle w:val="3"/>
        <w:keepNext w:val="0"/>
        <w:keepLines w:val="0"/>
        <w:widowControl/>
        <w:suppressLineNumbers w:val="0"/>
        <w:spacing w:before="0" w:beforeAutospacing="0"/>
        <w:ind w:left="0"/>
        <w:jc w:val="center"/>
        <w:rPr>
          <w:shd w:val="clear" w:fill="FFFFFF"/>
        </w:rPr>
      </w:pPr>
    </w:p>
    <w:p w14:paraId="1C60A41F">
      <w:pPr>
        <w:pStyle w:val="3"/>
        <w:keepNext w:val="0"/>
        <w:keepLines w:val="0"/>
        <w:widowControl/>
        <w:suppressLineNumbers w:val="0"/>
        <w:spacing w:before="0" w:beforeAutospacing="0"/>
        <w:ind w:left="0"/>
        <w:jc w:val="center"/>
        <w:rPr>
          <w:shd w:val="clear" w:fill="FFFFFF"/>
        </w:rPr>
      </w:pPr>
    </w:p>
    <w:p w14:paraId="43421E1A">
      <w:pPr>
        <w:pStyle w:val="3"/>
        <w:keepNext w:val="0"/>
        <w:keepLines w:val="0"/>
        <w:widowControl/>
        <w:suppressLineNumbers w:val="0"/>
        <w:spacing w:before="0" w:beforeAutospacing="0"/>
        <w:ind w:left="0"/>
        <w:jc w:val="center"/>
        <w:rPr>
          <w:shd w:val="clear" w:fill="FFFFFF"/>
        </w:rPr>
      </w:pPr>
    </w:p>
    <w:p w14:paraId="39324097">
      <w:pPr>
        <w:pStyle w:val="3"/>
        <w:keepNext w:val="0"/>
        <w:keepLines w:val="0"/>
        <w:widowControl/>
        <w:suppressLineNumbers w:val="0"/>
        <w:spacing w:before="0" w:beforeAutospacing="0"/>
        <w:ind w:left="0"/>
        <w:jc w:val="center"/>
        <w:rPr>
          <w:shd w:val="clear" w:fill="FFFFFF"/>
        </w:rPr>
      </w:pPr>
    </w:p>
    <w:p w14:paraId="1A4E8DB3">
      <w:pPr>
        <w:pStyle w:val="3"/>
        <w:keepNext w:val="0"/>
        <w:keepLines w:val="0"/>
        <w:widowControl/>
        <w:suppressLineNumbers w:val="0"/>
        <w:spacing w:before="0" w:beforeAutospacing="0"/>
        <w:ind w:left="0"/>
        <w:jc w:val="center"/>
        <w:rPr>
          <w:shd w:val="clear" w:fill="FFFFFF"/>
        </w:rPr>
      </w:pPr>
    </w:p>
    <w:p w14:paraId="38CE8D60">
      <w:pPr>
        <w:pStyle w:val="3"/>
        <w:keepNext w:val="0"/>
        <w:keepLines w:val="0"/>
        <w:widowControl/>
        <w:suppressLineNumbers w:val="0"/>
        <w:spacing w:before="0" w:beforeAutospacing="0"/>
        <w:ind w:left="0"/>
        <w:jc w:val="center"/>
        <w:rPr>
          <w:shd w:val="clear" w:fill="FFFFFF"/>
        </w:rPr>
      </w:pPr>
    </w:p>
    <w:p w14:paraId="10A403C0">
      <w:pPr>
        <w:pStyle w:val="3"/>
        <w:keepNext w:val="0"/>
        <w:keepLines w:val="0"/>
        <w:widowControl/>
        <w:suppressLineNumbers w:val="0"/>
        <w:spacing w:before="0" w:beforeAutospacing="0"/>
        <w:ind w:left="0"/>
        <w:jc w:val="center"/>
        <w:rPr>
          <w:shd w:val="clear" w:fill="FFFFFF"/>
        </w:rPr>
      </w:pPr>
    </w:p>
    <w:p w14:paraId="7CFF1034">
      <w:pPr>
        <w:pStyle w:val="3"/>
        <w:keepNext w:val="0"/>
        <w:keepLines w:val="0"/>
        <w:widowControl/>
        <w:suppressLineNumbers w:val="0"/>
        <w:spacing w:before="0" w:beforeAutospacing="0"/>
        <w:ind w:left="0"/>
        <w:jc w:val="center"/>
        <w:rPr>
          <w:shd w:val="clear" w:fill="FFFFFF"/>
        </w:rPr>
      </w:pPr>
    </w:p>
    <w:p w14:paraId="73A302E1">
      <w:pPr>
        <w:pStyle w:val="3"/>
        <w:keepNext w:val="0"/>
        <w:keepLines w:val="0"/>
        <w:widowControl/>
        <w:suppressLineNumbers w:val="0"/>
        <w:spacing w:before="0" w:beforeAutospacing="0"/>
        <w:ind w:left="0"/>
        <w:jc w:val="center"/>
        <w:rPr>
          <w:shd w:val="clear" w:fill="FFFFFF"/>
        </w:rPr>
      </w:pPr>
    </w:p>
    <w:p w14:paraId="63ECDBD2">
      <w:pPr>
        <w:pStyle w:val="3"/>
        <w:keepNext w:val="0"/>
        <w:keepLines w:val="0"/>
        <w:widowControl/>
        <w:suppressLineNumbers w:val="0"/>
        <w:spacing w:before="0" w:beforeAutospacing="0"/>
        <w:ind w:left="0"/>
        <w:jc w:val="center"/>
        <w:rPr>
          <w:shd w:val="clear" w:fill="FFFFFF"/>
        </w:rPr>
      </w:pPr>
    </w:p>
    <w:p w14:paraId="2929EC85">
      <w:pPr>
        <w:pStyle w:val="3"/>
        <w:keepNext w:val="0"/>
        <w:keepLines w:val="0"/>
        <w:widowControl/>
        <w:suppressLineNumbers w:val="0"/>
        <w:spacing w:before="0" w:beforeAutospacing="0"/>
        <w:ind w:left="0"/>
        <w:jc w:val="center"/>
      </w:pPr>
      <w:r>
        <w:rPr>
          <w:shd w:val="clear" w:fill="FFFFFF"/>
        </w:rPr>
        <w:t>第一部分 部门概况</w:t>
      </w:r>
    </w:p>
    <w:p w14:paraId="3C75C9C3">
      <w:pPr>
        <w:pStyle w:val="4"/>
        <w:keepNext w:val="0"/>
        <w:keepLines w:val="0"/>
        <w:widowControl/>
        <w:suppressLineNumbers w:val="0"/>
        <w:spacing w:before="0" w:beforeAutospacing="0"/>
        <w:ind w:left="0"/>
        <w:jc w:val="left"/>
      </w:pPr>
      <w:r>
        <w:rPr>
          <w:shd w:val="clear" w:fill="FFFFFF"/>
        </w:rPr>
        <w:t>一、基本职能及主要工作</w:t>
      </w:r>
    </w:p>
    <w:p w14:paraId="3241B37D">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lang w:eastAsia="zh-CN"/>
        </w:rPr>
        <w:t>（</w:t>
      </w:r>
      <w:r>
        <w:rPr>
          <w:rFonts w:hint="eastAsia" w:ascii="仿宋" w:hAnsi="仿宋" w:eastAsia="仿宋"/>
          <w:b/>
          <w:color w:val="000000"/>
          <w:sz w:val="32"/>
          <w:szCs w:val="32"/>
        </w:rPr>
        <w:t>一</w:t>
      </w:r>
      <w:r>
        <w:rPr>
          <w:rFonts w:hint="eastAsia" w:ascii="仿宋" w:hAnsi="仿宋" w:eastAsia="仿宋"/>
          <w:b/>
          <w:color w:val="000000"/>
          <w:sz w:val="32"/>
          <w:szCs w:val="32"/>
          <w:lang w:eastAsia="zh-CN"/>
        </w:rPr>
        <w:t>）</w:t>
      </w:r>
      <w:r>
        <w:rPr>
          <w:rFonts w:hint="eastAsia" w:ascii="仿宋" w:hAnsi="仿宋" w:eastAsia="仿宋"/>
          <w:b/>
          <w:color w:val="000000"/>
          <w:sz w:val="32"/>
          <w:szCs w:val="32"/>
        </w:rPr>
        <w:t>主要职能</w:t>
      </w:r>
    </w:p>
    <w:p w14:paraId="4A5622F7">
      <w:pPr>
        <w:rPr>
          <w:rFonts w:ascii="仿宋" w:hAnsi="仿宋" w:eastAsia="仿宋"/>
          <w:color w:val="000000"/>
          <w:sz w:val="32"/>
          <w:szCs w:val="32"/>
        </w:rPr>
      </w:pPr>
      <w:r>
        <w:rPr>
          <w:rFonts w:ascii="仿宋" w:hAnsi="仿宋" w:eastAsia="仿宋"/>
          <w:color w:val="000000"/>
          <w:sz w:val="32"/>
          <w:szCs w:val="32"/>
        </w:rPr>
        <w:tab/>
      </w:r>
      <w:r>
        <w:rPr>
          <w:rFonts w:ascii="仿宋" w:hAnsi="仿宋" w:eastAsia="仿宋"/>
          <w:color w:val="000000"/>
          <w:sz w:val="32"/>
          <w:szCs w:val="32"/>
        </w:rPr>
        <w:t>一、党委工作职责：</w:t>
      </w:r>
    </w:p>
    <w:p w14:paraId="429BBA47">
      <w:pPr>
        <w:rPr>
          <w:rFonts w:ascii="仿宋" w:hAnsi="仿宋" w:eastAsia="仿宋"/>
          <w:color w:val="000000"/>
          <w:sz w:val="32"/>
          <w:szCs w:val="32"/>
        </w:rPr>
      </w:pPr>
      <w:r>
        <w:rPr>
          <w:rFonts w:ascii="仿宋" w:hAnsi="仿宋" w:eastAsia="仿宋"/>
          <w:color w:val="000000"/>
          <w:sz w:val="32"/>
          <w:szCs w:val="32"/>
        </w:rPr>
        <w:t>（1）保证党的路线、方针、政策的坚决贯彻执行。</w:t>
      </w:r>
    </w:p>
    <w:p w14:paraId="03F0A93B">
      <w:pPr>
        <w:rPr>
          <w:rFonts w:ascii="仿宋" w:hAnsi="仿宋" w:eastAsia="仿宋"/>
          <w:color w:val="000000"/>
          <w:sz w:val="32"/>
          <w:szCs w:val="32"/>
        </w:rPr>
      </w:pPr>
      <w:r>
        <w:rPr>
          <w:rFonts w:ascii="仿宋" w:hAnsi="仿宋" w:eastAsia="仿宋"/>
          <w:color w:val="000000"/>
          <w:sz w:val="32"/>
          <w:szCs w:val="32"/>
        </w:rPr>
        <w:t>（2）保证监督职能。</w:t>
      </w:r>
    </w:p>
    <w:p w14:paraId="45251EFC">
      <w:pPr>
        <w:rPr>
          <w:rFonts w:ascii="仿宋" w:hAnsi="仿宋" w:eastAsia="仿宋"/>
          <w:color w:val="000000"/>
          <w:sz w:val="32"/>
          <w:szCs w:val="32"/>
        </w:rPr>
      </w:pPr>
      <w:r>
        <w:rPr>
          <w:rFonts w:ascii="仿宋" w:hAnsi="仿宋" w:eastAsia="仿宋"/>
          <w:color w:val="000000"/>
          <w:sz w:val="32"/>
          <w:szCs w:val="32"/>
        </w:rPr>
        <w:t>（3）教育和管理职能。</w:t>
      </w:r>
    </w:p>
    <w:p w14:paraId="28557481">
      <w:pPr>
        <w:rPr>
          <w:rFonts w:ascii="仿宋" w:hAnsi="仿宋" w:eastAsia="仿宋"/>
          <w:color w:val="000000"/>
          <w:sz w:val="32"/>
          <w:szCs w:val="32"/>
        </w:rPr>
      </w:pPr>
      <w:r>
        <w:rPr>
          <w:rFonts w:ascii="仿宋" w:hAnsi="仿宋" w:eastAsia="仿宋"/>
          <w:color w:val="000000"/>
          <w:sz w:val="32"/>
          <w:szCs w:val="32"/>
        </w:rPr>
        <w:t>（4）服从和服务于经济建设的职能。</w:t>
      </w:r>
    </w:p>
    <w:p w14:paraId="3DD09ADC">
      <w:pPr>
        <w:rPr>
          <w:rFonts w:ascii="仿宋" w:hAnsi="仿宋" w:eastAsia="仿宋"/>
          <w:color w:val="000000"/>
          <w:sz w:val="32"/>
          <w:szCs w:val="32"/>
        </w:rPr>
      </w:pPr>
      <w:r>
        <w:rPr>
          <w:rFonts w:ascii="仿宋" w:hAnsi="仿宋" w:eastAsia="仿宋"/>
          <w:color w:val="000000"/>
          <w:sz w:val="32"/>
          <w:szCs w:val="32"/>
        </w:rPr>
        <w:t>（5）负责抓好本乡 党建工作、群团工作、精神文明建设工作、新闻宣传工作。</w:t>
      </w:r>
    </w:p>
    <w:p w14:paraId="35787976">
      <w:pPr>
        <w:rPr>
          <w:rFonts w:ascii="仿宋" w:hAnsi="仿宋" w:eastAsia="仿宋"/>
          <w:color w:val="000000"/>
          <w:sz w:val="32"/>
          <w:szCs w:val="32"/>
        </w:rPr>
      </w:pPr>
      <w:r>
        <w:rPr>
          <w:rFonts w:ascii="仿宋" w:hAnsi="仿宋" w:eastAsia="仿宋"/>
          <w:color w:val="000000"/>
          <w:sz w:val="32"/>
          <w:szCs w:val="32"/>
        </w:rPr>
        <w:t>（6）完成县委、县政府交给的其他工作任务。
</w:t>
      </w:r>
    </w:p>
    <w:p w14:paraId="58647E56">
      <w:pPr>
        <w:ind w:firstLine="640" w:firstLineChars="200"/>
        <w:rPr>
          <w:rFonts w:ascii="仿宋" w:hAnsi="仿宋" w:eastAsia="仿宋"/>
          <w:color w:val="000000"/>
          <w:sz w:val="32"/>
          <w:szCs w:val="32"/>
        </w:rPr>
      </w:pPr>
      <w:r>
        <w:rPr>
          <w:rFonts w:ascii="仿宋" w:hAnsi="仿宋" w:eastAsia="仿宋"/>
          <w:color w:val="000000"/>
          <w:sz w:val="32"/>
          <w:szCs w:val="32"/>
        </w:rPr>
        <w:t>二、政府职能：</w:t>
      </w:r>
    </w:p>
    <w:p w14:paraId="0D90FA01">
      <w:pPr>
        <w:ind w:firstLine="640" w:firstLineChars="200"/>
        <w:rPr>
          <w:rFonts w:ascii="仿宋" w:hAnsi="仿宋" w:eastAsia="仿宋"/>
          <w:color w:val="000000"/>
          <w:sz w:val="32"/>
          <w:szCs w:val="32"/>
        </w:rPr>
      </w:pPr>
      <w:r>
        <w:rPr>
          <w:rFonts w:ascii="仿宋" w:hAnsi="仿宋" w:eastAsia="仿宋"/>
          <w:color w:val="000000"/>
          <w:sz w:val="32"/>
          <w:szCs w:val="32"/>
        </w:rPr>
        <w:t>（1）制定和组织实施经济、科技和社会发展计划，制定资源开发技术改造和产业结构调整方案，组织指导好</w:t>
      </w:r>
      <w:r>
        <w:rPr>
          <w:rFonts w:hint="eastAsia" w:ascii="仿宋" w:hAnsi="仿宋" w:eastAsia="仿宋"/>
          <w:color w:val="000000"/>
          <w:sz w:val="32"/>
          <w:szCs w:val="32"/>
          <w:lang w:eastAsia="zh-CN"/>
        </w:rPr>
        <w:t>各企</w:t>
      </w:r>
      <w:r>
        <w:rPr>
          <w:rFonts w:ascii="仿宋" w:hAnsi="仿宋" w:eastAsia="仿宋"/>
          <w:color w:val="000000"/>
          <w:sz w:val="32"/>
          <w:szCs w:val="32"/>
        </w:rPr>
        <w:t>业生产，搞好商品流通，协调好本乡与外地区的经济交流与合作，抓好招商引资，人才引进项目开发，不断培育市场体系，组织经济运行，促进经济发展。</w:t>
      </w:r>
    </w:p>
    <w:p w14:paraId="733B2D50">
      <w:pPr>
        <w:ind w:firstLine="640" w:firstLineChars="200"/>
        <w:rPr>
          <w:rFonts w:ascii="仿宋" w:hAnsi="仿宋" w:eastAsia="仿宋"/>
          <w:color w:val="000000"/>
          <w:sz w:val="32"/>
          <w:szCs w:val="32"/>
        </w:rPr>
      </w:pPr>
      <w:r>
        <w:rPr>
          <w:rFonts w:ascii="仿宋" w:hAnsi="仿宋" w:eastAsia="仿宋"/>
          <w:color w:val="000000"/>
          <w:sz w:val="32"/>
          <w:szCs w:val="32"/>
        </w:rPr>
        <w:t>（2）制定并组织实施</w:t>
      </w:r>
      <w:r>
        <w:rPr>
          <w:rFonts w:hint="eastAsia" w:ascii="仿宋" w:hAnsi="仿宋" w:eastAsia="仿宋"/>
          <w:color w:val="000000"/>
          <w:sz w:val="32"/>
          <w:szCs w:val="32"/>
          <w:lang w:eastAsia="zh-CN"/>
        </w:rPr>
        <w:t>乡村</w:t>
      </w:r>
      <w:r>
        <w:rPr>
          <w:rFonts w:ascii="仿宋" w:hAnsi="仿宋" w:eastAsia="仿宋"/>
          <w:color w:val="000000"/>
          <w:sz w:val="32"/>
          <w:szCs w:val="32"/>
        </w:rPr>
        <w:t>建设规划，部署重点工程建设，地方道路建设及公共设施，水利设施的管理，负责土地、林木、水等自然资源和生态环境的保护，做好护林防火工作。</w:t>
      </w:r>
    </w:p>
    <w:p w14:paraId="59B86420">
      <w:pPr>
        <w:ind w:firstLine="640" w:firstLineChars="200"/>
        <w:rPr>
          <w:rFonts w:ascii="仿宋" w:hAnsi="仿宋" w:eastAsia="仿宋"/>
          <w:color w:val="000000"/>
          <w:sz w:val="32"/>
          <w:szCs w:val="32"/>
        </w:rPr>
      </w:pPr>
      <w:r>
        <w:rPr>
          <w:rFonts w:ascii="仿宋" w:hAnsi="仿宋" w:eastAsia="仿宋"/>
          <w:color w:val="000000"/>
          <w:sz w:val="32"/>
          <w:szCs w:val="32"/>
        </w:rPr>
        <w:t>（3）负责本行政区域内的民政、计划生育、文化教育、卫生、体育等社会公益事业的综合性工作，维护一切经济单位和个人的正当经济权益，取缔非法经济活动，调解和处理民事纠纷，打击刑事犯罪维护社会稳定。</w:t>
      </w:r>
    </w:p>
    <w:p w14:paraId="6863835B">
      <w:pPr>
        <w:ind w:firstLine="640" w:firstLineChars="200"/>
        <w:rPr>
          <w:rFonts w:ascii="仿宋" w:hAnsi="仿宋" w:eastAsia="仿宋"/>
          <w:color w:val="000000"/>
          <w:sz w:val="32"/>
          <w:szCs w:val="32"/>
        </w:rPr>
      </w:pPr>
      <w:r>
        <w:rPr>
          <w:rFonts w:ascii="仿宋" w:hAnsi="仿宋" w:eastAsia="仿宋"/>
          <w:color w:val="000000"/>
          <w:sz w:val="32"/>
          <w:szCs w:val="32"/>
        </w:rPr>
        <w:t>（4）按计划组织本级财政收入和地方税的征收，完成国家财政计划，不断培植税源，管好财政资金，增强财政实力。</w:t>
      </w:r>
    </w:p>
    <w:p w14:paraId="711266AB">
      <w:pPr>
        <w:ind w:firstLine="640" w:firstLineChars="200"/>
        <w:rPr>
          <w:rFonts w:ascii="仿宋" w:hAnsi="仿宋" w:eastAsia="仿宋"/>
          <w:color w:val="000000"/>
          <w:sz w:val="32"/>
          <w:szCs w:val="32"/>
        </w:rPr>
      </w:pPr>
      <w:r>
        <w:rPr>
          <w:rFonts w:ascii="仿宋" w:hAnsi="仿宋" w:eastAsia="仿宋"/>
          <w:color w:val="000000"/>
          <w:sz w:val="32"/>
          <w:szCs w:val="32"/>
        </w:rPr>
        <w:t>（5）抓好精神文明建设，丰富群众文化生活，提倡移风易俗，反对封建迷信，破除陈规陋习，树立社会主义新风尚。</w:t>
      </w:r>
    </w:p>
    <w:p w14:paraId="658CA4F5">
      <w:pPr>
        <w:ind w:firstLine="640" w:firstLineChars="200"/>
      </w:pPr>
      <w:r>
        <w:rPr>
          <w:rFonts w:ascii="仿宋" w:hAnsi="仿宋" w:eastAsia="仿宋"/>
          <w:color w:val="000000"/>
          <w:sz w:val="32"/>
          <w:szCs w:val="32"/>
        </w:rPr>
        <w:t>（6）完成上级政府交办</w:t>
      </w:r>
      <w:r>
        <w:rPr>
          <w:rFonts w:hint="eastAsia" w:ascii="仿宋" w:hAnsi="仿宋" w:eastAsia="仿宋"/>
          <w:color w:val="000000"/>
          <w:sz w:val="32"/>
          <w:szCs w:val="32"/>
          <w:lang w:eastAsia="zh-CN"/>
        </w:rPr>
        <w:t>的其他事项</w:t>
      </w:r>
      <w:r>
        <w:rPr>
          <w:rFonts w:ascii="仿宋" w:hAnsi="仿宋" w:eastAsia="仿宋"/>
          <w:color w:val="000000"/>
          <w:sz w:val="32"/>
          <w:szCs w:val="32"/>
        </w:rPr>
        <w:t>。</w:t>
      </w:r>
    </w:p>
    <w:p w14:paraId="43B63FD0">
      <w:pPr>
        <w:spacing w:line="600" w:lineRule="exact"/>
        <w:ind w:firstLine="643" w:firstLineChars="200"/>
        <w:outlineLvl w:val="2"/>
        <w:rPr>
          <w:rFonts w:ascii="仿宋" w:hAnsi="仿宋" w:eastAsia="仿宋"/>
          <w:b/>
          <w:color w:val="000000"/>
          <w:sz w:val="32"/>
          <w:szCs w:val="32"/>
        </w:rPr>
      </w:pPr>
      <w:bookmarkStart w:id="0" w:name="_Toc15378446"/>
      <w:bookmarkStart w:id="1" w:name="_Toc15377199"/>
      <w:r>
        <w:rPr>
          <w:rFonts w:hint="eastAsia" w:ascii="仿宋" w:hAnsi="仿宋" w:eastAsia="仿宋"/>
          <w:b/>
          <w:color w:val="000000"/>
          <w:sz w:val="32"/>
          <w:szCs w:val="32"/>
        </w:rPr>
        <w:t>（二）</w:t>
      </w:r>
      <w:r>
        <w:rPr>
          <w:rFonts w:ascii="仿宋" w:hAnsi="仿宋" w:eastAsia="仿宋"/>
          <w:b/>
          <w:color w:val="000000"/>
          <w:sz w:val="32"/>
          <w:szCs w:val="32"/>
        </w:rPr>
        <w:t>202</w:t>
      </w:r>
      <w:r>
        <w:rPr>
          <w:rFonts w:hint="eastAsia" w:ascii="仿宋" w:hAnsi="仿宋" w:eastAsia="仿宋"/>
          <w:b/>
          <w:color w:val="000000"/>
          <w:sz w:val="32"/>
          <w:szCs w:val="32"/>
          <w:lang w:val="en-US" w:eastAsia="zh-CN"/>
        </w:rPr>
        <w:t>4</w:t>
      </w:r>
      <w:r>
        <w:rPr>
          <w:rFonts w:hint="eastAsia" w:ascii="仿宋" w:hAnsi="仿宋" w:eastAsia="仿宋"/>
          <w:b/>
          <w:color w:val="000000"/>
          <w:sz w:val="32"/>
          <w:szCs w:val="32"/>
        </w:rPr>
        <w:t>重点工作完成情况</w:t>
      </w:r>
      <w:bookmarkEnd w:id="0"/>
      <w:bookmarkEnd w:id="1"/>
    </w:p>
    <w:p w14:paraId="59256677">
      <w:pPr>
        <w:rPr>
          <w:shd w:val="clear" w:fill="FFFFFF"/>
        </w:rPr>
      </w:pPr>
      <w:r>
        <w:rPr>
          <w:rFonts w:ascii="仿宋" w:hAnsi="仿宋" w:eastAsia="仿宋"/>
          <w:color w:val="000000"/>
          <w:sz w:val="32"/>
          <w:szCs w:val="32"/>
        </w:rPr>
        <w:tab/>
      </w:r>
      <w:r>
        <w:rPr>
          <w:rFonts w:ascii="仿宋" w:hAnsi="仿宋" w:eastAsia="仿宋"/>
          <w:color w:val="000000"/>
          <w:sz w:val="32"/>
          <w:szCs w:val="32"/>
        </w:rPr>
        <w:t>完成了三月敏感期乡维稳工作；完成了上级安排的</w:t>
      </w:r>
      <w:r>
        <w:rPr>
          <w:rFonts w:hint="eastAsia" w:ascii="仿宋" w:hAnsi="仿宋" w:eastAsia="仿宋"/>
          <w:color w:val="000000"/>
          <w:sz w:val="32"/>
          <w:szCs w:val="32"/>
          <w:lang w:eastAsia="zh-CN"/>
        </w:rPr>
        <w:t>党委、政府</w:t>
      </w:r>
      <w:r>
        <w:rPr>
          <w:rFonts w:ascii="仿宋" w:hAnsi="仿宋" w:eastAsia="仿宋"/>
          <w:color w:val="000000"/>
          <w:sz w:val="32"/>
          <w:szCs w:val="32"/>
        </w:rPr>
        <w:t>主要工作；完成了</w:t>
      </w:r>
      <w:r>
        <w:rPr>
          <w:rFonts w:hint="eastAsia" w:ascii="仿宋" w:hAnsi="仿宋" w:eastAsia="仿宋"/>
          <w:color w:val="000000"/>
          <w:sz w:val="32"/>
          <w:szCs w:val="32"/>
          <w:lang w:val="en-US" w:eastAsia="zh-CN"/>
        </w:rPr>
        <w:t>脱贫攻坚与乡村振兴有效衔接</w:t>
      </w:r>
      <w:r>
        <w:rPr>
          <w:rFonts w:ascii="仿宋" w:hAnsi="仿宋" w:eastAsia="仿宋"/>
          <w:color w:val="000000"/>
          <w:sz w:val="32"/>
          <w:szCs w:val="32"/>
        </w:rPr>
        <w:t>工作；</w:t>
      </w:r>
    </w:p>
    <w:p w14:paraId="21DB1409">
      <w:pPr>
        <w:pStyle w:val="4"/>
        <w:keepNext w:val="0"/>
        <w:keepLines w:val="0"/>
        <w:widowControl/>
        <w:suppressLineNumbers w:val="0"/>
        <w:spacing w:before="0" w:beforeAutospacing="0"/>
        <w:ind w:left="0" w:firstLine="723" w:firstLineChars="200"/>
        <w:jc w:val="left"/>
      </w:pPr>
      <w:r>
        <w:rPr>
          <w:shd w:val="clear" w:fill="FFFFFF"/>
        </w:rPr>
        <w:t>二、机构设置</w:t>
      </w:r>
    </w:p>
    <w:p w14:paraId="60F308AA">
      <w:pPr>
        <w:ind w:firstLine="640" w:firstLineChars="200"/>
      </w:pPr>
      <w:r>
        <w:rPr>
          <w:rFonts w:ascii="仿宋" w:hAnsi="仿宋" w:eastAsia="仿宋"/>
          <w:color w:val="000000"/>
          <w:sz w:val="32"/>
          <w:szCs w:val="32"/>
        </w:rPr>
        <w:t>松潘县下八寨乡人民政府属一级预算单位，独立编制机构数1个，独立核算机构数1个，行政内设5个。我乡总编制</w:t>
      </w:r>
      <w:r>
        <w:rPr>
          <w:rFonts w:hint="eastAsia" w:ascii="仿宋" w:hAnsi="仿宋" w:eastAsia="仿宋"/>
          <w:color w:val="000000"/>
          <w:sz w:val="32"/>
          <w:szCs w:val="32"/>
          <w:lang w:val="en-US" w:eastAsia="zh-CN"/>
        </w:rPr>
        <w:t>37</w:t>
      </w:r>
      <w:r>
        <w:rPr>
          <w:rFonts w:ascii="仿宋" w:hAnsi="仿宋" w:eastAsia="仿宋"/>
          <w:color w:val="000000"/>
          <w:sz w:val="32"/>
          <w:szCs w:val="32"/>
        </w:rPr>
        <w:t>名，其中：行政编制</w:t>
      </w:r>
      <w:r>
        <w:rPr>
          <w:rFonts w:hint="eastAsia" w:ascii="仿宋" w:hAnsi="仿宋" w:eastAsia="仿宋"/>
          <w:color w:val="000000"/>
          <w:sz w:val="32"/>
          <w:szCs w:val="32"/>
          <w:lang w:val="en-US" w:eastAsia="zh-CN"/>
        </w:rPr>
        <w:t>23</w:t>
      </w:r>
      <w:r>
        <w:rPr>
          <w:rFonts w:ascii="仿宋" w:hAnsi="仿宋" w:eastAsia="仿宋"/>
          <w:color w:val="000000"/>
          <w:sz w:val="32"/>
          <w:szCs w:val="32"/>
        </w:rPr>
        <w:t>名；事业编制14名。在职人员总数</w:t>
      </w:r>
      <w:r>
        <w:rPr>
          <w:rFonts w:hint="eastAsia" w:ascii="仿宋" w:hAnsi="仿宋" w:eastAsia="仿宋"/>
          <w:color w:val="000000"/>
          <w:sz w:val="32"/>
          <w:szCs w:val="32"/>
          <w:lang w:val="en-US" w:eastAsia="zh-CN"/>
        </w:rPr>
        <w:t>35</w:t>
      </w:r>
      <w:r>
        <w:rPr>
          <w:rFonts w:ascii="仿宋" w:hAnsi="仿宋" w:eastAsia="仿宋"/>
          <w:color w:val="000000"/>
          <w:sz w:val="32"/>
          <w:szCs w:val="32"/>
        </w:rPr>
        <w:t>人，其中：行政人员</w:t>
      </w:r>
      <w:r>
        <w:rPr>
          <w:rFonts w:hint="eastAsia" w:ascii="仿宋" w:hAnsi="仿宋" w:eastAsia="仿宋"/>
          <w:color w:val="000000"/>
          <w:sz w:val="32"/>
          <w:szCs w:val="32"/>
          <w:lang w:val="en-US" w:eastAsia="zh-CN"/>
        </w:rPr>
        <w:t>20</w:t>
      </w:r>
      <w:r>
        <w:rPr>
          <w:rFonts w:ascii="仿宋" w:hAnsi="仿宋" w:eastAsia="仿宋"/>
          <w:color w:val="000000"/>
          <w:sz w:val="32"/>
          <w:szCs w:val="32"/>
        </w:rPr>
        <w:t>人，其他事业人员1</w:t>
      </w:r>
      <w:r>
        <w:rPr>
          <w:rFonts w:hint="eastAsia" w:ascii="仿宋" w:hAnsi="仿宋" w:eastAsia="仿宋"/>
          <w:color w:val="000000"/>
          <w:sz w:val="32"/>
          <w:szCs w:val="32"/>
          <w:lang w:val="en-US" w:eastAsia="zh-CN"/>
        </w:rPr>
        <w:t>3</w:t>
      </w:r>
      <w:r>
        <w:rPr>
          <w:rFonts w:ascii="仿宋" w:hAnsi="仿宋" w:eastAsia="仿宋"/>
          <w:color w:val="000000"/>
          <w:sz w:val="32"/>
          <w:szCs w:val="32"/>
        </w:rPr>
        <w:t>人，行政工勤在职</w:t>
      </w:r>
      <w:r>
        <w:rPr>
          <w:rFonts w:hint="eastAsia" w:ascii="仿宋" w:hAnsi="仿宋" w:eastAsia="仿宋"/>
          <w:color w:val="000000"/>
          <w:sz w:val="32"/>
          <w:szCs w:val="32"/>
          <w:lang w:val="en-US" w:eastAsia="zh-CN"/>
        </w:rPr>
        <w:t>2</w:t>
      </w:r>
      <w:r>
        <w:rPr>
          <w:rFonts w:ascii="仿宋" w:hAnsi="仿宋" w:eastAsia="仿宋"/>
          <w:color w:val="000000"/>
          <w:sz w:val="32"/>
          <w:szCs w:val="32"/>
        </w:rPr>
        <w:t>人</w:t>
      </w:r>
      <w:r>
        <w:rPr>
          <w:rFonts w:hint="eastAsia" w:ascii="仿宋" w:hAnsi="仿宋" w:eastAsia="仿宋"/>
          <w:color w:val="000000"/>
          <w:sz w:val="32"/>
          <w:szCs w:val="32"/>
          <w:lang w:eastAsia="zh-CN"/>
        </w:rPr>
        <w:t>，</w:t>
      </w:r>
      <w:r>
        <w:rPr>
          <w:rFonts w:ascii="仿宋" w:hAnsi="仿宋" w:eastAsia="仿宋"/>
          <w:color w:val="000000"/>
          <w:sz w:val="32"/>
          <w:szCs w:val="32"/>
        </w:rPr>
        <w:t>转非人员0人。</w:t>
      </w:r>
    </w:p>
    <w:p w14:paraId="7E09D354">
      <w:pPr>
        <w:pStyle w:val="3"/>
        <w:keepNext w:val="0"/>
        <w:keepLines w:val="0"/>
        <w:widowControl/>
        <w:suppressLineNumbers w:val="0"/>
        <w:spacing w:before="0" w:beforeAutospacing="0"/>
        <w:ind w:left="0"/>
        <w:jc w:val="center"/>
      </w:pPr>
      <w:r>
        <w:rPr>
          <w:rFonts w:hint="eastAsia"/>
          <w:shd w:val="clear" w:fill="FFFFFF"/>
          <w:lang w:val="en-US" w:eastAsia="zh-CN"/>
        </w:rPr>
        <w:t xml:space="preserve"> </w:t>
      </w:r>
      <w:r>
        <w:rPr>
          <w:shd w:val="clear" w:fill="FFFFFF"/>
        </w:rPr>
        <w:t xml:space="preserve">第二部分 </w:t>
      </w:r>
      <w:r>
        <w:rPr>
          <w:rFonts w:hint="eastAsia"/>
          <w:shd w:val="clear" w:fill="FFFFFF"/>
          <w:lang w:eastAsia="zh-CN"/>
        </w:rPr>
        <w:t>202</w:t>
      </w:r>
      <w:r>
        <w:rPr>
          <w:rFonts w:hint="eastAsia"/>
          <w:shd w:val="clear" w:fill="FFFFFF"/>
          <w:lang w:val="en-US" w:eastAsia="zh-CN"/>
        </w:rPr>
        <w:t>4</w:t>
      </w:r>
      <w:r>
        <w:rPr>
          <w:shd w:val="clear" w:fill="FFFFFF"/>
        </w:rPr>
        <w:t>年度部门决算情况说明</w:t>
      </w:r>
    </w:p>
    <w:p w14:paraId="001CA5D7">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一、收入支出决算总体情况说明</w:t>
      </w:r>
    </w:p>
    <w:p w14:paraId="176F8BEB">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年度收、支总计</w:t>
      </w:r>
      <w:r>
        <w:rPr>
          <w:rFonts w:hint="eastAsia" w:ascii="仿宋" w:hAnsi="仿宋" w:eastAsia="仿宋" w:cstheme="minorEastAsia"/>
          <w:color w:val="000000"/>
          <w:kern w:val="0"/>
          <w:sz w:val="32"/>
          <w:szCs w:val="32"/>
          <w:lang w:val="en-US" w:eastAsia="zh-CN" w:bidi="ar"/>
        </w:rPr>
        <w:t>967.34</w:t>
      </w:r>
      <w:r>
        <w:rPr>
          <w:rFonts w:ascii="仿宋" w:hAnsi="仿宋" w:eastAsia="仿宋" w:cstheme="minorEastAsia"/>
          <w:color w:val="000000"/>
          <w:kern w:val="0"/>
          <w:sz w:val="32"/>
          <w:szCs w:val="32"/>
          <w:lang w:val="en-US" w:eastAsia="zh-CN" w:bidi="ar"/>
        </w:rPr>
        <w:t>万元。与202</w:t>
      </w:r>
      <w:r>
        <w:rPr>
          <w:rFonts w:hint="eastAsia" w:ascii="仿宋" w:hAnsi="仿宋" w:eastAsia="仿宋" w:cstheme="minorEastAsia"/>
          <w:color w:val="000000"/>
          <w:kern w:val="0"/>
          <w:sz w:val="32"/>
          <w:szCs w:val="32"/>
          <w:lang w:val="en-US" w:eastAsia="zh-CN" w:bidi="ar"/>
        </w:rPr>
        <w:t>3</w:t>
      </w:r>
      <w:r>
        <w:rPr>
          <w:rFonts w:ascii="仿宋" w:hAnsi="仿宋" w:eastAsia="仿宋" w:cstheme="minorEastAsia"/>
          <w:color w:val="000000"/>
          <w:kern w:val="0"/>
          <w:sz w:val="32"/>
          <w:szCs w:val="32"/>
          <w:lang w:val="en-US" w:eastAsia="zh-CN" w:bidi="ar"/>
        </w:rPr>
        <w:t>年相比，收、支总计各增加</w:t>
      </w:r>
      <w:r>
        <w:rPr>
          <w:rFonts w:hint="eastAsia" w:ascii="仿宋" w:hAnsi="仿宋" w:eastAsia="仿宋" w:cstheme="minorEastAsia"/>
          <w:color w:val="000000"/>
          <w:kern w:val="0"/>
          <w:sz w:val="32"/>
          <w:szCs w:val="32"/>
          <w:lang w:val="en-US" w:eastAsia="zh-CN" w:bidi="ar"/>
        </w:rPr>
        <w:t>292.32</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43.30</w:t>
      </w:r>
      <w:r>
        <w:rPr>
          <w:rFonts w:ascii="仿宋" w:hAnsi="仿宋" w:eastAsia="仿宋" w:cstheme="minorEastAsia"/>
          <w:color w:val="000000"/>
          <w:kern w:val="0"/>
          <w:sz w:val="32"/>
          <w:szCs w:val="32"/>
          <w:lang w:val="en-US" w:eastAsia="zh-CN" w:bidi="ar"/>
        </w:rPr>
        <w:t>%。</w:t>
      </w:r>
    </w:p>
    <w:p w14:paraId="0F139876">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二、收入决算情况说明</w:t>
      </w:r>
    </w:p>
    <w:p w14:paraId="75D4C7C8">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年本年收入合计</w:t>
      </w:r>
      <w:r>
        <w:rPr>
          <w:rFonts w:hint="eastAsia" w:ascii="仿宋" w:hAnsi="仿宋" w:eastAsia="仿宋" w:cstheme="minorEastAsia"/>
          <w:color w:val="000000"/>
          <w:kern w:val="0"/>
          <w:sz w:val="32"/>
          <w:szCs w:val="32"/>
          <w:lang w:val="en-US" w:eastAsia="zh-CN" w:bidi="ar"/>
        </w:rPr>
        <w:t>967.34</w:t>
      </w:r>
      <w:r>
        <w:rPr>
          <w:rFonts w:ascii="仿宋" w:hAnsi="仿宋" w:eastAsia="仿宋" w:cstheme="minorEastAsia"/>
          <w:color w:val="000000"/>
          <w:kern w:val="0"/>
          <w:sz w:val="32"/>
          <w:szCs w:val="32"/>
          <w:lang w:val="en-US" w:eastAsia="zh-CN" w:bidi="ar"/>
        </w:rPr>
        <w:t>万元，其中：一般公共预算财政拨款收入</w:t>
      </w:r>
      <w:r>
        <w:rPr>
          <w:rFonts w:hint="eastAsia" w:ascii="仿宋" w:hAnsi="仿宋" w:eastAsia="仿宋" w:cstheme="minorEastAsia"/>
          <w:color w:val="000000"/>
          <w:kern w:val="0"/>
          <w:sz w:val="32"/>
          <w:szCs w:val="32"/>
          <w:lang w:val="en-US" w:eastAsia="zh-CN" w:bidi="ar"/>
        </w:rPr>
        <w:t>966.34</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99</w:t>
      </w:r>
      <w:r>
        <w:rPr>
          <w:rFonts w:ascii="仿宋" w:hAnsi="仿宋" w:eastAsia="仿宋" w:cstheme="minorEastAsia"/>
          <w:color w:val="000000"/>
          <w:kern w:val="0"/>
          <w:sz w:val="32"/>
          <w:szCs w:val="32"/>
          <w:lang w:val="en-US" w:eastAsia="zh-CN" w:bidi="ar"/>
        </w:rPr>
        <w:t>.</w:t>
      </w:r>
      <w:r>
        <w:rPr>
          <w:rFonts w:hint="eastAsia" w:ascii="仿宋" w:hAnsi="仿宋" w:eastAsia="仿宋" w:cstheme="minorEastAsia"/>
          <w:color w:val="000000"/>
          <w:kern w:val="0"/>
          <w:sz w:val="32"/>
          <w:szCs w:val="32"/>
          <w:lang w:val="en-US" w:eastAsia="zh-CN" w:bidi="ar"/>
        </w:rPr>
        <w:t>99</w:t>
      </w:r>
      <w:r>
        <w:rPr>
          <w:rFonts w:ascii="仿宋" w:hAnsi="仿宋" w:eastAsia="仿宋" w:cstheme="minorEastAsia"/>
          <w:color w:val="000000"/>
          <w:kern w:val="0"/>
          <w:sz w:val="32"/>
          <w:szCs w:val="32"/>
          <w:lang w:val="en-US" w:eastAsia="zh-CN" w:bidi="ar"/>
        </w:rPr>
        <w:t>%；政府性基金预算财政拨款收入</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万元，占0.00%；国有资本经营预算财政拨款收入0.00万元，占0.00%；上级补助收入0.00万元，占0.00%；事业收入0.00万元，占0.00%%；经营收入0.00万元，占0.00%%；附属单位上缴收入0.00万元，占0.00%；其他收入</w:t>
      </w:r>
      <w:r>
        <w:rPr>
          <w:rFonts w:hint="eastAsia" w:ascii="仿宋" w:hAnsi="仿宋" w:eastAsia="仿宋" w:cstheme="minorEastAsia"/>
          <w:color w:val="000000"/>
          <w:kern w:val="0"/>
          <w:sz w:val="32"/>
          <w:szCs w:val="32"/>
          <w:lang w:val="en-US" w:eastAsia="zh-CN" w:bidi="ar"/>
        </w:rPr>
        <w:t>1</w:t>
      </w:r>
      <w:r>
        <w:rPr>
          <w:rFonts w:ascii="仿宋" w:hAnsi="仿宋" w:eastAsia="仿宋" w:cstheme="minorEastAsia"/>
          <w:color w:val="000000"/>
          <w:kern w:val="0"/>
          <w:sz w:val="32"/>
          <w:szCs w:val="32"/>
          <w:lang w:val="en-US" w:eastAsia="zh-CN" w:bidi="ar"/>
        </w:rPr>
        <w:t>万元，占0.0</w:t>
      </w:r>
      <w:r>
        <w:rPr>
          <w:rFonts w:hint="eastAsia" w:ascii="仿宋" w:hAnsi="仿宋" w:eastAsia="仿宋" w:cstheme="minorEastAsia"/>
          <w:color w:val="000000"/>
          <w:kern w:val="0"/>
          <w:sz w:val="32"/>
          <w:szCs w:val="32"/>
          <w:lang w:val="en-US" w:eastAsia="zh-CN" w:bidi="ar"/>
        </w:rPr>
        <w:t>1</w:t>
      </w:r>
      <w:r>
        <w:rPr>
          <w:rFonts w:ascii="仿宋" w:hAnsi="仿宋" w:eastAsia="仿宋" w:cstheme="minorEastAsia"/>
          <w:color w:val="000000"/>
          <w:kern w:val="0"/>
          <w:sz w:val="32"/>
          <w:szCs w:val="32"/>
          <w:lang w:val="en-US" w:eastAsia="zh-CN" w:bidi="ar"/>
        </w:rPr>
        <w:t>%。</w:t>
      </w:r>
    </w:p>
    <w:p w14:paraId="7DE61AC4">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三、支出决算情况说明</w:t>
      </w:r>
    </w:p>
    <w:p w14:paraId="307583B6">
      <w:pPr>
        <w:pStyle w:val="10"/>
        <w:keepNext w:val="0"/>
        <w:keepLines w:val="0"/>
        <w:widowControl/>
        <w:suppressLineNumbers w:val="0"/>
        <w:spacing w:before="0" w:beforeAutospacing="0"/>
        <w:ind w:left="0" w:firstLine="640" w:firstLineChars="200"/>
        <w:jc w:val="both"/>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年本年支出合计</w:t>
      </w:r>
      <w:r>
        <w:rPr>
          <w:rFonts w:hint="eastAsia" w:ascii="仿宋" w:hAnsi="仿宋" w:eastAsia="仿宋" w:cstheme="minorEastAsia"/>
          <w:color w:val="000000"/>
          <w:kern w:val="0"/>
          <w:sz w:val="32"/>
          <w:szCs w:val="32"/>
          <w:lang w:val="en-US" w:eastAsia="zh-CN" w:bidi="ar"/>
        </w:rPr>
        <w:t>966.34</w:t>
      </w:r>
      <w:r>
        <w:rPr>
          <w:rFonts w:ascii="仿宋" w:hAnsi="仿宋" w:eastAsia="仿宋" w:cstheme="minorEastAsia"/>
          <w:color w:val="000000"/>
          <w:kern w:val="0"/>
          <w:sz w:val="32"/>
          <w:szCs w:val="32"/>
          <w:lang w:val="en-US" w:eastAsia="zh-CN" w:bidi="ar"/>
        </w:rPr>
        <w:t>万元，其中：基本支出</w:t>
      </w:r>
      <w:r>
        <w:rPr>
          <w:rFonts w:hint="eastAsia" w:ascii="仿宋" w:hAnsi="仿宋" w:eastAsia="仿宋" w:cstheme="minorEastAsia"/>
          <w:color w:val="000000"/>
          <w:kern w:val="0"/>
          <w:sz w:val="32"/>
          <w:szCs w:val="32"/>
          <w:lang w:val="en-US" w:eastAsia="zh-CN" w:bidi="ar"/>
        </w:rPr>
        <w:t>531.09</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54.90</w:t>
      </w:r>
      <w:r>
        <w:rPr>
          <w:rFonts w:ascii="仿宋" w:hAnsi="仿宋" w:eastAsia="仿宋" w:cstheme="minorEastAsia"/>
          <w:color w:val="000000"/>
          <w:kern w:val="0"/>
          <w:sz w:val="32"/>
          <w:szCs w:val="32"/>
          <w:lang w:val="en-US" w:eastAsia="zh-CN" w:bidi="ar"/>
        </w:rPr>
        <w:t>%；项目支出</w:t>
      </w:r>
      <w:r>
        <w:rPr>
          <w:rFonts w:hint="eastAsia" w:ascii="仿宋" w:hAnsi="仿宋" w:eastAsia="仿宋" w:cstheme="minorEastAsia"/>
          <w:color w:val="000000"/>
          <w:kern w:val="0"/>
          <w:sz w:val="32"/>
          <w:szCs w:val="32"/>
          <w:lang w:val="en-US" w:eastAsia="zh-CN" w:bidi="ar"/>
        </w:rPr>
        <w:t>435.25</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45.10</w:t>
      </w:r>
      <w:r>
        <w:rPr>
          <w:rFonts w:ascii="仿宋" w:hAnsi="仿宋" w:eastAsia="仿宋" w:cstheme="minorEastAsia"/>
          <w:color w:val="000000"/>
          <w:kern w:val="0"/>
          <w:sz w:val="32"/>
          <w:szCs w:val="32"/>
          <w:lang w:val="en-US" w:eastAsia="zh-CN" w:bidi="ar"/>
        </w:rPr>
        <w:t>%；上缴上级支出0.00万元，占0.00%；经营支出0.00万元，占经营支出0.00万元，占 0.00%；对附属单位补助支出0.00万元，占0.00%。  </w:t>
      </w:r>
    </w:p>
    <w:p w14:paraId="21F4E9FA">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四、财政拨款收入支出决算总体情况说明</w:t>
      </w:r>
    </w:p>
    <w:p w14:paraId="6AFB4C5D">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年财政拨款收、支总计</w:t>
      </w:r>
      <w:r>
        <w:rPr>
          <w:rFonts w:hint="eastAsia" w:ascii="仿宋" w:hAnsi="仿宋" w:eastAsia="仿宋" w:cstheme="minorEastAsia"/>
          <w:color w:val="000000"/>
          <w:kern w:val="0"/>
          <w:sz w:val="32"/>
          <w:szCs w:val="32"/>
          <w:lang w:val="en-US" w:eastAsia="zh-CN" w:bidi="ar"/>
        </w:rPr>
        <w:t>966.34</w:t>
      </w:r>
      <w:r>
        <w:rPr>
          <w:rFonts w:ascii="仿宋" w:hAnsi="仿宋" w:eastAsia="仿宋" w:cstheme="minorEastAsia"/>
          <w:color w:val="000000"/>
          <w:kern w:val="0"/>
          <w:sz w:val="32"/>
          <w:szCs w:val="32"/>
          <w:lang w:val="en-US" w:eastAsia="zh-CN" w:bidi="ar"/>
        </w:rPr>
        <w:t>万元。与202</w:t>
      </w:r>
      <w:r>
        <w:rPr>
          <w:rFonts w:hint="eastAsia" w:ascii="仿宋" w:hAnsi="仿宋" w:eastAsia="仿宋" w:cstheme="minorEastAsia"/>
          <w:color w:val="000000"/>
          <w:kern w:val="0"/>
          <w:sz w:val="32"/>
          <w:szCs w:val="32"/>
          <w:lang w:val="en-US" w:eastAsia="zh-CN" w:bidi="ar"/>
        </w:rPr>
        <w:t>3</w:t>
      </w:r>
      <w:r>
        <w:rPr>
          <w:rFonts w:ascii="仿宋" w:hAnsi="仿宋" w:eastAsia="仿宋" w:cstheme="minorEastAsia"/>
          <w:color w:val="000000"/>
          <w:kern w:val="0"/>
          <w:sz w:val="32"/>
          <w:szCs w:val="32"/>
          <w:lang w:val="en-US" w:eastAsia="zh-CN" w:bidi="ar"/>
        </w:rPr>
        <w:t>年相比，财政拨款收、支总计各增加</w:t>
      </w:r>
      <w:r>
        <w:rPr>
          <w:rFonts w:hint="eastAsia" w:ascii="仿宋" w:hAnsi="仿宋" w:eastAsia="仿宋" w:cstheme="minorEastAsia"/>
          <w:color w:val="000000"/>
          <w:kern w:val="0"/>
          <w:sz w:val="32"/>
          <w:szCs w:val="32"/>
          <w:lang w:val="en-US" w:eastAsia="zh-CN" w:bidi="ar"/>
        </w:rPr>
        <w:t>291.32</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43.16</w:t>
      </w:r>
      <w:r>
        <w:rPr>
          <w:rFonts w:ascii="仿宋" w:hAnsi="仿宋" w:eastAsia="仿宋" w:cstheme="minorEastAsia"/>
          <w:color w:val="000000"/>
          <w:kern w:val="0"/>
          <w:sz w:val="32"/>
          <w:szCs w:val="32"/>
          <w:lang w:val="en-US" w:eastAsia="zh-CN" w:bidi="ar"/>
        </w:rPr>
        <w:t>%。 </w:t>
      </w:r>
    </w:p>
    <w:p w14:paraId="2A980325">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五、一般公共预算财政拨款支出决算情况说明</w:t>
      </w:r>
    </w:p>
    <w:p w14:paraId="556DBBB2">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（一）一般公共预算财政拨款支出决算总体情况</w:t>
      </w:r>
    </w:p>
    <w:p w14:paraId="1B6C6F8A">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年一般公共预算财政拨款支出</w:t>
      </w:r>
      <w:r>
        <w:rPr>
          <w:rFonts w:hint="eastAsia" w:ascii="仿宋" w:hAnsi="仿宋" w:eastAsia="仿宋" w:cstheme="minorEastAsia"/>
          <w:color w:val="000000"/>
          <w:kern w:val="0"/>
          <w:sz w:val="32"/>
          <w:szCs w:val="32"/>
          <w:lang w:val="en-US" w:eastAsia="zh-CN" w:bidi="ar"/>
        </w:rPr>
        <w:t>966.34</w:t>
      </w:r>
      <w:r>
        <w:rPr>
          <w:rFonts w:ascii="仿宋" w:hAnsi="仿宋" w:eastAsia="仿宋" w:cstheme="minorEastAsia"/>
          <w:color w:val="000000"/>
          <w:kern w:val="0"/>
          <w:sz w:val="32"/>
          <w:szCs w:val="32"/>
          <w:lang w:val="en-US" w:eastAsia="zh-CN" w:bidi="ar"/>
        </w:rPr>
        <w:t>万元，占本年支出合计的</w:t>
      </w:r>
      <w:r>
        <w:rPr>
          <w:rFonts w:hint="eastAsia" w:ascii="仿宋" w:hAnsi="仿宋" w:eastAsia="仿宋" w:cstheme="minorEastAsia"/>
          <w:color w:val="000000"/>
          <w:kern w:val="0"/>
          <w:sz w:val="32"/>
          <w:szCs w:val="32"/>
          <w:lang w:val="en-US" w:eastAsia="zh-CN" w:bidi="ar"/>
        </w:rPr>
        <w:t>99.90</w:t>
      </w:r>
      <w:r>
        <w:rPr>
          <w:rFonts w:ascii="仿宋" w:hAnsi="仿宋" w:eastAsia="仿宋" w:cstheme="minorEastAsia"/>
          <w:color w:val="000000"/>
          <w:kern w:val="0"/>
          <w:sz w:val="32"/>
          <w:szCs w:val="32"/>
          <w:lang w:val="en-US" w:eastAsia="zh-CN" w:bidi="ar"/>
        </w:rPr>
        <w:t>%。与202</w:t>
      </w:r>
      <w:r>
        <w:rPr>
          <w:rFonts w:hint="eastAsia" w:ascii="仿宋" w:hAnsi="仿宋" w:eastAsia="仿宋" w:cstheme="minorEastAsia"/>
          <w:color w:val="000000"/>
          <w:kern w:val="0"/>
          <w:sz w:val="32"/>
          <w:szCs w:val="32"/>
          <w:lang w:val="en-US" w:eastAsia="zh-CN" w:bidi="ar"/>
        </w:rPr>
        <w:t>3</w:t>
      </w:r>
      <w:r>
        <w:rPr>
          <w:rFonts w:ascii="仿宋" w:hAnsi="仿宋" w:eastAsia="仿宋" w:cstheme="minorEastAsia"/>
          <w:color w:val="000000"/>
          <w:kern w:val="0"/>
          <w:sz w:val="32"/>
          <w:szCs w:val="32"/>
          <w:lang w:val="en-US" w:eastAsia="zh-CN" w:bidi="ar"/>
        </w:rPr>
        <w:t>年相比，一般公共预算财政拨款支出增加</w:t>
      </w:r>
      <w:r>
        <w:rPr>
          <w:rFonts w:hint="eastAsia" w:ascii="仿宋" w:hAnsi="仿宋" w:eastAsia="仿宋" w:cstheme="minorEastAsia"/>
          <w:color w:val="000000"/>
          <w:kern w:val="0"/>
          <w:sz w:val="32"/>
          <w:szCs w:val="32"/>
          <w:lang w:val="en-US" w:eastAsia="zh-CN" w:bidi="ar"/>
        </w:rPr>
        <w:t>291.32</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43.16</w:t>
      </w:r>
      <w:r>
        <w:rPr>
          <w:rFonts w:ascii="仿宋" w:hAnsi="仿宋" w:eastAsia="仿宋" w:cstheme="minorEastAsia"/>
          <w:color w:val="000000"/>
          <w:kern w:val="0"/>
          <w:sz w:val="32"/>
          <w:szCs w:val="32"/>
          <w:lang w:val="en-US" w:eastAsia="zh-CN" w:bidi="ar"/>
        </w:rPr>
        <w:t>%。</w:t>
      </w:r>
    </w:p>
    <w:p w14:paraId="429CE975">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（二）一般公共预算财政拨款支出决算结构情况</w:t>
      </w:r>
    </w:p>
    <w:p w14:paraId="0711994A">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年一般公共预算财政拨款支出</w:t>
      </w:r>
      <w:r>
        <w:rPr>
          <w:rFonts w:hint="eastAsia" w:ascii="仿宋" w:hAnsi="仿宋" w:eastAsia="仿宋" w:cstheme="minorEastAsia"/>
          <w:color w:val="000000"/>
          <w:kern w:val="0"/>
          <w:sz w:val="32"/>
          <w:szCs w:val="32"/>
          <w:lang w:val="en-US" w:eastAsia="zh-CN" w:bidi="ar"/>
        </w:rPr>
        <w:t>966.34</w:t>
      </w:r>
      <w:r>
        <w:rPr>
          <w:rFonts w:ascii="仿宋" w:hAnsi="仿宋" w:eastAsia="仿宋" w:cstheme="minorEastAsia"/>
          <w:color w:val="000000"/>
          <w:kern w:val="0"/>
          <w:sz w:val="32"/>
          <w:szCs w:val="32"/>
          <w:lang w:val="en-US" w:eastAsia="zh-CN" w:bidi="ar"/>
        </w:rPr>
        <w:t>万元，主要用于以下方面</w:t>
      </w:r>
      <w:r>
        <w:rPr>
          <w:rFonts w:hint="eastAsia" w:ascii="仿宋" w:hAnsi="仿宋" w:eastAsia="仿宋" w:cstheme="minorEastAsia"/>
          <w:color w:val="000000"/>
          <w:kern w:val="0"/>
          <w:sz w:val="32"/>
          <w:szCs w:val="32"/>
          <w:lang w:val="en-US" w:eastAsia="zh-CN" w:bidi="ar"/>
        </w:rPr>
        <w:t>：</w:t>
      </w:r>
      <w:r>
        <w:rPr>
          <w:rFonts w:ascii="仿宋" w:hAnsi="仿宋" w:eastAsia="仿宋" w:cstheme="minorEastAsia"/>
          <w:color w:val="000000"/>
          <w:kern w:val="0"/>
          <w:sz w:val="32"/>
          <w:szCs w:val="32"/>
          <w:lang w:val="en-US" w:eastAsia="zh-CN" w:bidi="ar"/>
        </w:rPr>
        <w:t>一般公共服务（类）支出</w:t>
      </w:r>
      <w:r>
        <w:rPr>
          <w:rFonts w:hint="eastAsia" w:ascii="仿宋" w:hAnsi="仿宋" w:eastAsia="仿宋" w:cstheme="minorEastAsia"/>
          <w:color w:val="000000"/>
          <w:kern w:val="0"/>
          <w:sz w:val="32"/>
          <w:szCs w:val="32"/>
          <w:lang w:val="en-US" w:eastAsia="zh-CN" w:bidi="ar"/>
        </w:rPr>
        <w:t>412.17</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42.65</w:t>
      </w:r>
      <w:r>
        <w:rPr>
          <w:rFonts w:ascii="仿宋" w:hAnsi="仿宋" w:eastAsia="仿宋" w:cstheme="minorEastAsia"/>
          <w:color w:val="000000"/>
          <w:kern w:val="0"/>
          <w:sz w:val="32"/>
          <w:szCs w:val="32"/>
          <w:lang w:val="en-US" w:eastAsia="zh-CN" w:bidi="ar"/>
        </w:rPr>
        <w:t>%；教育支出（类）0.00万元，占0.00%；科学技术（类）支出0.00万元，占0.00%；文化旅游体育与传媒（类）支出0.00万元，占0.00%；社会保障和就业（类）支出</w:t>
      </w:r>
      <w:r>
        <w:rPr>
          <w:rFonts w:hint="eastAsia" w:ascii="仿宋" w:hAnsi="仿宋" w:eastAsia="仿宋" w:cstheme="minorEastAsia"/>
          <w:color w:val="000000"/>
          <w:kern w:val="0"/>
          <w:sz w:val="32"/>
          <w:szCs w:val="32"/>
          <w:lang w:val="en-US" w:eastAsia="zh-CN" w:bidi="ar"/>
        </w:rPr>
        <w:t>162.29</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16.80</w:t>
      </w:r>
      <w:r>
        <w:rPr>
          <w:rFonts w:ascii="仿宋" w:hAnsi="仿宋" w:eastAsia="仿宋" w:cstheme="minorEastAsia"/>
          <w:color w:val="000000"/>
          <w:kern w:val="0"/>
          <w:sz w:val="32"/>
          <w:szCs w:val="32"/>
          <w:lang w:val="en-US" w:eastAsia="zh-CN" w:bidi="ar"/>
        </w:rPr>
        <w:t>%；卫生健康支出</w:t>
      </w:r>
      <w:r>
        <w:rPr>
          <w:rFonts w:hint="eastAsia" w:ascii="仿宋" w:hAnsi="仿宋" w:eastAsia="仿宋" w:cstheme="minorEastAsia"/>
          <w:color w:val="000000"/>
          <w:kern w:val="0"/>
          <w:sz w:val="32"/>
          <w:szCs w:val="32"/>
          <w:lang w:val="en-US" w:eastAsia="zh-CN" w:bidi="ar"/>
        </w:rPr>
        <w:t>24.66</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2.55</w:t>
      </w:r>
      <w:r>
        <w:rPr>
          <w:rFonts w:ascii="仿宋" w:hAnsi="仿宋" w:eastAsia="仿宋" w:cstheme="minorEastAsia"/>
          <w:color w:val="000000"/>
          <w:kern w:val="0"/>
          <w:sz w:val="32"/>
          <w:szCs w:val="32"/>
          <w:lang w:val="en-US" w:eastAsia="zh-CN" w:bidi="ar"/>
        </w:rPr>
        <w:t>%；住房保障支出</w:t>
      </w:r>
      <w:r>
        <w:rPr>
          <w:rFonts w:hint="eastAsia" w:ascii="仿宋" w:hAnsi="仿宋" w:eastAsia="仿宋" w:cstheme="minorEastAsia"/>
          <w:color w:val="000000"/>
          <w:kern w:val="0"/>
          <w:sz w:val="32"/>
          <w:szCs w:val="32"/>
          <w:lang w:val="en-US" w:eastAsia="zh-CN" w:bidi="ar"/>
        </w:rPr>
        <w:t>38.82</w:t>
      </w:r>
      <w:r>
        <w:rPr>
          <w:rFonts w:ascii="仿宋" w:hAnsi="仿宋" w:eastAsia="仿宋" w:cstheme="minorEastAsia"/>
          <w:color w:val="000000"/>
          <w:kern w:val="0"/>
          <w:sz w:val="32"/>
          <w:szCs w:val="32"/>
          <w:lang w:val="en-US" w:eastAsia="zh-CN" w:bidi="ar"/>
        </w:rPr>
        <w:t>万元，占</w:t>
      </w:r>
      <w:r>
        <w:rPr>
          <w:rFonts w:hint="eastAsia" w:ascii="仿宋" w:hAnsi="仿宋" w:eastAsia="仿宋" w:cstheme="minorEastAsia"/>
          <w:color w:val="000000"/>
          <w:kern w:val="0"/>
          <w:sz w:val="32"/>
          <w:szCs w:val="32"/>
          <w:lang w:val="en-US" w:eastAsia="zh-CN" w:bidi="ar"/>
        </w:rPr>
        <w:t>4.02</w:t>
      </w:r>
      <w:r>
        <w:rPr>
          <w:rFonts w:ascii="仿宋" w:hAnsi="仿宋" w:eastAsia="仿宋" w:cstheme="minorEastAsia"/>
          <w:color w:val="000000"/>
          <w:kern w:val="0"/>
          <w:sz w:val="32"/>
          <w:szCs w:val="32"/>
          <w:lang w:val="en-US" w:eastAsia="zh-CN" w:bidi="ar"/>
        </w:rPr>
        <w:t>%；</w:t>
      </w:r>
      <w:r>
        <w:rPr>
          <w:rFonts w:hint="eastAsia" w:ascii="仿宋" w:hAnsi="仿宋" w:eastAsia="仿宋" w:cstheme="minorEastAsia"/>
          <w:color w:val="000000"/>
          <w:kern w:val="0"/>
          <w:sz w:val="32"/>
          <w:szCs w:val="32"/>
          <w:lang w:val="en-US" w:eastAsia="zh-CN" w:bidi="ar"/>
        </w:rPr>
        <w:t>农林水支出328.40万元，占33.98%</w:t>
      </w:r>
      <w:r>
        <w:rPr>
          <w:rFonts w:ascii="仿宋" w:hAnsi="仿宋" w:eastAsia="仿宋" w:cstheme="minorEastAsia"/>
          <w:color w:val="000000"/>
          <w:kern w:val="0"/>
          <w:sz w:val="32"/>
          <w:szCs w:val="32"/>
          <w:lang w:val="en-US" w:eastAsia="zh-CN" w:bidi="ar"/>
        </w:rPr>
        <w:t>。  </w:t>
      </w:r>
    </w:p>
    <w:p w14:paraId="3A4DE703">
      <w:pPr>
        <w:pStyle w:val="10"/>
        <w:keepNext w:val="0"/>
        <w:keepLines w:val="0"/>
        <w:widowControl/>
        <w:suppressLineNumbers w:val="0"/>
        <w:spacing w:before="0" w:beforeAutospacing="0"/>
        <w:ind w:left="0" w:firstLine="321" w:firstLineChars="1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（三）一般公共预算财政拨款支出决算具体情况</w:t>
      </w:r>
    </w:p>
    <w:p w14:paraId="6A3FFE94">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年一般公共预算支出决算数为</w:t>
      </w:r>
      <w:r>
        <w:rPr>
          <w:rFonts w:hint="eastAsia" w:ascii="仿宋" w:hAnsi="仿宋" w:eastAsia="仿宋" w:cstheme="minorEastAsia"/>
          <w:color w:val="000000"/>
          <w:kern w:val="0"/>
          <w:sz w:val="32"/>
          <w:szCs w:val="32"/>
          <w:lang w:val="en-US" w:eastAsia="zh-CN" w:bidi="ar"/>
        </w:rPr>
        <w:t>966.34万</w:t>
      </w:r>
      <w:r>
        <w:rPr>
          <w:rFonts w:ascii="仿宋" w:hAnsi="仿宋" w:eastAsia="仿宋" w:cstheme="minorEastAsia"/>
          <w:color w:val="000000"/>
          <w:kern w:val="0"/>
          <w:sz w:val="32"/>
          <w:szCs w:val="32"/>
          <w:lang w:val="en-US" w:eastAsia="zh-CN" w:bidi="ar"/>
        </w:rPr>
        <w:t>，完成预算100.00%。其中：</w:t>
      </w:r>
    </w:p>
    <w:p w14:paraId="3A410E99">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w:t>
      </w:r>
      <w:r>
        <w:rPr>
          <w:rFonts w:hint="eastAsia" w:ascii="仿宋_GB2312" w:hAnsi="Times New Roman" w:eastAsia="仿宋_GB2312" w:cs="仿宋_GB2312"/>
          <w:b w:val="0"/>
          <w:bCs w:val="0"/>
          <w:kern w:val="0"/>
          <w:sz w:val="32"/>
          <w:szCs w:val="32"/>
          <w:shd w:val="clear" w:fill="FFFFFF"/>
        </w:rPr>
        <w:t>一般公共服务支出（201）政府办公厅（室）及相关机构事务（20103）行政运行（2010301）</w:t>
      </w:r>
      <w:r>
        <w:rPr>
          <w:rFonts w:hint="eastAsia" w:ascii="仿宋_GB2312" w:hAnsi="Times New Roman" w:eastAsia="仿宋_GB2312" w:cs="仿宋_GB2312"/>
          <w:b w:val="0"/>
          <w:bCs w:val="0"/>
          <w:kern w:val="0"/>
          <w:sz w:val="32"/>
          <w:szCs w:val="32"/>
          <w:shd w:val="clear" w:fill="FFFFFF"/>
          <w:lang w:eastAsia="zh-CN"/>
        </w:rPr>
        <w:t>：</w:t>
      </w:r>
      <w:r>
        <w:rPr>
          <w:rFonts w:ascii="仿宋" w:hAnsi="仿宋" w:eastAsia="仿宋" w:cstheme="minorEastAsia"/>
          <w:color w:val="000000"/>
          <w:kern w:val="0"/>
          <w:sz w:val="32"/>
          <w:szCs w:val="32"/>
          <w:lang w:val="en-US" w:eastAsia="zh-CN" w:bidi="ar"/>
        </w:rPr>
        <w:t>支出决算为</w:t>
      </w:r>
      <w:r>
        <w:rPr>
          <w:rFonts w:hint="eastAsia" w:ascii="仿宋" w:hAnsi="仿宋" w:eastAsia="仿宋" w:cstheme="minorEastAsia"/>
          <w:color w:val="000000"/>
          <w:kern w:val="0"/>
          <w:sz w:val="32"/>
          <w:szCs w:val="32"/>
          <w:lang w:val="en-US" w:eastAsia="zh-CN" w:bidi="ar"/>
        </w:rPr>
        <w:t>412.17</w:t>
      </w:r>
      <w:r>
        <w:rPr>
          <w:rFonts w:ascii="仿宋" w:hAnsi="仿宋" w:eastAsia="仿宋" w:cstheme="minorEastAsia"/>
          <w:color w:val="000000"/>
          <w:kern w:val="0"/>
          <w:sz w:val="32"/>
          <w:szCs w:val="32"/>
          <w:lang w:val="en-US" w:eastAsia="zh-CN" w:bidi="ar"/>
        </w:rPr>
        <w:t>万元，完成预算</w:t>
      </w:r>
      <w:r>
        <w:rPr>
          <w:rFonts w:hint="eastAsia" w:ascii="仿宋" w:hAnsi="仿宋" w:eastAsia="仿宋" w:cstheme="minorEastAsia"/>
          <w:color w:val="000000"/>
          <w:kern w:val="0"/>
          <w:sz w:val="32"/>
          <w:szCs w:val="32"/>
          <w:lang w:val="en-US" w:eastAsia="zh-CN" w:bidi="ar"/>
        </w:rPr>
        <w:t>100</w:t>
      </w:r>
      <w:r>
        <w:rPr>
          <w:rFonts w:ascii="仿宋" w:hAnsi="仿宋" w:eastAsia="仿宋" w:cstheme="minorEastAsia"/>
          <w:color w:val="000000"/>
          <w:kern w:val="0"/>
          <w:sz w:val="32"/>
          <w:szCs w:val="32"/>
          <w:lang w:val="en-US" w:eastAsia="zh-CN" w:bidi="ar"/>
        </w:rPr>
        <w:t>%，决算数等于预算数。</w:t>
      </w:r>
    </w:p>
    <w:p w14:paraId="5AF618D0">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w:t>
      </w:r>
      <w:r>
        <w:rPr>
          <w:rFonts w:ascii="仿宋" w:hAnsi="仿宋" w:eastAsia="仿宋" w:cstheme="minorEastAsia"/>
          <w:color w:val="000000"/>
          <w:kern w:val="0"/>
          <w:sz w:val="32"/>
          <w:szCs w:val="32"/>
          <w:lang w:val="en-US" w:eastAsia="zh-CN" w:bidi="ar"/>
        </w:rPr>
        <w:t>.</w:t>
      </w:r>
      <w:r>
        <w:rPr>
          <w:rFonts w:hint="eastAsia" w:ascii="仿宋_GB2312" w:hAnsi="Times New Roman" w:eastAsia="仿宋_GB2312" w:cs="仿宋_GB2312"/>
          <w:b w:val="0"/>
          <w:bCs w:val="0"/>
          <w:kern w:val="0"/>
          <w:sz w:val="32"/>
          <w:szCs w:val="32"/>
          <w:shd w:val="clear" w:fill="FFFFFF"/>
        </w:rPr>
        <w:t>社会保障和就业支出（208）行政事业单位养老支出（20805）机关事业单位基本养老保险缴费</w:t>
      </w:r>
      <w:r>
        <w:rPr>
          <w:rFonts w:hint="eastAsia" w:ascii="仿宋_GB2312" w:hAnsi="Times New Roman" w:eastAsia="仿宋_GB2312" w:cs="仿宋_GB2312"/>
          <w:b w:val="0"/>
          <w:bCs w:val="0"/>
          <w:kern w:val="0"/>
          <w:sz w:val="32"/>
          <w:szCs w:val="32"/>
          <w:shd w:val="clear" w:fill="FFFFFF"/>
          <w:lang w:eastAsia="zh-CN"/>
        </w:rPr>
        <w:t>、</w:t>
      </w:r>
      <w:r>
        <w:rPr>
          <w:rFonts w:hint="eastAsia" w:ascii="仿宋_GB2312" w:hAnsi="Times New Roman" w:eastAsia="仿宋_GB2312" w:cs="仿宋_GB2312"/>
          <w:b w:val="0"/>
          <w:bCs w:val="0"/>
          <w:kern w:val="0"/>
          <w:sz w:val="32"/>
          <w:szCs w:val="32"/>
          <w:shd w:val="clear" w:fill="FFFFFF"/>
          <w:lang w:val="en-US" w:eastAsia="zh-CN"/>
        </w:rPr>
        <w:t>职业年金缴费</w:t>
      </w:r>
      <w:r>
        <w:rPr>
          <w:rFonts w:hint="eastAsia" w:ascii="仿宋_GB2312" w:hAnsi="Times New Roman" w:eastAsia="仿宋_GB2312" w:cs="仿宋_GB2312"/>
          <w:b w:val="0"/>
          <w:bCs w:val="0"/>
          <w:kern w:val="0"/>
          <w:sz w:val="32"/>
          <w:szCs w:val="32"/>
          <w:shd w:val="clear" w:fill="FFFFFF"/>
        </w:rPr>
        <w:t>支出（2080505）</w:t>
      </w:r>
      <w:r>
        <w:rPr>
          <w:rFonts w:hint="eastAsia" w:ascii="仿宋_GB2312" w:hAnsi="Times New Roman" w:eastAsia="仿宋_GB2312" w:cs="仿宋_GB2312"/>
          <w:b w:val="0"/>
          <w:bCs w:val="0"/>
          <w:kern w:val="0"/>
          <w:sz w:val="32"/>
          <w:szCs w:val="32"/>
          <w:shd w:val="clear" w:fill="FFFFFF"/>
          <w:lang w:eastAsia="zh-CN"/>
        </w:rPr>
        <w:t>：</w:t>
      </w:r>
      <w:r>
        <w:rPr>
          <w:rFonts w:ascii="仿宋" w:hAnsi="仿宋" w:eastAsia="仿宋" w:cstheme="minorEastAsia"/>
          <w:color w:val="000000"/>
          <w:kern w:val="0"/>
          <w:sz w:val="32"/>
          <w:szCs w:val="32"/>
          <w:lang w:val="en-US" w:eastAsia="zh-CN" w:bidi="ar"/>
        </w:rPr>
        <w:t>支出决算为</w:t>
      </w:r>
      <w:r>
        <w:rPr>
          <w:rFonts w:hint="eastAsia" w:ascii="仿宋" w:hAnsi="仿宋" w:eastAsia="仿宋" w:cstheme="minorEastAsia"/>
          <w:color w:val="000000"/>
          <w:kern w:val="0"/>
          <w:sz w:val="32"/>
          <w:szCs w:val="32"/>
          <w:lang w:val="en-US" w:eastAsia="zh-CN" w:bidi="ar"/>
        </w:rPr>
        <w:t>162.29</w:t>
      </w:r>
      <w:r>
        <w:rPr>
          <w:rFonts w:ascii="仿宋" w:hAnsi="仿宋" w:eastAsia="仿宋" w:cstheme="minorEastAsia"/>
          <w:color w:val="000000"/>
          <w:kern w:val="0"/>
          <w:sz w:val="32"/>
          <w:szCs w:val="32"/>
          <w:lang w:val="en-US" w:eastAsia="zh-CN" w:bidi="ar"/>
        </w:rPr>
        <w:t>万元，完成预算</w:t>
      </w:r>
      <w:r>
        <w:rPr>
          <w:rFonts w:hint="eastAsia" w:ascii="仿宋" w:hAnsi="仿宋" w:eastAsia="仿宋" w:cstheme="minorEastAsia"/>
          <w:color w:val="000000"/>
          <w:kern w:val="0"/>
          <w:sz w:val="32"/>
          <w:szCs w:val="32"/>
          <w:lang w:val="en-US" w:eastAsia="zh-CN" w:bidi="ar"/>
        </w:rPr>
        <w:t>100</w:t>
      </w:r>
      <w:r>
        <w:rPr>
          <w:rFonts w:ascii="仿宋" w:hAnsi="仿宋" w:eastAsia="仿宋" w:cstheme="minorEastAsia"/>
          <w:color w:val="000000"/>
          <w:kern w:val="0"/>
          <w:sz w:val="32"/>
          <w:szCs w:val="32"/>
          <w:lang w:val="en-US" w:eastAsia="zh-CN" w:bidi="ar"/>
        </w:rPr>
        <w:t>%，决算数等于预算数。</w:t>
      </w:r>
    </w:p>
    <w:p w14:paraId="1D5CB7FD">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3</w:t>
      </w:r>
      <w:r>
        <w:rPr>
          <w:rFonts w:ascii="仿宋" w:hAnsi="仿宋" w:eastAsia="仿宋" w:cstheme="minorEastAsia"/>
          <w:color w:val="000000"/>
          <w:kern w:val="0"/>
          <w:sz w:val="32"/>
          <w:szCs w:val="32"/>
          <w:lang w:val="en-US" w:eastAsia="zh-CN" w:bidi="ar"/>
        </w:rPr>
        <w:t>.</w:t>
      </w:r>
      <w:r>
        <w:rPr>
          <w:rFonts w:hint="eastAsia" w:ascii="仿宋_GB2312" w:hAnsi="Times New Roman" w:eastAsia="仿宋_GB2312" w:cs="仿宋_GB2312"/>
          <w:b w:val="0"/>
          <w:bCs w:val="0"/>
          <w:kern w:val="0"/>
          <w:sz w:val="32"/>
          <w:szCs w:val="32"/>
          <w:shd w:val="clear" w:fill="FFFFFF"/>
        </w:rPr>
        <w:t>卫生健康支出（210）行政事业单位医疗（21011）行政单位医疗（2101101）</w:t>
      </w:r>
      <w:r>
        <w:rPr>
          <w:rFonts w:hint="eastAsia" w:ascii="仿宋_GB2312" w:hAnsi="Times New Roman" w:eastAsia="仿宋_GB2312" w:cs="仿宋_GB2312"/>
          <w:b w:val="0"/>
          <w:bCs w:val="0"/>
          <w:kern w:val="0"/>
          <w:sz w:val="32"/>
          <w:szCs w:val="32"/>
          <w:shd w:val="clear" w:fill="FFFFFF"/>
          <w:lang w:eastAsia="zh-CN"/>
        </w:rPr>
        <w:t>：</w:t>
      </w:r>
      <w:r>
        <w:rPr>
          <w:rFonts w:ascii="仿宋" w:hAnsi="仿宋" w:eastAsia="仿宋" w:cstheme="minorEastAsia"/>
          <w:color w:val="000000"/>
          <w:kern w:val="0"/>
          <w:sz w:val="32"/>
          <w:szCs w:val="32"/>
          <w:lang w:val="en-US" w:eastAsia="zh-CN" w:bidi="ar"/>
        </w:rPr>
        <w:t>支出决算为</w:t>
      </w:r>
      <w:r>
        <w:rPr>
          <w:rFonts w:hint="eastAsia" w:ascii="仿宋" w:hAnsi="仿宋" w:eastAsia="仿宋" w:cstheme="minorEastAsia"/>
          <w:color w:val="000000"/>
          <w:kern w:val="0"/>
          <w:sz w:val="32"/>
          <w:szCs w:val="32"/>
          <w:lang w:val="en-US" w:eastAsia="zh-CN" w:bidi="ar"/>
        </w:rPr>
        <w:t>24.66</w:t>
      </w:r>
      <w:r>
        <w:rPr>
          <w:rFonts w:ascii="仿宋" w:hAnsi="仿宋" w:eastAsia="仿宋" w:cstheme="minorEastAsia"/>
          <w:color w:val="000000"/>
          <w:kern w:val="0"/>
          <w:sz w:val="32"/>
          <w:szCs w:val="32"/>
          <w:lang w:val="en-US" w:eastAsia="zh-CN" w:bidi="ar"/>
        </w:rPr>
        <w:t>万元，完成预算</w:t>
      </w:r>
      <w:r>
        <w:rPr>
          <w:rFonts w:hint="eastAsia" w:ascii="仿宋" w:hAnsi="仿宋" w:eastAsia="仿宋" w:cstheme="minorEastAsia"/>
          <w:color w:val="000000"/>
          <w:kern w:val="0"/>
          <w:sz w:val="32"/>
          <w:szCs w:val="32"/>
          <w:lang w:val="en-US" w:eastAsia="zh-CN" w:bidi="ar"/>
        </w:rPr>
        <w:t>100</w:t>
      </w:r>
      <w:r>
        <w:rPr>
          <w:rFonts w:ascii="仿宋" w:hAnsi="仿宋" w:eastAsia="仿宋" w:cstheme="minorEastAsia"/>
          <w:color w:val="000000"/>
          <w:kern w:val="0"/>
          <w:sz w:val="32"/>
          <w:szCs w:val="32"/>
          <w:lang w:val="en-US" w:eastAsia="zh-CN" w:bidi="ar"/>
        </w:rPr>
        <w:t>%，决算数等于预算数。</w:t>
      </w:r>
    </w:p>
    <w:p w14:paraId="56D7FBB0">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4.</w:t>
      </w:r>
      <w:r>
        <w:rPr>
          <w:rFonts w:hint="eastAsia" w:ascii="仿宋_GB2312" w:hAnsi="Times New Roman" w:eastAsia="仿宋_GB2312" w:cs="仿宋_GB2312"/>
          <w:b w:val="0"/>
          <w:bCs w:val="0"/>
          <w:kern w:val="0"/>
          <w:sz w:val="32"/>
          <w:szCs w:val="32"/>
          <w:shd w:val="clear" w:fill="FFFFFF"/>
        </w:rPr>
        <w:t>农林水支出（213）农村综合改革（21307）对村民委员会和村党支部的补助（2130705）</w:t>
      </w:r>
      <w:r>
        <w:rPr>
          <w:rFonts w:hint="eastAsia" w:ascii="仿宋_GB2312" w:hAnsi="Times New Roman" w:eastAsia="仿宋_GB2312" w:cs="仿宋_GB2312"/>
          <w:b w:val="0"/>
          <w:bCs w:val="0"/>
          <w:kern w:val="0"/>
          <w:sz w:val="32"/>
          <w:szCs w:val="32"/>
          <w:shd w:val="clear" w:fill="FFFFFF"/>
          <w:lang w:eastAsia="zh-CN"/>
        </w:rPr>
        <w:t>：</w:t>
      </w:r>
      <w:r>
        <w:rPr>
          <w:rFonts w:hint="eastAsia" w:ascii="仿宋" w:hAnsi="仿宋" w:eastAsia="仿宋" w:cstheme="minorEastAsia"/>
          <w:color w:val="000000"/>
          <w:kern w:val="0"/>
          <w:sz w:val="32"/>
          <w:szCs w:val="32"/>
          <w:lang w:val="en-US" w:eastAsia="zh-CN" w:bidi="ar"/>
        </w:rPr>
        <w:t>支出决算为328.40万元，</w:t>
      </w:r>
      <w:r>
        <w:rPr>
          <w:rFonts w:ascii="仿宋" w:hAnsi="仿宋" w:eastAsia="仿宋" w:cstheme="minorEastAsia"/>
          <w:color w:val="000000"/>
          <w:kern w:val="0"/>
          <w:sz w:val="32"/>
          <w:szCs w:val="32"/>
          <w:lang w:val="en-US" w:eastAsia="zh-CN" w:bidi="ar"/>
        </w:rPr>
        <w:t>完成预算</w:t>
      </w:r>
      <w:r>
        <w:rPr>
          <w:rFonts w:hint="eastAsia" w:ascii="仿宋" w:hAnsi="仿宋" w:eastAsia="仿宋" w:cstheme="minorEastAsia"/>
          <w:color w:val="000000"/>
          <w:kern w:val="0"/>
          <w:sz w:val="32"/>
          <w:szCs w:val="32"/>
          <w:lang w:val="en-US" w:eastAsia="zh-CN" w:bidi="ar"/>
        </w:rPr>
        <w:t>100</w:t>
      </w:r>
      <w:r>
        <w:rPr>
          <w:rFonts w:ascii="仿宋" w:hAnsi="仿宋" w:eastAsia="仿宋" w:cstheme="minorEastAsia"/>
          <w:color w:val="000000"/>
          <w:kern w:val="0"/>
          <w:sz w:val="32"/>
          <w:szCs w:val="32"/>
          <w:lang w:val="en-US" w:eastAsia="zh-CN" w:bidi="ar"/>
        </w:rPr>
        <w:t>%，决算数等于预算数。</w:t>
      </w:r>
    </w:p>
    <w:p w14:paraId="2E24A564">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5.</w:t>
      </w:r>
      <w:r>
        <w:rPr>
          <w:rFonts w:hint="eastAsia" w:ascii="仿宋_GB2312" w:hAnsi="Times New Roman" w:eastAsia="仿宋_GB2312" w:cs="仿宋_GB2312"/>
          <w:b w:val="0"/>
          <w:bCs w:val="0"/>
          <w:kern w:val="0"/>
          <w:sz w:val="32"/>
          <w:szCs w:val="32"/>
          <w:shd w:val="clear" w:fill="FFFFFF"/>
        </w:rPr>
        <w:t>住房保障支出（221）住房改革支出（22102）住房公积金（2210201）</w:t>
      </w:r>
      <w:r>
        <w:rPr>
          <w:rFonts w:hint="eastAsia" w:ascii="仿宋_GB2312" w:hAnsi="Times New Roman" w:eastAsia="仿宋_GB2312" w:cs="仿宋_GB2312"/>
          <w:b w:val="0"/>
          <w:bCs w:val="0"/>
          <w:kern w:val="0"/>
          <w:sz w:val="32"/>
          <w:szCs w:val="32"/>
          <w:shd w:val="clear" w:fill="FFFFFF"/>
          <w:lang w:eastAsia="zh-CN"/>
        </w:rPr>
        <w:t>：</w:t>
      </w:r>
      <w:r>
        <w:rPr>
          <w:rFonts w:hint="eastAsia" w:ascii="仿宋" w:hAnsi="仿宋" w:eastAsia="仿宋" w:cstheme="minorEastAsia"/>
          <w:color w:val="000000"/>
          <w:kern w:val="0"/>
          <w:sz w:val="32"/>
          <w:szCs w:val="32"/>
          <w:lang w:val="en-US" w:eastAsia="zh-CN" w:bidi="ar"/>
        </w:rPr>
        <w:t>支出决算为38.82万元，</w:t>
      </w:r>
      <w:r>
        <w:rPr>
          <w:rFonts w:ascii="仿宋" w:hAnsi="仿宋" w:eastAsia="仿宋" w:cstheme="minorEastAsia"/>
          <w:color w:val="000000"/>
          <w:kern w:val="0"/>
          <w:sz w:val="32"/>
          <w:szCs w:val="32"/>
          <w:lang w:val="en-US" w:eastAsia="zh-CN" w:bidi="ar"/>
        </w:rPr>
        <w:t>完成预算</w:t>
      </w:r>
      <w:r>
        <w:rPr>
          <w:rFonts w:hint="eastAsia" w:ascii="仿宋" w:hAnsi="仿宋" w:eastAsia="仿宋" w:cstheme="minorEastAsia"/>
          <w:color w:val="000000"/>
          <w:kern w:val="0"/>
          <w:sz w:val="32"/>
          <w:szCs w:val="32"/>
          <w:lang w:val="en-US" w:eastAsia="zh-CN" w:bidi="ar"/>
        </w:rPr>
        <w:t>100</w:t>
      </w:r>
      <w:r>
        <w:rPr>
          <w:rFonts w:ascii="仿宋" w:hAnsi="仿宋" w:eastAsia="仿宋" w:cstheme="minorEastAsia"/>
          <w:color w:val="000000"/>
          <w:kern w:val="0"/>
          <w:sz w:val="32"/>
          <w:szCs w:val="32"/>
          <w:lang w:val="en-US" w:eastAsia="zh-CN" w:bidi="ar"/>
        </w:rPr>
        <w:t>%，决算数等于预算数。 </w:t>
      </w:r>
    </w:p>
    <w:p w14:paraId="1FF0B86E">
      <w:pPr>
        <w:pStyle w:val="10"/>
        <w:keepNext w:val="0"/>
        <w:keepLines w:val="0"/>
        <w:widowControl/>
        <w:suppressLineNumbers w:val="0"/>
        <w:spacing w:before="0" w:beforeAutospacing="0"/>
        <w:ind w:left="0" w:firstLine="643"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六、一般公共预算财政拨款基本支出决算情况说明</w:t>
      </w:r>
    </w:p>
    <w:p w14:paraId="7798E390">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年一般公共预算财政拨款基本支出</w:t>
      </w:r>
      <w:r>
        <w:rPr>
          <w:rFonts w:hint="eastAsia" w:ascii="仿宋" w:hAnsi="仿宋" w:eastAsia="仿宋" w:cstheme="minorEastAsia"/>
          <w:color w:val="000000"/>
          <w:kern w:val="0"/>
          <w:sz w:val="32"/>
          <w:szCs w:val="32"/>
          <w:lang w:val="en-US" w:eastAsia="zh-CN" w:bidi="ar"/>
        </w:rPr>
        <w:t>531.09</w:t>
      </w:r>
      <w:r>
        <w:rPr>
          <w:rFonts w:ascii="仿宋" w:hAnsi="仿宋" w:eastAsia="仿宋" w:cstheme="minorEastAsia"/>
          <w:color w:val="000000"/>
          <w:kern w:val="0"/>
          <w:sz w:val="32"/>
          <w:szCs w:val="32"/>
          <w:lang w:val="en-US" w:eastAsia="zh-CN" w:bidi="ar"/>
        </w:rPr>
        <w:t>万元，其中：人员经费</w:t>
      </w:r>
      <w:r>
        <w:rPr>
          <w:rFonts w:hint="eastAsia" w:ascii="仿宋" w:hAnsi="仿宋" w:eastAsia="仿宋" w:cstheme="minorEastAsia"/>
          <w:color w:val="000000"/>
          <w:kern w:val="0"/>
          <w:sz w:val="32"/>
          <w:szCs w:val="32"/>
          <w:lang w:val="en-US" w:eastAsia="zh-CN" w:bidi="ar"/>
        </w:rPr>
        <w:t>486.96</w:t>
      </w:r>
      <w:r>
        <w:rPr>
          <w:rFonts w:ascii="仿宋" w:hAnsi="仿宋" w:eastAsia="仿宋" w:cstheme="minorEastAsia"/>
          <w:color w:val="000000"/>
          <w:kern w:val="0"/>
          <w:sz w:val="32"/>
          <w:szCs w:val="32"/>
          <w:lang w:val="en-US" w:eastAsia="zh-CN" w:bidi="ar"/>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55ADC0BC">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公用经费</w:t>
      </w:r>
      <w:r>
        <w:rPr>
          <w:rFonts w:hint="eastAsia" w:ascii="仿宋" w:hAnsi="仿宋" w:eastAsia="仿宋" w:cstheme="minorEastAsia"/>
          <w:color w:val="000000"/>
          <w:kern w:val="0"/>
          <w:sz w:val="32"/>
          <w:szCs w:val="32"/>
          <w:lang w:val="en-US" w:eastAsia="zh-CN" w:bidi="ar"/>
        </w:rPr>
        <w:t>42.16</w:t>
      </w:r>
      <w:r>
        <w:rPr>
          <w:rFonts w:ascii="仿宋" w:hAnsi="仿宋" w:eastAsia="仿宋" w:cstheme="minorEastAsia"/>
          <w:color w:val="000000"/>
          <w:kern w:val="0"/>
          <w:sz w:val="32"/>
          <w:szCs w:val="32"/>
          <w:lang w:val="en-US" w:eastAsia="zh-CN" w:bidi="ar"/>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D4FD0EE">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七、“三公”经费财政拨款支出决算情况说明</w:t>
      </w:r>
    </w:p>
    <w:p w14:paraId="6652DD82">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（一）“三公”经费财政拨款支出决算总体情况说明</w:t>
      </w:r>
    </w:p>
    <w:p w14:paraId="1AFAF307">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年“三公”经费财政拨款支出决算为</w:t>
      </w:r>
      <w:r>
        <w:rPr>
          <w:rFonts w:hint="eastAsia" w:ascii="仿宋" w:hAnsi="仿宋" w:eastAsia="仿宋" w:cstheme="minorEastAsia"/>
          <w:color w:val="000000"/>
          <w:kern w:val="0"/>
          <w:sz w:val="32"/>
          <w:szCs w:val="32"/>
          <w:lang w:val="en-US" w:eastAsia="zh-CN" w:bidi="ar"/>
        </w:rPr>
        <w:t>4.52</w:t>
      </w:r>
      <w:r>
        <w:rPr>
          <w:rFonts w:ascii="仿宋" w:hAnsi="仿宋" w:eastAsia="仿宋" w:cstheme="minorEastAsia"/>
          <w:color w:val="000000"/>
          <w:kern w:val="0"/>
          <w:sz w:val="32"/>
          <w:szCs w:val="32"/>
          <w:lang w:val="en-US" w:eastAsia="zh-CN" w:bidi="ar"/>
        </w:rPr>
        <w:t>万元，完成预算100.00%，决算数</w:t>
      </w:r>
      <w:r>
        <w:rPr>
          <w:rFonts w:hint="eastAsia" w:ascii="仿宋" w:hAnsi="仿宋" w:eastAsia="仿宋" w:cstheme="minorEastAsia"/>
          <w:color w:val="000000"/>
          <w:kern w:val="0"/>
          <w:sz w:val="32"/>
          <w:szCs w:val="32"/>
          <w:lang w:val="en-US" w:eastAsia="zh-CN" w:bidi="ar"/>
        </w:rPr>
        <w:t>与</w:t>
      </w:r>
      <w:r>
        <w:rPr>
          <w:rFonts w:ascii="仿宋" w:hAnsi="仿宋" w:eastAsia="仿宋" w:cstheme="minorEastAsia"/>
          <w:color w:val="000000"/>
          <w:kern w:val="0"/>
          <w:sz w:val="32"/>
          <w:szCs w:val="32"/>
          <w:lang w:val="en-US" w:eastAsia="zh-CN" w:bidi="ar"/>
        </w:rPr>
        <w:t>预算数持平。</w:t>
      </w:r>
    </w:p>
    <w:p w14:paraId="2C301752">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（二）“三公”经费财政拨款支出决算具体情况说明</w:t>
      </w:r>
    </w:p>
    <w:p w14:paraId="3FE1860B">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年“三公”经费财政拨款支出决算中，因公出国（境）费支出决算0.00万元，占0.00%；公务用车购置及运行维护费支出决算</w:t>
      </w:r>
      <w:r>
        <w:rPr>
          <w:rFonts w:hint="eastAsia" w:ascii="仿宋" w:hAnsi="仿宋" w:eastAsia="仿宋" w:cstheme="minorEastAsia"/>
          <w:color w:val="000000"/>
          <w:kern w:val="0"/>
          <w:sz w:val="32"/>
          <w:szCs w:val="32"/>
          <w:lang w:val="en-US" w:eastAsia="zh-CN" w:bidi="ar"/>
        </w:rPr>
        <w:t>4.52</w:t>
      </w:r>
      <w:r>
        <w:rPr>
          <w:rFonts w:ascii="仿宋" w:hAnsi="仿宋" w:eastAsia="仿宋" w:cstheme="minorEastAsia"/>
          <w:color w:val="000000"/>
          <w:kern w:val="0"/>
          <w:sz w:val="32"/>
          <w:szCs w:val="32"/>
          <w:lang w:val="en-US" w:eastAsia="zh-CN" w:bidi="ar"/>
        </w:rPr>
        <w:t>万元，占100.00%；公务接待费支出决算0.00万元，占0.00%。具体情况如下：</w:t>
      </w:r>
    </w:p>
    <w:p w14:paraId="601AD7C3">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1.因公出国（境）经费支出0.00万元，完成预算0.00%。全年安排因公出国（境）团组0次，出国（境）0人。因公出国（境）支出决算比2021年增加0.00万元，增长0.00%。</w:t>
      </w:r>
    </w:p>
    <w:p w14:paraId="0BCC8060">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2.公务用车购置及运行维护费支出</w:t>
      </w:r>
      <w:r>
        <w:rPr>
          <w:rFonts w:hint="eastAsia" w:ascii="仿宋" w:hAnsi="仿宋" w:eastAsia="仿宋" w:cstheme="minorEastAsia"/>
          <w:color w:val="000000"/>
          <w:kern w:val="0"/>
          <w:sz w:val="32"/>
          <w:szCs w:val="32"/>
          <w:lang w:val="en-US" w:eastAsia="zh-CN" w:bidi="ar"/>
        </w:rPr>
        <w:t>4.52</w:t>
      </w:r>
      <w:r>
        <w:rPr>
          <w:rFonts w:ascii="仿宋" w:hAnsi="仿宋" w:eastAsia="仿宋" w:cstheme="minorEastAsia"/>
          <w:color w:val="000000"/>
          <w:kern w:val="0"/>
          <w:sz w:val="32"/>
          <w:szCs w:val="32"/>
          <w:lang w:val="en-US" w:eastAsia="zh-CN" w:bidi="ar"/>
        </w:rPr>
        <w:t>万元</w:t>
      </w:r>
      <w:r>
        <w:rPr>
          <w:rFonts w:hint="eastAsia" w:ascii="仿宋" w:hAnsi="仿宋" w:eastAsia="仿宋" w:cstheme="minorEastAsia"/>
          <w:color w:val="000000"/>
          <w:kern w:val="0"/>
          <w:sz w:val="32"/>
          <w:szCs w:val="32"/>
          <w:lang w:val="en-US" w:eastAsia="zh-CN" w:bidi="ar"/>
        </w:rPr>
        <w:t>，</w:t>
      </w:r>
      <w:r>
        <w:rPr>
          <w:rFonts w:ascii="仿宋" w:hAnsi="仿宋" w:eastAsia="仿宋" w:cstheme="minorEastAsia"/>
          <w:color w:val="000000"/>
          <w:kern w:val="0"/>
          <w:sz w:val="32"/>
          <w:szCs w:val="32"/>
          <w:lang w:val="en-US" w:eastAsia="zh-CN" w:bidi="ar"/>
        </w:rPr>
        <w:t>完成预算100.00%。公务用车购置及运行维护费支出决算比202</w:t>
      </w:r>
      <w:r>
        <w:rPr>
          <w:rFonts w:hint="eastAsia" w:ascii="仿宋" w:hAnsi="仿宋" w:eastAsia="仿宋" w:cstheme="minorEastAsia"/>
          <w:color w:val="000000"/>
          <w:kern w:val="0"/>
          <w:sz w:val="32"/>
          <w:szCs w:val="32"/>
          <w:lang w:val="en-US" w:eastAsia="zh-CN" w:bidi="ar"/>
        </w:rPr>
        <w:t>3</w:t>
      </w:r>
      <w:r>
        <w:rPr>
          <w:rFonts w:ascii="仿宋" w:hAnsi="仿宋" w:eastAsia="仿宋" w:cstheme="minorEastAsia"/>
          <w:color w:val="000000"/>
          <w:kern w:val="0"/>
          <w:sz w:val="32"/>
          <w:szCs w:val="32"/>
          <w:lang w:val="en-US" w:eastAsia="zh-CN" w:bidi="ar"/>
        </w:rPr>
        <w:t>年增加</w:t>
      </w:r>
      <w:r>
        <w:rPr>
          <w:rFonts w:hint="eastAsia" w:ascii="仿宋" w:hAnsi="仿宋" w:eastAsia="仿宋" w:cstheme="minorEastAsia"/>
          <w:color w:val="000000"/>
          <w:kern w:val="0"/>
          <w:sz w:val="32"/>
          <w:szCs w:val="32"/>
          <w:lang w:val="en-US" w:eastAsia="zh-CN" w:bidi="ar"/>
        </w:rPr>
        <w:t>0.45</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11.01</w:t>
      </w:r>
      <w:r>
        <w:rPr>
          <w:rFonts w:ascii="仿宋" w:hAnsi="仿宋" w:eastAsia="仿宋" w:cstheme="minorEastAsia"/>
          <w:color w:val="000000"/>
          <w:kern w:val="0"/>
          <w:sz w:val="32"/>
          <w:szCs w:val="32"/>
          <w:lang w:val="en-US" w:eastAsia="zh-CN" w:bidi="ar"/>
        </w:rPr>
        <w:t>%。</w:t>
      </w:r>
    </w:p>
    <w:p w14:paraId="341F96CA">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其中：公务用车购置支出0.00万元。全年按规定更新购置公务用车0辆，其中：轿车</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辆、金额</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万元，越野车</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辆、金额</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万元，载客汽车</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辆、金额</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万元。截至202</w:t>
      </w:r>
      <w:r>
        <w:rPr>
          <w:rFonts w:hint="eastAsia" w:ascii="仿宋" w:hAnsi="仿宋" w:eastAsia="仿宋" w:cstheme="minorEastAsia"/>
          <w:color w:val="000000"/>
          <w:kern w:val="0"/>
          <w:sz w:val="32"/>
          <w:szCs w:val="32"/>
          <w:lang w:val="en-US" w:eastAsia="zh-CN" w:bidi="ar"/>
        </w:rPr>
        <w:t>4</w:t>
      </w:r>
      <w:r>
        <w:rPr>
          <w:rFonts w:ascii="仿宋" w:hAnsi="仿宋" w:eastAsia="仿宋" w:cstheme="minorEastAsia"/>
          <w:color w:val="000000"/>
          <w:kern w:val="0"/>
          <w:sz w:val="32"/>
          <w:szCs w:val="32"/>
          <w:lang w:val="en-US" w:eastAsia="zh-CN" w:bidi="ar"/>
        </w:rPr>
        <w:t>年12月底，单位共有公务用车1辆，其中：轿车</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辆、越野车</w:t>
      </w:r>
      <w:r>
        <w:rPr>
          <w:rFonts w:hint="eastAsia" w:ascii="仿宋" w:hAnsi="仿宋" w:eastAsia="仿宋" w:cstheme="minorEastAsia"/>
          <w:color w:val="000000"/>
          <w:kern w:val="0"/>
          <w:sz w:val="32"/>
          <w:szCs w:val="32"/>
          <w:lang w:val="en-US" w:eastAsia="zh-CN" w:bidi="ar"/>
        </w:rPr>
        <w:t>1</w:t>
      </w:r>
      <w:r>
        <w:rPr>
          <w:rFonts w:ascii="仿宋" w:hAnsi="仿宋" w:eastAsia="仿宋" w:cstheme="minorEastAsia"/>
          <w:color w:val="000000"/>
          <w:kern w:val="0"/>
          <w:sz w:val="32"/>
          <w:szCs w:val="32"/>
          <w:lang w:val="en-US" w:eastAsia="zh-CN" w:bidi="ar"/>
        </w:rPr>
        <w:t>辆、载客汽车</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辆。</w:t>
      </w:r>
    </w:p>
    <w:p w14:paraId="7367087E">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公务用车运行维护费支出</w:t>
      </w:r>
      <w:r>
        <w:rPr>
          <w:rFonts w:hint="eastAsia" w:ascii="仿宋" w:hAnsi="仿宋" w:eastAsia="仿宋" w:cstheme="minorEastAsia"/>
          <w:color w:val="000000"/>
          <w:kern w:val="0"/>
          <w:sz w:val="32"/>
          <w:szCs w:val="32"/>
          <w:lang w:val="en-US" w:eastAsia="zh-CN" w:bidi="ar"/>
        </w:rPr>
        <w:t>4.52</w:t>
      </w:r>
      <w:r>
        <w:rPr>
          <w:rFonts w:ascii="仿宋" w:hAnsi="仿宋" w:eastAsia="仿宋" w:cstheme="minorEastAsia"/>
          <w:color w:val="000000"/>
          <w:kern w:val="0"/>
          <w:sz w:val="32"/>
          <w:szCs w:val="32"/>
          <w:lang w:val="en-US" w:eastAsia="zh-CN" w:bidi="ar"/>
        </w:rPr>
        <w:t>万元。主要用于</w:t>
      </w:r>
      <w:r>
        <w:rPr>
          <w:rFonts w:hint="eastAsia" w:ascii="仿宋" w:hAnsi="仿宋" w:eastAsia="仿宋" w:cstheme="minorEastAsia"/>
          <w:color w:val="000000"/>
          <w:kern w:val="0"/>
          <w:sz w:val="32"/>
          <w:szCs w:val="32"/>
          <w:lang w:val="en-US" w:eastAsia="zh-CN" w:bidi="ar"/>
        </w:rPr>
        <w:t>开展日常工作</w:t>
      </w:r>
      <w:r>
        <w:rPr>
          <w:rFonts w:ascii="仿宋" w:hAnsi="仿宋" w:eastAsia="仿宋" w:cstheme="minorEastAsia"/>
          <w:color w:val="000000"/>
          <w:kern w:val="0"/>
          <w:sz w:val="32"/>
          <w:szCs w:val="32"/>
          <w:lang w:val="en-US" w:eastAsia="zh-CN" w:bidi="ar"/>
        </w:rPr>
        <w:t>等所需的公务用车燃料费、维修费、过路过桥费、保险费等支出。</w:t>
      </w:r>
    </w:p>
    <w:p w14:paraId="684AA92F">
      <w:pPr>
        <w:pStyle w:val="10"/>
        <w:keepNext w:val="0"/>
        <w:keepLines w:val="0"/>
        <w:widowControl/>
        <w:numPr>
          <w:ilvl w:val="0"/>
          <w:numId w:val="1"/>
        </w:numPr>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公务接待费支出0.00万元，完成预算100%。公务接待费支出决算比202</w:t>
      </w:r>
      <w:r>
        <w:rPr>
          <w:rFonts w:hint="eastAsia" w:ascii="仿宋" w:hAnsi="仿宋" w:eastAsia="仿宋" w:cstheme="minorEastAsia"/>
          <w:color w:val="000000"/>
          <w:kern w:val="0"/>
          <w:sz w:val="32"/>
          <w:szCs w:val="32"/>
          <w:lang w:val="en-US" w:eastAsia="zh-CN" w:bidi="ar"/>
        </w:rPr>
        <w:t>4</w:t>
      </w:r>
      <w:r>
        <w:rPr>
          <w:rFonts w:ascii="仿宋" w:hAnsi="仿宋" w:eastAsia="仿宋" w:cstheme="minorEastAsia"/>
          <w:color w:val="000000"/>
          <w:kern w:val="0"/>
          <w:sz w:val="32"/>
          <w:szCs w:val="32"/>
          <w:lang w:val="en-US" w:eastAsia="zh-CN" w:bidi="ar"/>
        </w:rPr>
        <w:t>年增加</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万元。</w:t>
      </w:r>
    </w:p>
    <w:p w14:paraId="676F265B">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八、政府性基金预算支出决算情况说明</w:t>
      </w:r>
    </w:p>
    <w:p w14:paraId="1C9636B8">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年政府性基金预算财政拨款支出</w:t>
      </w:r>
      <w:r>
        <w:rPr>
          <w:rFonts w:hint="eastAsia" w:ascii="仿宋" w:hAnsi="仿宋" w:eastAsia="仿宋" w:cstheme="minorEastAsia"/>
          <w:color w:val="000000"/>
          <w:kern w:val="0"/>
          <w:sz w:val="32"/>
          <w:szCs w:val="32"/>
          <w:lang w:val="en-US" w:eastAsia="zh-CN" w:bidi="ar"/>
        </w:rPr>
        <w:t>0</w:t>
      </w:r>
      <w:r>
        <w:rPr>
          <w:rFonts w:ascii="仿宋" w:hAnsi="仿宋" w:eastAsia="仿宋" w:cstheme="minorEastAsia"/>
          <w:color w:val="000000"/>
          <w:kern w:val="0"/>
          <w:sz w:val="32"/>
          <w:szCs w:val="32"/>
          <w:lang w:val="en-US" w:eastAsia="zh-CN" w:bidi="ar"/>
        </w:rPr>
        <w:t>万元。</w:t>
      </w:r>
    </w:p>
    <w:p w14:paraId="7846F9E9">
      <w:pPr>
        <w:pStyle w:val="10"/>
        <w:keepNext w:val="0"/>
        <w:keepLines w:val="0"/>
        <w:widowControl/>
        <w:suppressLineNumbers w:val="0"/>
        <w:spacing w:before="0" w:beforeAutospacing="0"/>
        <w:ind w:left="0" w:firstLine="643"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九、国有资本经营预算支出决算情况说明</w:t>
      </w:r>
    </w:p>
    <w:p w14:paraId="6EE7DA6E">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年国有资本经营预算财政拨款支出0.00万元。 </w:t>
      </w:r>
    </w:p>
    <w:p w14:paraId="68A959D4">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十、其他重要事项的情况说明</w:t>
      </w:r>
    </w:p>
    <w:p w14:paraId="76DE08BE">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（一）机关运行经费支出情况</w:t>
      </w:r>
    </w:p>
    <w:p w14:paraId="6C0CD390">
      <w:pPr>
        <w:pStyle w:val="10"/>
        <w:keepNext w:val="0"/>
        <w:keepLines w:val="0"/>
        <w:widowControl/>
        <w:suppressLineNumbers w:val="0"/>
        <w:spacing w:before="0" w:beforeAutospacing="0"/>
        <w:ind w:left="0" w:firstLine="640" w:firstLineChars="200"/>
        <w:jc w:val="left"/>
        <w:rPr>
          <w:rFonts w:hint="default"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年，阿坝州松潘县下八寨乡人民政府机关运行经费支出</w:t>
      </w:r>
      <w:r>
        <w:rPr>
          <w:rFonts w:hint="eastAsia" w:ascii="仿宋" w:hAnsi="仿宋" w:eastAsia="仿宋" w:cstheme="minorEastAsia"/>
          <w:color w:val="000000"/>
          <w:kern w:val="0"/>
          <w:sz w:val="32"/>
          <w:szCs w:val="32"/>
          <w:lang w:val="en-US" w:eastAsia="zh-CN" w:bidi="ar"/>
        </w:rPr>
        <w:t>42.16</w:t>
      </w:r>
      <w:r>
        <w:rPr>
          <w:rFonts w:ascii="仿宋" w:hAnsi="仿宋" w:eastAsia="仿宋" w:cstheme="minorEastAsia"/>
          <w:color w:val="000000"/>
          <w:kern w:val="0"/>
          <w:sz w:val="32"/>
          <w:szCs w:val="32"/>
          <w:lang w:val="en-US" w:eastAsia="zh-CN" w:bidi="ar"/>
        </w:rPr>
        <w:t>万元，比202</w:t>
      </w:r>
      <w:r>
        <w:rPr>
          <w:rFonts w:hint="eastAsia" w:ascii="仿宋" w:hAnsi="仿宋" w:eastAsia="仿宋" w:cstheme="minorEastAsia"/>
          <w:color w:val="000000"/>
          <w:kern w:val="0"/>
          <w:sz w:val="32"/>
          <w:szCs w:val="32"/>
          <w:lang w:val="en-US" w:eastAsia="zh-CN" w:bidi="ar"/>
        </w:rPr>
        <w:t>3</w:t>
      </w:r>
      <w:r>
        <w:rPr>
          <w:rFonts w:ascii="仿宋" w:hAnsi="仿宋" w:eastAsia="仿宋" w:cstheme="minorEastAsia"/>
          <w:color w:val="000000"/>
          <w:kern w:val="0"/>
          <w:sz w:val="32"/>
          <w:szCs w:val="32"/>
          <w:lang w:val="en-US" w:eastAsia="zh-CN" w:bidi="ar"/>
        </w:rPr>
        <w:t>年增加</w:t>
      </w:r>
      <w:r>
        <w:rPr>
          <w:rFonts w:hint="eastAsia" w:ascii="仿宋" w:hAnsi="仿宋" w:eastAsia="仿宋" w:cstheme="minorEastAsia"/>
          <w:color w:val="000000"/>
          <w:kern w:val="0"/>
          <w:sz w:val="32"/>
          <w:szCs w:val="32"/>
          <w:lang w:val="en-US" w:eastAsia="zh-CN" w:bidi="ar"/>
        </w:rPr>
        <w:t>24.72</w:t>
      </w:r>
      <w:r>
        <w:rPr>
          <w:rFonts w:ascii="仿宋" w:hAnsi="仿宋" w:eastAsia="仿宋" w:cstheme="minorEastAsia"/>
          <w:color w:val="000000"/>
          <w:kern w:val="0"/>
          <w:sz w:val="32"/>
          <w:szCs w:val="32"/>
          <w:lang w:val="en-US" w:eastAsia="zh-CN" w:bidi="ar"/>
        </w:rPr>
        <w:t>万元，增长</w:t>
      </w:r>
      <w:r>
        <w:rPr>
          <w:rFonts w:hint="eastAsia" w:ascii="仿宋" w:hAnsi="仿宋" w:eastAsia="仿宋" w:cstheme="minorEastAsia"/>
          <w:color w:val="000000"/>
          <w:kern w:val="0"/>
          <w:sz w:val="32"/>
          <w:szCs w:val="32"/>
          <w:lang w:val="en-US" w:eastAsia="zh-CN" w:bidi="ar"/>
        </w:rPr>
        <w:t>141.72</w:t>
      </w:r>
      <w:r>
        <w:rPr>
          <w:rFonts w:ascii="仿宋" w:hAnsi="仿宋" w:eastAsia="仿宋" w:cstheme="minorEastAsia"/>
          <w:color w:val="000000"/>
          <w:kern w:val="0"/>
          <w:sz w:val="32"/>
          <w:szCs w:val="32"/>
          <w:lang w:val="en-US" w:eastAsia="zh-CN" w:bidi="ar"/>
        </w:rPr>
        <w:t>%。主要原因是</w:t>
      </w:r>
      <w:r>
        <w:rPr>
          <w:rFonts w:hint="eastAsia" w:ascii="仿宋" w:hAnsi="仿宋" w:eastAsia="仿宋" w:cstheme="minorEastAsia"/>
          <w:color w:val="000000"/>
          <w:kern w:val="0"/>
          <w:sz w:val="32"/>
          <w:szCs w:val="32"/>
          <w:lang w:val="en-US" w:eastAsia="zh-CN" w:bidi="ar"/>
        </w:rPr>
        <w:t>人员增加。</w:t>
      </w:r>
    </w:p>
    <w:p w14:paraId="72E4D292">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（二）政府采购支出情况</w:t>
      </w:r>
    </w:p>
    <w:p w14:paraId="2238906D">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阿坝州松潘县下八寨乡人民政府政府采购支出总额0.00万元，其中：政府采购货物支出0.00万元、政府采购工程支出0.00万元、政府采购服务支出0.00万元。主要用于…（具体工作）。授予中小企业合同金额0.00万元，占政府采购支出总额的0.00%，其中：授予小微企业合同金额0.00万元，占政府采购支出总额的0.00%。</w:t>
      </w:r>
    </w:p>
    <w:p w14:paraId="74CA6527">
      <w:pPr>
        <w:pStyle w:val="10"/>
        <w:keepNext w:val="0"/>
        <w:keepLines w:val="0"/>
        <w:widowControl/>
        <w:suppressLineNumbers w:val="0"/>
        <w:spacing w:before="0" w:beforeAutospacing="0"/>
        <w:ind w:left="0" w:firstLine="643" w:firstLineChars="200"/>
        <w:jc w:val="left"/>
        <w:rPr>
          <w:rFonts w:ascii="仿宋" w:hAnsi="仿宋" w:eastAsia="仿宋" w:cstheme="minorEastAsia"/>
          <w:b/>
          <w:bCs/>
          <w:color w:val="000000"/>
          <w:kern w:val="0"/>
          <w:sz w:val="32"/>
          <w:szCs w:val="32"/>
          <w:lang w:val="en-US" w:eastAsia="zh-CN" w:bidi="ar"/>
        </w:rPr>
      </w:pPr>
      <w:r>
        <w:rPr>
          <w:rFonts w:ascii="仿宋" w:hAnsi="仿宋" w:eastAsia="仿宋" w:cstheme="minorEastAsia"/>
          <w:b/>
          <w:bCs/>
          <w:color w:val="000000"/>
          <w:kern w:val="0"/>
          <w:sz w:val="32"/>
          <w:szCs w:val="32"/>
          <w:lang w:val="en-US" w:eastAsia="zh-CN" w:bidi="ar"/>
        </w:rPr>
        <w:t>（三）国有资产占有使用情况</w:t>
      </w:r>
    </w:p>
    <w:p w14:paraId="10A5FFD9">
      <w:pPr>
        <w:pStyle w:val="10"/>
        <w:keepNext w:val="0"/>
        <w:keepLines w:val="0"/>
        <w:widowControl/>
        <w:suppressLineNumbers w:val="0"/>
        <w:spacing w:before="0" w:beforeAutospacing="0"/>
        <w:ind w:left="0" w:firstLine="640" w:firstLineChars="20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截至</w:t>
      </w: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12月31日，阿坝州松潘县下八寨乡人民政府共有车辆1辆，其中：主要领导干部用车0辆、机要通信用车0辆、应急保障用车0辆、其他用车1辆……其他用车主要是用于……单价100万元（含）以上设备（不含车辆）0台（套）。</w:t>
      </w:r>
    </w:p>
    <w:p w14:paraId="6D7AB230">
      <w:pPr>
        <w:pStyle w:val="10"/>
        <w:keepNext w:val="0"/>
        <w:keepLines w:val="0"/>
        <w:widowControl/>
        <w:suppressLineNumbers w:val="0"/>
        <w:spacing w:before="0" w:beforeAutospacing="0"/>
        <w:jc w:val="left"/>
        <w:rPr>
          <w:rFonts w:ascii="仿宋" w:hAnsi="仿宋" w:eastAsia="仿宋" w:cstheme="minorEastAsia"/>
          <w:color w:val="000000"/>
          <w:kern w:val="0"/>
          <w:sz w:val="32"/>
          <w:szCs w:val="32"/>
          <w:lang w:val="en-US" w:eastAsia="zh-CN" w:bidi="ar"/>
        </w:rPr>
      </w:pPr>
    </w:p>
    <w:p w14:paraId="3094F62E">
      <w:pPr>
        <w:pStyle w:val="10"/>
        <w:keepNext w:val="0"/>
        <w:keepLines w:val="0"/>
        <w:widowControl/>
        <w:suppressLineNumbers w:val="0"/>
        <w:spacing w:before="0" w:beforeAutospacing="0"/>
        <w:jc w:val="left"/>
        <w:rPr>
          <w:rFonts w:ascii="仿宋" w:hAnsi="仿宋" w:eastAsia="仿宋" w:cstheme="minorEastAsia"/>
          <w:color w:val="000000"/>
          <w:kern w:val="0"/>
          <w:sz w:val="32"/>
          <w:szCs w:val="32"/>
          <w:lang w:val="en-US" w:eastAsia="zh-CN" w:bidi="ar"/>
        </w:rPr>
      </w:pPr>
    </w:p>
    <w:p w14:paraId="4EFEC5E9">
      <w:pPr>
        <w:pStyle w:val="10"/>
        <w:keepNext w:val="0"/>
        <w:keepLines w:val="0"/>
        <w:widowControl/>
        <w:suppressLineNumbers w:val="0"/>
        <w:spacing w:before="0" w:beforeAutospacing="0"/>
        <w:jc w:val="left"/>
        <w:rPr>
          <w:rFonts w:ascii="仿宋" w:hAnsi="仿宋" w:eastAsia="仿宋" w:cstheme="minorEastAsia"/>
          <w:color w:val="000000"/>
          <w:kern w:val="0"/>
          <w:sz w:val="32"/>
          <w:szCs w:val="32"/>
          <w:lang w:val="en-US" w:eastAsia="zh-CN" w:bidi="ar"/>
        </w:rPr>
      </w:pPr>
    </w:p>
    <w:p w14:paraId="6E9FD58A">
      <w:pPr>
        <w:pStyle w:val="10"/>
        <w:keepNext w:val="0"/>
        <w:keepLines w:val="0"/>
        <w:widowControl/>
        <w:suppressLineNumbers w:val="0"/>
        <w:spacing w:before="0" w:beforeAutospacing="0"/>
        <w:jc w:val="left"/>
        <w:rPr>
          <w:rFonts w:ascii="仿宋" w:hAnsi="仿宋" w:eastAsia="仿宋" w:cstheme="minorEastAsia"/>
          <w:color w:val="000000"/>
          <w:kern w:val="0"/>
          <w:sz w:val="32"/>
          <w:szCs w:val="32"/>
          <w:lang w:val="en-US" w:eastAsia="zh-CN" w:bidi="ar"/>
        </w:rPr>
      </w:pPr>
    </w:p>
    <w:p w14:paraId="73DF7F2A">
      <w:pPr>
        <w:pStyle w:val="10"/>
        <w:keepNext w:val="0"/>
        <w:keepLines w:val="0"/>
        <w:widowControl/>
        <w:suppressLineNumbers w:val="0"/>
        <w:spacing w:before="0" w:beforeAutospacing="0"/>
        <w:jc w:val="left"/>
        <w:rPr>
          <w:rFonts w:ascii="仿宋" w:hAnsi="仿宋" w:eastAsia="仿宋" w:cstheme="minorEastAsia"/>
          <w:color w:val="000000"/>
          <w:kern w:val="0"/>
          <w:sz w:val="32"/>
          <w:szCs w:val="32"/>
          <w:lang w:val="en-US" w:eastAsia="zh-CN" w:bidi="ar"/>
        </w:rPr>
      </w:pPr>
    </w:p>
    <w:p w14:paraId="0F19EF7C">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p>
    <w:p w14:paraId="2A834388">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44"/>
          <w:szCs w:val="44"/>
          <w:lang w:val="en-US" w:eastAsia="zh-CN" w:bidi="ar"/>
        </w:rPr>
        <w:t>第三部分 名词解释</w:t>
      </w:r>
    </w:p>
    <w:p w14:paraId="705C7414">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1.财政拨款收入：指单位从同级财政部门取得的财政预算资金。</w:t>
      </w:r>
    </w:p>
    <w:p w14:paraId="0C18B0D5">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2.事业收入：指事业单位开展专业业务活动及辅助活动取得的收入。如…（二级预算单位事业收入情况）等。</w:t>
      </w:r>
    </w:p>
    <w:p w14:paraId="2211EEC6">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3.经营收入：指事业单位在专业业务活动及其辅助活动之外开展非独立核算经营活动取得的收入。如…（二级预算单位经营收入情况）等。</w:t>
      </w:r>
    </w:p>
    <w:p w14:paraId="25C543F5">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4.其他收入：指单位取得的除上述收入以外的各项收入。主要是…（收入类型）等。</w:t>
      </w:r>
    </w:p>
    <w:p w14:paraId="6D2FF2A2">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5.使用非财政拨款结余：指事业单位使用以前年度积累的非财政拨款结余弥补当年收支差额的金额。</w:t>
      </w:r>
    </w:p>
    <w:p w14:paraId="6255EA4E">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6.年初结转和结余：指以前年度尚未完成、结转到本年按有关规定继续使用的资金。</w:t>
      </w:r>
    </w:p>
    <w:p w14:paraId="695C4204">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7.结余分配：指事业单位按照会计制度规定缴纳的所得税、提取的专用结余以及转入非财政拨款结余的金额等。</w:t>
      </w:r>
    </w:p>
    <w:p w14:paraId="458F9952">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8.</w:t>
      </w:r>
      <w:r>
        <w:rPr>
          <w:rFonts w:ascii="仿宋" w:hAnsi="仿宋" w:eastAsia="仿宋" w:cstheme="minorEastAsia"/>
          <w:color w:val="000000"/>
          <w:kern w:val="0"/>
          <w:sz w:val="32"/>
          <w:szCs w:val="32"/>
          <w:lang w:val="en-US" w:eastAsia="zh-CN" w:bidi="ar"/>
        </w:rPr>
        <w:t>年末结转和结余：指单位按有关规定结转到下年或以后年度继续使用的资金。</w:t>
      </w:r>
    </w:p>
    <w:p w14:paraId="660B1B1E">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9.一般公共服务（类）…（款）…（项）：指……。</w:t>
      </w:r>
    </w:p>
    <w:p w14:paraId="487D506D">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10.外交（类）…（款）…（项）：指……。</w:t>
      </w:r>
    </w:p>
    <w:p w14:paraId="3E406BB7">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11.公共安全（类）…（款）…（项）：指……。</w:t>
      </w:r>
    </w:p>
    <w:p w14:paraId="46F36F1C">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12.教育（类）…（款）…（项）：指……。</w:t>
      </w:r>
    </w:p>
    <w:p w14:paraId="76EC1B87">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13.科学技术（类）…（款）…（项）：指……。</w:t>
      </w:r>
    </w:p>
    <w:p w14:paraId="1DC5CD01">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14.文化体育与传媒（类）…（款）…（项）：指……。</w:t>
      </w:r>
    </w:p>
    <w:p w14:paraId="05BFBFC2">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15.社会保障和就业（类）…（款）…（项）：指……。</w:t>
      </w:r>
    </w:p>
    <w:p w14:paraId="2065E561">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16.医疗卫生与计划生育（类）…（款）…（项）：指……。</w:t>
      </w:r>
    </w:p>
    <w:p w14:paraId="2A413C52">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17.节能环保（类）…（款）…（项）：指……。</w:t>
      </w:r>
    </w:p>
    <w:p w14:paraId="08A32D74">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18.城乡社区（类）…（款）…（项）：指……。</w:t>
      </w:r>
    </w:p>
    <w:p w14:paraId="62C67C9D">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19.农林水（类）…（款）…（项）：指……。</w:t>
      </w:r>
    </w:p>
    <w:p w14:paraId="4DC2106F">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20.交通运输（类）…（款）…（项）：指……。</w:t>
      </w:r>
    </w:p>
    <w:p w14:paraId="4939343E">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21.资源勘探信息等（类）…（款）…（项）：指……。</w:t>
      </w:r>
    </w:p>
    <w:p w14:paraId="19DF06C9">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22.商业服务业（类）…（款）…（项）：指……。</w:t>
      </w:r>
    </w:p>
    <w:p w14:paraId="6B79EE20">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23.金融（类）…（款）…（项）：指……。</w:t>
      </w:r>
    </w:p>
    <w:p w14:paraId="371DA701">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24.国土海洋气象等（类）…（款）…（项）：指……。</w:t>
      </w:r>
    </w:p>
    <w:p w14:paraId="750BBBB8">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25.住房保障（类）…（款）…（项）：指……。</w:t>
      </w:r>
    </w:p>
    <w:p w14:paraId="789B5136">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26.粮油物资储备（类）…（款）…（项）：指……。</w:t>
      </w:r>
    </w:p>
    <w:p w14:paraId="7BA10B12">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27.基本支出：指为保障机构正常运转、完成日常工作任务而发生的人员支出和公用支出。</w:t>
      </w:r>
    </w:p>
    <w:p w14:paraId="2F28B586">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28.项目支出：指在基本支出之外为完成特定行政任务和事业发展目标所发生的支出。</w:t>
      </w:r>
    </w:p>
    <w:p w14:paraId="17B0E7BB">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29.经营支出：指事业单位在专业业务活动及其辅助活动之外开展非独立核算经营活动发生的支出。</w:t>
      </w:r>
    </w:p>
    <w:p w14:paraId="7CA03826">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30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F71E9B0">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31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3BCE842">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48F106FF">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5C0947E1">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5A968B6C">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49CC542E">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07C3CB43">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08DFA8A8">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25704699">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2CE749AB">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192258B3">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3AFA9B14">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6ABF3748">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18939154">
      <w:pPr>
        <w:pStyle w:val="10"/>
        <w:keepNext w:val="0"/>
        <w:keepLines w:val="0"/>
        <w:widowControl/>
        <w:suppressLineNumbers w:val="0"/>
        <w:spacing w:before="0" w:beforeAutospacing="0"/>
        <w:ind w:left="0"/>
        <w:jc w:val="center"/>
        <w:rPr>
          <w:rFonts w:ascii="仿宋" w:hAnsi="仿宋" w:eastAsia="仿宋" w:cstheme="minorEastAsia"/>
          <w:color w:val="000000"/>
          <w:kern w:val="0"/>
          <w:sz w:val="44"/>
          <w:szCs w:val="44"/>
          <w:lang w:val="en-US" w:eastAsia="zh-CN" w:bidi="ar"/>
        </w:rPr>
      </w:pPr>
      <w:r>
        <w:rPr>
          <w:rFonts w:ascii="仿宋" w:hAnsi="仿宋" w:eastAsia="仿宋" w:cstheme="minorEastAsia"/>
          <w:color w:val="000000"/>
          <w:kern w:val="0"/>
          <w:sz w:val="44"/>
          <w:szCs w:val="44"/>
          <w:lang w:val="en-US" w:eastAsia="zh-CN" w:bidi="ar"/>
        </w:rPr>
        <w:t>第四部分 附件</w:t>
      </w:r>
    </w:p>
    <w:p w14:paraId="376AE389">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附表</w:t>
      </w:r>
    </w:p>
    <w:tbl>
      <w:tblPr>
        <w:tblStyle w:val="11"/>
        <w:tblW w:w="0"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14"/>
        <w:gridCol w:w="999"/>
        <w:gridCol w:w="1420"/>
        <w:gridCol w:w="1038"/>
        <w:gridCol w:w="1076"/>
        <w:gridCol w:w="2083"/>
      </w:tblGrid>
      <w:tr w14:paraId="2067AC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75" w:hRule="atLeast"/>
          <w:tblCellSpacing w:w="0" w:type="dxa"/>
        </w:trPr>
        <w:tc>
          <w:tcPr>
            <w:tcW w:w="9570" w:type="dxa"/>
            <w:gridSpan w:val="6"/>
            <w:shd w:val="clear" w:color="auto" w:fill="auto"/>
            <w:noWrap/>
            <w:vAlign w:val="center"/>
          </w:tcPr>
          <w:p w14:paraId="5949515B">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hint="eastAsia" w:ascii="仿宋" w:hAnsi="仿宋" w:eastAsia="仿宋" w:cstheme="minorEastAsia"/>
                <w:color w:val="000000"/>
                <w:kern w:val="0"/>
                <w:sz w:val="32"/>
                <w:szCs w:val="32"/>
                <w:lang w:val="en-US" w:eastAsia="zh-CN" w:bidi="ar"/>
              </w:rPr>
              <w:t>2024</w:t>
            </w:r>
            <w:r>
              <w:rPr>
                <w:rFonts w:ascii="仿宋" w:hAnsi="仿宋" w:eastAsia="仿宋" w:cstheme="minorEastAsia"/>
                <w:color w:val="000000"/>
                <w:kern w:val="0"/>
                <w:sz w:val="32"/>
                <w:szCs w:val="32"/>
                <w:lang w:val="en-US" w:eastAsia="zh-CN" w:bidi="ar"/>
              </w:rPr>
              <w:t>年100万元以上（含）特定目标类部门预算项目绩效目标自评</w:t>
            </w:r>
          </w:p>
        </w:tc>
      </w:tr>
      <w:tr w14:paraId="104BAB3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56" w:hRule="atLeast"/>
          <w:tblCellSpacing w:w="0" w:type="dxa"/>
        </w:trPr>
        <w:tc>
          <w:tcPr>
            <w:tcW w:w="3120" w:type="dxa"/>
            <w:gridSpan w:val="2"/>
            <w:shd w:val="clear" w:color="auto" w:fill="auto"/>
            <w:noWrap/>
            <w:vAlign w:val="center"/>
          </w:tcPr>
          <w:p w14:paraId="3077E09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主管部门及代码</w:t>
            </w:r>
          </w:p>
        </w:tc>
        <w:tc>
          <w:tcPr>
            <w:tcW w:w="2820" w:type="dxa"/>
            <w:gridSpan w:val="2"/>
            <w:shd w:val="clear" w:color="auto" w:fill="auto"/>
            <w:noWrap/>
            <w:vAlign w:val="center"/>
          </w:tcPr>
          <w:p w14:paraId="798A284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5B820635">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实施单位</w:t>
            </w:r>
          </w:p>
        </w:tc>
        <w:tc>
          <w:tcPr>
            <w:tcW w:w="2415" w:type="dxa"/>
            <w:shd w:val="clear" w:color="auto" w:fill="auto"/>
            <w:noWrap/>
            <w:vAlign w:val="center"/>
          </w:tcPr>
          <w:p w14:paraId="25E17417">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7178DE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45" w:hRule="atLeast"/>
          <w:tblCellSpacing w:w="0" w:type="dxa"/>
        </w:trPr>
        <w:tc>
          <w:tcPr>
            <w:tcW w:w="3120" w:type="dxa"/>
            <w:gridSpan w:val="2"/>
            <w:vMerge w:val="restart"/>
            <w:shd w:val="clear" w:color="auto" w:fill="auto"/>
            <w:noWrap/>
            <w:vAlign w:val="center"/>
          </w:tcPr>
          <w:p w14:paraId="2831916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项目预算</w:t>
            </w:r>
          </w:p>
          <w:p w14:paraId="16AB0438">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执行情况</w:t>
            </w:r>
          </w:p>
          <w:p w14:paraId="0564446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（万元）</w:t>
            </w:r>
          </w:p>
        </w:tc>
        <w:tc>
          <w:tcPr>
            <w:tcW w:w="1635" w:type="dxa"/>
            <w:shd w:val="clear" w:color="auto" w:fill="auto"/>
            <w:noWrap/>
            <w:vAlign w:val="center"/>
          </w:tcPr>
          <w:p w14:paraId="29B6A90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预算数：</w:t>
            </w:r>
          </w:p>
        </w:tc>
        <w:tc>
          <w:tcPr>
            <w:tcW w:w="1185" w:type="dxa"/>
            <w:shd w:val="clear" w:color="auto" w:fill="auto"/>
            <w:noWrap/>
            <w:vAlign w:val="center"/>
          </w:tcPr>
          <w:p w14:paraId="14005738">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0D8F7E46">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执行数：</w:t>
            </w:r>
          </w:p>
        </w:tc>
        <w:tc>
          <w:tcPr>
            <w:tcW w:w="2415" w:type="dxa"/>
            <w:shd w:val="clear" w:color="auto" w:fill="auto"/>
            <w:noWrap/>
            <w:vAlign w:val="center"/>
          </w:tcPr>
          <w:p w14:paraId="5B9E44F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5E73A2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55" w:hRule="atLeast"/>
          <w:tblCellSpacing w:w="0" w:type="dxa"/>
        </w:trPr>
        <w:tc>
          <w:tcPr>
            <w:tcW w:w="3120" w:type="dxa"/>
            <w:gridSpan w:val="2"/>
            <w:vMerge w:val="continue"/>
            <w:shd w:val="clear" w:color="auto" w:fill="auto"/>
            <w:noWrap/>
            <w:vAlign w:val="center"/>
          </w:tcPr>
          <w:p w14:paraId="2FF192F5">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4359F74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其中：</w:t>
            </w:r>
          </w:p>
          <w:p w14:paraId="6A490F41">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财政拨款</w:t>
            </w:r>
          </w:p>
        </w:tc>
        <w:tc>
          <w:tcPr>
            <w:tcW w:w="1185" w:type="dxa"/>
            <w:shd w:val="clear" w:color="auto" w:fill="auto"/>
            <w:noWrap/>
            <w:vAlign w:val="center"/>
          </w:tcPr>
          <w:p w14:paraId="77897E14">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49A6794E">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其中：</w:t>
            </w:r>
          </w:p>
          <w:p w14:paraId="3165422D">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财政拨款</w:t>
            </w:r>
          </w:p>
        </w:tc>
        <w:tc>
          <w:tcPr>
            <w:tcW w:w="2415" w:type="dxa"/>
            <w:shd w:val="clear" w:color="auto" w:fill="auto"/>
            <w:noWrap/>
            <w:vAlign w:val="center"/>
          </w:tcPr>
          <w:p w14:paraId="5B4DE52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458B73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5" w:hRule="atLeast"/>
          <w:tblCellSpacing w:w="0" w:type="dxa"/>
        </w:trPr>
        <w:tc>
          <w:tcPr>
            <w:tcW w:w="3120" w:type="dxa"/>
            <w:gridSpan w:val="2"/>
            <w:vMerge w:val="continue"/>
            <w:shd w:val="clear" w:color="auto" w:fill="auto"/>
            <w:noWrap/>
            <w:vAlign w:val="center"/>
          </w:tcPr>
          <w:p w14:paraId="63B7452A">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09FF6BF5">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其他资金</w:t>
            </w:r>
          </w:p>
        </w:tc>
        <w:tc>
          <w:tcPr>
            <w:tcW w:w="1185" w:type="dxa"/>
            <w:shd w:val="clear" w:color="auto" w:fill="auto"/>
            <w:noWrap/>
            <w:vAlign w:val="center"/>
          </w:tcPr>
          <w:p w14:paraId="3BAFF3AE">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647C5D0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其他资金</w:t>
            </w:r>
          </w:p>
        </w:tc>
        <w:tc>
          <w:tcPr>
            <w:tcW w:w="2415" w:type="dxa"/>
            <w:shd w:val="clear" w:color="auto" w:fill="auto"/>
            <w:noWrap/>
            <w:vAlign w:val="center"/>
          </w:tcPr>
          <w:p w14:paraId="74668A1F">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0013EF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11" w:hRule="atLeast"/>
          <w:tblCellSpacing w:w="0" w:type="dxa"/>
        </w:trPr>
        <w:tc>
          <w:tcPr>
            <w:tcW w:w="1980" w:type="dxa"/>
            <w:vMerge w:val="restart"/>
            <w:shd w:val="clear" w:color="auto" w:fill="auto"/>
            <w:noWrap/>
            <w:vAlign w:val="center"/>
          </w:tcPr>
          <w:p w14:paraId="413B78D8">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年度总体目标</w:t>
            </w:r>
          </w:p>
          <w:p w14:paraId="73A0B4F4">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完成情况</w:t>
            </w:r>
          </w:p>
        </w:tc>
        <w:tc>
          <w:tcPr>
            <w:tcW w:w="3960" w:type="dxa"/>
            <w:gridSpan w:val="3"/>
            <w:shd w:val="clear" w:color="auto" w:fill="auto"/>
            <w:noWrap/>
            <w:vAlign w:val="center"/>
          </w:tcPr>
          <w:p w14:paraId="2D8ACE0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预期目标</w:t>
            </w:r>
          </w:p>
        </w:tc>
        <w:tc>
          <w:tcPr>
            <w:tcW w:w="3630" w:type="dxa"/>
            <w:gridSpan w:val="2"/>
            <w:shd w:val="clear" w:color="auto" w:fill="auto"/>
            <w:noWrap/>
            <w:vAlign w:val="center"/>
          </w:tcPr>
          <w:p w14:paraId="2F36FF17">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目标实际完成情况</w:t>
            </w:r>
          </w:p>
        </w:tc>
      </w:tr>
      <w:tr w14:paraId="237371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95" w:hRule="atLeast"/>
          <w:tblCellSpacing w:w="0" w:type="dxa"/>
        </w:trPr>
        <w:tc>
          <w:tcPr>
            <w:tcW w:w="1980" w:type="dxa"/>
            <w:vMerge w:val="continue"/>
            <w:shd w:val="clear" w:color="auto" w:fill="auto"/>
            <w:noWrap/>
            <w:vAlign w:val="center"/>
          </w:tcPr>
          <w:p w14:paraId="55132838">
            <w:pPr>
              <w:rPr>
                <w:rFonts w:hint="eastAsia" w:ascii="仿宋" w:hAnsi="仿宋" w:eastAsia="仿宋" w:cstheme="minorEastAsia"/>
                <w:color w:val="000000"/>
                <w:kern w:val="0"/>
                <w:sz w:val="32"/>
                <w:szCs w:val="32"/>
                <w:lang w:val="en-US" w:eastAsia="zh-CN" w:bidi="ar"/>
              </w:rPr>
            </w:pPr>
          </w:p>
        </w:tc>
        <w:tc>
          <w:tcPr>
            <w:tcW w:w="3960" w:type="dxa"/>
            <w:gridSpan w:val="3"/>
            <w:shd w:val="clear" w:color="auto" w:fill="auto"/>
            <w:noWrap/>
            <w:vAlign w:val="center"/>
          </w:tcPr>
          <w:p w14:paraId="7BE4CE31">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3630" w:type="dxa"/>
            <w:gridSpan w:val="2"/>
            <w:shd w:val="clear" w:color="auto" w:fill="auto"/>
            <w:noWrap/>
            <w:vAlign w:val="center"/>
          </w:tcPr>
          <w:p w14:paraId="19D134D7">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5DE8061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90" w:hRule="atLeast"/>
          <w:tblCellSpacing w:w="0" w:type="dxa"/>
        </w:trPr>
        <w:tc>
          <w:tcPr>
            <w:tcW w:w="1980" w:type="dxa"/>
            <w:vMerge w:val="restart"/>
            <w:shd w:val="clear" w:color="auto" w:fill="auto"/>
            <w:noWrap/>
            <w:vAlign w:val="center"/>
          </w:tcPr>
          <w:p w14:paraId="0EE8BB5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年度绩效指标完成情况</w:t>
            </w:r>
          </w:p>
        </w:tc>
        <w:tc>
          <w:tcPr>
            <w:tcW w:w="1140" w:type="dxa"/>
            <w:shd w:val="clear" w:color="auto" w:fill="auto"/>
            <w:noWrap/>
            <w:vAlign w:val="center"/>
          </w:tcPr>
          <w:p w14:paraId="0022372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一级</w:t>
            </w:r>
          </w:p>
          <w:p w14:paraId="4B6769C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635" w:type="dxa"/>
            <w:shd w:val="clear" w:color="auto" w:fill="auto"/>
            <w:noWrap/>
            <w:vAlign w:val="center"/>
          </w:tcPr>
          <w:p w14:paraId="36CCC7E2">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二级</w:t>
            </w:r>
          </w:p>
          <w:p w14:paraId="540F4FD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185" w:type="dxa"/>
            <w:shd w:val="clear" w:color="auto" w:fill="auto"/>
            <w:noWrap/>
            <w:vAlign w:val="center"/>
          </w:tcPr>
          <w:p w14:paraId="305066BD">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三级</w:t>
            </w:r>
          </w:p>
          <w:p w14:paraId="7477C5A6">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230" w:type="dxa"/>
            <w:shd w:val="clear" w:color="auto" w:fill="auto"/>
            <w:noWrap/>
            <w:vAlign w:val="center"/>
          </w:tcPr>
          <w:p w14:paraId="304BE12B">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预期指标值</w:t>
            </w:r>
          </w:p>
        </w:tc>
        <w:tc>
          <w:tcPr>
            <w:tcW w:w="2415" w:type="dxa"/>
            <w:shd w:val="clear" w:color="auto" w:fill="auto"/>
            <w:noWrap/>
            <w:vAlign w:val="center"/>
          </w:tcPr>
          <w:p w14:paraId="6D3B951D">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实际完成指标值</w:t>
            </w:r>
          </w:p>
        </w:tc>
      </w:tr>
      <w:tr w14:paraId="45B8B7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shd w:val="clear" w:color="auto" w:fill="auto"/>
            <w:noWrap/>
            <w:vAlign w:val="center"/>
          </w:tcPr>
          <w:p w14:paraId="6E8E7A43">
            <w:pPr>
              <w:rPr>
                <w:rFonts w:hint="eastAsia" w:ascii="仿宋" w:hAnsi="仿宋" w:eastAsia="仿宋" w:cstheme="minorEastAsia"/>
                <w:color w:val="000000"/>
                <w:kern w:val="0"/>
                <w:sz w:val="32"/>
                <w:szCs w:val="32"/>
                <w:lang w:val="en-US" w:eastAsia="zh-CN" w:bidi="ar"/>
              </w:rPr>
            </w:pPr>
          </w:p>
        </w:tc>
        <w:tc>
          <w:tcPr>
            <w:tcW w:w="1140" w:type="dxa"/>
            <w:vMerge w:val="restart"/>
            <w:shd w:val="clear" w:color="auto" w:fill="auto"/>
            <w:noWrap/>
            <w:vAlign w:val="center"/>
          </w:tcPr>
          <w:p w14:paraId="26033A5F">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完成</w:t>
            </w:r>
          </w:p>
          <w:p w14:paraId="15A8DC6E">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635" w:type="dxa"/>
            <w:shd w:val="clear" w:color="auto" w:fill="auto"/>
            <w:noWrap/>
            <w:vAlign w:val="center"/>
          </w:tcPr>
          <w:p w14:paraId="1AF948A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数量指标</w:t>
            </w:r>
          </w:p>
        </w:tc>
        <w:tc>
          <w:tcPr>
            <w:tcW w:w="1185" w:type="dxa"/>
            <w:shd w:val="clear" w:color="auto" w:fill="auto"/>
            <w:noWrap/>
            <w:vAlign w:val="center"/>
          </w:tcPr>
          <w:p w14:paraId="48C2763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4404CC2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29C0C80F">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39A5AFA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20" w:hRule="atLeast"/>
          <w:tblCellSpacing w:w="0" w:type="dxa"/>
        </w:trPr>
        <w:tc>
          <w:tcPr>
            <w:tcW w:w="1980" w:type="dxa"/>
            <w:vMerge w:val="continue"/>
            <w:shd w:val="clear" w:color="auto" w:fill="auto"/>
            <w:noWrap/>
            <w:vAlign w:val="center"/>
          </w:tcPr>
          <w:p w14:paraId="619211E2">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1430F57A">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6C2C7F6E">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质量指标</w:t>
            </w:r>
          </w:p>
        </w:tc>
        <w:tc>
          <w:tcPr>
            <w:tcW w:w="1185" w:type="dxa"/>
            <w:shd w:val="clear" w:color="auto" w:fill="auto"/>
            <w:noWrap/>
            <w:vAlign w:val="center"/>
          </w:tcPr>
          <w:p w14:paraId="72AAEAEB">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4823229A">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2424FB4F">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597AA3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0" w:hRule="atLeast"/>
          <w:tblCellSpacing w:w="0" w:type="dxa"/>
        </w:trPr>
        <w:tc>
          <w:tcPr>
            <w:tcW w:w="1980" w:type="dxa"/>
            <w:vMerge w:val="continue"/>
            <w:shd w:val="clear" w:color="auto" w:fill="auto"/>
            <w:noWrap/>
            <w:vAlign w:val="center"/>
          </w:tcPr>
          <w:p w14:paraId="4CD60733">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19255E4A">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76F7AACF">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时效指标</w:t>
            </w:r>
          </w:p>
        </w:tc>
        <w:tc>
          <w:tcPr>
            <w:tcW w:w="1185" w:type="dxa"/>
            <w:shd w:val="clear" w:color="auto" w:fill="auto"/>
            <w:noWrap/>
            <w:vAlign w:val="center"/>
          </w:tcPr>
          <w:p w14:paraId="2F79521A">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60AB08E2">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4E9A951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1E97D8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24045399">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46C8C929">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51BD1CBE">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成本指标</w:t>
            </w:r>
          </w:p>
        </w:tc>
        <w:tc>
          <w:tcPr>
            <w:tcW w:w="1185" w:type="dxa"/>
            <w:shd w:val="clear" w:color="auto" w:fill="auto"/>
            <w:noWrap/>
            <w:vAlign w:val="center"/>
          </w:tcPr>
          <w:p w14:paraId="279E84A7">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69130B84">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1255DDE9">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64B904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04E714E5">
            <w:pPr>
              <w:rPr>
                <w:rFonts w:hint="eastAsia" w:ascii="仿宋" w:hAnsi="仿宋" w:eastAsia="仿宋" w:cstheme="minorEastAsia"/>
                <w:color w:val="000000"/>
                <w:kern w:val="0"/>
                <w:sz w:val="32"/>
                <w:szCs w:val="32"/>
                <w:lang w:val="en-US" w:eastAsia="zh-CN" w:bidi="ar"/>
              </w:rPr>
            </w:pPr>
          </w:p>
        </w:tc>
        <w:tc>
          <w:tcPr>
            <w:tcW w:w="1140" w:type="dxa"/>
            <w:vMerge w:val="restart"/>
            <w:shd w:val="clear" w:color="auto" w:fill="auto"/>
            <w:noWrap/>
            <w:vAlign w:val="center"/>
          </w:tcPr>
          <w:p w14:paraId="0E81D2AB">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效益</w:t>
            </w:r>
          </w:p>
          <w:p w14:paraId="5A68D2F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635" w:type="dxa"/>
            <w:shd w:val="clear" w:color="auto" w:fill="auto"/>
            <w:noWrap/>
            <w:vAlign w:val="center"/>
          </w:tcPr>
          <w:p w14:paraId="5726F616">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经济效益指标</w:t>
            </w:r>
          </w:p>
        </w:tc>
        <w:tc>
          <w:tcPr>
            <w:tcW w:w="1185" w:type="dxa"/>
            <w:shd w:val="clear" w:color="auto" w:fill="auto"/>
            <w:noWrap/>
            <w:vAlign w:val="center"/>
          </w:tcPr>
          <w:p w14:paraId="3918B4E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5C2369F6">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4FB9D87A">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6466ED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7FDE1056">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2382E9DA">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7BA011BD">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社会效益指标</w:t>
            </w:r>
          </w:p>
        </w:tc>
        <w:tc>
          <w:tcPr>
            <w:tcW w:w="1185" w:type="dxa"/>
            <w:shd w:val="clear" w:color="auto" w:fill="auto"/>
            <w:noWrap/>
            <w:vAlign w:val="center"/>
          </w:tcPr>
          <w:p w14:paraId="5236D5BA">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39428E0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516FFD0D">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69AB34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0" w:hRule="atLeast"/>
          <w:tblCellSpacing w:w="0" w:type="dxa"/>
        </w:trPr>
        <w:tc>
          <w:tcPr>
            <w:tcW w:w="1980" w:type="dxa"/>
            <w:vMerge w:val="continue"/>
            <w:shd w:val="clear" w:color="auto" w:fill="auto"/>
            <w:noWrap/>
            <w:vAlign w:val="center"/>
          </w:tcPr>
          <w:p w14:paraId="1AC31813">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195E91D9">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734E5B8A">
            <w:pPr>
              <w:pStyle w:val="10"/>
              <w:keepNext w:val="0"/>
              <w:keepLines w:val="0"/>
              <w:widowControl/>
              <w:suppressLineNumbers w:val="0"/>
              <w:ind w:left="423"/>
              <w:jc w:val="both"/>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生态效益指标</w:t>
            </w:r>
          </w:p>
        </w:tc>
        <w:tc>
          <w:tcPr>
            <w:tcW w:w="1185" w:type="dxa"/>
            <w:shd w:val="clear" w:color="auto" w:fill="auto"/>
            <w:noWrap/>
            <w:vAlign w:val="center"/>
          </w:tcPr>
          <w:p w14:paraId="38F260C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1845D486">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7F7D934F">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2F2282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CellSpacing w:w="0" w:type="dxa"/>
        </w:trPr>
        <w:tc>
          <w:tcPr>
            <w:tcW w:w="1980" w:type="dxa"/>
            <w:vMerge w:val="continue"/>
            <w:shd w:val="clear" w:color="auto" w:fill="auto"/>
            <w:noWrap/>
            <w:vAlign w:val="center"/>
          </w:tcPr>
          <w:p w14:paraId="01D06D17">
            <w:pPr>
              <w:rPr>
                <w:rFonts w:hint="eastAsia" w:ascii="仿宋" w:hAnsi="仿宋" w:eastAsia="仿宋" w:cstheme="minorEastAsia"/>
                <w:color w:val="000000"/>
                <w:kern w:val="0"/>
                <w:sz w:val="32"/>
                <w:szCs w:val="32"/>
                <w:lang w:val="en-US" w:eastAsia="zh-CN" w:bidi="ar"/>
              </w:rPr>
            </w:pPr>
          </w:p>
        </w:tc>
        <w:tc>
          <w:tcPr>
            <w:tcW w:w="1140" w:type="dxa"/>
            <w:vMerge w:val="continue"/>
            <w:shd w:val="clear" w:color="auto" w:fill="auto"/>
            <w:noWrap/>
            <w:vAlign w:val="center"/>
          </w:tcPr>
          <w:p w14:paraId="37C7A1A6">
            <w:pPr>
              <w:rPr>
                <w:rFonts w:hint="eastAsia" w:ascii="仿宋" w:hAnsi="仿宋" w:eastAsia="仿宋" w:cstheme="minorEastAsia"/>
                <w:color w:val="000000"/>
                <w:kern w:val="0"/>
                <w:sz w:val="32"/>
                <w:szCs w:val="32"/>
                <w:lang w:val="en-US" w:eastAsia="zh-CN" w:bidi="ar"/>
              </w:rPr>
            </w:pPr>
          </w:p>
        </w:tc>
        <w:tc>
          <w:tcPr>
            <w:tcW w:w="1635" w:type="dxa"/>
            <w:shd w:val="clear" w:color="auto" w:fill="auto"/>
            <w:noWrap/>
            <w:vAlign w:val="center"/>
          </w:tcPr>
          <w:p w14:paraId="36126BC2">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可持续影响指标</w:t>
            </w:r>
          </w:p>
        </w:tc>
        <w:tc>
          <w:tcPr>
            <w:tcW w:w="1185" w:type="dxa"/>
            <w:shd w:val="clear" w:color="auto" w:fill="auto"/>
            <w:noWrap/>
            <w:vAlign w:val="center"/>
          </w:tcPr>
          <w:p w14:paraId="52B6425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24AFF1DB">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7572DAC3">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r w14:paraId="4BE6037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5" w:hRule="atLeast"/>
          <w:tblCellSpacing w:w="0" w:type="dxa"/>
        </w:trPr>
        <w:tc>
          <w:tcPr>
            <w:tcW w:w="1980" w:type="dxa"/>
            <w:vMerge w:val="continue"/>
            <w:shd w:val="clear" w:color="auto" w:fill="auto"/>
            <w:noWrap/>
            <w:vAlign w:val="center"/>
          </w:tcPr>
          <w:p w14:paraId="5D937D22">
            <w:pPr>
              <w:rPr>
                <w:rFonts w:hint="eastAsia" w:ascii="仿宋" w:hAnsi="仿宋" w:eastAsia="仿宋" w:cstheme="minorEastAsia"/>
                <w:color w:val="000000"/>
                <w:kern w:val="0"/>
                <w:sz w:val="32"/>
                <w:szCs w:val="32"/>
                <w:lang w:val="en-US" w:eastAsia="zh-CN" w:bidi="ar"/>
              </w:rPr>
            </w:pPr>
          </w:p>
        </w:tc>
        <w:tc>
          <w:tcPr>
            <w:tcW w:w="1140" w:type="dxa"/>
            <w:shd w:val="clear" w:color="auto" w:fill="auto"/>
            <w:noWrap/>
            <w:vAlign w:val="center"/>
          </w:tcPr>
          <w:p w14:paraId="56E46DF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满意</w:t>
            </w:r>
          </w:p>
          <w:p w14:paraId="0467253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度指标</w:t>
            </w:r>
          </w:p>
        </w:tc>
        <w:tc>
          <w:tcPr>
            <w:tcW w:w="1635" w:type="dxa"/>
            <w:shd w:val="clear" w:color="auto" w:fill="auto"/>
            <w:noWrap/>
            <w:vAlign w:val="center"/>
          </w:tcPr>
          <w:p w14:paraId="6E491464">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满意度</w:t>
            </w:r>
          </w:p>
          <w:p w14:paraId="65285A6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指标</w:t>
            </w:r>
          </w:p>
        </w:tc>
        <w:tc>
          <w:tcPr>
            <w:tcW w:w="1185" w:type="dxa"/>
            <w:shd w:val="clear" w:color="auto" w:fill="auto"/>
            <w:noWrap/>
            <w:vAlign w:val="center"/>
          </w:tcPr>
          <w:p w14:paraId="727BA4BC">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1230" w:type="dxa"/>
            <w:shd w:val="clear" w:color="auto" w:fill="auto"/>
            <w:noWrap/>
            <w:vAlign w:val="center"/>
          </w:tcPr>
          <w:p w14:paraId="5CA68FD4">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c>
          <w:tcPr>
            <w:tcW w:w="2415" w:type="dxa"/>
            <w:shd w:val="clear" w:color="auto" w:fill="auto"/>
            <w:noWrap/>
            <w:vAlign w:val="center"/>
          </w:tcPr>
          <w:p w14:paraId="6E280770">
            <w:pPr>
              <w:pStyle w:val="10"/>
              <w:keepNext w:val="0"/>
              <w:keepLines w:val="0"/>
              <w:widowControl/>
              <w:suppressLineNumbers w:val="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tc>
      </w:tr>
    </w:tbl>
    <w:p w14:paraId="346A9858">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（注：有两个及以上100万元以上</w:t>
      </w:r>
      <w:bookmarkStart w:id="2" w:name="_GoBack"/>
      <w:r>
        <w:rPr>
          <w:rFonts w:ascii="仿宋" w:hAnsi="仿宋" w:eastAsia="仿宋" w:cstheme="minorEastAsia"/>
          <w:color w:val="000000"/>
          <w:kern w:val="0"/>
          <w:sz w:val="32"/>
          <w:szCs w:val="32"/>
          <w:lang w:val="en-US" w:eastAsia="zh-CN" w:bidi="ar"/>
        </w:rPr>
        <w:t>（</w:t>
      </w:r>
      <w:bookmarkEnd w:id="2"/>
      <w:r>
        <w:rPr>
          <w:rFonts w:ascii="仿宋" w:hAnsi="仿宋" w:eastAsia="仿宋" w:cstheme="minorEastAsia"/>
          <w:color w:val="000000"/>
          <w:kern w:val="0"/>
          <w:sz w:val="32"/>
          <w:szCs w:val="32"/>
          <w:lang w:val="en-US" w:eastAsia="zh-CN" w:bidi="ar"/>
        </w:rPr>
        <w:t>含）特定目标类部门预算项目的，需分别开展绩效目标自评并填写附表）</w:t>
      </w:r>
    </w:p>
    <w:p w14:paraId="11C68AD1">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p w14:paraId="3FA6E6FA">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p w14:paraId="15205FB4">
      <w:pPr>
        <w:pStyle w:val="10"/>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 </w:t>
      </w:r>
    </w:p>
    <w:p w14:paraId="6C45842C">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03404B7D">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4ACD7E69">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01B81735">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73F634F2">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036A2ADF">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4855C363">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72E19676">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p>
    <w:p w14:paraId="18C23436">
      <w:pPr>
        <w:pStyle w:val="10"/>
        <w:keepNext w:val="0"/>
        <w:keepLines w:val="0"/>
        <w:widowControl/>
        <w:suppressLineNumbers w:val="0"/>
        <w:spacing w:before="0" w:beforeAutospacing="0"/>
        <w:ind w:left="0"/>
        <w:jc w:val="center"/>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第五部分 附表</w:t>
      </w:r>
    </w:p>
    <w:p w14:paraId="36357EF5">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一、收入支出决算总表</w:t>
      </w:r>
    </w:p>
    <w:p w14:paraId="0E3FD797">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二、收入决算表</w:t>
      </w:r>
    </w:p>
    <w:p w14:paraId="501402D2">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三、支出决算表</w:t>
      </w:r>
    </w:p>
    <w:p w14:paraId="40FC357A">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四、财政拨款收入支出决算总表</w:t>
      </w:r>
    </w:p>
    <w:p w14:paraId="0BD22118">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五、财政拨款支出决算明细表</w:t>
      </w:r>
    </w:p>
    <w:p w14:paraId="50576CD3">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六、一般公共预算财政拨款支出决算表</w:t>
      </w:r>
    </w:p>
    <w:p w14:paraId="64AC80DA">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七、一般公共预算财政拨款支出决算明细表</w:t>
      </w:r>
    </w:p>
    <w:p w14:paraId="6C1BE801">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八、一般公共预算财政拨款基本支出决算表</w:t>
      </w:r>
    </w:p>
    <w:p w14:paraId="4A5E6EAD">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九、一般公共预算财政拨款项目支出决算表</w:t>
      </w:r>
    </w:p>
    <w:p w14:paraId="7ED8F459">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十、政府性基金预算财政拨款收入支出决算表</w:t>
      </w:r>
    </w:p>
    <w:p w14:paraId="73FC2C22">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十一、国有资本经营预算财政拨款收入支出决算表</w:t>
      </w:r>
    </w:p>
    <w:p w14:paraId="57C2561A">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十二、国有资本经营预算财政拨款支出决算表</w:t>
      </w:r>
    </w:p>
    <w:p w14:paraId="3B9DAD1B">
      <w:pPr>
        <w:pStyle w:val="4"/>
        <w:keepNext w:val="0"/>
        <w:keepLines w:val="0"/>
        <w:widowControl/>
        <w:suppressLineNumbers w:val="0"/>
        <w:spacing w:before="0" w:beforeAutospacing="0"/>
        <w:ind w:left="0"/>
        <w:jc w:val="left"/>
        <w:rPr>
          <w:rFonts w:ascii="仿宋" w:hAnsi="仿宋" w:eastAsia="仿宋" w:cstheme="minorEastAsia"/>
          <w:color w:val="000000"/>
          <w:kern w:val="0"/>
          <w:sz w:val="32"/>
          <w:szCs w:val="32"/>
          <w:lang w:val="en-US" w:eastAsia="zh-CN" w:bidi="ar"/>
        </w:rPr>
      </w:pPr>
      <w:r>
        <w:rPr>
          <w:rFonts w:ascii="仿宋" w:hAnsi="仿宋" w:eastAsia="仿宋" w:cstheme="minorEastAsia"/>
          <w:color w:val="000000"/>
          <w:kern w:val="0"/>
          <w:sz w:val="32"/>
          <w:szCs w:val="32"/>
          <w:lang w:val="en-US" w:eastAsia="zh-CN" w:bidi="ar"/>
        </w:rPr>
        <w:t>十三、财政拨款“三公”经费支出决算表</w:t>
      </w:r>
    </w:p>
    <w:sectPr>
      <w:pgSz w:w="11915" w:h="16851"/>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C2445B"/>
    <w:multiLevelType w:val="singleLevel"/>
    <w:tmpl w:val="30C2445B"/>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000000"/>
    <w:rsid w:val="001F1AFC"/>
    <w:rsid w:val="18B03A11"/>
    <w:rsid w:val="1B9408D8"/>
    <w:rsid w:val="1C7D6F54"/>
    <w:rsid w:val="1F3E7310"/>
    <w:rsid w:val="214751E3"/>
    <w:rsid w:val="2DEA5D28"/>
    <w:rsid w:val="2F987116"/>
    <w:rsid w:val="33C46B73"/>
    <w:rsid w:val="344B5884"/>
    <w:rsid w:val="4E83262B"/>
    <w:rsid w:val="563C7703"/>
    <w:rsid w:val="6D9C2C61"/>
    <w:rsid w:val="73555C1D"/>
    <w:rsid w:val="751A2828"/>
    <w:rsid w:val="763F6155"/>
    <w:rsid w:val="7C7475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EastAsia" w:hAnsiTheme="minorEastAsia" w:eastAsiaTheme="minorEastAsia" w:cstheme="minorEastAsia"/>
      <w:kern w:val="0"/>
      <w:sz w:val="24"/>
      <w:szCs w:val="24"/>
      <w:lang w:val="en-US" w:eastAsia="zh-CN" w:bidi="ar"/>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8">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9">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5153</Words>
  <Characters>5788</Characters>
  <TotalTime>0</TotalTime>
  <ScaleCrop>false</ScaleCrop>
  <LinksUpToDate>false</LinksUpToDate>
  <CharactersWithSpaces>5900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2023-09-11T03:04:00Z</dcterms:created>
  <dc:creator>Administrator</dc:creator>
  <cp:lastModifiedBy>奕夕^_^</cp:lastModifiedBy>
  <dcterms:modified xsi:type="dcterms:W3CDTF">2025-10-16T03:06:53Z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2CE4293212394536922F8D22EEBAEAEC_13</vt:lpwstr>
  </property>
  <property fmtid="{D5CDD505-2E9C-101B-9397-08002B2CF9AE}" pid="4" name="KSOTemplateDocerSaveRecord">
    <vt:lpwstr>eyJoZGlkIjoiNTU1MWNhN2ZmY2ZhZmY3ODhlYTg0MWU5OGMyY2QwZmUiLCJ1c2VySWQiOiI0MzQ2NTM0NzEifQ==</vt:lpwstr>
  </property>
</Properties>
</file>