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D75E77">
      <w:pPr>
        <w:pStyle w:val="12"/>
        <w:keepNext w:val="0"/>
        <w:keepLines w:val="0"/>
        <w:widowControl/>
        <w:suppressLineNumbers w:val="0"/>
        <w:spacing w:before="0" w:beforeAutospacing="0"/>
        <w:ind w:left="0"/>
        <w:jc w:val="center"/>
      </w:pPr>
      <w:r>
        <w:rPr>
          <w:rFonts w:hint="eastAsia"/>
          <w:sz w:val="42"/>
          <w:szCs w:val="42"/>
          <w:shd w:val="clear" w:fill="FFFFFF"/>
          <w:lang w:eastAsia="zh-CN"/>
        </w:rPr>
        <w:t>2023</w:t>
      </w:r>
      <w:r>
        <w:rPr>
          <w:sz w:val="42"/>
          <w:szCs w:val="42"/>
          <w:shd w:val="clear" w:fill="FFFFFF"/>
        </w:rPr>
        <w:t>年度</w:t>
      </w:r>
    </w:p>
    <w:p w14:paraId="3209D84B">
      <w:pPr>
        <w:pStyle w:val="12"/>
        <w:keepNext w:val="0"/>
        <w:keepLines w:val="0"/>
        <w:widowControl/>
        <w:suppressLineNumbers w:val="0"/>
        <w:spacing w:before="0" w:beforeAutospacing="0"/>
        <w:ind w:left="0"/>
        <w:jc w:val="center"/>
      </w:pPr>
      <w:r>
        <w:rPr>
          <w:sz w:val="42"/>
          <w:szCs w:val="42"/>
          <w:shd w:val="clear" w:fill="FFFFFF"/>
        </w:rPr>
        <w:t>阿坝州松潘县下八寨乡农业农村服务中心单位决算</w:t>
      </w:r>
    </w:p>
    <w:p w14:paraId="53ABF615">
      <w:pPr>
        <w:pStyle w:val="12"/>
        <w:keepNext w:val="0"/>
        <w:keepLines w:val="0"/>
        <w:widowControl/>
        <w:suppressLineNumbers w:val="0"/>
        <w:spacing w:before="0" w:beforeAutospacing="0"/>
        <w:ind w:left="0"/>
        <w:jc w:val="center"/>
      </w:pPr>
      <w:r>
        <w:rPr>
          <w:rFonts w:hint="eastAsia"/>
          <w:sz w:val="42"/>
          <w:szCs w:val="42"/>
          <w:shd w:val="clear" w:fill="FFFFFF"/>
          <w:lang w:val="en-US" w:eastAsia="zh-CN"/>
        </w:rPr>
        <w:t xml:space="preserve"> </w:t>
      </w:r>
      <w:r>
        <w:rPr>
          <w:shd w:val="clear" w:fill="FFFFFF"/>
        </w:rPr>
        <w:t> </w:t>
      </w:r>
    </w:p>
    <w:p w14:paraId="255B1331">
      <w:pPr>
        <w:pStyle w:val="12"/>
        <w:keepNext w:val="0"/>
        <w:keepLines w:val="0"/>
        <w:widowControl/>
        <w:suppressLineNumbers w:val="0"/>
        <w:spacing w:before="0" w:beforeAutospacing="0"/>
        <w:ind w:left="0"/>
        <w:jc w:val="center"/>
      </w:pPr>
      <w:r>
        <w:rPr>
          <w:shd w:val="clear" w:fill="FFFFFF"/>
        </w:rPr>
        <w:t> </w:t>
      </w:r>
    </w:p>
    <w:p w14:paraId="3698952E">
      <w:pPr>
        <w:pStyle w:val="12"/>
        <w:keepNext w:val="0"/>
        <w:keepLines w:val="0"/>
        <w:widowControl/>
        <w:suppressLineNumbers w:val="0"/>
        <w:spacing w:before="0" w:beforeAutospacing="0"/>
        <w:ind w:left="0"/>
        <w:jc w:val="center"/>
      </w:pPr>
      <w:r>
        <w:rPr>
          <w:shd w:val="clear" w:fill="FFFFFF"/>
        </w:rPr>
        <w:t> </w:t>
      </w:r>
    </w:p>
    <w:p w14:paraId="48EFC911">
      <w:pPr>
        <w:pStyle w:val="12"/>
        <w:keepNext w:val="0"/>
        <w:keepLines w:val="0"/>
        <w:widowControl/>
        <w:suppressLineNumbers w:val="0"/>
        <w:spacing w:before="0" w:beforeAutospacing="0"/>
        <w:ind w:left="0"/>
        <w:jc w:val="center"/>
      </w:pPr>
      <w:r>
        <w:rPr>
          <w:shd w:val="clear" w:fill="FFFFFF"/>
        </w:rPr>
        <w:t> </w:t>
      </w:r>
    </w:p>
    <w:p w14:paraId="6B191FDA">
      <w:pPr>
        <w:pStyle w:val="12"/>
        <w:keepNext w:val="0"/>
        <w:keepLines w:val="0"/>
        <w:widowControl/>
        <w:suppressLineNumbers w:val="0"/>
        <w:spacing w:before="0" w:beforeAutospacing="0"/>
        <w:ind w:left="0"/>
        <w:jc w:val="center"/>
      </w:pPr>
      <w:r>
        <w:rPr>
          <w:shd w:val="clear" w:fill="FFFFFF"/>
        </w:rPr>
        <w:t> </w:t>
      </w:r>
    </w:p>
    <w:p w14:paraId="2FA28880">
      <w:pPr>
        <w:pStyle w:val="12"/>
        <w:keepNext w:val="0"/>
        <w:keepLines w:val="0"/>
        <w:widowControl/>
        <w:suppressLineNumbers w:val="0"/>
        <w:spacing w:before="0" w:beforeAutospacing="0"/>
        <w:ind w:left="0"/>
        <w:jc w:val="center"/>
      </w:pPr>
      <w:r>
        <w:rPr>
          <w:shd w:val="clear" w:fill="FFFFFF"/>
        </w:rPr>
        <w:t> </w:t>
      </w:r>
    </w:p>
    <w:p w14:paraId="323585A0">
      <w:pPr>
        <w:pStyle w:val="12"/>
        <w:keepNext w:val="0"/>
        <w:keepLines w:val="0"/>
        <w:widowControl/>
        <w:suppressLineNumbers w:val="0"/>
        <w:spacing w:before="0" w:beforeAutospacing="0"/>
        <w:ind w:left="0"/>
        <w:jc w:val="center"/>
      </w:pPr>
      <w:r>
        <w:rPr>
          <w:shd w:val="clear" w:fill="FFFFFF"/>
        </w:rPr>
        <w:t> </w:t>
      </w:r>
    </w:p>
    <w:p w14:paraId="37AD523D">
      <w:pPr>
        <w:pStyle w:val="12"/>
        <w:keepNext w:val="0"/>
        <w:keepLines w:val="0"/>
        <w:widowControl/>
        <w:suppressLineNumbers w:val="0"/>
        <w:spacing w:before="0" w:beforeAutospacing="0"/>
        <w:ind w:left="0"/>
        <w:jc w:val="center"/>
      </w:pPr>
      <w:r>
        <w:rPr>
          <w:shd w:val="clear" w:fill="FFFFFF"/>
        </w:rPr>
        <w:t>已经保密审查、内容审定，同意对外公开</w:t>
      </w:r>
    </w:p>
    <w:p w14:paraId="74064260">
      <w:pPr>
        <w:pStyle w:val="12"/>
        <w:keepNext w:val="0"/>
        <w:keepLines w:val="0"/>
        <w:widowControl/>
        <w:suppressLineNumbers w:val="0"/>
        <w:spacing w:before="0" w:beforeAutospacing="0"/>
        <w:ind w:left="0"/>
        <w:jc w:val="left"/>
      </w:pPr>
      <w:r>
        <w:rPr>
          <w:shd w:val="clear" w:fill="FFFFFF"/>
        </w:rPr>
        <w:t> </w:t>
      </w:r>
    </w:p>
    <w:p w14:paraId="1289EA6E">
      <w:pPr>
        <w:pStyle w:val="12"/>
        <w:keepNext w:val="0"/>
        <w:keepLines w:val="0"/>
        <w:widowControl/>
        <w:suppressLineNumbers w:val="0"/>
        <w:spacing w:before="0" w:beforeAutospacing="0"/>
        <w:ind w:left="0"/>
        <w:jc w:val="left"/>
      </w:pPr>
      <w:r>
        <w:rPr>
          <w:shd w:val="clear" w:fill="FFFFFF"/>
        </w:rPr>
        <w:t> </w:t>
      </w:r>
    </w:p>
    <w:p w14:paraId="73621EAD">
      <w:pPr>
        <w:pStyle w:val="12"/>
        <w:keepNext w:val="0"/>
        <w:keepLines w:val="0"/>
        <w:widowControl/>
        <w:suppressLineNumbers w:val="0"/>
        <w:spacing w:before="0" w:beforeAutospacing="0"/>
        <w:ind w:left="0"/>
        <w:jc w:val="center"/>
      </w:pPr>
      <w:r>
        <w:rPr>
          <w:shd w:val="clear" w:fill="FFFFFF"/>
        </w:rPr>
        <w:t> </w:t>
      </w:r>
    </w:p>
    <w:p w14:paraId="2E9413D1">
      <w:pPr>
        <w:pStyle w:val="12"/>
        <w:keepNext w:val="0"/>
        <w:keepLines w:val="0"/>
        <w:widowControl/>
        <w:suppressLineNumbers w:val="0"/>
        <w:spacing w:before="0" w:beforeAutospacing="0"/>
        <w:ind w:left="0"/>
        <w:jc w:val="left"/>
      </w:pPr>
      <w:r>
        <w:rPr>
          <w:shd w:val="clear" w:fill="FFFFFF"/>
        </w:rPr>
        <w:t> </w:t>
      </w:r>
    </w:p>
    <w:p w14:paraId="60FC26B5">
      <w:pPr>
        <w:pStyle w:val="12"/>
        <w:keepNext w:val="0"/>
        <w:keepLines w:val="0"/>
        <w:widowControl/>
        <w:suppressLineNumbers w:val="0"/>
        <w:spacing w:before="0" w:beforeAutospacing="0"/>
        <w:ind w:left="0"/>
        <w:jc w:val="center"/>
      </w:pPr>
      <w:r>
        <w:rPr>
          <w:shd w:val="clear" w:fill="FFFFFF"/>
        </w:rPr>
        <w:t> </w:t>
      </w:r>
    </w:p>
    <w:p w14:paraId="49B658DC">
      <w:pPr>
        <w:pStyle w:val="12"/>
        <w:keepNext w:val="0"/>
        <w:keepLines w:val="0"/>
        <w:widowControl/>
        <w:suppressLineNumbers w:val="0"/>
        <w:spacing w:before="0" w:beforeAutospacing="0"/>
        <w:ind w:left="0"/>
        <w:jc w:val="center"/>
      </w:pPr>
      <w:r>
        <w:rPr>
          <w:shd w:val="clear" w:fill="FFFFFF"/>
        </w:rPr>
        <w:t> </w:t>
      </w:r>
    </w:p>
    <w:p w14:paraId="090B7AAD">
      <w:pPr>
        <w:pStyle w:val="12"/>
        <w:keepNext w:val="0"/>
        <w:keepLines w:val="0"/>
        <w:widowControl/>
        <w:suppressLineNumbers w:val="0"/>
        <w:spacing w:before="0" w:beforeAutospacing="0"/>
        <w:ind w:left="0"/>
        <w:jc w:val="center"/>
      </w:pPr>
      <w:r>
        <w:rPr>
          <w:shd w:val="clear" w:fill="FFFFFF"/>
        </w:rPr>
        <w:t> </w:t>
      </w:r>
    </w:p>
    <w:p w14:paraId="45A332DF">
      <w:pPr>
        <w:pStyle w:val="12"/>
        <w:keepNext w:val="0"/>
        <w:keepLines w:val="0"/>
        <w:widowControl/>
        <w:suppressLineNumbers w:val="0"/>
        <w:spacing w:before="0" w:beforeAutospacing="0"/>
        <w:ind w:left="0"/>
        <w:jc w:val="center"/>
      </w:pPr>
      <w:r>
        <w:rPr>
          <w:shd w:val="clear" w:fill="FFFFFF"/>
        </w:rPr>
        <w:br w:type="textWrapping"/>
      </w:r>
      <w:r>
        <w:rPr>
          <w:shd w:val="clear" w:fill="FFFFFF"/>
        </w:rPr>
        <w:t>目录</w:t>
      </w:r>
    </w:p>
    <w:p w14:paraId="17F4E6D0">
      <w:pPr>
        <w:pStyle w:val="12"/>
        <w:keepNext w:val="0"/>
        <w:keepLines w:val="0"/>
        <w:widowControl/>
        <w:suppressLineNumbers w:val="0"/>
        <w:spacing w:before="0" w:beforeAutospacing="0"/>
        <w:ind w:left="0"/>
        <w:jc w:val="center"/>
      </w:pPr>
      <w:r>
        <w:rPr>
          <w:shd w:val="clear" w:fill="FFFFFF"/>
        </w:rPr>
        <w:t> </w:t>
      </w:r>
    </w:p>
    <w:p w14:paraId="58BBB94A">
      <w:pPr>
        <w:pStyle w:val="12"/>
        <w:keepNext w:val="0"/>
        <w:keepLines w:val="0"/>
        <w:widowControl/>
        <w:suppressLineNumbers w:val="0"/>
        <w:spacing w:before="0" w:beforeAutospacing="0"/>
        <w:ind w:left="0"/>
        <w:jc w:val="center"/>
      </w:pPr>
      <w:r>
        <w:rPr>
          <w:shd w:val="clear" w:fill="FFFFFF"/>
        </w:rPr>
        <w:t>公开时间：2023年 </w:t>
      </w:r>
      <w:r>
        <w:rPr>
          <w:rFonts w:hint="eastAsia"/>
          <w:shd w:val="clear" w:fill="FFFFFF"/>
          <w:lang w:val="en-US" w:eastAsia="zh-CN"/>
        </w:rPr>
        <w:t>9</w:t>
      </w:r>
      <w:r>
        <w:rPr>
          <w:shd w:val="clear" w:fill="FFFFFF"/>
        </w:rPr>
        <w:t xml:space="preserve"> 月  </w:t>
      </w:r>
      <w:r>
        <w:rPr>
          <w:rFonts w:hint="eastAsia"/>
          <w:shd w:val="clear" w:fill="FFFFFF"/>
          <w:lang w:val="en-US" w:eastAsia="zh-CN"/>
        </w:rPr>
        <w:t>19</w:t>
      </w:r>
      <w:r>
        <w:rPr>
          <w:shd w:val="clear" w:fill="FFFFFF"/>
        </w:rPr>
        <w:t> 日</w:t>
      </w:r>
    </w:p>
    <w:p w14:paraId="0D75F9BA">
      <w:pPr>
        <w:pStyle w:val="12"/>
        <w:keepNext w:val="0"/>
        <w:keepLines w:val="0"/>
        <w:widowControl/>
        <w:suppressLineNumbers w:val="0"/>
        <w:spacing w:before="0" w:beforeAutospacing="0"/>
        <w:ind w:left="0"/>
        <w:jc w:val="left"/>
      </w:pPr>
      <w:r>
        <w:rPr>
          <w:shd w:val="clear" w:fill="FFFFFF"/>
        </w:rPr>
        <w:t> </w:t>
      </w:r>
    </w:p>
    <w:p w14:paraId="7CCD059D">
      <w:pPr>
        <w:pStyle w:val="12"/>
        <w:keepNext w:val="0"/>
        <w:keepLines w:val="0"/>
        <w:widowControl/>
        <w:suppressLineNumbers w:val="0"/>
        <w:spacing w:before="0" w:beforeAutospacing="0"/>
        <w:ind w:left="0"/>
        <w:jc w:val="left"/>
      </w:pPr>
      <w:r>
        <w:rPr>
          <w:shd w:val="clear" w:fill="FFFFFF"/>
        </w:rPr>
        <w:t>第一部分 单位概况</w:t>
      </w:r>
    </w:p>
    <w:p w14:paraId="7356A7FB">
      <w:pPr>
        <w:pStyle w:val="12"/>
        <w:keepNext w:val="0"/>
        <w:keepLines w:val="0"/>
        <w:widowControl/>
        <w:suppressLineNumbers w:val="0"/>
        <w:spacing w:before="0" w:beforeAutospacing="0"/>
        <w:ind w:left="420"/>
        <w:jc w:val="left"/>
      </w:pPr>
      <w:r>
        <w:rPr>
          <w:shd w:val="clear" w:fill="FFFFFF"/>
        </w:rPr>
        <w:t>一、主要职责</w:t>
      </w:r>
    </w:p>
    <w:p w14:paraId="6A6991F1">
      <w:pPr>
        <w:pStyle w:val="12"/>
        <w:keepNext w:val="0"/>
        <w:keepLines w:val="0"/>
        <w:widowControl/>
        <w:suppressLineNumbers w:val="0"/>
        <w:spacing w:before="0" w:beforeAutospacing="0"/>
        <w:ind w:left="420"/>
        <w:jc w:val="left"/>
      </w:pPr>
      <w:r>
        <w:rPr>
          <w:shd w:val="clear" w:fill="FFFFFF"/>
        </w:rPr>
        <w:t>二、机构设置</w:t>
      </w:r>
    </w:p>
    <w:p w14:paraId="7E481433">
      <w:pPr>
        <w:pStyle w:val="12"/>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2023</w:t>
      </w:r>
      <w:r>
        <w:rPr>
          <w:shd w:val="clear" w:fill="FFFFFF"/>
        </w:rPr>
        <w:t>年度单位决算情况说明</w:t>
      </w:r>
    </w:p>
    <w:p w14:paraId="5D2C42D3">
      <w:pPr>
        <w:pStyle w:val="12"/>
        <w:keepNext w:val="0"/>
        <w:keepLines w:val="0"/>
        <w:widowControl/>
        <w:suppressLineNumbers w:val="0"/>
        <w:spacing w:before="0" w:beforeAutospacing="0"/>
        <w:ind w:left="420"/>
        <w:jc w:val="left"/>
      </w:pPr>
      <w:r>
        <w:rPr>
          <w:shd w:val="clear" w:fill="FFFFFF"/>
        </w:rPr>
        <w:t>一、收入支出决算总体情况说明</w:t>
      </w:r>
    </w:p>
    <w:p w14:paraId="59341BD0">
      <w:pPr>
        <w:pStyle w:val="12"/>
        <w:keepNext w:val="0"/>
        <w:keepLines w:val="0"/>
        <w:widowControl/>
        <w:suppressLineNumbers w:val="0"/>
        <w:spacing w:before="0" w:beforeAutospacing="0"/>
        <w:ind w:left="420"/>
        <w:jc w:val="left"/>
      </w:pPr>
      <w:r>
        <w:rPr>
          <w:shd w:val="clear" w:fill="FFFFFF"/>
        </w:rPr>
        <w:t>二、收入决算情况说明</w:t>
      </w:r>
    </w:p>
    <w:p w14:paraId="69BF1341">
      <w:pPr>
        <w:pStyle w:val="12"/>
        <w:keepNext w:val="0"/>
        <w:keepLines w:val="0"/>
        <w:widowControl/>
        <w:suppressLineNumbers w:val="0"/>
        <w:spacing w:before="0" w:beforeAutospacing="0"/>
        <w:ind w:left="420"/>
        <w:jc w:val="left"/>
      </w:pPr>
      <w:r>
        <w:rPr>
          <w:shd w:val="clear" w:fill="FFFFFF"/>
        </w:rPr>
        <w:t>三、支出决算情况说明</w:t>
      </w:r>
    </w:p>
    <w:p w14:paraId="3995DD7A">
      <w:pPr>
        <w:pStyle w:val="12"/>
        <w:keepNext w:val="0"/>
        <w:keepLines w:val="0"/>
        <w:widowControl/>
        <w:suppressLineNumbers w:val="0"/>
        <w:spacing w:before="0" w:beforeAutospacing="0"/>
        <w:ind w:left="420"/>
        <w:jc w:val="left"/>
      </w:pPr>
      <w:r>
        <w:rPr>
          <w:shd w:val="clear" w:fill="FFFFFF"/>
        </w:rPr>
        <w:t>四、财政拨款收入支出决算总体情况说明</w:t>
      </w:r>
    </w:p>
    <w:p w14:paraId="7C8FD1E0">
      <w:pPr>
        <w:pStyle w:val="12"/>
        <w:keepNext w:val="0"/>
        <w:keepLines w:val="0"/>
        <w:widowControl/>
        <w:suppressLineNumbers w:val="0"/>
        <w:spacing w:before="0" w:beforeAutospacing="0"/>
        <w:ind w:left="420"/>
        <w:jc w:val="left"/>
      </w:pPr>
      <w:r>
        <w:rPr>
          <w:shd w:val="clear" w:fill="FFFFFF"/>
        </w:rPr>
        <w:t>五、一般公共预算财政拨款支出决算情况说明</w:t>
      </w:r>
    </w:p>
    <w:p w14:paraId="42932A6E">
      <w:pPr>
        <w:pStyle w:val="12"/>
        <w:keepNext w:val="0"/>
        <w:keepLines w:val="0"/>
        <w:widowControl/>
        <w:suppressLineNumbers w:val="0"/>
        <w:spacing w:before="0" w:beforeAutospacing="0"/>
        <w:ind w:left="420"/>
        <w:jc w:val="left"/>
      </w:pPr>
      <w:r>
        <w:rPr>
          <w:shd w:val="clear" w:fill="FFFFFF"/>
        </w:rPr>
        <w:t>六、一般公共预算财政拨款基本支出决算情况说明</w:t>
      </w:r>
    </w:p>
    <w:p w14:paraId="468E4E44">
      <w:pPr>
        <w:pStyle w:val="12"/>
        <w:keepNext w:val="0"/>
        <w:keepLines w:val="0"/>
        <w:widowControl/>
        <w:suppressLineNumbers w:val="0"/>
        <w:spacing w:before="0" w:beforeAutospacing="0"/>
        <w:ind w:left="420"/>
        <w:jc w:val="left"/>
      </w:pPr>
      <w:r>
        <w:rPr>
          <w:shd w:val="clear" w:fill="FFFFFF"/>
        </w:rPr>
        <w:t>七、财政拨款“三公”经费支出决算情况说明</w:t>
      </w:r>
    </w:p>
    <w:p w14:paraId="134CD315">
      <w:pPr>
        <w:pStyle w:val="12"/>
        <w:keepNext w:val="0"/>
        <w:keepLines w:val="0"/>
        <w:widowControl/>
        <w:suppressLineNumbers w:val="0"/>
        <w:spacing w:before="0" w:beforeAutospacing="0"/>
        <w:ind w:left="420"/>
        <w:jc w:val="left"/>
      </w:pPr>
      <w:r>
        <w:rPr>
          <w:shd w:val="clear" w:fill="FFFFFF"/>
        </w:rPr>
        <w:t>八、政府性基金预算支出决算情况说明</w:t>
      </w:r>
    </w:p>
    <w:p w14:paraId="53468E96">
      <w:pPr>
        <w:pStyle w:val="12"/>
        <w:keepNext w:val="0"/>
        <w:keepLines w:val="0"/>
        <w:widowControl/>
        <w:suppressLineNumbers w:val="0"/>
        <w:spacing w:before="0" w:beforeAutospacing="0"/>
        <w:ind w:left="0"/>
        <w:jc w:val="left"/>
      </w:pPr>
      <w:r>
        <w:rPr>
          <w:shd w:val="clear" w:fill="FFFFFF"/>
        </w:rPr>
        <w:t>       九、国有资本经营预算支出决算情况说明</w:t>
      </w:r>
    </w:p>
    <w:p w14:paraId="7063F9F3">
      <w:pPr>
        <w:pStyle w:val="12"/>
        <w:keepNext w:val="0"/>
        <w:keepLines w:val="0"/>
        <w:widowControl/>
        <w:suppressLineNumbers w:val="0"/>
        <w:spacing w:before="0" w:beforeAutospacing="0"/>
        <w:ind w:left="0"/>
        <w:jc w:val="left"/>
      </w:pPr>
      <w:r>
        <w:rPr>
          <w:shd w:val="clear" w:fill="FFFFFF"/>
        </w:rPr>
        <w:t>       十、其他重要事项的情况说明 </w:t>
      </w:r>
    </w:p>
    <w:p w14:paraId="6F3AC449">
      <w:pPr>
        <w:pStyle w:val="12"/>
        <w:keepNext w:val="0"/>
        <w:keepLines w:val="0"/>
        <w:widowControl/>
        <w:suppressLineNumbers w:val="0"/>
        <w:spacing w:before="0" w:beforeAutospacing="0"/>
        <w:ind w:left="0"/>
        <w:jc w:val="left"/>
      </w:pPr>
      <w:r>
        <w:rPr>
          <w:shd w:val="clear" w:fill="FFFFFF"/>
        </w:rPr>
        <w:t>第三部分 名词解释</w:t>
      </w:r>
    </w:p>
    <w:p w14:paraId="377D315A">
      <w:pPr>
        <w:pStyle w:val="12"/>
        <w:keepNext w:val="0"/>
        <w:keepLines w:val="0"/>
        <w:widowControl/>
        <w:suppressLineNumbers w:val="0"/>
        <w:spacing w:before="0" w:beforeAutospacing="0"/>
        <w:ind w:left="0"/>
        <w:jc w:val="left"/>
      </w:pPr>
      <w:r>
        <w:rPr>
          <w:shd w:val="clear" w:fill="FFFFFF"/>
        </w:rPr>
        <w:t>第四部分 附件</w:t>
      </w:r>
    </w:p>
    <w:p w14:paraId="4A876C97">
      <w:pPr>
        <w:pStyle w:val="12"/>
        <w:keepNext w:val="0"/>
        <w:keepLines w:val="0"/>
        <w:widowControl/>
        <w:suppressLineNumbers w:val="0"/>
        <w:spacing w:before="0" w:beforeAutospacing="0"/>
        <w:ind w:left="0"/>
        <w:jc w:val="left"/>
      </w:pPr>
      <w:r>
        <w:rPr>
          <w:shd w:val="clear" w:fill="FFFFFF"/>
        </w:rPr>
        <w:t>第五部分 附表</w:t>
      </w:r>
    </w:p>
    <w:p w14:paraId="77B8A22A">
      <w:pPr>
        <w:pStyle w:val="12"/>
        <w:keepNext w:val="0"/>
        <w:keepLines w:val="0"/>
        <w:widowControl/>
        <w:suppressLineNumbers w:val="0"/>
        <w:spacing w:before="0" w:beforeAutospacing="0"/>
        <w:ind w:left="420"/>
        <w:jc w:val="left"/>
      </w:pPr>
      <w:r>
        <w:rPr>
          <w:shd w:val="clear" w:fill="FFFFFF"/>
        </w:rPr>
        <w:t>一、收入支出决算总表</w:t>
      </w:r>
    </w:p>
    <w:p w14:paraId="3385FFFC">
      <w:pPr>
        <w:pStyle w:val="12"/>
        <w:keepNext w:val="0"/>
        <w:keepLines w:val="0"/>
        <w:widowControl/>
        <w:suppressLineNumbers w:val="0"/>
        <w:spacing w:before="0" w:beforeAutospacing="0"/>
        <w:ind w:left="420"/>
        <w:jc w:val="left"/>
      </w:pPr>
      <w:r>
        <w:rPr>
          <w:shd w:val="clear" w:fill="FFFFFF"/>
        </w:rPr>
        <w:t>二、收入决算表</w:t>
      </w:r>
    </w:p>
    <w:p w14:paraId="21B13C63">
      <w:pPr>
        <w:pStyle w:val="12"/>
        <w:keepNext w:val="0"/>
        <w:keepLines w:val="0"/>
        <w:widowControl/>
        <w:suppressLineNumbers w:val="0"/>
        <w:spacing w:before="0" w:beforeAutospacing="0"/>
        <w:ind w:left="420"/>
        <w:jc w:val="left"/>
      </w:pPr>
      <w:r>
        <w:rPr>
          <w:shd w:val="clear" w:fill="FFFFFF"/>
        </w:rPr>
        <w:t>三、支出决算表</w:t>
      </w:r>
    </w:p>
    <w:p w14:paraId="2F5341DE">
      <w:pPr>
        <w:pStyle w:val="12"/>
        <w:keepNext w:val="0"/>
        <w:keepLines w:val="0"/>
        <w:widowControl/>
        <w:suppressLineNumbers w:val="0"/>
        <w:spacing w:before="0" w:beforeAutospacing="0"/>
        <w:ind w:left="420"/>
        <w:jc w:val="left"/>
      </w:pPr>
      <w:r>
        <w:rPr>
          <w:shd w:val="clear" w:fill="FFFFFF"/>
        </w:rPr>
        <w:t>四、财政拨款收入支出决算总表</w:t>
      </w:r>
    </w:p>
    <w:p w14:paraId="227E33C8">
      <w:pPr>
        <w:pStyle w:val="12"/>
        <w:keepNext w:val="0"/>
        <w:keepLines w:val="0"/>
        <w:widowControl/>
        <w:suppressLineNumbers w:val="0"/>
        <w:spacing w:before="0" w:beforeAutospacing="0"/>
        <w:ind w:left="420"/>
        <w:jc w:val="left"/>
      </w:pPr>
      <w:r>
        <w:rPr>
          <w:shd w:val="clear" w:fill="FFFFFF"/>
        </w:rPr>
        <w:t>五、财政拨款支出决算明细表</w:t>
      </w:r>
    </w:p>
    <w:p w14:paraId="661AF5EC">
      <w:pPr>
        <w:pStyle w:val="12"/>
        <w:keepNext w:val="0"/>
        <w:keepLines w:val="0"/>
        <w:widowControl/>
        <w:suppressLineNumbers w:val="0"/>
        <w:spacing w:before="0" w:beforeAutospacing="0"/>
        <w:ind w:left="420"/>
        <w:jc w:val="left"/>
      </w:pPr>
      <w:r>
        <w:rPr>
          <w:shd w:val="clear" w:fill="FFFFFF"/>
        </w:rPr>
        <w:t>六、一般公共预算财政拨款支出决算表</w:t>
      </w:r>
    </w:p>
    <w:p w14:paraId="5A736242">
      <w:pPr>
        <w:pStyle w:val="12"/>
        <w:keepNext w:val="0"/>
        <w:keepLines w:val="0"/>
        <w:widowControl/>
        <w:suppressLineNumbers w:val="0"/>
        <w:spacing w:before="0" w:beforeAutospacing="0"/>
        <w:ind w:left="420"/>
        <w:jc w:val="left"/>
      </w:pPr>
      <w:r>
        <w:rPr>
          <w:shd w:val="clear" w:fill="FFFFFF"/>
        </w:rPr>
        <w:t>七、一般公共预算财政拨款支出决算明细表</w:t>
      </w:r>
    </w:p>
    <w:p w14:paraId="487872CF">
      <w:pPr>
        <w:pStyle w:val="12"/>
        <w:keepNext w:val="0"/>
        <w:keepLines w:val="0"/>
        <w:widowControl/>
        <w:suppressLineNumbers w:val="0"/>
        <w:spacing w:before="0" w:beforeAutospacing="0"/>
        <w:ind w:left="420"/>
        <w:jc w:val="left"/>
      </w:pPr>
      <w:r>
        <w:rPr>
          <w:shd w:val="clear" w:fill="FFFFFF"/>
        </w:rPr>
        <w:t>八、一般公共预算财政拨款基本支出决算表</w:t>
      </w:r>
    </w:p>
    <w:p w14:paraId="70CE1927">
      <w:pPr>
        <w:pStyle w:val="12"/>
        <w:keepNext w:val="0"/>
        <w:keepLines w:val="0"/>
        <w:widowControl/>
        <w:suppressLineNumbers w:val="0"/>
        <w:spacing w:before="0" w:beforeAutospacing="0"/>
        <w:ind w:left="420"/>
        <w:jc w:val="left"/>
      </w:pPr>
      <w:r>
        <w:rPr>
          <w:shd w:val="clear" w:fill="FFFFFF"/>
        </w:rPr>
        <w:t>九、一般公共预算财政拨款项目支出决算表</w:t>
      </w:r>
    </w:p>
    <w:p w14:paraId="1FEF16DF">
      <w:pPr>
        <w:pStyle w:val="12"/>
        <w:keepNext w:val="0"/>
        <w:keepLines w:val="0"/>
        <w:widowControl/>
        <w:suppressLineNumbers w:val="0"/>
        <w:spacing w:before="0" w:beforeAutospacing="0"/>
        <w:ind w:left="420"/>
        <w:jc w:val="left"/>
      </w:pPr>
      <w:r>
        <w:rPr>
          <w:shd w:val="clear" w:fill="FFFFFF"/>
        </w:rPr>
        <w:t>十、政府性基金预算财政拨款收入支出决算表</w:t>
      </w:r>
    </w:p>
    <w:p w14:paraId="4747F67E">
      <w:pPr>
        <w:pStyle w:val="12"/>
        <w:keepNext w:val="0"/>
        <w:keepLines w:val="0"/>
        <w:widowControl/>
        <w:suppressLineNumbers w:val="0"/>
        <w:spacing w:before="0" w:beforeAutospacing="0"/>
        <w:ind w:left="420"/>
        <w:jc w:val="left"/>
      </w:pPr>
      <w:r>
        <w:rPr>
          <w:shd w:val="clear" w:fill="FFFFFF"/>
        </w:rPr>
        <w:t>十一、国有资本经营预算财政拨款收入支出决算表</w:t>
      </w:r>
    </w:p>
    <w:p w14:paraId="2CB58324">
      <w:pPr>
        <w:pStyle w:val="12"/>
        <w:keepNext w:val="0"/>
        <w:keepLines w:val="0"/>
        <w:widowControl/>
        <w:suppressLineNumbers w:val="0"/>
        <w:spacing w:before="0" w:beforeAutospacing="0"/>
        <w:ind w:left="420"/>
        <w:jc w:val="left"/>
      </w:pPr>
      <w:r>
        <w:rPr>
          <w:shd w:val="clear" w:fill="FFFFFF"/>
        </w:rPr>
        <w:t>十二、国有资本经营预算财政拨款支出决算表</w:t>
      </w:r>
    </w:p>
    <w:p w14:paraId="248DB42B">
      <w:pPr>
        <w:pStyle w:val="12"/>
        <w:keepNext w:val="0"/>
        <w:keepLines w:val="0"/>
        <w:widowControl/>
        <w:suppressLineNumbers w:val="0"/>
        <w:spacing w:before="0" w:beforeAutospacing="0"/>
        <w:ind w:left="420"/>
        <w:jc w:val="left"/>
      </w:pPr>
      <w:r>
        <w:rPr>
          <w:shd w:val="clear" w:fill="FFFFFF"/>
        </w:rPr>
        <w:t>十三、财政拨款“三公”经费支出决算表</w:t>
      </w:r>
    </w:p>
    <w:p w14:paraId="72DE3D5C">
      <w:pPr>
        <w:pStyle w:val="12"/>
        <w:keepNext w:val="0"/>
        <w:keepLines w:val="0"/>
        <w:widowControl/>
        <w:suppressLineNumbers w:val="0"/>
        <w:spacing w:before="0" w:beforeAutospacing="0"/>
        <w:ind w:left="0"/>
        <w:jc w:val="left"/>
      </w:pPr>
      <w:r>
        <w:rPr>
          <w:rFonts w:hint="eastAsia"/>
          <w:shd w:val="clear" w:fill="FFFFFF"/>
          <w:lang w:eastAsia="zh-CN"/>
        </w:rPr>
        <w:t>（</w:t>
      </w:r>
      <w:r>
        <w:rPr>
          <w:shd w:val="clear" w:fill="FFFFFF"/>
        </w:rPr>
        <w:t>注：请部门根据实际注明页码</w:t>
      </w:r>
      <w:r>
        <w:rPr>
          <w:rFonts w:hint="eastAsia"/>
          <w:shd w:val="clear" w:fill="FFFFFF"/>
          <w:lang w:eastAsia="zh-CN"/>
        </w:rPr>
        <w:t>）</w:t>
      </w:r>
    </w:p>
    <w:p w14:paraId="06A88706">
      <w:pPr>
        <w:pStyle w:val="12"/>
        <w:keepNext w:val="0"/>
        <w:keepLines w:val="0"/>
        <w:widowControl/>
        <w:suppressLineNumbers w:val="0"/>
        <w:spacing w:before="0" w:beforeAutospacing="0"/>
        <w:ind w:left="0"/>
        <w:jc w:val="left"/>
      </w:pPr>
      <w:r>
        <w:rPr>
          <w:shd w:val="clear" w:fill="FFFFFF"/>
        </w:rPr>
        <w:t> </w:t>
      </w:r>
    </w:p>
    <w:p w14:paraId="4256DF3F">
      <w:pPr>
        <w:pStyle w:val="12"/>
        <w:keepNext w:val="0"/>
        <w:keepLines w:val="0"/>
        <w:widowControl/>
        <w:suppressLineNumbers w:val="0"/>
        <w:spacing w:before="0" w:beforeAutospacing="0"/>
        <w:ind w:left="0"/>
        <w:jc w:val="left"/>
        <w:rPr>
          <w:shd w:val="clear" w:fill="FFFFFF"/>
        </w:rPr>
      </w:pPr>
      <w:r>
        <w:rPr>
          <w:shd w:val="clear" w:fill="FFFFFF"/>
        </w:rPr>
        <w:t> </w:t>
      </w:r>
    </w:p>
    <w:p w14:paraId="5903E6CD">
      <w:pPr>
        <w:pStyle w:val="12"/>
        <w:keepNext w:val="0"/>
        <w:keepLines w:val="0"/>
        <w:widowControl/>
        <w:suppressLineNumbers w:val="0"/>
        <w:spacing w:before="0" w:beforeAutospacing="0"/>
        <w:ind w:left="0"/>
        <w:jc w:val="left"/>
        <w:rPr>
          <w:shd w:val="clear" w:fill="FFFFFF"/>
        </w:rPr>
      </w:pPr>
    </w:p>
    <w:p w14:paraId="0F46194C">
      <w:pPr>
        <w:pStyle w:val="12"/>
        <w:keepNext w:val="0"/>
        <w:keepLines w:val="0"/>
        <w:widowControl/>
        <w:suppressLineNumbers w:val="0"/>
        <w:spacing w:before="0" w:beforeAutospacing="0"/>
        <w:ind w:left="0"/>
        <w:jc w:val="left"/>
        <w:rPr>
          <w:shd w:val="clear" w:fill="FFFFFF"/>
        </w:rPr>
      </w:pPr>
    </w:p>
    <w:p w14:paraId="015E4508">
      <w:pPr>
        <w:pStyle w:val="12"/>
        <w:keepNext w:val="0"/>
        <w:keepLines w:val="0"/>
        <w:widowControl/>
        <w:suppressLineNumbers w:val="0"/>
        <w:spacing w:before="0" w:beforeAutospacing="0"/>
        <w:ind w:left="0"/>
        <w:jc w:val="left"/>
        <w:rPr>
          <w:shd w:val="clear" w:fill="FFFFFF"/>
        </w:rPr>
      </w:pPr>
    </w:p>
    <w:p w14:paraId="4F212842">
      <w:pPr>
        <w:pStyle w:val="12"/>
        <w:keepNext w:val="0"/>
        <w:keepLines w:val="0"/>
        <w:widowControl/>
        <w:suppressLineNumbers w:val="0"/>
        <w:spacing w:before="0" w:beforeAutospacing="0"/>
        <w:ind w:left="0"/>
        <w:jc w:val="left"/>
        <w:rPr>
          <w:shd w:val="clear" w:fill="FFFFFF"/>
        </w:rPr>
      </w:pPr>
    </w:p>
    <w:p w14:paraId="74F18BA5">
      <w:pPr>
        <w:pStyle w:val="12"/>
        <w:keepNext w:val="0"/>
        <w:keepLines w:val="0"/>
        <w:widowControl/>
        <w:suppressLineNumbers w:val="0"/>
        <w:spacing w:before="0" w:beforeAutospacing="0"/>
        <w:ind w:left="0"/>
        <w:jc w:val="left"/>
        <w:rPr>
          <w:shd w:val="clear" w:fill="FFFFFF"/>
        </w:rPr>
      </w:pPr>
    </w:p>
    <w:p w14:paraId="141B749C">
      <w:pPr>
        <w:pStyle w:val="12"/>
        <w:keepNext w:val="0"/>
        <w:keepLines w:val="0"/>
        <w:widowControl/>
        <w:suppressLineNumbers w:val="0"/>
        <w:spacing w:before="0" w:beforeAutospacing="0"/>
        <w:ind w:left="0"/>
        <w:jc w:val="left"/>
        <w:rPr>
          <w:shd w:val="clear" w:fill="FFFFFF"/>
        </w:rPr>
      </w:pPr>
    </w:p>
    <w:p w14:paraId="0C5C0E09">
      <w:pPr>
        <w:pStyle w:val="12"/>
        <w:keepNext w:val="0"/>
        <w:keepLines w:val="0"/>
        <w:widowControl/>
        <w:suppressLineNumbers w:val="0"/>
        <w:spacing w:before="0" w:beforeAutospacing="0"/>
        <w:ind w:left="0"/>
        <w:jc w:val="left"/>
        <w:rPr>
          <w:shd w:val="clear" w:fill="FFFFFF"/>
        </w:rPr>
      </w:pPr>
    </w:p>
    <w:p w14:paraId="5CECB256">
      <w:pPr>
        <w:pStyle w:val="12"/>
        <w:keepNext w:val="0"/>
        <w:keepLines w:val="0"/>
        <w:widowControl/>
        <w:suppressLineNumbers w:val="0"/>
        <w:spacing w:before="0" w:beforeAutospacing="0"/>
        <w:ind w:left="0"/>
        <w:jc w:val="left"/>
        <w:rPr>
          <w:shd w:val="clear" w:fill="FFFFFF"/>
        </w:rPr>
      </w:pPr>
    </w:p>
    <w:p w14:paraId="02C50595">
      <w:pPr>
        <w:pStyle w:val="12"/>
        <w:keepNext w:val="0"/>
        <w:keepLines w:val="0"/>
        <w:widowControl/>
        <w:suppressLineNumbers w:val="0"/>
        <w:spacing w:before="0" w:beforeAutospacing="0"/>
        <w:ind w:left="0"/>
        <w:jc w:val="left"/>
        <w:rPr>
          <w:shd w:val="clear" w:fill="FFFFFF"/>
        </w:rPr>
      </w:pPr>
    </w:p>
    <w:p w14:paraId="0819D323">
      <w:pPr>
        <w:pStyle w:val="12"/>
        <w:keepNext w:val="0"/>
        <w:keepLines w:val="0"/>
        <w:widowControl/>
        <w:suppressLineNumbers w:val="0"/>
        <w:spacing w:before="0" w:beforeAutospacing="0"/>
        <w:ind w:left="0"/>
        <w:jc w:val="left"/>
        <w:rPr>
          <w:shd w:val="clear" w:fill="FFFFFF"/>
        </w:rPr>
      </w:pPr>
    </w:p>
    <w:p w14:paraId="38BD344C">
      <w:pPr>
        <w:pStyle w:val="12"/>
        <w:keepNext w:val="0"/>
        <w:keepLines w:val="0"/>
        <w:widowControl/>
        <w:suppressLineNumbers w:val="0"/>
        <w:spacing w:before="0" w:beforeAutospacing="0"/>
        <w:ind w:left="0"/>
        <w:jc w:val="left"/>
        <w:rPr>
          <w:shd w:val="clear" w:fill="FFFFFF"/>
        </w:rPr>
      </w:pPr>
    </w:p>
    <w:p w14:paraId="33E5199F">
      <w:pPr>
        <w:pStyle w:val="12"/>
        <w:keepNext w:val="0"/>
        <w:keepLines w:val="0"/>
        <w:widowControl/>
        <w:suppressLineNumbers w:val="0"/>
        <w:spacing w:before="0" w:beforeAutospacing="0"/>
        <w:ind w:left="0"/>
        <w:jc w:val="left"/>
        <w:rPr>
          <w:shd w:val="clear" w:fill="FFFFFF"/>
        </w:rPr>
      </w:pPr>
    </w:p>
    <w:p w14:paraId="2ED26F70">
      <w:pPr>
        <w:pStyle w:val="12"/>
        <w:keepNext w:val="0"/>
        <w:keepLines w:val="0"/>
        <w:widowControl/>
        <w:suppressLineNumbers w:val="0"/>
        <w:spacing w:before="0" w:beforeAutospacing="0"/>
        <w:ind w:left="0"/>
        <w:jc w:val="left"/>
        <w:rPr>
          <w:shd w:val="clear" w:fill="FFFFFF"/>
        </w:rPr>
      </w:pPr>
    </w:p>
    <w:p w14:paraId="5C91BF12">
      <w:pPr>
        <w:pStyle w:val="12"/>
        <w:keepNext w:val="0"/>
        <w:keepLines w:val="0"/>
        <w:widowControl/>
        <w:suppressLineNumbers w:val="0"/>
        <w:spacing w:before="0" w:beforeAutospacing="0"/>
        <w:ind w:left="0"/>
        <w:jc w:val="left"/>
        <w:rPr>
          <w:shd w:val="clear" w:fill="FFFFFF"/>
        </w:rPr>
      </w:pPr>
    </w:p>
    <w:p w14:paraId="0DCA2A52">
      <w:pPr>
        <w:pStyle w:val="4"/>
        <w:keepNext w:val="0"/>
        <w:keepLines w:val="0"/>
        <w:widowControl/>
        <w:suppressLineNumbers w:val="0"/>
        <w:spacing w:before="0" w:beforeAutospacing="0"/>
        <w:ind w:left="0"/>
        <w:jc w:val="center"/>
      </w:pPr>
      <w:r>
        <w:rPr>
          <w:shd w:val="clear" w:fill="FFFFFF"/>
        </w:rPr>
        <w:t>第一部分 单位概况</w:t>
      </w:r>
    </w:p>
    <w:p w14:paraId="7BE73E17">
      <w:pPr>
        <w:pStyle w:val="12"/>
        <w:keepNext w:val="0"/>
        <w:keepLines w:val="0"/>
        <w:widowControl/>
        <w:suppressLineNumbers w:val="0"/>
        <w:spacing w:before="0" w:beforeAutospacing="0"/>
        <w:ind w:left="0"/>
        <w:jc w:val="left"/>
      </w:pPr>
      <w:r>
        <w:rPr>
          <w:shd w:val="clear" w:fill="FFFFFF"/>
        </w:rPr>
        <w:t> </w:t>
      </w:r>
    </w:p>
    <w:p w14:paraId="7A669187">
      <w:pPr>
        <w:pStyle w:val="5"/>
        <w:keepNext w:val="0"/>
        <w:keepLines w:val="0"/>
        <w:widowControl/>
        <w:suppressLineNumbers w:val="0"/>
        <w:spacing w:before="0" w:beforeAutospacing="0"/>
        <w:ind w:left="0"/>
        <w:jc w:val="left"/>
      </w:pPr>
      <w:r>
        <w:rPr>
          <w:shd w:val="clear" w:fill="FFFFFF"/>
        </w:rPr>
        <w:t>一、主要职责</w:t>
      </w:r>
    </w:p>
    <w:p w14:paraId="673D0708">
      <w:pPr>
        <w:pStyle w:val="12"/>
        <w:keepNext w:val="0"/>
        <w:keepLines w:val="0"/>
        <w:widowControl/>
        <w:suppressLineNumbers w:val="0"/>
        <w:spacing w:before="0" w:beforeAutospacing="0"/>
        <w:ind w:left="0"/>
        <w:jc w:val="left"/>
        <w:rPr>
          <w:shd w:val="clear" w:fill="FFFFFF"/>
        </w:rPr>
      </w:pPr>
      <w:r>
        <w:rPr>
          <w:shd w:val="clear" w:fill="FFFFFF"/>
        </w:rPr>
        <w:t>（一）主要职能。（职能参照州政府批准的三定方案）</w:t>
      </w:r>
    </w:p>
    <w:p w14:paraId="4206AD55">
      <w:pPr>
        <w:pStyle w:val="16"/>
        <w:keepNext w:val="0"/>
        <w:keepLines w:val="0"/>
        <w:widowControl/>
        <w:suppressLineNumbers w:val="0"/>
        <w:autoSpaceDE w:val="0"/>
        <w:autoSpaceDN/>
        <w:spacing w:before="0" w:beforeAutospacing="0" w:line="576" w:lineRule="exact"/>
        <w:ind w:left="0" w:firstLine="640" w:firstLineChars="200"/>
        <w:jc w:val="left"/>
        <w:rPr>
          <w:shd w:val="clear" w:fill="FFFFFF"/>
        </w:rPr>
      </w:pPr>
      <w:r>
        <w:rPr>
          <w:rFonts w:hint="eastAsia" w:ascii="仿宋_GB2312" w:hAnsi="宋体" w:eastAsia="仿宋_GB2312" w:cs="仿宋_GB2312"/>
          <w:b w:val="0"/>
          <w:bCs w:val="0"/>
          <w:kern w:val="0"/>
          <w:sz w:val="32"/>
          <w:szCs w:val="32"/>
          <w:shd w:val="clear" w:fill="FFFFFF"/>
        </w:rPr>
        <w:t>执行上级和本级党委、</w:t>
      </w:r>
      <w:r>
        <w:rPr>
          <w:rFonts w:hint="eastAsia" w:ascii="仿宋_GB2312" w:eastAsia="仿宋_GB2312" w:cs="仿宋_GB2312"/>
          <w:b w:val="0"/>
          <w:bCs w:val="0"/>
          <w:kern w:val="0"/>
          <w:sz w:val="32"/>
          <w:szCs w:val="32"/>
          <w:shd w:val="clear" w:fill="FFFFFF"/>
          <w:lang w:eastAsia="zh-CN"/>
        </w:rPr>
        <w:t>人民代表大会</w:t>
      </w:r>
      <w:bookmarkStart w:id="0" w:name="_GoBack"/>
      <w:bookmarkEnd w:id="0"/>
      <w:r>
        <w:rPr>
          <w:rFonts w:hint="eastAsia" w:ascii="仿宋_GB2312" w:hAnsi="宋体" w:eastAsia="仿宋_GB2312" w:cs="仿宋_GB2312"/>
          <w:b w:val="0"/>
          <w:bCs w:val="0"/>
          <w:kern w:val="0"/>
          <w:sz w:val="32"/>
          <w:szCs w:val="32"/>
          <w:shd w:val="clear" w:fill="FFFFFF"/>
        </w:rPr>
        <w:t>的决议，决定及命令，执行本行政区域内的国民经济和社会发展计划，认真宣传贯彻党的路线方针、政策和国家的法律法规，稳定农村基本经济制度；坚持依法行政、推进政务公开，加强对村委会的指导，提高培育村民委员会自治能力，加强民政，教育，科技、文化、卫生、计划生育、安全生产、劳动保障、国土资源的保护利用和乡村规划建设等社会管理；保护社会主义的全民所有财产和劳动群众的集体所有财产，保护公民私人所有财产，维护社会秩序，保障公民人身权利。</w:t>
      </w:r>
    </w:p>
    <w:p w14:paraId="43C9B512">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（二）</w:t>
      </w: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年重点工作完成情况。</w:t>
      </w:r>
    </w:p>
    <w:p w14:paraId="230F5359">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1、贯彻落实党和政府各项路线方针政策、法规规章和上级机关的决定和命令，加强农村党组织建设和基层政权建设，巩固党在农村的执政基础；</w:t>
      </w:r>
    </w:p>
    <w:p w14:paraId="3CFC440F">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2、负责拟订本行政区域经济社会发展和乡村建设等规划，组织农村基础设施和各项公益事业建设，加快经济社会发展，改善群众生活环境；</w:t>
      </w:r>
    </w:p>
    <w:p w14:paraId="7297FF08">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3、指导农村经济发展，推进农业结构调整，促进经济增长方式转变，组织引导农村富余劳动力</w:t>
      </w:r>
      <w:r>
        <w:rPr>
          <w:rFonts w:hint="eastAsia" w:ascii="仿宋_GB2312" w:eastAsia="仿宋_GB2312" w:cs="仿宋_GB2312"/>
          <w:b w:val="0"/>
          <w:bCs w:val="0"/>
          <w:color w:val="333333"/>
          <w:kern w:val="0"/>
          <w:sz w:val="32"/>
          <w:szCs w:val="32"/>
          <w:lang w:val="en-US" w:eastAsia="zh-CN" w:bidi="ar"/>
        </w:rPr>
        <w:t>转移</w:t>
      </w:r>
      <w:r>
        <w:rPr>
          <w:rFonts w:hint="eastAsia" w:ascii="仿宋_GB2312" w:hAnsi="宋体" w:eastAsia="仿宋_GB2312" w:cs="仿宋_GB2312"/>
          <w:b w:val="0"/>
          <w:bCs w:val="0"/>
          <w:color w:val="333333"/>
          <w:kern w:val="0"/>
          <w:sz w:val="32"/>
          <w:szCs w:val="32"/>
          <w:lang w:val="en-US" w:eastAsia="zh-CN" w:bidi="ar"/>
        </w:rPr>
        <w:t>就业，促进农民增收；</w:t>
      </w:r>
    </w:p>
    <w:p w14:paraId="5DCB62E9">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4、负责抓好义务教育、人口和计划生育、民政事务、救灾救助、就业培训、社会保障、劳动关系协调和新型合作医疗实施等工作，加强农村精神文明建设，促进农村社会事业发展；</w:t>
      </w:r>
    </w:p>
    <w:p w14:paraId="5C5E440A">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5、推进基层民主法制建设，指导村（居）民委员会工作，维护群众合法权益；</w:t>
      </w:r>
    </w:p>
    <w:p w14:paraId="6E0EAA14">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6、加强社会治安综合治理，强化信访和矛盾纠纷调解工作，化解农村矛盾，维护农村社会和谐稳定，全面推进社会主义新农村建设。</w:t>
      </w:r>
    </w:p>
    <w:p w14:paraId="021E7B57">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hAnsi="宋体" w:eastAsia="仿宋_GB2312" w:cs="仿宋_GB2312"/>
          <w:b w:val="0"/>
          <w:bCs w:val="0"/>
          <w:color w:val="333333"/>
          <w:kern w:val="0"/>
          <w:sz w:val="32"/>
          <w:szCs w:val="32"/>
          <w:lang w:val="en-US" w:eastAsia="zh-CN" w:bidi="ar"/>
        </w:rPr>
        <w:t>7、承办县委县政府交办的其他事项。</w:t>
      </w:r>
    </w:p>
    <w:p w14:paraId="39076A72">
      <w:pPr>
        <w:pStyle w:val="17"/>
        <w:keepNext w:val="0"/>
        <w:keepLines w:val="0"/>
        <w:widowControl/>
        <w:suppressLineNumbers w:val="0"/>
        <w:autoSpaceDE w:val="0"/>
        <w:autoSpaceDN/>
        <w:spacing w:before="0" w:beforeAutospacing="0" w:line="576" w:lineRule="exact"/>
        <w:ind w:left="0" w:firstLine="640" w:firstLineChars="200"/>
        <w:jc w:val="left"/>
        <w:rPr>
          <w:shd w:val="clear" w:fill="FFFFFF"/>
        </w:rPr>
      </w:pPr>
      <w:r>
        <w:rPr>
          <w:rFonts w:hint="eastAsia" w:ascii="仿宋_GB2312" w:eastAsia="仿宋_GB2312" w:cs="仿宋_GB2312"/>
          <w:b w:val="0"/>
          <w:bCs w:val="0"/>
          <w:color w:val="333333"/>
          <w:kern w:val="0"/>
          <w:sz w:val="32"/>
          <w:szCs w:val="32"/>
          <w:lang w:val="en-US" w:eastAsia="zh-CN"/>
        </w:rPr>
        <w:t>下八寨乡</w:t>
      </w:r>
      <w:r>
        <w:rPr>
          <w:rFonts w:hint="eastAsia" w:ascii="仿宋_GB2312" w:hAnsi="宋体" w:eastAsia="仿宋_GB2312" w:cs="仿宋_GB2312"/>
          <w:b w:val="0"/>
          <w:bCs w:val="0"/>
          <w:color w:val="333333"/>
          <w:kern w:val="0"/>
          <w:sz w:val="32"/>
          <w:szCs w:val="32"/>
        </w:rPr>
        <w:t>乡部门预算安排支出主要用于保障该部门机构正常运转、完成日常工作任务及承担相关事业发展相关工作。</w:t>
      </w:r>
    </w:p>
    <w:p w14:paraId="364DDB7F">
      <w:pPr>
        <w:pStyle w:val="5"/>
        <w:keepNext w:val="0"/>
        <w:keepLines w:val="0"/>
        <w:widowControl/>
        <w:suppressLineNumbers w:val="0"/>
        <w:spacing w:before="0" w:beforeAutospacing="0"/>
        <w:ind w:left="0" w:firstLine="723" w:firstLineChars="200"/>
        <w:jc w:val="left"/>
      </w:pPr>
      <w:r>
        <w:rPr>
          <w:shd w:val="clear" w:fill="FFFFFF"/>
        </w:rPr>
        <w:t>二、机构设置</w:t>
      </w:r>
    </w:p>
    <w:p w14:paraId="1E1A0C64">
      <w:pPr>
        <w:pStyle w:val="17"/>
        <w:keepNext w:val="0"/>
        <w:keepLines w:val="0"/>
        <w:widowControl/>
        <w:suppressLineNumbers w:val="0"/>
        <w:autoSpaceDE w:val="0"/>
        <w:autoSpaceDN/>
        <w:spacing w:before="0" w:beforeAutospacing="0" w:line="576"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val="0"/>
          <w:bCs w:val="0"/>
          <w:kern w:val="0"/>
          <w:sz w:val="32"/>
          <w:szCs w:val="32"/>
        </w:rPr>
        <w:t>松潘县</w:t>
      </w:r>
      <w:r>
        <w:rPr>
          <w:rFonts w:hint="eastAsia" w:ascii="仿宋_GB2312" w:eastAsia="仿宋_GB2312" w:cs="仿宋_GB2312"/>
          <w:b w:val="0"/>
          <w:bCs w:val="0"/>
          <w:kern w:val="0"/>
          <w:sz w:val="32"/>
          <w:szCs w:val="32"/>
          <w:lang w:eastAsia="zh-CN"/>
        </w:rPr>
        <w:t>下八寨乡</w:t>
      </w:r>
      <w:r>
        <w:rPr>
          <w:rFonts w:hint="eastAsia" w:ascii="仿宋_GB2312" w:hAnsi="宋体" w:eastAsia="仿宋_GB2312" w:cs="仿宋_GB2312"/>
          <w:b w:val="0"/>
          <w:bCs w:val="0"/>
          <w:kern w:val="0"/>
          <w:sz w:val="32"/>
          <w:szCs w:val="32"/>
        </w:rPr>
        <w:t>人民政府行政单位0个，参照公务员法管理的事业单位0个，其他事业单位1个。</w:t>
      </w:r>
      <w:r>
        <w:rPr>
          <w:rFonts w:hint="eastAsia" w:ascii="仿宋_GB2312" w:hAnsi="宋体" w:eastAsia="仿宋_GB2312" w:cs="仿宋_GB2312"/>
          <w:b w:val="0"/>
          <w:bCs w:val="0"/>
          <w:kern w:val="0"/>
          <w:sz w:val="32"/>
          <w:szCs w:val="32"/>
        </w:rPr>
        <w:tab/>
      </w:r>
    </w:p>
    <w:p w14:paraId="51944C16">
      <w:pPr>
        <w:pStyle w:val="10"/>
        <w:keepNext w:val="0"/>
        <w:keepLines w:val="0"/>
        <w:widowControl/>
        <w:suppressLineNumbers w:val="0"/>
        <w:autoSpaceDE w:val="0"/>
        <w:autoSpaceDN/>
        <w:adjustRightInd w:val="0"/>
        <w:snapToGrid w:val="0"/>
        <w:spacing w:before="93" w:beforeLines="30" w:beforeAutospacing="0" w:after="0" w:afterAutospacing="0" w:line="576" w:lineRule="exact"/>
        <w:ind w:left="0" w:righ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根据上述职责，松潘县</w:t>
      </w:r>
      <w:r>
        <w:rPr>
          <w:rFonts w:hint="eastAsia" w:cs="仿宋_GB2312"/>
          <w:b w:val="0"/>
          <w:bCs w:val="0"/>
          <w:kern w:val="0"/>
          <w:sz w:val="32"/>
          <w:szCs w:val="32"/>
          <w:lang w:eastAsia="zh-CN"/>
        </w:rPr>
        <w:t>下八寨乡</w:t>
      </w:r>
      <w:r>
        <w:rPr>
          <w:rFonts w:hint="eastAsia" w:ascii="仿宋_GB2312" w:hAnsi="宋体" w:eastAsia="仿宋_GB2312" w:cs="仿宋_GB2312"/>
          <w:b w:val="0"/>
          <w:bCs w:val="0"/>
          <w:kern w:val="0"/>
          <w:sz w:val="32"/>
          <w:szCs w:val="32"/>
        </w:rPr>
        <w:t>设5个内设机构：</w:t>
      </w:r>
    </w:p>
    <w:p w14:paraId="47E002DB">
      <w:pPr>
        <w:pStyle w:val="10"/>
        <w:keepNext w:val="0"/>
        <w:keepLines w:val="0"/>
        <w:widowControl/>
        <w:suppressLineNumbers w:val="0"/>
        <w:autoSpaceDE w:val="0"/>
        <w:autoSpaceDN/>
        <w:adjustRightInd w:val="0"/>
        <w:snapToGrid w:val="0"/>
        <w:spacing w:before="93" w:beforeLines="30" w:beforeAutospacing="0" w:after="0" w:afterAutospacing="0" w:line="576" w:lineRule="exact"/>
        <w:ind w:left="0" w:righ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（一）党政办公室</w:t>
      </w:r>
    </w:p>
    <w:p w14:paraId="31BB287A">
      <w:pPr>
        <w:keepNext w:val="0"/>
        <w:keepLines w:val="0"/>
        <w:widowControl/>
        <w:suppressLineNumbers w:val="0"/>
        <w:autoSpaceDE w:val="0"/>
        <w:autoSpaceDN/>
        <w:spacing w:line="576" w:lineRule="exact"/>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贯彻执行党和国家的有关方针、政策、法律和法规；执行上级政府的决定和命令；拟订适合本乡实际的政府措施，并有效</w:t>
      </w:r>
      <w:r>
        <w:rPr>
          <w:rFonts w:hint="eastAsia" w:ascii="仿宋_GB2312" w:hAnsi="宋体" w:eastAsia="仿宋_GB2312" w:cs="仿宋_GB2312"/>
          <w:b w:val="0"/>
          <w:bCs w:val="0"/>
          <w:kern w:val="0"/>
          <w:sz w:val="32"/>
          <w:szCs w:val="32"/>
          <w:lang w:eastAsia="zh-CN"/>
        </w:rPr>
        <w:t>地</w:t>
      </w:r>
      <w:r>
        <w:rPr>
          <w:rFonts w:hint="eastAsia" w:ascii="仿宋_GB2312" w:hAnsi="宋体" w:eastAsia="仿宋_GB2312" w:cs="仿宋_GB2312"/>
          <w:b w:val="0"/>
          <w:bCs w:val="0"/>
          <w:kern w:val="0"/>
          <w:sz w:val="32"/>
          <w:szCs w:val="32"/>
        </w:rPr>
        <w:t>组织实施。负责组织编制本乡建设的总体</w:t>
      </w:r>
      <w:r>
        <w:rPr>
          <w:rFonts w:hint="eastAsia" w:ascii="仿宋_GB2312" w:hAnsi="宋体" w:eastAsia="仿宋_GB2312" w:cs="仿宋_GB2312"/>
          <w:b w:val="0"/>
          <w:bCs w:val="0"/>
          <w:kern w:val="0"/>
          <w:sz w:val="32"/>
          <w:szCs w:val="32"/>
          <w:lang w:eastAsia="zh-CN"/>
        </w:rPr>
        <w:t>规划</w:t>
      </w:r>
      <w:r>
        <w:rPr>
          <w:rFonts w:hint="eastAsia" w:ascii="仿宋_GB2312" w:hAnsi="宋体" w:eastAsia="仿宋_GB2312" w:cs="仿宋_GB2312"/>
          <w:b w:val="0"/>
          <w:bCs w:val="0"/>
          <w:kern w:val="0"/>
          <w:sz w:val="32"/>
          <w:szCs w:val="32"/>
        </w:rPr>
        <w:t>。编制本乡财政预决算计划，负责经费的划拨和核算工作。</w:t>
      </w:r>
    </w:p>
    <w:p w14:paraId="63AC7D4E">
      <w:pPr>
        <w:pStyle w:val="3"/>
        <w:keepNext w:val="0"/>
        <w:keepLines w:val="0"/>
        <w:widowControl/>
        <w:suppressLineNumbers w:val="0"/>
        <w:autoSpaceDE w:val="0"/>
        <w:autoSpaceDN/>
        <w:spacing w:line="576" w:lineRule="exact"/>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（二）综合文化服务中心</w:t>
      </w:r>
    </w:p>
    <w:p w14:paraId="46495492">
      <w:pPr>
        <w:pStyle w:val="3"/>
        <w:keepNext w:val="0"/>
        <w:keepLines w:val="0"/>
        <w:widowControl/>
        <w:suppressLineNumbers w:val="0"/>
        <w:autoSpaceDE w:val="0"/>
        <w:autoSpaceDN/>
        <w:spacing w:line="576" w:lineRule="exact"/>
        <w:ind w:left="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具体负责文化中心日常开放运行工作，做好接待群众、设备调试维护、图书登记整理、环境卫生、值班安全等日常事务；积极开展群众性文化活动，抓好活动组织工作；具体指导和督促各村委、居委的文化室、图书室、</w:t>
      </w:r>
      <w:r>
        <w:rPr>
          <w:rFonts w:hint="default" w:ascii="Times New Roman" w:hAnsi="Times New Roman" w:eastAsia="仿宋_GB2312" w:cs="Times New Roman"/>
          <w:b w:val="0"/>
          <w:bCs w:val="0"/>
          <w:kern w:val="0"/>
          <w:sz w:val="32"/>
          <w:szCs w:val="32"/>
        </w:rPr>
        <w:t>“</w:t>
      </w:r>
      <w:r>
        <w:rPr>
          <w:rFonts w:hint="eastAsia" w:ascii="仿宋_GB2312" w:hAnsi="Times New Roman" w:eastAsia="仿宋_GB2312" w:cs="仿宋_GB2312"/>
          <w:b w:val="0"/>
          <w:bCs w:val="0"/>
          <w:kern w:val="0"/>
          <w:sz w:val="32"/>
          <w:szCs w:val="32"/>
        </w:rPr>
        <w:t>农家书屋</w:t>
      </w:r>
      <w:r>
        <w:rPr>
          <w:rFonts w:hint="default" w:ascii="Times New Roman" w:hAnsi="Times New Roman" w:eastAsia="仿宋_GB2312" w:cs="Times New Roman"/>
          <w:b w:val="0"/>
          <w:bCs w:val="0"/>
          <w:kern w:val="0"/>
          <w:sz w:val="32"/>
          <w:szCs w:val="32"/>
        </w:rPr>
        <w:t>”</w:t>
      </w:r>
      <w:r>
        <w:rPr>
          <w:rFonts w:hint="eastAsia" w:ascii="仿宋_GB2312" w:hAnsi="Times New Roman" w:eastAsia="仿宋_GB2312" w:cs="仿宋_GB2312"/>
          <w:b w:val="0"/>
          <w:bCs w:val="0"/>
          <w:kern w:val="0"/>
          <w:sz w:val="32"/>
          <w:szCs w:val="32"/>
        </w:rPr>
        <w:t>、健身场所等村级文化建设和文体活动。</w:t>
      </w:r>
    </w:p>
    <w:p w14:paraId="6C52969E">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（三）经济发展服务中心</w:t>
      </w:r>
    </w:p>
    <w:p w14:paraId="0E4C867E">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cs="仿宋_GB2312"/>
          <w:b w:val="0"/>
          <w:bCs w:val="0"/>
          <w:kern w:val="0"/>
          <w:sz w:val="32"/>
          <w:szCs w:val="32"/>
          <w:lang w:eastAsia="zh-CN"/>
        </w:rPr>
        <w:t>相关的其他</w:t>
      </w:r>
      <w:r>
        <w:rPr>
          <w:rFonts w:hint="eastAsia" w:ascii="仿宋_GB2312" w:hAnsi="Times New Roman" w:eastAsia="仿宋_GB2312" w:cs="仿宋_GB2312"/>
          <w:b w:val="0"/>
          <w:bCs w:val="0"/>
          <w:kern w:val="0"/>
          <w:sz w:val="32"/>
          <w:szCs w:val="32"/>
        </w:rPr>
        <w:t>工作</w:t>
      </w:r>
    </w:p>
    <w:p w14:paraId="784AFC0D">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（四）社会事业服务中心</w:t>
      </w:r>
    </w:p>
    <w:p w14:paraId="54109183">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1、审核上报就业、失业登记资料，开展登记失业人员日常管理工作。收集发布就业信息；提供就业指导、职业介绍、农村劳动力转移就业等服务；组织辖区相关人员参加职业培训、创业培训和职业技能鉴定。</w:t>
      </w:r>
    </w:p>
    <w:p w14:paraId="5C7CCC41">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5B08FAAA">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（五）农村农业服务中心</w:t>
      </w:r>
    </w:p>
    <w:p w14:paraId="49EB20B0">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协助开展本辖区人才引进和培训工作。协助开展本辖区各类农业服务工作，了解、掌握培训需求，组织推荐农村领导人才和实用人才参加培训，以项目开发形式短期聘用部分农业高科技人才下乡服务。</w:t>
      </w:r>
    </w:p>
    <w:p w14:paraId="4F20CE92">
      <w:pPr>
        <w:pStyle w:val="3"/>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color w:val="000000"/>
          <w:kern w:val="0"/>
          <w:sz w:val="32"/>
          <w:szCs w:val="32"/>
          <w:shd w:val="clear" w:fill="FFFFFF"/>
        </w:rPr>
      </w:pPr>
      <w:r>
        <w:rPr>
          <w:rFonts w:hint="eastAsia" w:ascii="仿宋_GB2312" w:hAnsi="Times New Roman" w:eastAsia="仿宋_GB2312" w:cs="仿宋_GB2312"/>
          <w:b w:val="0"/>
          <w:bCs w:val="0"/>
          <w:kern w:val="0"/>
          <w:sz w:val="32"/>
          <w:szCs w:val="32"/>
          <w:shd w:val="clear" w:fill="FFFFFF"/>
        </w:rPr>
        <w:t>我乡属独立编制机构和独立核算的行政单位，在编人员</w:t>
      </w:r>
      <w:r>
        <w:rPr>
          <w:rFonts w:hint="eastAsia" w:ascii="仿宋_GB2312" w:cs="仿宋_GB2312"/>
          <w:b w:val="0"/>
          <w:bCs w:val="0"/>
          <w:kern w:val="0"/>
          <w:sz w:val="32"/>
          <w:szCs w:val="32"/>
          <w:shd w:val="clear" w:fill="FFFFFF"/>
          <w:lang w:val="en-US" w:eastAsia="zh-CN"/>
        </w:rPr>
        <w:t>35</w:t>
      </w:r>
      <w:r>
        <w:rPr>
          <w:rFonts w:hint="eastAsia" w:ascii="仿宋_GB2312" w:hAnsi="Times New Roman" w:eastAsia="仿宋_GB2312" w:cs="仿宋_GB2312"/>
          <w:b w:val="0"/>
          <w:bCs w:val="0"/>
          <w:kern w:val="0"/>
          <w:sz w:val="32"/>
          <w:szCs w:val="32"/>
          <w:shd w:val="clear" w:fill="FFFFFF"/>
        </w:rPr>
        <w:t>人，其中行政编制</w:t>
      </w:r>
      <w:r>
        <w:rPr>
          <w:rFonts w:hint="eastAsia" w:ascii="仿宋_GB2312" w:cs="仿宋_GB2312"/>
          <w:b w:val="0"/>
          <w:bCs w:val="0"/>
          <w:kern w:val="0"/>
          <w:sz w:val="32"/>
          <w:szCs w:val="32"/>
          <w:shd w:val="clear" w:fill="FFFFFF"/>
          <w:lang w:val="en-US" w:eastAsia="zh-CN"/>
        </w:rPr>
        <w:t>22</w:t>
      </w:r>
      <w:r>
        <w:rPr>
          <w:rFonts w:hint="eastAsia" w:ascii="仿宋_GB2312" w:hAnsi="Times New Roman" w:eastAsia="仿宋_GB2312" w:cs="仿宋_GB2312"/>
          <w:b w:val="0"/>
          <w:bCs w:val="0"/>
          <w:kern w:val="0"/>
          <w:sz w:val="32"/>
          <w:szCs w:val="32"/>
          <w:shd w:val="clear" w:fill="FFFFFF"/>
        </w:rPr>
        <w:t>人（含工勤2人）；事业编制13人；退休人员2人。</w:t>
      </w:r>
    </w:p>
    <w:p w14:paraId="75FDC79C">
      <w:pPr>
        <w:pStyle w:val="12"/>
        <w:keepNext w:val="0"/>
        <w:keepLines w:val="0"/>
        <w:widowControl/>
        <w:suppressLineNumbers w:val="0"/>
        <w:spacing w:before="0" w:beforeAutospacing="0"/>
        <w:ind w:left="0"/>
        <w:jc w:val="left"/>
        <w:rPr>
          <w:shd w:val="clear" w:fill="FFFFFF"/>
        </w:rPr>
      </w:pPr>
      <w:r>
        <w:rPr>
          <w:shd w:val="clear" w:fill="FFFFFF"/>
        </w:rPr>
        <w:t> </w:t>
      </w:r>
    </w:p>
    <w:p w14:paraId="54E757D4">
      <w:pPr>
        <w:pStyle w:val="12"/>
        <w:keepNext w:val="0"/>
        <w:keepLines w:val="0"/>
        <w:widowControl/>
        <w:suppressLineNumbers w:val="0"/>
        <w:spacing w:before="0" w:beforeAutospacing="0"/>
        <w:ind w:left="0"/>
        <w:jc w:val="left"/>
        <w:rPr>
          <w:shd w:val="clear" w:fill="FFFFFF"/>
        </w:rPr>
      </w:pPr>
    </w:p>
    <w:p w14:paraId="25492477">
      <w:pPr>
        <w:pStyle w:val="12"/>
        <w:keepNext w:val="0"/>
        <w:keepLines w:val="0"/>
        <w:widowControl/>
        <w:suppressLineNumbers w:val="0"/>
        <w:spacing w:before="0" w:beforeAutospacing="0"/>
        <w:ind w:left="0"/>
        <w:jc w:val="left"/>
        <w:rPr>
          <w:shd w:val="clear" w:fill="FFFFFF"/>
        </w:rPr>
      </w:pPr>
    </w:p>
    <w:p w14:paraId="099150F1">
      <w:pPr>
        <w:pStyle w:val="12"/>
        <w:keepNext w:val="0"/>
        <w:keepLines w:val="0"/>
        <w:widowControl/>
        <w:suppressLineNumbers w:val="0"/>
        <w:spacing w:before="0" w:beforeAutospacing="0"/>
        <w:ind w:left="0"/>
        <w:jc w:val="left"/>
        <w:rPr>
          <w:shd w:val="clear" w:fill="FFFFFF"/>
        </w:rPr>
      </w:pPr>
    </w:p>
    <w:p w14:paraId="6D184BB2">
      <w:pPr>
        <w:pStyle w:val="12"/>
        <w:keepNext w:val="0"/>
        <w:keepLines w:val="0"/>
        <w:widowControl/>
        <w:suppressLineNumbers w:val="0"/>
        <w:spacing w:before="0" w:beforeAutospacing="0"/>
        <w:ind w:left="0"/>
        <w:jc w:val="left"/>
        <w:rPr>
          <w:shd w:val="clear" w:fill="FFFFFF"/>
        </w:rPr>
      </w:pPr>
    </w:p>
    <w:p w14:paraId="1A079FEA">
      <w:pPr>
        <w:pStyle w:val="12"/>
        <w:keepNext w:val="0"/>
        <w:keepLines w:val="0"/>
        <w:widowControl/>
        <w:suppressLineNumbers w:val="0"/>
        <w:spacing w:before="0" w:beforeAutospacing="0"/>
        <w:ind w:left="0"/>
        <w:jc w:val="left"/>
        <w:rPr>
          <w:shd w:val="clear" w:fill="FFFFFF"/>
        </w:rPr>
      </w:pPr>
    </w:p>
    <w:p w14:paraId="14DEA850">
      <w:pPr>
        <w:pStyle w:val="12"/>
        <w:keepNext w:val="0"/>
        <w:keepLines w:val="0"/>
        <w:widowControl/>
        <w:suppressLineNumbers w:val="0"/>
        <w:spacing w:before="0" w:beforeAutospacing="0"/>
        <w:ind w:left="0"/>
        <w:jc w:val="left"/>
        <w:rPr>
          <w:shd w:val="clear" w:fill="FFFFFF"/>
        </w:rPr>
      </w:pPr>
    </w:p>
    <w:p w14:paraId="1AD1EFF8">
      <w:pPr>
        <w:pStyle w:val="12"/>
        <w:keepNext w:val="0"/>
        <w:keepLines w:val="0"/>
        <w:widowControl/>
        <w:suppressLineNumbers w:val="0"/>
        <w:spacing w:before="0" w:beforeAutospacing="0"/>
        <w:ind w:left="0"/>
        <w:jc w:val="left"/>
        <w:rPr>
          <w:shd w:val="clear" w:fill="FFFFFF"/>
        </w:rPr>
      </w:pPr>
    </w:p>
    <w:p w14:paraId="4AE914D2">
      <w:pPr>
        <w:pStyle w:val="12"/>
        <w:keepNext w:val="0"/>
        <w:keepLines w:val="0"/>
        <w:widowControl/>
        <w:suppressLineNumbers w:val="0"/>
        <w:spacing w:before="0" w:beforeAutospacing="0"/>
        <w:ind w:left="0"/>
        <w:jc w:val="left"/>
        <w:rPr>
          <w:shd w:val="clear" w:fill="FFFFFF"/>
        </w:rPr>
      </w:pPr>
    </w:p>
    <w:p w14:paraId="7DA4D820">
      <w:pPr>
        <w:pStyle w:val="12"/>
        <w:keepNext w:val="0"/>
        <w:keepLines w:val="0"/>
        <w:widowControl/>
        <w:suppressLineNumbers w:val="0"/>
        <w:spacing w:before="0" w:beforeAutospacing="0"/>
        <w:ind w:left="0"/>
        <w:jc w:val="left"/>
        <w:rPr>
          <w:shd w:val="clear" w:fill="FFFFFF"/>
        </w:rPr>
      </w:pPr>
    </w:p>
    <w:p w14:paraId="29D99E9D">
      <w:pPr>
        <w:pStyle w:val="4"/>
        <w:keepNext w:val="0"/>
        <w:keepLines w:val="0"/>
        <w:widowControl/>
        <w:suppressLineNumbers w:val="0"/>
        <w:spacing w:before="0" w:beforeAutospacing="0"/>
        <w:ind w:left="0"/>
        <w:jc w:val="center"/>
      </w:pPr>
      <w:r>
        <w:rPr>
          <w:shd w:val="clear" w:fill="FFFFFF"/>
        </w:rPr>
        <w:t xml:space="preserve">第二部分 </w:t>
      </w:r>
      <w:r>
        <w:rPr>
          <w:rFonts w:hint="eastAsia"/>
          <w:shd w:val="clear" w:fill="FFFFFF"/>
          <w:lang w:eastAsia="zh-CN"/>
        </w:rPr>
        <w:t>2023</w:t>
      </w:r>
      <w:r>
        <w:rPr>
          <w:shd w:val="clear" w:fill="FFFFFF"/>
        </w:rPr>
        <w:t>年度单位决算情况说明</w:t>
      </w:r>
    </w:p>
    <w:p w14:paraId="3179B8F2">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一、收入支出决算总体情况说明</w:t>
      </w:r>
    </w:p>
    <w:p w14:paraId="0C9349F0">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年度收、支总计</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万元。与202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rPr>
        <w:t>年相比，收、支总计各增加</w:t>
      </w:r>
      <w:r>
        <w:rPr>
          <w:rFonts w:hint="eastAsia" w:ascii="仿宋_GB2312" w:hAnsi="仿宋_GB2312" w:eastAsia="仿宋_GB2312" w:cs="仿宋_GB2312"/>
          <w:sz w:val="32"/>
          <w:szCs w:val="32"/>
          <w:shd w:val="clear" w:fill="FFFFFF"/>
          <w:lang w:val="en-US" w:eastAsia="zh-CN"/>
        </w:rPr>
        <w:t>19.49</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8.47</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r>
        <w:rPr>
          <w:rFonts w:hint="eastAsia" w:ascii="仿宋_GB2312" w:hAnsi="仿宋_GB2312" w:eastAsia="仿宋_GB2312" w:cs="仿宋_GB2312"/>
          <w:sz w:val="32"/>
          <w:szCs w:val="32"/>
          <w:shd w:val="clear" w:fill="FFFFFF"/>
        </w:rPr>
        <w:t> </w:t>
      </w:r>
    </w:p>
    <w:p w14:paraId="6E8BF536">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二、收入决算情况说明</w:t>
      </w:r>
    </w:p>
    <w:p w14:paraId="46A67336">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年本年收入合计</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万元，其中：一般公共预算财政拨款收入</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31F65429">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三、支出决算情况说明</w:t>
      </w:r>
    </w:p>
    <w:p w14:paraId="7CDC479F">
      <w:pPr>
        <w:pStyle w:val="12"/>
        <w:keepNext w:val="0"/>
        <w:keepLines w:val="0"/>
        <w:widowControl/>
        <w:suppressLineNumbers w:val="0"/>
        <w:spacing w:before="0" w:beforeAutospacing="0"/>
        <w:ind w:left="0" w:firstLine="640" w:firstLineChars="200"/>
        <w:jc w:val="left"/>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年本年支出合计</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万元，其中：基本支出</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万元，占100.00%；项目支出0.00万元，占0.00%；上缴上级支出0.00万元，占0.00%；经营支出0.00万元，占经营支出0.00万元，占 0.00%；对附属单位补助支出0.00万元，占0.00%。</w:t>
      </w:r>
      <w:r>
        <w:rPr>
          <w:shd w:val="clear" w:fill="FFFFFF"/>
        </w:rPr>
        <w:t> </w:t>
      </w:r>
    </w:p>
    <w:p w14:paraId="1CE47FAD">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四、财政拨款收入支出决算总体情况说明</w:t>
      </w:r>
    </w:p>
    <w:p w14:paraId="17286209">
      <w:pPr>
        <w:pStyle w:val="12"/>
        <w:keepNext w:val="0"/>
        <w:keepLines w:val="0"/>
        <w:widowControl/>
        <w:suppressLineNumbers w:val="0"/>
        <w:spacing w:before="0" w:beforeAutospacing="0"/>
        <w:ind w:left="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年财政拨款收、支总计</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万元。与202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rPr>
        <w:t>年相比，财政拨款收、支总计各增加</w:t>
      </w:r>
      <w:r>
        <w:rPr>
          <w:rFonts w:hint="eastAsia" w:ascii="仿宋_GB2312" w:hAnsi="仿宋_GB2312" w:eastAsia="仿宋_GB2312" w:cs="仿宋_GB2312"/>
          <w:sz w:val="32"/>
          <w:szCs w:val="32"/>
          <w:shd w:val="clear" w:fill="FFFFFF"/>
          <w:lang w:val="en-US" w:eastAsia="zh-CN"/>
        </w:rPr>
        <w:t>19.49</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8.47</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p>
    <w:p w14:paraId="2951BDF5">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五、</w:t>
      </w:r>
      <w:r>
        <w:rPr>
          <w:rStyle w:val="15"/>
          <w:rFonts w:hint="eastAsia" w:ascii="仿宋_GB2312" w:hAnsi="仿宋_GB2312" w:eastAsia="仿宋_GB2312" w:cs="仿宋_GB2312"/>
          <w:b/>
          <w:bCs/>
          <w:sz w:val="32"/>
          <w:szCs w:val="32"/>
          <w:shd w:val="clear" w:fill="FFFFFF"/>
        </w:rPr>
        <w:t>一</w:t>
      </w:r>
      <w:r>
        <w:rPr>
          <w:rFonts w:hint="eastAsia" w:ascii="仿宋_GB2312" w:hAnsi="仿宋_GB2312" w:eastAsia="仿宋_GB2312" w:cs="仿宋_GB2312"/>
          <w:b/>
          <w:bCs/>
          <w:sz w:val="32"/>
          <w:szCs w:val="32"/>
          <w:shd w:val="clear" w:fill="FFFFFF"/>
        </w:rPr>
        <w:t>般公共预算财政拨款支出决算情况说明</w:t>
      </w:r>
    </w:p>
    <w:p w14:paraId="4AA5D185">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（一）一般公共预算财政拨款支出决算总体情况</w:t>
      </w:r>
    </w:p>
    <w:p w14:paraId="0D88F983">
      <w:pPr>
        <w:pStyle w:val="12"/>
        <w:keepNext w:val="0"/>
        <w:keepLines w:val="0"/>
        <w:widowControl/>
        <w:suppressLineNumbers w:val="0"/>
        <w:spacing w:before="0" w:beforeAutospacing="0"/>
        <w:ind w:left="0" w:firstLine="640" w:firstLineChars="200"/>
        <w:jc w:val="left"/>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年一般公共预算财政拨款支出</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万元，占本年支出合计的100.00%。与202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rPr>
        <w:t>年相比，一般公共预算财政拨款支出增加</w:t>
      </w:r>
      <w:r>
        <w:rPr>
          <w:rFonts w:hint="eastAsia" w:ascii="仿宋_GB2312" w:hAnsi="仿宋_GB2312" w:eastAsia="仿宋_GB2312" w:cs="仿宋_GB2312"/>
          <w:sz w:val="32"/>
          <w:szCs w:val="32"/>
          <w:shd w:val="clear" w:fill="FFFFFF"/>
          <w:lang w:val="en-US" w:eastAsia="zh-CN"/>
        </w:rPr>
        <w:t>19.49</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8.47</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r>
        <w:rPr>
          <w:shd w:val="clear" w:fill="FFFFFF"/>
        </w:rPr>
        <w:t> </w:t>
      </w:r>
    </w:p>
    <w:p w14:paraId="5BBC2519">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（二）一般公共预算财政拨款支出决算结构情况</w:t>
      </w:r>
    </w:p>
    <w:p w14:paraId="315ECBC8">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年一般公共预算财政拨款支出</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万元，主要用于以下方面</w:t>
      </w:r>
      <w:r>
        <w:rPr>
          <w:rFonts w:hint="eastAsia" w:ascii="仿宋_GB2312" w:hAnsi="仿宋_GB2312" w:eastAsia="仿宋_GB2312" w:cs="仿宋_GB2312"/>
          <w:sz w:val="32"/>
          <w:szCs w:val="32"/>
          <w:shd w:val="clear" w:fill="FFFFFF"/>
          <w:lang w:eastAsia="zh-CN"/>
        </w:rPr>
        <w:t>：</w:t>
      </w:r>
      <w:r>
        <w:rPr>
          <w:rStyle w:val="15"/>
          <w:rFonts w:hint="eastAsia" w:ascii="仿宋_GB2312" w:hAnsi="仿宋_GB2312" w:eastAsia="仿宋_GB2312" w:cs="仿宋_GB2312"/>
          <w:sz w:val="32"/>
          <w:szCs w:val="32"/>
          <w:shd w:val="clear" w:fill="FFFFFF"/>
        </w:rPr>
        <w:t>一般公共服务（类）</w:t>
      </w:r>
      <w:r>
        <w:rPr>
          <w:rFonts w:hint="eastAsia" w:ascii="仿宋_GB2312" w:hAnsi="仿宋_GB2312" w:eastAsia="仿宋_GB2312" w:cs="仿宋_GB2312"/>
          <w:sz w:val="32"/>
          <w:szCs w:val="32"/>
          <w:shd w:val="clear" w:fill="FFFFFF"/>
        </w:rPr>
        <w:t>支出</w:t>
      </w:r>
      <w:r>
        <w:rPr>
          <w:rFonts w:hint="eastAsia" w:ascii="仿宋_GB2312" w:hAnsi="仿宋_GB2312" w:eastAsia="仿宋_GB2312" w:cs="仿宋_GB2312"/>
          <w:sz w:val="32"/>
          <w:szCs w:val="32"/>
          <w:shd w:val="clear" w:fill="FFFFFF"/>
          <w:lang w:val="en-US" w:eastAsia="zh-CN"/>
        </w:rPr>
        <w:t>173.06</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75.28</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教育支出（类）</w:t>
      </w:r>
      <w:r>
        <w:rPr>
          <w:rFonts w:hint="eastAsia" w:ascii="仿宋_GB2312" w:hAnsi="仿宋_GB2312" w:eastAsia="仿宋_GB2312" w:cs="仿宋_GB2312"/>
          <w:sz w:val="32"/>
          <w:szCs w:val="32"/>
          <w:shd w:val="clear" w:fill="FFFFFF"/>
        </w:rPr>
        <w:t>0.00万元，占0.00%；</w:t>
      </w:r>
      <w:r>
        <w:rPr>
          <w:rStyle w:val="15"/>
          <w:rFonts w:hint="eastAsia" w:ascii="仿宋_GB2312" w:hAnsi="仿宋_GB2312" w:eastAsia="仿宋_GB2312" w:cs="仿宋_GB2312"/>
          <w:sz w:val="32"/>
          <w:szCs w:val="32"/>
          <w:shd w:val="clear" w:fill="FFFFFF"/>
        </w:rPr>
        <w:t>科学技术（类）</w:t>
      </w:r>
      <w:r>
        <w:rPr>
          <w:rFonts w:hint="eastAsia" w:ascii="仿宋_GB2312" w:hAnsi="仿宋_GB2312" w:eastAsia="仿宋_GB2312" w:cs="仿宋_GB2312"/>
          <w:sz w:val="32"/>
          <w:szCs w:val="32"/>
          <w:shd w:val="clear" w:fill="FFFFFF"/>
        </w:rPr>
        <w:t>支出0.00万元，占0.00%；</w:t>
      </w:r>
      <w:r>
        <w:rPr>
          <w:rStyle w:val="15"/>
          <w:rFonts w:hint="eastAsia" w:ascii="仿宋_GB2312" w:hAnsi="仿宋_GB2312" w:eastAsia="仿宋_GB2312" w:cs="仿宋_GB2312"/>
          <w:sz w:val="32"/>
          <w:szCs w:val="32"/>
          <w:shd w:val="clear" w:fill="FFFFFF"/>
        </w:rPr>
        <w:t>文化旅游体育与传媒（类）支出0.00万元，占0.00%；社会保障和就业（类）</w:t>
      </w:r>
      <w:r>
        <w:rPr>
          <w:rFonts w:hint="eastAsia" w:ascii="仿宋_GB2312" w:hAnsi="仿宋_GB2312" w:eastAsia="仿宋_GB2312" w:cs="仿宋_GB2312"/>
          <w:sz w:val="32"/>
          <w:szCs w:val="32"/>
          <w:shd w:val="clear" w:fill="FFFFFF"/>
        </w:rPr>
        <w:t>支出</w:t>
      </w:r>
      <w:r>
        <w:rPr>
          <w:rFonts w:hint="eastAsia" w:ascii="仿宋_GB2312" w:hAnsi="仿宋_GB2312" w:eastAsia="仿宋_GB2312" w:cs="仿宋_GB2312"/>
          <w:sz w:val="32"/>
          <w:szCs w:val="32"/>
          <w:shd w:val="clear" w:fill="FFFFFF"/>
          <w:lang w:val="en-US" w:eastAsia="zh-CN"/>
        </w:rPr>
        <w:t>29.10</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12.65</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lang w:val="en-US" w:eastAsia="zh-CN"/>
        </w:rPr>
        <w:t>10.84</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3.65</w:t>
      </w:r>
      <w:r>
        <w:rPr>
          <w:rFonts w:hint="eastAsia" w:ascii="仿宋_GB2312" w:hAnsi="仿宋_GB2312" w:eastAsia="仿宋_GB2312" w:cs="仿宋_GB2312"/>
          <w:sz w:val="32"/>
          <w:szCs w:val="32"/>
          <w:shd w:val="clear" w:fill="FFFFFF"/>
        </w:rPr>
        <w:t>%；住房保障支出</w:t>
      </w:r>
      <w:r>
        <w:rPr>
          <w:rFonts w:hint="eastAsia" w:ascii="仿宋_GB2312" w:hAnsi="仿宋_GB2312" w:eastAsia="仿宋_GB2312" w:cs="仿宋_GB2312"/>
          <w:sz w:val="32"/>
          <w:szCs w:val="32"/>
          <w:shd w:val="clear" w:fill="FFFFFF"/>
          <w:lang w:val="en-US" w:eastAsia="zh-CN"/>
        </w:rPr>
        <w:t>16.89</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8.42</w:t>
      </w:r>
      <w:r>
        <w:rPr>
          <w:rFonts w:hint="eastAsia" w:ascii="仿宋_GB2312" w:hAnsi="仿宋_GB2312" w:eastAsia="仿宋_GB2312" w:cs="仿宋_GB2312"/>
          <w:sz w:val="32"/>
          <w:szCs w:val="32"/>
          <w:shd w:val="clear" w:fill="FFFFFF"/>
        </w:rPr>
        <w:t>%。</w:t>
      </w:r>
    </w:p>
    <w:p w14:paraId="056D17A2">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（三）一般公共预算财政拨款支出决算具体情况</w:t>
      </w:r>
    </w:p>
    <w:p w14:paraId="54561B14">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lang w:eastAsia="zh-CN"/>
        </w:rPr>
        <w:t>2023</w:t>
      </w:r>
      <w:r>
        <w:rPr>
          <w:rStyle w:val="15"/>
          <w:rFonts w:hint="eastAsia" w:ascii="仿宋_GB2312" w:hAnsi="仿宋_GB2312" w:eastAsia="仿宋_GB2312" w:cs="仿宋_GB2312"/>
          <w:sz w:val="32"/>
          <w:szCs w:val="32"/>
          <w:shd w:val="clear" w:fill="FFFFFF"/>
        </w:rPr>
        <w:t>年一般公共预算支出决算数为</w:t>
      </w:r>
      <w:r>
        <w:rPr>
          <w:rStyle w:val="15"/>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完成预算100.00%。其中：</w:t>
      </w:r>
    </w:p>
    <w:p w14:paraId="004F921F">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sz w:val="32"/>
          <w:szCs w:val="32"/>
          <w:shd w:val="clear" w:fill="FFFFFF"/>
        </w:rPr>
        <w:t>1.</w:t>
      </w:r>
      <w:r>
        <w:rPr>
          <w:rFonts w:hint="eastAsia" w:ascii="仿宋_GB2312" w:hAnsi="Times New Roman" w:eastAsia="仿宋_GB2312" w:cs="仿宋_GB2312"/>
          <w:kern w:val="0"/>
          <w:sz w:val="32"/>
          <w:szCs w:val="32"/>
          <w:shd w:val="clear" w:fill="FFFFFF"/>
        </w:rPr>
        <w:t>一般公共服务支出（201）政府办公厅（室）及相关机构事务（20103）事业运行（2010350）</w:t>
      </w:r>
      <w:r>
        <w:rPr>
          <w:rStyle w:val="15"/>
          <w:rFonts w:hint="eastAsia" w:ascii="仿宋_GB2312" w:hAnsi="仿宋_GB2312" w:eastAsia="仿宋_GB2312" w:cs="仿宋_GB2312"/>
          <w:b w:val="0"/>
          <w:bCs/>
          <w:sz w:val="32"/>
          <w:szCs w:val="32"/>
          <w:shd w:val="clear" w:fill="FFFFFF"/>
        </w:rPr>
        <w:t>支出决算为</w:t>
      </w:r>
      <w:r>
        <w:rPr>
          <w:rStyle w:val="15"/>
          <w:rFonts w:hint="eastAsia" w:ascii="仿宋_GB2312" w:hAnsi="仿宋_GB2312" w:eastAsia="仿宋_GB2312" w:cs="仿宋_GB2312"/>
          <w:b w:val="0"/>
          <w:bCs/>
          <w:sz w:val="32"/>
          <w:szCs w:val="32"/>
          <w:shd w:val="clear" w:fill="FFFFFF"/>
          <w:lang w:val="en-US" w:eastAsia="zh-CN"/>
        </w:rPr>
        <w:t>173.06</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837510B">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2.</w:t>
      </w:r>
      <w:r>
        <w:rPr>
          <w:rFonts w:hint="eastAsia" w:ascii="仿宋_GB2312" w:hAnsi="Times New Roman" w:eastAsia="仿宋_GB2312" w:cs="仿宋_GB2312"/>
          <w:kern w:val="0"/>
          <w:sz w:val="32"/>
          <w:szCs w:val="32"/>
          <w:shd w:val="clear" w:fill="FFFFFF"/>
        </w:rPr>
        <w:t>社会保障和就业支出（208）行政事业单位养老支出（20805）机关事业单位基本养老保险缴费</w:t>
      </w:r>
      <w:r>
        <w:rPr>
          <w:rFonts w:hint="eastAsia" w:ascii="仿宋_GB2312" w:hAnsi="Times New Roman" w:eastAsia="仿宋_GB2312" w:cs="仿宋_GB2312"/>
          <w:kern w:val="0"/>
          <w:sz w:val="32"/>
          <w:szCs w:val="32"/>
          <w:shd w:val="clear" w:fill="FFFFFF"/>
          <w:lang w:eastAsia="zh-CN"/>
        </w:rPr>
        <w:t>、</w:t>
      </w:r>
      <w:r>
        <w:rPr>
          <w:rFonts w:hint="eastAsia" w:ascii="仿宋_GB2312" w:hAnsi="Times New Roman" w:eastAsia="仿宋_GB2312" w:cs="仿宋_GB2312"/>
          <w:kern w:val="0"/>
          <w:sz w:val="32"/>
          <w:szCs w:val="32"/>
          <w:shd w:val="clear" w:fill="FFFFFF"/>
          <w:lang w:val="en-US" w:eastAsia="zh-CN"/>
        </w:rPr>
        <w:t>职业年金缴费</w:t>
      </w:r>
      <w:r>
        <w:rPr>
          <w:rFonts w:hint="eastAsia" w:ascii="仿宋_GB2312" w:hAnsi="Times New Roman" w:eastAsia="仿宋_GB2312" w:cs="仿宋_GB2312"/>
          <w:kern w:val="0"/>
          <w:sz w:val="32"/>
          <w:szCs w:val="32"/>
          <w:shd w:val="clear" w:fill="FFFFFF"/>
        </w:rPr>
        <w:t>支出（2080505）</w:t>
      </w:r>
      <w:r>
        <w:rPr>
          <w:rFonts w:hint="eastAsia" w:ascii="仿宋_GB2312" w:hAnsi="Times New Roman" w:eastAsia="仿宋_GB2312" w:cs="仿宋_GB2312"/>
          <w:kern w:val="0"/>
          <w:sz w:val="32"/>
          <w:szCs w:val="32"/>
          <w:shd w:val="clear" w:fill="FFFFFF"/>
          <w:lang w:eastAsia="zh-CN"/>
        </w:rPr>
        <w:t>：</w:t>
      </w:r>
      <w:r>
        <w:rPr>
          <w:rStyle w:val="15"/>
          <w:rFonts w:hint="eastAsia" w:ascii="仿宋_GB2312" w:hAnsi="仿宋_GB2312" w:eastAsia="仿宋_GB2312" w:cs="仿宋_GB2312"/>
          <w:b w:val="0"/>
          <w:bCs/>
          <w:sz w:val="32"/>
          <w:szCs w:val="32"/>
          <w:shd w:val="clear" w:fill="FFFFFF"/>
        </w:rPr>
        <w:t xml:space="preserve"> 支出决算为</w:t>
      </w:r>
      <w:r>
        <w:rPr>
          <w:rStyle w:val="15"/>
          <w:rFonts w:hint="eastAsia" w:ascii="仿宋_GB2312" w:hAnsi="仿宋_GB2312" w:eastAsia="仿宋_GB2312" w:cs="仿宋_GB2312"/>
          <w:b w:val="0"/>
          <w:bCs/>
          <w:sz w:val="32"/>
          <w:szCs w:val="32"/>
          <w:shd w:val="clear" w:fill="FFFFFF"/>
          <w:lang w:val="en-US" w:eastAsia="zh-CN"/>
        </w:rPr>
        <w:t>29.10</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2148A0D">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3.</w:t>
      </w:r>
      <w:r>
        <w:rPr>
          <w:rFonts w:hint="eastAsia" w:ascii="仿宋_GB2312" w:hAnsi="Times New Roman" w:eastAsia="仿宋_GB2312" w:cs="仿宋_GB2312"/>
          <w:kern w:val="0"/>
          <w:sz w:val="32"/>
          <w:szCs w:val="32"/>
          <w:shd w:val="clear" w:fill="FFFFFF"/>
        </w:rPr>
        <w:t>住房保障支出（221）住房改革支出（22102）住房公积金（2210201）</w:t>
      </w:r>
      <w:r>
        <w:rPr>
          <w:rFonts w:hint="eastAsia" w:ascii="仿宋_GB2312" w:hAnsi="Times New Roman" w:eastAsia="仿宋_GB2312" w:cs="仿宋_GB2312"/>
          <w:kern w:val="0"/>
          <w:sz w:val="32"/>
          <w:szCs w:val="32"/>
          <w:shd w:val="clear" w:fill="FFFFFF"/>
          <w:lang w:eastAsia="zh-CN"/>
        </w:rPr>
        <w:t>：</w:t>
      </w:r>
      <w:r>
        <w:rPr>
          <w:rFonts w:hint="eastAsia" w:ascii="仿宋_GB2312" w:hAnsi="Times New Roman" w:eastAsia="仿宋_GB2312" w:cs="仿宋_GB2312"/>
          <w:kern w:val="0"/>
          <w:sz w:val="32"/>
          <w:szCs w:val="32"/>
          <w:shd w:val="clear" w:fill="FFFFFF"/>
        </w:rPr>
        <w:t xml:space="preserve"> </w:t>
      </w:r>
      <w:r>
        <w:rPr>
          <w:rStyle w:val="15"/>
          <w:rFonts w:hint="eastAsia" w:ascii="仿宋_GB2312" w:hAnsi="仿宋_GB2312" w:eastAsia="仿宋_GB2312" w:cs="仿宋_GB2312"/>
          <w:b w:val="0"/>
          <w:bCs/>
          <w:sz w:val="32"/>
          <w:szCs w:val="32"/>
          <w:shd w:val="clear" w:fill="FFFFFF"/>
        </w:rPr>
        <w:t>支出决算为</w:t>
      </w:r>
      <w:r>
        <w:rPr>
          <w:rStyle w:val="15"/>
          <w:rFonts w:hint="eastAsia" w:ascii="仿宋_GB2312" w:hAnsi="仿宋_GB2312" w:eastAsia="仿宋_GB2312" w:cs="仿宋_GB2312"/>
          <w:b w:val="0"/>
          <w:bCs/>
          <w:sz w:val="32"/>
          <w:szCs w:val="32"/>
          <w:shd w:val="clear" w:fill="FFFFFF"/>
          <w:lang w:val="en-US" w:eastAsia="zh-CN"/>
        </w:rPr>
        <w:t>16.89</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3D9E89E">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4.</w:t>
      </w:r>
      <w:r>
        <w:rPr>
          <w:rFonts w:hint="eastAsia" w:ascii="仿宋_GB2312" w:hAnsi="Times New Roman" w:eastAsia="仿宋_GB2312" w:cs="仿宋_GB2312"/>
          <w:kern w:val="0"/>
          <w:sz w:val="32"/>
          <w:szCs w:val="32"/>
          <w:shd w:val="clear" w:fill="FFFFFF"/>
        </w:rPr>
        <w:t>卫生健康支出（210）行政事业单位医疗（21011）事业单位医疗（2101102）</w:t>
      </w:r>
      <w:r>
        <w:rPr>
          <w:rFonts w:hint="eastAsia" w:ascii="仿宋_GB2312" w:hAnsi="Times New Roman" w:eastAsia="仿宋_GB2312" w:cs="仿宋_GB2312"/>
          <w:kern w:val="0"/>
          <w:sz w:val="32"/>
          <w:szCs w:val="32"/>
          <w:shd w:val="clear" w:fill="FFFFFF"/>
          <w:lang w:eastAsia="zh-CN"/>
        </w:rPr>
        <w:t>：</w:t>
      </w:r>
      <w:r>
        <w:rPr>
          <w:rStyle w:val="15"/>
          <w:rFonts w:hint="eastAsia" w:ascii="仿宋_GB2312" w:hAnsi="仿宋_GB2312" w:eastAsia="仿宋_GB2312" w:cs="仿宋_GB2312"/>
          <w:b w:val="0"/>
          <w:bCs/>
          <w:sz w:val="32"/>
          <w:szCs w:val="32"/>
          <w:shd w:val="clear" w:fill="FFFFFF"/>
        </w:rPr>
        <w:t xml:space="preserve"> 支出决算为</w:t>
      </w:r>
      <w:r>
        <w:rPr>
          <w:rStyle w:val="15"/>
          <w:rFonts w:hint="eastAsia" w:ascii="仿宋_GB2312" w:hAnsi="仿宋_GB2312" w:eastAsia="仿宋_GB2312" w:cs="仿宋_GB2312"/>
          <w:b w:val="0"/>
          <w:bCs/>
          <w:sz w:val="32"/>
          <w:szCs w:val="32"/>
          <w:shd w:val="clear" w:fill="FFFFFF"/>
          <w:lang w:val="en-US" w:eastAsia="zh-CN"/>
        </w:rPr>
        <w:t>10.84</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6573A970">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rPr>
        <w:t>六</w:t>
      </w:r>
      <w:r>
        <w:rPr>
          <w:rStyle w:val="15"/>
          <w:rFonts w:hint="eastAsia" w:ascii="仿宋_GB2312" w:hAnsi="仿宋_GB2312" w:eastAsia="仿宋_GB2312" w:cs="仿宋_GB2312"/>
          <w:b/>
          <w:bCs/>
          <w:sz w:val="32"/>
          <w:szCs w:val="32"/>
          <w:shd w:val="clear" w:fill="FFFFFF"/>
        </w:rPr>
        <w:t>、一</w:t>
      </w:r>
      <w:r>
        <w:rPr>
          <w:rFonts w:hint="eastAsia" w:ascii="仿宋_GB2312" w:hAnsi="仿宋_GB2312" w:eastAsia="仿宋_GB2312" w:cs="仿宋_GB2312"/>
          <w:b/>
          <w:bCs/>
          <w:sz w:val="32"/>
          <w:szCs w:val="32"/>
          <w:shd w:val="clear" w:fill="FFFFFF"/>
        </w:rPr>
        <w:t>般公共预算财政拨款基本支出决算情况说明</w:t>
      </w:r>
      <w:r>
        <w:rPr>
          <w:rFonts w:hint="eastAsia" w:ascii="仿宋_GB2312" w:hAnsi="仿宋_GB2312" w:eastAsia="仿宋_GB2312" w:cs="仿宋_GB2312"/>
          <w:b/>
          <w:bCs/>
          <w:sz w:val="32"/>
          <w:szCs w:val="32"/>
          <w:shd w:val="clear" w:fill="FFFFFF"/>
          <w:lang w:eastAsia="zh-CN"/>
        </w:rPr>
        <w:t>。</w:t>
      </w:r>
    </w:p>
    <w:p w14:paraId="2D1A5CCE">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年一般公共预算财政拨款基本支出</w:t>
      </w:r>
      <w:r>
        <w:rPr>
          <w:rFonts w:hint="eastAsia" w:ascii="仿宋_GB2312" w:hAnsi="仿宋_GB2312" w:eastAsia="仿宋_GB2312" w:cs="仿宋_GB2312"/>
          <w:sz w:val="32"/>
          <w:szCs w:val="32"/>
          <w:shd w:val="clear" w:fill="FFFFFF"/>
          <w:lang w:val="en-US" w:eastAsia="zh-CN"/>
        </w:rPr>
        <w:t>229.88</w:t>
      </w:r>
      <w:r>
        <w:rPr>
          <w:rFonts w:hint="eastAsia" w:ascii="仿宋_GB2312" w:hAnsi="仿宋_GB2312" w:eastAsia="仿宋_GB2312" w:cs="仿宋_GB2312"/>
          <w:sz w:val="32"/>
          <w:szCs w:val="32"/>
          <w:shd w:val="clear" w:fill="FFFFFF"/>
        </w:rPr>
        <w:t>万元，其中：人员经费</w:t>
      </w:r>
      <w:r>
        <w:rPr>
          <w:rFonts w:hint="eastAsia" w:ascii="仿宋_GB2312" w:hAnsi="仿宋_GB2312" w:eastAsia="仿宋_GB2312" w:cs="仿宋_GB2312"/>
          <w:sz w:val="32"/>
          <w:szCs w:val="32"/>
          <w:shd w:val="clear" w:fill="FFFFFF"/>
          <w:lang w:val="en-US" w:eastAsia="zh-CN"/>
        </w:rPr>
        <w:t>219.64</w:t>
      </w:r>
      <w:r>
        <w:rPr>
          <w:rFonts w:hint="eastAsia" w:ascii="仿宋_GB2312" w:hAnsi="仿宋_GB2312" w:eastAsia="仿宋_GB2312" w:cs="仿宋_GB2312"/>
          <w:sz w:val="32"/>
          <w:szCs w:val="32"/>
          <w:shd w:val="clear"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042383E">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公用经费</w:t>
      </w:r>
      <w:r>
        <w:rPr>
          <w:rFonts w:hint="eastAsia" w:ascii="仿宋_GB2312" w:hAnsi="仿宋_GB2312" w:eastAsia="仿宋_GB2312" w:cs="仿宋_GB2312"/>
          <w:sz w:val="32"/>
          <w:szCs w:val="32"/>
          <w:shd w:val="clear" w:fill="FFFFFF"/>
          <w:lang w:val="en-US" w:eastAsia="zh-CN"/>
        </w:rPr>
        <w:t>10.24</w:t>
      </w:r>
      <w:r>
        <w:rPr>
          <w:rFonts w:hint="eastAsia" w:ascii="仿宋_GB2312" w:hAnsi="仿宋_GB2312" w:eastAsia="仿宋_GB2312" w:cs="仿宋_GB2312"/>
          <w:sz w:val="32"/>
          <w:szCs w:val="32"/>
          <w:shd w:val="clear"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D8299A0">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七、“三公”经费财政拨款支出决算情况说明</w:t>
      </w:r>
    </w:p>
    <w:p w14:paraId="53D6D6F2">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（一）“三公”经费财政拨款支出决算总体情况说明</w:t>
      </w:r>
    </w:p>
    <w:p w14:paraId="78E7018C">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年“三公”经费财政拨款支出决算为2.20万元，完成预算100.00%，决算数与预算数持平。</w:t>
      </w:r>
    </w:p>
    <w:p w14:paraId="699222E6">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（二）“三公”经费财政拨款支出决算具体情况说明</w:t>
      </w:r>
    </w:p>
    <w:p w14:paraId="20F6DFC7">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年“三公”经费财政拨款支出决算中，因公出国（境）费支出决算0.00万元，占0.00%；公务用车购置及运行维护费支出决算2.20万元，占100.00%；公务接待费支出决算0.00万元，占0.00%。具体情况如下：</w:t>
      </w:r>
    </w:p>
    <w:p w14:paraId="3BE567AB">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1.因公出国（境）经费支出</w:t>
      </w:r>
      <w:r>
        <w:rPr>
          <w:rFonts w:hint="eastAsia" w:ascii="仿宋_GB2312" w:hAnsi="仿宋_GB2312" w:eastAsia="仿宋_GB2312" w:cs="仿宋_GB2312"/>
          <w:sz w:val="32"/>
          <w:szCs w:val="32"/>
          <w:shd w:val="clear" w:fill="FFFFFF"/>
        </w:rPr>
        <w:t>0.00万元，</w:t>
      </w:r>
      <w:r>
        <w:rPr>
          <w:rStyle w:val="15"/>
          <w:rFonts w:hint="eastAsia" w:ascii="仿宋_GB2312" w:hAnsi="仿宋_GB2312" w:eastAsia="仿宋_GB2312" w:cs="仿宋_GB2312"/>
          <w:sz w:val="32"/>
          <w:szCs w:val="32"/>
          <w:shd w:val="clear" w:fill="FFFFFF"/>
        </w:rPr>
        <w:t>完成预算0.00%。</w:t>
      </w:r>
      <w:r>
        <w:rPr>
          <w:rFonts w:hint="eastAsia" w:ascii="仿宋_GB2312" w:hAnsi="仿宋_GB2312" w:eastAsia="仿宋_GB2312" w:cs="仿宋_GB2312"/>
          <w:sz w:val="32"/>
          <w:szCs w:val="32"/>
          <w:shd w:val="clear" w:fill="FFFFFF"/>
        </w:rPr>
        <w:t>全年安排因公出国（境）团组0次，出国（境）0人。因公出国（境）支出决算比2021年增加0.00万元，增长0.00%。主要原因是……。</w:t>
      </w:r>
    </w:p>
    <w:p w14:paraId="7EFCCFA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开支内容包括：…（团组名称、出访地点、取得成效）等。</w:t>
      </w:r>
    </w:p>
    <w:p w14:paraId="3C8890BD">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2.公务用车购置及运行维护费支出</w:t>
      </w:r>
      <w:r>
        <w:rPr>
          <w:rFonts w:hint="eastAsia" w:ascii="仿宋_GB2312" w:hAnsi="仿宋_GB2312" w:eastAsia="仿宋_GB2312" w:cs="仿宋_GB2312"/>
          <w:sz w:val="32"/>
          <w:szCs w:val="32"/>
          <w:shd w:val="clear" w:fill="FFFFFF"/>
        </w:rPr>
        <w:t>2.20万元</w:t>
      </w:r>
      <w:r>
        <w:rPr>
          <w:rFonts w:hint="eastAsia" w:ascii="仿宋_GB2312" w:hAnsi="仿宋_GB2312" w:eastAsia="仿宋_GB2312" w:cs="仿宋_GB2312"/>
          <w:sz w:val="32"/>
          <w:szCs w:val="32"/>
          <w:shd w:val="clear" w:fill="FFFFFF"/>
          <w:lang w:eastAsia="zh-CN"/>
        </w:rPr>
        <w:t>，</w:t>
      </w:r>
      <w:r>
        <w:rPr>
          <w:rStyle w:val="15"/>
          <w:rFonts w:hint="eastAsia" w:ascii="仿宋_GB2312" w:hAnsi="仿宋_GB2312" w:eastAsia="仿宋_GB2312" w:cs="仿宋_GB2312"/>
          <w:sz w:val="32"/>
          <w:szCs w:val="32"/>
          <w:shd w:val="clear" w:fill="FFFFFF"/>
        </w:rPr>
        <w:t>完成预算100.00%。</w:t>
      </w:r>
      <w:r>
        <w:rPr>
          <w:rFonts w:hint="eastAsia" w:ascii="仿宋_GB2312" w:hAnsi="仿宋_GB2312" w:eastAsia="仿宋_GB2312" w:cs="仿宋_GB2312"/>
          <w:sz w:val="32"/>
          <w:szCs w:val="32"/>
          <w:shd w:val="clear" w:fill="FFFFFF"/>
        </w:rPr>
        <w:t>公务用车购置及运行维护费支出决算比202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rPr>
        <w:t>年增加</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万元，增长0.00%。其中：</w:t>
      </w:r>
      <w:r>
        <w:rPr>
          <w:rStyle w:val="15"/>
          <w:rFonts w:hint="eastAsia" w:ascii="仿宋_GB2312" w:hAnsi="仿宋_GB2312" w:eastAsia="仿宋_GB2312" w:cs="仿宋_GB2312"/>
          <w:sz w:val="32"/>
          <w:szCs w:val="32"/>
          <w:shd w:val="clear" w:fill="FFFFFF"/>
        </w:rPr>
        <w:t>公务用车购置支出</w:t>
      </w:r>
      <w:r>
        <w:rPr>
          <w:rFonts w:hint="eastAsia" w:ascii="仿宋_GB2312" w:hAnsi="仿宋_GB2312" w:eastAsia="仿宋_GB2312" w:cs="仿宋_GB2312"/>
          <w:sz w:val="32"/>
          <w:szCs w:val="32"/>
          <w:shd w:val="clear" w:fill="FFFFFF"/>
        </w:rPr>
        <w:t>0.00万元。全年按规定更新购置公务用车0辆，其中：轿车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万元，越野车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万元，载客汽车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万元。截至2021年12月底，单位共有公务用车1辆，其中：轿车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辆、越野车</w:t>
      </w:r>
      <w:r>
        <w:rPr>
          <w:rFonts w:hint="eastAsia" w:ascii="仿宋_GB2312" w:hAnsi="仿宋_GB2312" w:eastAsia="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rPr>
        <w:t>辆、载客汽车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w:t>
      </w:r>
    </w:p>
    <w:p w14:paraId="243E54B0">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公务用车运行维护费支出</w:t>
      </w:r>
      <w:r>
        <w:rPr>
          <w:rFonts w:hint="eastAsia" w:ascii="仿宋_GB2312" w:hAnsi="仿宋_GB2312" w:eastAsia="仿宋_GB2312" w:cs="仿宋_GB2312"/>
          <w:sz w:val="32"/>
          <w:szCs w:val="32"/>
          <w:shd w:val="clear" w:fill="FFFFFF"/>
        </w:rPr>
        <w:t>2.20万元。主要用于</w:t>
      </w:r>
      <w:r>
        <w:rPr>
          <w:rFonts w:hint="eastAsia" w:ascii="仿宋_GB2312" w:hAnsi="仿宋_GB2312" w:eastAsia="仿宋_GB2312" w:cs="仿宋_GB2312"/>
          <w:sz w:val="32"/>
          <w:szCs w:val="32"/>
          <w:shd w:val="clear" w:fill="FFFFFF"/>
          <w:lang w:val="en-US" w:eastAsia="zh-CN"/>
        </w:rPr>
        <w:t>开展日常工作</w:t>
      </w:r>
      <w:r>
        <w:rPr>
          <w:rFonts w:hint="eastAsia" w:ascii="仿宋_GB2312" w:hAnsi="仿宋_GB2312" w:eastAsia="仿宋_GB2312" w:cs="仿宋_GB2312"/>
          <w:sz w:val="32"/>
          <w:szCs w:val="32"/>
          <w:shd w:val="clear" w:fill="FFFFFF"/>
        </w:rPr>
        <w:t>所需的公务用车燃料费、维修费、过路过桥费、保险费等支出。</w:t>
      </w:r>
    </w:p>
    <w:p w14:paraId="312D4BAE">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shd w:val="clear" w:fill="FFFFFF"/>
        </w:rPr>
      </w:pPr>
      <w:r>
        <w:rPr>
          <w:rStyle w:val="15"/>
          <w:rFonts w:hint="eastAsia" w:ascii="仿宋_GB2312" w:hAnsi="仿宋_GB2312" w:eastAsia="仿宋_GB2312" w:cs="仿宋_GB2312"/>
          <w:sz w:val="32"/>
          <w:szCs w:val="32"/>
          <w:shd w:val="clear" w:fill="FFFFFF"/>
        </w:rPr>
        <w:t>3.公务接待费支出</w:t>
      </w:r>
      <w:r>
        <w:rPr>
          <w:rFonts w:hint="eastAsia" w:ascii="仿宋_GB2312" w:hAnsi="仿宋_GB2312" w:eastAsia="仿宋_GB2312" w:cs="仿宋_GB2312"/>
          <w:sz w:val="32"/>
          <w:szCs w:val="32"/>
          <w:shd w:val="clear" w:fill="FFFFFF"/>
        </w:rPr>
        <w:t>0.00万元，</w:t>
      </w:r>
      <w:r>
        <w:rPr>
          <w:rStyle w:val="15"/>
          <w:rFonts w:hint="eastAsia" w:ascii="仿宋_GB2312" w:hAnsi="仿宋_GB2312" w:eastAsia="仿宋_GB2312" w:cs="仿宋_GB2312"/>
          <w:sz w:val="32"/>
          <w:szCs w:val="32"/>
          <w:shd w:val="clear" w:fill="FFFFFF"/>
        </w:rPr>
        <w:t>完成预算100%。</w:t>
      </w:r>
      <w:r>
        <w:rPr>
          <w:rFonts w:hint="eastAsia" w:ascii="仿宋_GB2312" w:hAnsi="仿宋_GB2312" w:eastAsia="仿宋_GB2312" w:cs="仿宋_GB2312"/>
          <w:sz w:val="32"/>
          <w:szCs w:val="32"/>
          <w:shd w:val="clear" w:fill="FFFFFF"/>
        </w:rPr>
        <w:t>公务接待费支出决算比2021年增加0.00万元，增长0.00%。</w:t>
      </w:r>
    </w:p>
    <w:p w14:paraId="4FD82338">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国内公务接待支出</w:t>
      </w:r>
      <w:r>
        <w:rPr>
          <w:rFonts w:hint="eastAsia" w:ascii="仿宋_GB2312" w:hAnsi="仿宋_GB2312" w:eastAsia="仿宋_GB2312" w:cs="仿宋_GB2312"/>
          <w:sz w:val="32"/>
          <w:szCs w:val="32"/>
          <w:shd w:val="clear" w:fill="FFFFFF"/>
        </w:rPr>
        <w:t>0.00万元，主要用于……</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执行公务、开展业务活动开支的交通费、住宿费、用餐费等</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。国内公务接待0批次，0人次（不包括陪同人员），共计支出0.00万元，具体内容包括：…（接待具体项目、金额）。</w:t>
      </w:r>
    </w:p>
    <w:p w14:paraId="24A3710E">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外事接待支出</w:t>
      </w:r>
      <w:r>
        <w:rPr>
          <w:rFonts w:hint="eastAsia" w:ascii="仿宋_GB2312" w:hAnsi="仿宋_GB2312" w:eastAsia="仿宋_GB2312" w:cs="仿宋_GB2312"/>
          <w:sz w:val="32"/>
          <w:szCs w:val="32"/>
          <w:shd w:val="clear" w:fill="FFFFFF"/>
        </w:rPr>
        <w:t>0.00万元，外事接待0批次，0人，共计支出0.00万元，主要用于接待…（具体项目）。</w:t>
      </w:r>
    </w:p>
    <w:p w14:paraId="6DA9B766">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八、政府性基金预算支出决算情况说明</w:t>
      </w:r>
    </w:p>
    <w:p w14:paraId="276B6460">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年政府性基金预算财政拨款支出0.00万元。</w:t>
      </w:r>
    </w:p>
    <w:p w14:paraId="39788AAE">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九、国有资本经营预算支出决算情况说明</w:t>
      </w:r>
    </w:p>
    <w:p w14:paraId="1D990D8A">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年国有资本经营预算财政拨款支出0.00万元。 </w:t>
      </w:r>
    </w:p>
    <w:p w14:paraId="0DBD6CD3">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十、其他重要事项的情况说明</w:t>
      </w:r>
    </w:p>
    <w:p w14:paraId="4CF22051">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（一）机关运行经费支出情况</w:t>
      </w:r>
    </w:p>
    <w:p w14:paraId="65CBC585">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年，阿坝州松潘县下八寨乡农业农村服务中心机关运行经费支出0.00万元，比2021年增加0.00万元，增长0.00%（或与2021年决算数持平）。主要原因是</w:t>
      </w:r>
      <w:r>
        <w:rPr>
          <w:rFonts w:hint="eastAsia" w:ascii="仿宋_GB2312" w:hAnsi="仿宋_GB2312" w:eastAsia="仿宋_GB2312" w:cs="仿宋_GB2312"/>
          <w:sz w:val="32"/>
          <w:szCs w:val="32"/>
          <w:shd w:val="clear" w:fill="FFFFFF"/>
          <w:lang w:val="en-US" w:eastAsia="zh-CN"/>
        </w:rPr>
        <w:t>人员增加。</w:t>
      </w:r>
    </w:p>
    <w:p w14:paraId="51D3AB48">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（二）政府采购支出情况</w:t>
      </w:r>
    </w:p>
    <w:p w14:paraId="3023A021">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阿坝州松潘县下八寨乡农业农村服务中心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5BC7704E">
      <w:pPr>
        <w:pStyle w:val="12"/>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（三）国有资产占有使用情况</w:t>
      </w:r>
    </w:p>
    <w:p w14:paraId="6B0EBE1D">
      <w:pPr>
        <w:pStyle w:val="12"/>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截至</w:t>
      </w: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12月31日，阿坝州松潘县下八寨乡农业农村服务中心共有车辆1辆，其中：主要领导干部用车0辆、机要通信用车0辆、应急保障用车0辆、其他用车1辆……其他用车主要是用于……单价100万元（含）以上设备（不含车辆）0台（套）。</w:t>
      </w:r>
    </w:p>
    <w:p w14:paraId="6A2BDA01">
      <w:pPr>
        <w:pStyle w:val="12"/>
        <w:keepNext w:val="0"/>
        <w:keepLines w:val="0"/>
        <w:widowControl/>
        <w:suppressLineNumbers w:val="0"/>
        <w:spacing w:before="0" w:beforeAutospacing="0"/>
        <w:ind w:left="0" w:firstLine="643" w:firstLineChars="200"/>
        <w:jc w:val="left"/>
        <w:rPr>
          <w:rStyle w:val="15"/>
          <w:rFonts w:hint="eastAsia" w:ascii="仿宋_GB2312" w:hAnsi="仿宋_GB2312" w:eastAsia="仿宋_GB2312" w:cs="仿宋_GB2312"/>
          <w:sz w:val="32"/>
          <w:szCs w:val="32"/>
          <w:shd w:val="clear" w:fill="FFFFFF"/>
        </w:rPr>
      </w:pPr>
      <w:r>
        <w:rPr>
          <w:rStyle w:val="15"/>
          <w:rFonts w:hint="eastAsia" w:ascii="仿宋_GB2312" w:hAnsi="仿宋_GB2312" w:eastAsia="仿宋_GB2312" w:cs="仿宋_GB2312"/>
          <w:sz w:val="32"/>
          <w:szCs w:val="32"/>
          <w:shd w:val="clear" w:fill="FFFFFF"/>
        </w:rPr>
        <w:t>（四）预算绩效管理情况</w:t>
      </w:r>
    </w:p>
    <w:p w14:paraId="40352E72">
      <w:pPr>
        <w:pStyle w:val="12"/>
        <w:keepNext w:val="0"/>
        <w:keepLines w:val="0"/>
        <w:widowControl/>
        <w:suppressLineNumbers w:val="0"/>
        <w:spacing w:before="0" w:beforeAutospacing="0"/>
        <w:ind w:left="0" w:firstLine="640" w:firstLineChars="200"/>
        <w:jc w:val="left"/>
        <w:rPr>
          <w:rStyle w:val="15"/>
          <w:rFonts w:hint="default" w:ascii="仿宋_GB2312" w:hAnsi="仿宋_GB2312" w:eastAsia="仿宋_GB2312" w:cs="仿宋_GB2312"/>
          <w:sz w:val="32"/>
          <w:szCs w:val="32"/>
          <w:shd w:val="clear" w:fill="FFFFFF"/>
          <w:lang w:val="en-US" w:eastAsia="zh-CN"/>
        </w:rPr>
      </w:pPr>
      <w:r>
        <w:rPr>
          <w:rStyle w:val="15"/>
          <w:rFonts w:hint="eastAsia" w:ascii="仿宋_GB2312" w:hAnsi="仿宋_GB2312" w:eastAsia="仿宋_GB2312" w:cs="仿宋_GB2312"/>
          <w:b w:val="0"/>
          <w:bCs/>
          <w:sz w:val="32"/>
          <w:szCs w:val="32"/>
          <w:shd w:val="clear" w:fill="FFFFFF"/>
          <w:lang w:val="en-US" w:eastAsia="zh-CN"/>
        </w:rPr>
        <w:t>2023年下八寨乡农业农村服务中心无项目等支出。</w:t>
      </w:r>
    </w:p>
    <w:p w14:paraId="4DF8D8F7">
      <w:pPr>
        <w:pStyle w:val="12"/>
        <w:keepNext w:val="0"/>
        <w:keepLines w:val="0"/>
        <w:widowControl/>
        <w:suppressLineNumbers w:val="0"/>
        <w:spacing w:before="0" w:beforeAutospacing="0"/>
        <w:ind w:left="0"/>
        <w:jc w:val="center"/>
        <w:rPr>
          <w:rStyle w:val="15"/>
          <w:rFonts w:hint="eastAsia" w:ascii="仿宋_GB2312" w:hAnsi="仿宋_GB2312" w:eastAsia="仿宋_GB2312" w:cs="仿宋_GB2312"/>
          <w:sz w:val="32"/>
          <w:szCs w:val="32"/>
          <w:shd w:val="clear" w:fill="FFFFFF"/>
        </w:rPr>
      </w:pPr>
    </w:p>
    <w:p w14:paraId="48ECC365">
      <w:pPr>
        <w:pStyle w:val="12"/>
        <w:keepNext w:val="0"/>
        <w:keepLines w:val="0"/>
        <w:widowControl/>
        <w:suppressLineNumbers w:val="0"/>
        <w:spacing w:before="0" w:beforeAutospacing="0"/>
        <w:ind w:left="0"/>
        <w:jc w:val="center"/>
        <w:rPr>
          <w:rStyle w:val="15"/>
          <w:rFonts w:hint="eastAsia" w:ascii="仿宋_GB2312" w:hAnsi="仿宋_GB2312" w:eastAsia="仿宋_GB2312" w:cs="仿宋_GB2312"/>
          <w:sz w:val="32"/>
          <w:szCs w:val="32"/>
          <w:shd w:val="clear" w:fill="FFFFFF"/>
        </w:rPr>
      </w:pPr>
    </w:p>
    <w:p w14:paraId="1CCBCE01">
      <w:pPr>
        <w:pStyle w:val="12"/>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第三部分 名词解释</w:t>
      </w:r>
    </w:p>
    <w:p w14:paraId="3A4ACEE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1.财政拨款收入：指单位从同级财政部门取得的财政预算资金。</w:t>
      </w:r>
    </w:p>
    <w:p w14:paraId="6E6CA6D5">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2.事业收入：指事业单位开展专业业务活动及辅助活动取得的收入。如…（二级预算单位事业收入情况）等。</w:t>
      </w:r>
    </w:p>
    <w:p w14:paraId="4882C9B8">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3.经营收入：指事业单位在专业业务活动及其辅助活动之外开展非独立核算经营活动取得的收入。如…（二级预算单位经营收入情况）等。</w:t>
      </w:r>
    </w:p>
    <w:p w14:paraId="185F1E99">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4.其他收入：指单位取得的除上述收入以外的各项收入。主要是…（收入类型）等。</w:t>
      </w:r>
    </w:p>
    <w:p w14:paraId="60E9E6ED">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5.使用非财政拨款结余：指事业单位使用以前年度积累的非财政拨款结余弥补当年收支差额的金额。</w:t>
      </w:r>
    </w:p>
    <w:p w14:paraId="671F0E54">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6.年初结转和结余：指以前年度尚未完成、结转到本年按有关规定继续使用的资金。</w:t>
      </w:r>
    </w:p>
    <w:p w14:paraId="63C40A6D">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7.结余分配：指事业单位按照会计制度规定缴纳的所得税、提取的专用结余以及转入非财政拨款结余的金额等。</w:t>
      </w:r>
    </w:p>
    <w:p w14:paraId="3878EF6E">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8、年末结转和结余：指单位按有关规定结转到下年或以后年度继续使用的资金。</w:t>
      </w:r>
    </w:p>
    <w:p w14:paraId="0EFB3E16">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9.一般公共服务（类）…（款）…（项）：指……。</w:t>
      </w:r>
    </w:p>
    <w:p w14:paraId="35D889D7">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10.外交（类）…（款）…（项）：指……。</w:t>
      </w:r>
    </w:p>
    <w:p w14:paraId="051A76A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11.公共安全（类）…（款）…（项）：指……。</w:t>
      </w:r>
    </w:p>
    <w:p w14:paraId="7496A60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12.教育（类）…（款）…（项）：指……。</w:t>
      </w:r>
    </w:p>
    <w:p w14:paraId="065C3213">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13.科学技术（类）…（款）…（项）：指……。</w:t>
      </w:r>
    </w:p>
    <w:p w14:paraId="5A04AC55">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14.文化体育与传媒（类）…（款）…（项）：指……。</w:t>
      </w:r>
    </w:p>
    <w:p w14:paraId="1A9DAA2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15.社会保障和就业（类）…（款）…（项）：指……。</w:t>
      </w:r>
    </w:p>
    <w:p w14:paraId="7F73AF50">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16.医疗卫生与计划生育（类）…（款）…（项）：指……。</w:t>
      </w:r>
    </w:p>
    <w:p w14:paraId="18E6B1CA">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17.节能环保（类）…（款）…（项）：指……。</w:t>
      </w:r>
    </w:p>
    <w:p w14:paraId="19026D70">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18.城乡社区（类）…（款）…（项）：指……。</w:t>
      </w:r>
    </w:p>
    <w:p w14:paraId="728918DA">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19.农林水（类）…（款）…（项）：指……。</w:t>
      </w:r>
    </w:p>
    <w:p w14:paraId="264D1685">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20.交通运输（类）…（款）…（项）：指……。</w:t>
      </w:r>
    </w:p>
    <w:p w14:paraId="5F6B15BF">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21.资源勘探信息等（类）…（款）…（项）：指……。</w:t>
      </w:r>
    </w:p>
    <w:p w14:paraId="6E72A5FA">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22.商业服务业（类）…（款）…（项）：指……。</w:t>
      </w:r>
    </w:p>
    <w:p w14:paraId="7F08A9A2">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23.金融（类）…（款）…（项）：指……。</w:t>
      </w:r>
    </w:p>
    <w:p w14:paraId="155AB77A">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24.国土海洋气象等（类）…（款）…（项）：指……。</w:t>
      </w:r>
    </w:p>
    <w:p w14:paraId="0EE5F5FD">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25.住房保障（类）…（款）…（项）：指……。</w:t>
      </w:r>
    </w:p>
    <w:p w14:paraId="678005BB">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26.粮油物资储备（类）…（款）…（项）：指……。</w:t>
      </w:r>
    </w:p>
    <w:p w14:paraId="53A9AFE5">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27.基本支出：指为保障机构正常运转、完成日常工作任务而发生的人员支出和公用支出。</w:t>
      </w:r>
    </w:p>
    <w:p w14:paraId="666BAEB5">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28.项目支出：指在基本支出之外为完成特定行政任务和事业发展目标所发生的支出。</w:t>
      </w:r>
    </w:p>
    <w:p w14:paraId="7FD6641C">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29.经营支出：指事业单位在专业业务活动及其辅助活动之外开展非独立核算经营活动发生的支出。</w:t>
      </w:r>
    </w:p>
    <w:p w14:paraId="48A61446">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B778A6">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AB3BF4">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6475A80B">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37E79C09">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4CFC5EE3">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383C1AB3">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2260A389">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2FBD47BB">
      <w:pPr>
        <w:pStyle w:val="12"/>
        <w:keepNext w:val="0"/>
        <w:keepLines w:val="0"/>
        <w:widowControl/>
        <w:suppressLineNumbers w:val="0"/>
        <w:spacing w:before="0" w:beforeAutospacing="0"/>
        <w:ind w:left="0"/>
        <w:jc w:val="left"/>
      </w:pPr>
      <w:r>
        <w:rPr>
          <w:shd w:val="clear" w:fill="FFFFFF"/>
        </w:rPr>
        <w:t> </w:t>
      </w:r>
    </w:p>
    <w:p w14:paraId="402A5775">
      <w:pPr>
        <w:pStyle w:val="12"/>
        <w:keepNext w:val="0"/>
        <w:keepLines w:val="0"/>
        <w:widowControl/>
        <w:suppressLineNumbers w:val="0"/>
        <w:spacing w:before="0" w:beforeAutospacing="0"/>
        <w:ind w:left="0"/>
        <w:jc w:val="center"/>
        <w:rPr>
          <w:rStyle w:val="15"/>
          <w:sz w:val="39"/>
          <w:szCs w:val="39"/>
          <w:shd w:val="clear" w:fill="FFFFFF"/>
        </w:rPr>
      </w:pPr>
    </w:p>
    <w:p w14:paraId="6381B051">
      <w:pPr>
        <w:pStyle w:val="12"/>
        <w:keepNext w:val="0"/>
        <w:keepLines w:val="0"/>
        <w:widowControl/>
        <w:suppressLineNumbers w:val="0"/>
        <w:spacing w:before="0" w:beforeAutospacing="0"/>
        <w:ind w:left="0"/>
        <w:jc w:val="center"/>
        <w:rPr>
          <w:rStyle w:val="15"/>
          <w:sz w:val="39"/>
          <w:szCs w:val="39"/>
          <w:shd w:val="clear" w:fill="FFFFFF"/>
        </w:rPr>
      </w:pPr>
    </w:p>
    <w:p w14:paraId="28C4DF1E">
      <w:pPr>
        <w:pStyle w:val="12"/>
        <w:keepNext w:val="0"/>
        <w:keepLines w:val="0"/>
        <w:widowControl/>
        <w:suppressLineNumbers w:val="0"/>
        <w:spacing w:before="0" w:beforeAutospacing="0"/>
        <w:ind w:left="0"/>
        <w:jc w:val="center"/>
        <w:rPr>
          <w:rStyle w:val="15"/>
          <w:sz w:val="39"/>
          <w:szCs w:val="39"/>
          <w:shd w:val="clear" w:fill="FFFFFF"/>
        </w:rPr>
      </w:pPr>
    </w:p>
    <w:p w14:paraId="382DE3A7">
      <w:pPr>
        <w:pStyle w:val="12"/>
        <w:keepNext w:val="0"/>
        <w:keepLines w:val="0"/>
        <w:widowControl/>
        <w:suppressLineNumbers w:val="0"/>
        <w:spacing w:before="0" w:beforeAutospacing="0"/>
        <w:ind w:left="0"/>
        <w:jc w:val="center"/>
        <w:rPr>
          <w:rStyle w:val="15"/>
          <w:sz w:val="39"/>
          <w:szCs w:val="39"/>
          <w:shd w:val="clear" w:fill="FFFFFF"/>
        </w:rPr>
      </w:pPr>
    </w:p>
    <w:p w14:paraId="5CE01FBE">
      <w:pPr>
        <w:pStyle w:val="12"/>
        <w:keepNext w:val="0"/>
        <w:keepLines w:val="0"/>
        <w:widowControl/>
        <w:suppressLineNumbers w:val="0"/>
        <w:spacing w:before="0" w:beforeAutospacing="0"/>
        <w:ind w:left="0"/>
        <w:jc w:val="center"/>
        <w:rPr>
          <w:rStyle w:val="15"/>
          <w:sz w:val="39"/>
          <w:szCs w:val="39"/>
          <w:shd w:val="clear" w:fill="FFFFFF"/>
        </w:rPr>
      </w:pPr>
    </w:p>
    <w:p w14:paraId="7ED932F7">
      <w:pPr>
        <w:pStyle w:val="12"/>
        <w:keepNext w:val="0"/>
        <w:keepLines w:val="0"/>
        <w:widowControl/>
        <w:suppressLineNumbers w:val="0"/>
        <w:spacing w:before="0" w:beforeAutospacing="0"/>
        <w:ind w:left="0"/>
        <w:jc w:val="center"/>
        <w:rPr>
          <w:rStyle w:val="15"/>
          <w:sz w:val="39"/>
          <w:szCs w:val="39"/>
          <w:shd w:val="clear" w:fill="FFFFFF"/>
        </w:rPr>
      </w:pPr>
    </w:p>
    <w:p w14:paraId="2D8B23A2">
      <w:pPr>
        <w:pStyle w:val="12"/>
        <w:keepNext w:val="0"/>
        <w:keepLines w:val="0"/>
        <w:widowControl/>
        <w:suppressLineNumbers w:val="0"/>
        <w:spacing w:before="0" w:beforeAutospacing="0"/>
        <w:ind w:left="0"/>
        <w:jc w:val="center"/>
      </w:pPr>
      <w:r>
        <w:rPr>
          <w:rStyle w:val="15"/>
          <w:sz w:val="39"/>
          <w:szCs w:val="39"/>
          <w:shd w:val="clear" w:fill="FFFFFF"/>
        </w:rPr>
        <w:t>第四部分 附件</w:t>
      </w:r>
    </w:p>
    <w:p w14:paraId="4C810341">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shd w:val="clear" w:fill="FFFFFF"/>
        </w:rPr>
        <w:t> </w:t>
      </w:r>
    </w:p>
    <w:p w14:paraId="13121941">
      <w:pPr>
        <w:pStyle w:val="12"/>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部门预算项目支出绩效自评表（</w:t>
      </w: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年度）</w:t>
      </w:r>
    </w:p>
    <w:p w14:paraId="6B5D6F30">
      <w:pPr>
        <w:pStyle w:val="12"/>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14:paraId="64DB7688">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（备注：按照绩效自评工作安排，各单位可在预算管理一体化系统—综合报表查询—预算绩效报表模块中下载本单位“部门预算项目支出绩效自评表（</w:t>
      </w: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年度）”，该表格应作为附件予以公开。）</w:t>
      </w:r>
    </w:p>
    <w:p w14:paraId="64337FD6">
      <w:pPr>
        <w:pStyle w:val="12"/>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14:paraId="21B5E2D3">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附表</w:t>
      </w:r>
    </w:p>
    <w:tbl>
      <w:tblPr>
        <w:tblStyle w:val="13"/>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4"/>
        <w:gridCol w:w="999"/>
        <w:gridCol w:w="1420"/>
        <w:gridCol w:w="1038"/>
        <w:gridCol w:w="1076"/>
        <w:gridCol w:w="2083"/>
      </w:tblGrid>
      <w:tr w14:paraId="69A0E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9570" w:type="dxa"/>
            <w:gridSpan w:val="6"/>
            <w:shd w:val="clear" w:color="auto" w:fill="auto"/>
            <w:noWrap/>
            <w:vAlign w:val="center"/>
          </w:tcPr>
          <w:p w14:paraId="297CE7AD">
            <w:pPr>
              <w:pStyle w:val="12"/>
              <w:keepNext w:val="0"/>
              <w:keepLines w:val="0"/>
              <w:widowControl/>
              <w:suppressLineNumbers w:val="0"/>
              <w:jc w:val="center"/>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lang w:eastAsia="zh-CN"/>
              </w:rPr>
              <w:t>2023</w:t>
            </w:r>
            <w:r>
              <w:rPr>
                <w:rStyle w:val="15"/>
                <w:rFonts w:hint="eastAsia" w:ascii="仿宋_GB2312" w:hAnsi="仿宋_GB2312" w:eastAsia="仿宋_GB2312" w:cs="仿宋_GB2312"/>
                <w:sz w:val="32"/>
                <w:szCs w:val="32"/>
              </w:rPr>
              <w:t>年100万元以上（含）特定目标类部门预算项目绩效目标自评</w:t>
            </w:r>
          </w:p>
        </w:tc>
      </w:tr>
      <w:tr w14:paraId="7527C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shd w:val="clear" w:color="auto" w:fill="auto"/>
            <w:noWrap/>
            <w:vAlign w:val="center"/>
          </w:tcPr>
          <w:p w14:paraId="42190E7F">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主管部门及代码</w:t>
            </w:r>
          </w:p>
        </w:tc>
        <w:tc>
          <w:tcPr>
            <w:tcW w:w="2820" w:type="dxa"/>
            <w:gridSpan w:val="2"/>
            <w:shd w:val="clear" w:color="auto" w:fill="auto"/>
            <w:noWrap/>
            <w:vAlign w:val="center"/>
          </w:tcPr>
          <w:p w14:paraId="42B1D90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6D6C650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实施单位</w:t>
            </w:r>
          </w:p>
        </w:tc>
        <w:tc>
          <w:tcPr>
            <w:tcW w:w="2415" w:type="dxa"/>
            <w:shd w:val="clear" w:color="auto" w:fill="auto"/>
            <w:noWrap/>
            <w:vAlign w:val="center"/>
          </w:tcPr>
          <w:p w14:paraId="5D3D93C0">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C14D5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shd w:val="clear" w:color="auto" w:fill="auto"/>
            <w:noWrap/>
            <w:vAlign w:val="center"/>
          </w:tcPr>
          <w:p w14:paraId="44FB27D1">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项目预算</w:t>
            </w:r>
          </w:p>
          <w:p w14:paraId="10E44618">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执行情况</w:t>
            </w:r>
          </w:p>
          <w:p w14:paraId="23DFC8C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635" w:type="dxa"/>
            <w:shd w:val="clear" w:color="auto" w:fill="auto"/>
            <w:noWrap/>
            <w:vAlign w:val="center"/>
          </w:tcPr>
          <w:p w14:paraId="7C00171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预算数：</w:t>
            </w:r>
          </w:p>
        </w:tc>
        <w:tc>
          <w:tcPr>
            <w:tcW w:w="1185" w:type="dxa"/>
            <w:shd w:val="clear" w:color="auto" w:fill="auto"/>
            <w:noWrap/>
            <w:vAlign w:val="center"/>
          </w:tcPr>
          <w:p w14:paraId="0FFDCA40">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7ADB270">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执行数：</w:t>
            </w:r>
          </w:p>
        </w:tc>
        <w:tc>
          <w:tcPr>
            <w:tcW w:w="2415" w:type="dxa"/>
            <w:shd w:val="clear" w:color="auto" w:fill="auto"/>
            <w:noWrap/>
            <w:vAlign w:val="center"/>
          </w:tcPr>
          <w:p w14:paraId="2891746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4FA7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shd w:val="clear" w:color="auto" w:fill="auto"/>
            <w:noWrap/>
            <w:vAlign w:val="center"/>
          </w:tcPr>
          <w:p w14:paraId="15D2D33A">
            <w:pPr>
              <w:rPr>
                <w:rFonts w:hint="eastAsia" w:ascii="仿宋_GB2312" w:hAnsi="仿宋_GB2312" w:eastAsia="仿宋_GB2312" w:cs="仿宋_GB2312"/>
                <w:sz w:val="32"/>
                <w:szCs w:val="32"/>
              </w:rPr>
            </w:pPr>
          </w:p>
        </w:tc>
        <w:tc>
          <w:tcPr>
            <w:tcW w:w="1635" w:type="dxa"/>
            <w:shd w:val="clear" w:color="auto" w:fill="auto"/>
            <w:noWrap/>
            <w:vAlign w:val="center"/>
          </w:tcPr>
          <w:p w14:paraId="6B7BC40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45D9EFA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w:t>
            </w:r>
          </w:p>
        </w:tc>
        <w:tc>
          <w:tcPr>
            <w:tcW w:w="1185" w:type="dxa"/>
            <w:shd w:val="clear" w:color="auto" w:fill="auto"/>
            <w:noWrap/>
            <w:vAlign w:val="center"/>
          </w:tcPr>
          <w:p w14:paraId="2ABD907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4A5E663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7C8E011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w:t>
            </w:r>
          </w:p>
        </w:tc>
        <w:tc>
          <w:tcPr>
            <w:tcW w:w="2415" w:type="dxa"/>
            <w:shd w:val="clear" w:color="auto" w:fill="auto"/>
            <w:noWrap/>
            <w:vAlign w:val="center"/>
          </w:tcPr>
          <w:p w14:paraId="0CFD3F14">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7DA5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shd w:val="clear" w:color="auto" w:fill="auto"/>
            <w:noWrap/>
            <w:vAlign w:val="center"/>
          </w:tcPr>
          <w:p w14:paraId="20BB3100">
            <w:pPr>
              <w:rPr>
                <w:rFonts w:hint="eastAsia" w:ascii="仿宋_GB2312" w:hAnsi="仿宋_GB2312" w:eastAsia="仿宋_GB2312" w:cs="仿宋_GB2312"/>
                <w:sz w:val="32"/>
                <w:szCs w:val="32"/>
              </w:rPr>
            </w:pPr>
          </w:p>
        </w:tc>
        <w:tc>
          <w:tcPr>
            <w:tcW w:w="1635" w:type="dxa"/>
            <w:shd w:val="clear" w:color="auto" w:fill="auto"/>
            <w:noWrap/>
            <w:vAlign w:val="center"/>
          </w:tcPr>
          <w:p w14:paraId="4D0B060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其他资金</w:t>
            </w:r>
          </w:p>
        </w:tc>
        <w:tc>
          <w:tcPr>
            <w:tcW w:w="1185" w:type="dxa"/>
            <w:shd w:val="clear" w:color="auto" w:fill="auto"/>
            <w:noWrap/>
            <w:vAlign w:val="center"/>
          </w:tcPr>
          <w:p w14:paraId="7C912601">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29340F0">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其他资金</w:t>
            </w:r>
          </w:p>
        </w:tc>
        <w:tc>
          <w:tcPr>
            <w:tcW w:w="2415" w:type="dxa"/>
            <w:shd w:val="clear" w:color="auto" w:fill="auto"/>
            <w:noWrap/>
            <w:vAlign w:val="center"/>
          </w:tcPr>
          <w:p w14:paraId="7A2AC0DF">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1306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shd w:val="clear" w:color="auto" w:fill="auto"/>
            <w:noWrap/>
            <w:vAlign w:val="center"/>
          </w:tcPr>
          <w:p w14:paraId="1DC44CC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年度总体目标</w:t>
            </w:r>
          </w:p>
          <w:p w14:paraId="5BBFC56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完成情况</w:t>
            </w:r>
          </w:p>
        </w:tc>
        <w:tc>
          <w:tcPr>
            <w:tcW w:w="3960" w:type="dxa"/>
            <w:gridSpan w:val="3"/>
            <w:shd w:val="clear" w:color="auto" w:fill="auto"/>
            <w:noWrap/>
            <w:vAlign w:val="center"/>
          </w:tcPr>
          <w:p w14:paraId="005C270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w:t>
            </w:r>
          </w:p>
        </w:tc>
        <w:tc>
          <w:tcPr>
            <w:tcW w:w="3630" w:type="dxa"/>
            <w:gridSpan w:val="2"/>
            <w:shd w:val="clear" w:color="auto" w:fill="auto"/>
            <w:noWrap/>
            <w:vAlign w:val="center"/>
          </w:tcPr>
          <w:p w14:paraId="5AD40632">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目标实际完成情况</w:t>
            </w:r>
          </w:p>
        </w:tc>
      </w:tr>
      <w:tr w14:paraId="1B998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shd w:val="clear" w:color="auto" w:fill="auto"/>
            <w:noWrap/>
            <w:vAlign w:val="center"/>
          </w:tcPr>
          <w:p w14:paraId="3651045B">
            <w:pPr>
              <w:rPr>
                <w:rFonts w:hint="eastAsia" w:ascii="仿宋_GB2312" w:hAnsi="仿宋_GB2312" w:eastAsia="仿宋_GB2312" w:cs="仿宋_GB2312"/>
                <w:sz w:val="32"/>
                <w:szCs w:val="32"/>
              </w:rPr>
            </w:pPr>
          </w:p>
        </w:tc>
        <w:tc>
          <w:tcPr>
            <w:tcW w:w="3960" w:type="dxa"/>
            <w:gridSpan w:val="3"/>
            <w:shd w:val="clear" w:color="auto" w:fill="auto"/>
            <w:noWrap/>
            <w:vAlign w:val="center"/>
          </w:tcPr>
          <w:p w14:paraId="3B32213C">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630" w:type="dxa"/>
            <w:gridSpan w:val="2"/>
            <w:shd w:val="clear" w:color="auto" w:fill="auto"/>
            <w:noWrap/>
            <w:vAlign w:val="center"/>
          </w:tcPr>
          <w:p w14:paraId="24B89D8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1157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shd w:val="clear" w:color="auto" w:fill="auto"/>
            <w:noWrap/>
            <w:vAlign w:val="center"/>
          </w:tcPr>
          <w:p w14:paraId="2824E92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年度绩效指标完成情况</w:t>
            </w:r>
          </w:p>
        </w:tc>
        <w:tc>
          <w:tcPr>
            <w:tcW w:w="1140" w:type="dxa"/>
            <w:shd w:val="clear" w:color="auto" w:fill="auto"/>
            <w:noWrap/>
            <w:vAlign w:val="center"/>
          </w:tcPr>
          <w:p w14:paraId="607B1B01">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w:t>
            </w:r>
          </w:p>
          <w:p w14:paraId="6C09DE5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40F59BF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w:t>
            </w:r>
          </w:p>
          <w:p w14:paraId="10ADB8F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185" w:type="dxa"/>
            <w:shd w:val="clear" w:color="auto" w:fill="auto"/>
            <w:noWrap/>
            <w:vAlign w:val="center"/>
          </w:tcPr>
          <w:p w14:paraId="5A4D6D8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w:t>
            </w:r>
          </w:p>
          <w:p w14:paraId="2D037EE8">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230" w:type="dxa"/>
            <w:shd w:val="clear" w:color="auto" w:fill="auto"/>
            <w:noWrap/>
            <w:vAlign w:val="center"/>
          </w:tcPr>
          <w:p w14:paraId="72F183D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预期指标值</w:t>
            </w:r>
          </w:p>
        </w:tc>
        <w:tc>
          <w:tcPr>
            <w:tcW w:w="2415" w:type="dxa"/>
            <w:shd w:val="clear" w:color="auto" w:fill="auto"/>
            <w:noWrap/>
            <w:vAlign w:val="center"/>
          </w:tcPr>
          <w:p w14:paraId="5B57FEE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实际完成指标值</w:t>
            </w:r>
          </w:p>
        </w:tc>
      </w:tr>
      <w:tr w14:paraId="7F85D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2B9CE8FC">
            <w:pPr>
              <w:rPr>
                <w:rFonts w:hint="eastAsia" w:ascii="仿宋_GB2312" w:hAnsi="仿宋_GB2312" w:eastAsia="仿宋_GB2312" w:cs="仿宋_GB2312"/>
                <w:sz w:val="32"/>
                <w:szCs w:val="32"/>
              </w:rPr>
            </w:pPr>
          </w:p>
        </w:tc>
        <w:tc>
          <w:tcPr>
            <w:tcW w:w="1140" w:type="dxa"/>
            <w:vMerge w:val="restart"/>
            <w:shd w:val="clear" w:color="auto" w:fill="auto"/>
            <w:noWrap/>
            <w:vAlign w:val="center"/>
          </w:tcPr>
          <w:p w14:paraId="06892AD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w:t>
            </w:r>
          </w:p>
          <w:p w14:paraId="6DE9377A">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10DE01B2">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w:t>
            </w:r>
          </w:p>
        </w:tc>
        <w:tc>
          <w:tcPr>
            <w:tcW w:w="1185" w:type="dxa"/>
            <w:shd w:val="clear" w:color="auto" w:fill="auto"/>
            <w:noWrap/>
            <w:vAlign w:val="center"/>
          </w:tcPr>
          <w:p w14:paraId="68F2CE4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570BA49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7954376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65F31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78762AAD">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20B560B4">
            <w:pPr>
              <w:rPr>
                <w:rFonts w:hint="eastAsia" w:ascii="仿宋_GB2312" w:hAnsi="仿宋_GB2312" w:eastAsia="仿宋_GB2312" w:cs="仿宋_GB2312"/>
                <w:sz w:val="32"/>
                <w:szCs w:val="32"/>
              </w:rPr>
            </w:pPr>
          </w:p>
        </w:tc>
        <w:tc>
          <w:tcPr>
            <w:tcW w:w="1635" w:type="dxa"/>
            <w:shd w:val="clear" w:color="auto" w:fill="auto"/>
            <w:noWrap/>
            <w:vAlign w:val="center"/>
          </w:tcPr>
          <w:p w14:paraId="197649FC">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p>
        </w:tc>
        <w:tc>
          <w:tcPr>
            <w:tcW w:w="1185" w:type="dxa"/>
            <w:shd w:val="clear" w:color="auto" w:fill="auto"/>
            <w:noWrap/>
            <w:vAlign w:val="center"/>
          </w:tcPr>
          <w:p w14:paraId="641BD8C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3A620CA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6E044582">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7A83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18683215">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1822F5A9">
            <w:pPr>
              <w:rPr>
                <w:rFonts w:hint="eastAsia" w:ascii="仿宋_GB2312" w:hAnsi="仿宋_GB2312" w:eastAsia="仿宋_GB2312" w:cs="仿宋_GB2312"/>
                <w:sz w:val="32"/>
                <w:szCs w:val="32"/>
              </w:rPr>
            </w:pPr>
          </w:p>
        </w:tc>
        <w:tc>
          <w:tcPr>
            <w:tcW w:w="1635" w:type="dxa"/>
            <w:shd w:val="clear" w:color="auto" w:fill="auto"/>
            <w:noWrap/>
            <w:vAlign w:val="center"/>
          </w:tcPr>
          <w:p w14:paraId="2588F8B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w:t>
            </w:r>
          </w:p>
        </w:tc>
        <w:tc>
          <w:tcPr>
            <w:tcW w:w="1185" w:type="dxa"/>
            <w:shd w:val="clear" w:color="auto" w:fill="auto"/>
            <w:noWrap/>
            <w:vAlign w:val="center"/>
          </w:tcPr>
          <w:p w14:paraId="40E5DC4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26F6976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5976229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5590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588B2776">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71E0739E">
            <w:pPr>
              <w:rPr>
                <w:rFonts w:hint="eastAsia" w:ascii="仿宋_GB2312" w:hAnsi="仿宋_GB2312" w:eastAsia="仿宋_GB2312" w:cs="仿宋_GB2312"/>
                <w:sz w:val="32"/>
                <w:szCs w:val="32"/>
              </w:rPr>
            </w:pPr>
          </w:p>
        </w:tc>
        <w:tc>
          <w:tcPr>
            <w:tcW w:w="1635" w:type="dxa"/>
            <w:shd w:val="clear" w:color="auto" w:fill="auto"/>
            <w:noWrap/>
            <w:vAlign w:val="center"/>
          </w:tcPr>
          <w:p w14:paraId="68A9402F">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w:t>
            </w:r>
          </w:p>
        </w:tc>
        <w:tc>
          <w:tcPr>
            <w:tcW w:w="1185" w:type="dxa"/>
            <w:shd w:val="clear" w:color="auto" w:fill="auto"/>
            <w:noWrap/>
            <w:vAlign w:val="center"/>
          </w:tcPr>
          <w:p w14:paraId="4A49BC5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746D3DDC">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4C28583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6C886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62EB7B84">
            <w:pPr>
              <w:rPr>
                <w:rFonts w:hint="eastAsia" w:ascii="仿宋_GB2312" w:hAnsi="仿宋_GB2312" w:eastAsia="仿宋_GB2312" w:cs="仿宋_GB2312"/>
                <w:sz w:val="32"/>
                <w:szCs w:val="32"/>
              </w:rPr>
            </w:pPr>
          </w:p>
        </w:tc>
        <w:tc>
          <w:tcPr>
            <w:tcW w:w="1140" w:type="dxa"/>
            <w:vMerge w:val="restart"/>
            <w:shd w:val="clear" w:color="auto" w:fill="auto"/>
            <w:noWrap/>
            <w:vAlign w:val="center"/>
          </w:tcPr>
          <w:p w14:paraId="446E0B8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效益</w:t>
            </w:r>
          </w:p>
          <w:p w14:paraId="400464C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78AB740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经济效益指标</w:t>
            </w:r>
          </w:p>
        </w:tc>
        <w:tc>
          <w:tcPr>
            <w:tcW w:w="1185" w:type="dxa"/>
            <w:shd w:val="clear" w:color="auto" w:fill="auto"/>
            <w:noWrap/>
            <w:vAlign w:val="center"/>
          </w:tcPr>
          <w:p w14:paraId="7CB76CA8">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5102BFD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5779A97E">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6FB3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1EB82D3F">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7976F9C">
            <w:pPr>
              <w:rPr>
                <w:rFonts w:hint="eastAsia" w:ascii="仿宋_GB2312" w:hAnsi="仿宋_GB2312" w:eastAsia="仿宋_GB2312" w:cs="仿宋_GB2312"/>
                <w:sz w:val="32"/>
                <w:szCs w:val="32"/>
              </w:rPr>
            </w:pPr>
          </w:p>
        </w:tc>
        <w:tc>
          <w:tcPr>
            <w:tcW w:w="1635" w:type="dxa"/>
            <w:shd w:val="clear" w:color="auto" w:fill="auto"/>
            <w:noWrap/>
            <w:vAlign w:val="center"/>
          </w:tcPr>
          <w:p w14:paraId="69298E3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w:t>
            </w:r>
          </w:p>
        </w:tc>
        <w:tc>
          <w:tcPr>
            <w:tcW w:w="1185" w:type="dxa"/>
            <w:shd w:val="clear" w:color="auto" w:fill="auto"/>
            <w:noWrap/>
            <w:vAlign w:val="center"/>
          </w:tcPr>
          <w:p w14:paraId="36BCED9E">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3084CB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403C2543">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FB05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shd w:val="clear" w:color="auto" w:fill="auto"/>
            <w:noWrap/>
            <w:vAlign w:val="center"/>
          </w:tcPr>
          <w:p w14:paraId="0C15AE7F">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9C1D988">
            <w:pPr>
              <w:rPr>
                <w:rFonts w:hint="eastAsia" w:ascii="仿宋_GB2312" w:hAnsi="仿宋_GB2312" w:eastAsia="仿宋_GB2312" w:cs="仿宋_GB2312"/>
                <w:sz w:val="32"/>
                <w:szCs w:val="32"/>
              </w:rPr>
            </w:pPr>
          </w:p>
        </w:tc>
        <w:tc>
          <w:tcPr>
            <w:tcW w:w="1635" w:type="dxa"/>
            <w:shd w:val="clear" w:color="auto" w:fill="auto"/>
            <w:noWrap/>
            <w:vAlign w:val="center"/>
          </w:tcPr>
          <w:p w14:paraId="24566928">
            <w:pPr>
              <w:pStyle w:val="12"/>
              <w:keepNext w:val="0"/>
              <w:keepLines w:val="0"/>
              <w:widowControl/>
              <w:suppressLineNumbers w:val="0"/>
              <w:ind w:left="42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生态效益指标</w:t>
            </w:r>
          </w:p>
        </w:tc>
        <w:tc>
          <w:tcPr>
            <w:tcW w:w="1185" w:type="dxa"/>
            <w:shd w:val="clear" w:color="auto" w:fill="auto"/>
            <w:noWrap/>
            <w:vAlign w:val="center"/>
          </w:tcPr>
          <w:p w14:paraId="6104D9E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605B60F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0D6E903A">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D72B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516F1458">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83CB9C5">
            <w:pPr>
              <w:rPr>
                <w:rFonts w:hint="eastAsia" w:ascii="仿宋_GB2312" w:hAnsi="仿宋_GB2312" w:eastAsia="仿宋_GB2312" w:cs="仿宋_GB2312"/>
                <w:sz w:val="32"/>
                <w:szCs w:val="32"/>
              </w:rPr>
            </w:pPr>
          </w:p>
        </w:tc>
        <w:tc>
          <w:tcPr>
            <w:tcW w:w="1635" w:type="dxa"/>
            <w:shd w:val="clear" w:color="auto" w:fill="auto"/>
            <w:noWrap/>
            <w:vAlign w:val="center"/>
          </w:tcPr>
          <w:p w14:paraId="71172D5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可持续影响指标</w:t>
            </w:r>
          </w:p>
        </w:tc>
        <w:tc>
          <w:tcPr>
            <w:tcW w:w="1185" w:type="dxa"/>
            <w:shd w:val="clear" w:color="auto" w:fill="auto"/>
            <w:noWrap/>
            <w:vAlign w:val="center"/>
          </w:tcPr>
          <w:p w14:paraId="3852EA19">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412DA05A">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2350B4EA">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75C7D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shd w:val="clear" w:color="auto" w:fill="auto"/>
            <w:noWrap/>
            <w:vAlign w:val="center"/>
          </w:tcPr>
          <w:p w14:paraId="55052632">
            <w:pPr>
              <w:rPr>
                <w:rFonts w:hint="eastAsia" w:ascii="仿宋_GB2312" w:hAnsi="仿宋_GB2312" w:eastAsia="仿宋_GB2312" w:cs="仿宋_GB2312"/>
                <w:sz w:val="32"/>
                <w:szCs w:val="32"/>
              </w:rPr>
            </w:pPr>
          </w:p>
        </w:tc>
        <w:tc>
          <w:tcPr>
            <w:tcW w:w="1140" w:type="dxa"/>
            <w:shd w:val="clear" w:color="auto" w:fill="auto"/>
            <w:noWrap/>
            <w:vAlign w:val="center"/>
          </w:tcPr>
          <w:p w14:paraId="500622ED">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w:t>
            </w:r>
          </w:p>
          <w:p w14:paraId="0EFBD416">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度指标</w:t>
            </w:r>
          </w:p>
        </w:tc>
        <w:tc>
          <w:tcPr>
            <w:tcW w:w="1635" w:type="dxa"/>
            <w:shd w:val="clear" w:color="auto" w:fill="auto"/>
            <w:noWrap/>
            <w:vAlign w:val="center"/>
          </w:tcPr>
          <w:p w14:paraId="00B41A6C">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w:t>
            </w:r>
          </w:p>
          <w:p w14:paraId="2DB2712B">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185" w:type="dxa"/>
            <w:shd w:val="clear" w:color="auto" w:fill="auto"/>
            <w:noWrap/>
            <w:vAlign w:val="center"/>
          </w:tcPr>
          <w:p w14:paraId="220735E5">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B0B1FC7">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0ECB5CDA">
            <w:pPr>
              <w:pStyle w:val="12"/>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bl>
    <w:p w14:paraId="0EC92EDE">
      <w:pPr>
        <w:pStyle w:val="12"/>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（注：有两个及以上100万元以上（含）特定目标类部门预算项目的，需分别开展绩效目标自评并填写附表）</w:t>
      </w:r>
    </w:p>
    <w:p w14:paraId="0DD003B2">
      <w:pPr>
        <w:pStyle w:val="12"/>
        <w:keepNext w:val="0"/>
        <w:keepLines w:val="0"/>
        <w:widowControl/>
        <w:suppressLineNumbers w:val="0"/>
        <w:spacing w:before="0" w:beforeAutospacing="0"/>
        <w:ind w:left="0"/>
        <w:jc w:val="left"/>
      </w:pPr>
      <w:r>
        <w:rPr>
          <w:shd w:val="clear" w:fill="FFFFFF"/>
        </w:rPr>
        <w:t> </w:t>
      </w:r>
    </w:p>
    <w:p w14:paraId="47ED50EA">
      <w:pPr>
        <w:pStyle w:val="12"/>
        <w:keepNext w:val="0"/>
        <w:keepLines w:val="0"/>
        <w:widowControl/>
        <w:suppressLineNumbers w:val="0"/>
        <w:spacing w:before="0" w:beforeAutospacing="0"/>
        <w:ind w:left="0"/>
        <w:jc w:val="left"/>
      </w:pPr>
      <w:r>
        <w:rPr>
          <w:shd w:val="clear" w:fill="FFFFFF"/>
        </w:rPr>
        <w:t> </w:t>
      </w:r>
    </w:p>
    <w:p w14:paraId="73CA2608">
      <w:pPr>
        <w:pStyle w:val="12"/>
        <w:keepNext w:val="0"/>
        <w:keepLines w:val="0"/>
        <w:widowControl/>
        <w:suppressLineNumbers w:val="0"/>
        <w:spacing w:before="0" w:beforeAutospacing="0"/>
        <w:ind w:left="0"/>
        <w:jc w:val="left"/>
        <w:rPr>
          <w:shd w:val="clear" w:fill="FFFFFF"/>
        </w:rPr>
      </w:pPr>
      <w:r>
        <w:rPr>
          <w:shd w:val="clear" w:fill="FFFFFF"/>
        </w:rPr>
        <w:t> </w:t>
      </w:r>
    </w:p>
    <w:p w14:paraId="289378C8">
      <w:pPr>
        <w:pStyle w:val="12"/>
        <w:keepNext w:val="0"/>
        <w:keepLines w:val="0"/>
        <w:widowControl/>
        <w:suppressLineNumbers w:val="0"/>
        <w:spacing w:before="0" w:beforeAutospacing="0"/>
        <w:ind w:left="0"/>
        <w:jc w:val="left"/>
        <w:rPr>
          <w:shd w:val="clear" w:fill="FFFFFF"/>
        </w:rPr>
      </w:pPr>
    </w:p>
    <w:p w14:paraId="2F4FD820">
      <w:pPr>
        <w:pStyle w:val="12"/>
        <w:keepNext w:val="0"/>
        <w:keepLines w:val="0"/>
        <w:widowControl/>
        <w:suppressLineNumbers w:val="0"/>
        <w:spacing w:before="0" w:beforeAutospacing="0"/>
        <w:ind w:left="0"/>
        <w:jc w:val="left"/>
        <w:rPr>
          <w:shd w:val="clear" w:fill="FFFFFF"/>
        </w:rPr>
      </w:pPr>
    </w:p>
    <w:p w14:paraId="76DEE7AE">
      <w:pPr>
        <w:pStyle w:val="12"/>
        <w:keepNext w:val="0"/>
        <w:keepLines w:val="0"/>
        <w:widowControl/>
        <w:suppressLineNumbers w:val="0"/>
        <w:spacing w:before="0" w:beforeAutospacing="0"/>
        <w:ind w:left="0"/>
        <w:jc w:val="left"/>
        <w:rPr>
          <w:shd w:val="clear" w:fill="FFFFFF"/>
        </w:rPr>
      </w:pPr>
    </w:p>
    <w:p w14:paraId="1E3ED0C2">
      <w:pPr>
        <w:pStyle w:val="12"/>
        <w:keepNext w:val="0"/>
        <w:keepLines w:val="0"/>
        <w:widowControl/>
        <w:suppressLineNumbers w:val="0"/>
        <w:spacing w:before="0" w:beforeAutospacing="0"/>
        <w:ind w:left="0"/>
        <w:jc w:val="center"/>
      </w:pPr>
      <w:r>
        <w:rPr>
          <w:rStyle w:val="15"/>
          <w:sz w:val="39"/>
          <w:szCs w:val="39"/>
          <w:shd w:val="clear" w:fill="FFFFFF"/>
        </w:rPr>
        <w:t>第五部分 附表</w:t>
      </w:r>
    </w:p>
    <w:p w14:paraId="2B4637B5">
      <w:pPr>
        <w:pStyle w:val="5"/>
        <w:keepNext w:val="0"/>
        <w:keepLines w:val="0"/>
        <w:widowControl/>
        <w:suppressLineNumbers w:val="0"/>
        <w:spacing w:before="0" w:beforeAutospacing="0"/>
        <w:ind w:left="0"/>
        <w:jc w:val="left"/>
      </w:pPr>
      <w:r>
        <w:rPr>
          <w:shd w:val="clear" w:fill="FFFFFF"/>
        </w:rPr>
        <w:t>一、收入支出决算总表</w:t>
      </w:r>
    </w:p>
    <w:p w14:paraId="3CF809C5">
      <w:pPr>
        <w:pStyle w:val="5"/>
        <w:keepNext w:val="0"/>
        <w:keepLines w:val="0"/>
        <w:widowControl/>
        <w:suppressLineNumbers w:val="0"/>
        <w:spacing w:before="0" w:beforeAutospacing="0"/>
        <w:ind w:left="0"/>
        <w:jc w:val="left"/>
      </w:pPr>
      <w:r>
        <w:rPr>
          <w:shd w:val="clear" w:fill="FFFFFF"/>
        </w:rPr>
        <w:t>二、收入决算表</w:t>
      </w:r>
    </w:p>
    <w:p w14:paraId="36797E5A">
      <w:pPr>
        <w:pStyle w:val="5"/>
        <w:keepNext w:val="0"/>
        <w:keepLines w:val="0"/>
        <w:widowControl/>
        <w:suppressLineNumbers w:val="0"/>
        <w:spacing w:before="0" w:beforeAutospacing="0"/>
        <w:ind w:left="0"/>
        <w:jc w:val="left"/>
      </w:pPr>
      <w:r>
        <w:rPr>
          <w:shd w:val="clear" w:fill="FFFFFF"/>
        </w:rPr>
        <w:t>三、支出决算表</w:t>
      </w:r>
    </w:p>
    <w:p w14:paraId="2FBB29C0">
      <w:pPr>
        <w:pStyle w:val="5"/>
        <w:keepNext w:val="0"/>
        <w:keepLines w:val="0"/>
        <w:widowControl/>
        <w:suppressLineNumbers w:val="0"/>
        <w:spacing w:before="0" w:beforeAutospacing="0"/>
        <w:ind w:left="0"/>
        <w:jc w:val="left"/>
      </w:pPr>
      <w:r>
        <w:rPr>
          <w:shd w:val="clear" w:fill="FFFFFF"/>
        </w:rPr>
        <w:t>四、财政拨款收入支出决算总表</w:t>
      </w:r>
    </w:p>
    <w:p w14:paraId="7E5E4EEB">
      <w:pPr>
        <w:pStyle w:val="5"/>
        <w:keepNext w:val="0"/>
        <w:keepLines w:val="0"/>
        <w:widowControl/>
        <w:suppressLineNumbers w:val="0"/>
        <w:spacing w:before="0" w:beforeAutospacing="0"/>
        <w:ind w:left="0"/>
        <w:jc w:val="left"/>
      </w:pPr>
      <w:r>
        <w:rPr>
          <w:shd w:val="clear" w:fill="FFFFFF"/>
        </w:rPr>
        <w:t>五、财政拨款支出决算明细表</w:t>
      </w:r>
    </w:p>
    <w:p w14:paraId="575DC132">
      <w:pPr>
        <w:pStyle w:val="5"/>
        <w:keepNext w:val="0"/>
        <w:keepLines w:val="0"/>
        <w:widowControl/>
        <w:suppressLineNumbers w:val="0"/>
        <w:spacing w:before="0" w:beforeAutospacing="0"/>
        <w:ind w:left="0"/>
        <w:jc w:val="left"/>
      </w:pPr>
      <w:r>
        <w:rPr>
          <w:shd w:val="clear" w:fill="FFFFFF"/>
        </w:rPr>
        <w:t>六、一般公共预算财政拨款支出决算表</w:t>
      </w:r>
    </w:p>
    <w:p w14:paraId="29C4C953">
      <w:pPr>
        <w:pStyle w:val="5"/>
        <w:keepNext w:val="0"/>
        <w:keepLines w:val="0"/>
        <w:widowControl/>
        <w:suppressLineNumbers w:val="0"/>
        <w:spacing w:before="0" w:beforeAutospacing="0"/>
        <w:ind w:left="0"/>
        <w:jc w:val="left"/>
      </w:pPr>
      <w:r>
        <w:rPr>
          <w:shd w:val="clear" w:fill="FFFFFF"/>
        </w:rPr>
        <w:t>七、一般公共预算财政拨款支出决算明细表</w:t>
      </w:r>
    </w:p>
    <w:p w14:paraId="1F58A824">
      <w:pPr>
        <w:pStyle w:val="5"/>
        <w:keepNext w:val="0"/>
        <w:keepLines w:val="0"/>
        <w:widowControl/>
        <w:suppressLineNumbers w:val="0"/>
        <w:spacing w:before="0" w:beforeAutospacing="0"/>
        <w:ind w:left="0"/>
        <w:jc w:val="left"/>
      </w:pPr>
      <w:r>
        <w:rPr>
          <w:shd w:val="clear" w:fill="FFFFFF"/>
        </w:rPr>
        <w:t>八、一般公共预算财政拨款基本支出决算表</w:t>
      </w:r>
    </w:p>
    <w:p w14:paraId="3BFEB418">
      <w:pPr>
        <w:pStyle w:val="5"/>
        <w:keepNext w:val="0"/>
        <w:keepLines w:val="0"/>
        <w:widowControl/>
        <w:suppressLineNumbers w:val="0"/>
        <w:spacing w:before="0" w:beforeAutospacing="0"/>
        <w:ind w:left="0"/>
        <w:jc w:val="left"/>
      </w:pPr>
      <w:r>
        <w:rPr>
          <w:shd w:val="clear" w:fill="FFFFFF"/>
        </w:rPr>
        <w:t>九、一般公共预算财政拨款项目支出决算表</w:t>
      </w:r>
    </w:p>
    <w:p w14:paraId="4E90AB0E">
      <w:pPr>
        <w:pStyle w:val="5"/>
        <w:keepNext w:val="0"/>
        <w:keepLines w:val="0"/>
        <w:widowControl/>
        <w:suppressLineNumbers w:val="0"/>
        <w:spacing w:before="0" w:beforeAutospacing="0"/>
        <w:ind w:left="0"/>
        <w:jc w:val="left"/>
      </w:pPr>
      <w:r>
        <w:rPr>
          <w:shd w:val="clear" w:fill="FFFFFF"/>
        </w:rPr>
        <w:t>十、政府性基金预算财政拨款收入支出决算表</w:t>
      </w:r>
    </w:p>
    <w:p w14:paraId="3A1A7A12">
      <w:pPr>
        <w:pStyle w:val="5"/>
        <w:keepNext w:val="0"/>
        <w:keepLines w:val="0"/>
        <w:widowControl/>
        <w:suppressLineNumbers w:val="0"/>
        <w:spacing w:before="0" w:beforeAutospacing="0"/>
        <w:ind w:left="0"/>
        <w:jc w:val="left"/>
      </w:pPr>
      <w:r>
        <w:rPr>
          <w:shd w:val="clear" w:fill="FFFFFF"/>
        </w:rPr>
        <w:t>十一、国有资本经营预算财政拨款收入支出决算表</w:t>
      </w:r>
    </w:p>
    <w:p w14:paraId="678BD59A">
      <w:pPr>
        <w:pStyle w:val="5"/>
        <w:keepNext w:val="0"/>
        <w:keepLines w:val="0"/>
        <w:widowControl/>
        <w:suppressLineNumbers w:val="0"/>
        <w:spacing w:before="0" w:beforeAutospacing="0"/>
        <w:ind w:left="0"/>
        <w:jc w:val="left"/>
      </w:pPr>
      <w:r>
        <w:rPr>
          <w:shd w:val="clear" w:fill="FFFFFF"/>
        </w:rPr>
        <w:t>十二、国有资本经营预算财政拨款支出决算表</w:t>
      </w:r>
    </w:p>
    <w:p w14:paraId="026DCA05">
      <w:pPr>
        <w:pStyle w:val="5"/>
        <w:keepNext w:val="0"/>
        <w:keepLines w:val="0"/>
        <w:widowControl/>
        <w:suppressLineNumbers w:val="0"/>
        <w:spacing w:before="0" w:beforeAutospacing="0"/>
        <w:ind w:left="0"/>
        <w:jc w:val="left"/>
      </w:pPr>
      <w:r>
        <w:rPr>
          <w:shd w:val="clear" w:fill="FFFFFF"/>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2063F66"/>
    <w:rsid w:val="2CAE196A"/>
    <w:rsid w:val="5B9878FB"/>
    <w:rsid w:val="6C0A3993"/>
    <w:rsid w:val="6D087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0" w:afterAutospacing="0" w:line="540" w:lineRule="exact"/>
      <w:ind w:left="0" w:right="0" w:firstLine="420" w:firstLineChars="200"/>
      <w:jc w:val="left"/>
    </w:pPr>
    <w:rPr>
      <w:rFonts w:hint="default" w:ascii="Times New Roman" w:hAnsi="Times New Roman" w:eastAsia="仿宋_GB2312" w:cs="宋体"/>
      <w:kern w:val="0"/>
      <w:sz w:val="32"/>
      <w:szCs w:val="32"/>
      <w:lang w:val="en-US" w:eastAsia="zh-CN" w:bidi="ar"/>
    </w:rPr>
  </w:style>
  <w:style w:type="paragraph" w:styleId="3">
    <w:name w:val="Body Text Indent"/>
    <w:basedOn w:val="1"/>
    <w:uiPriority w:val="0"/>
    <w:pPr>
      <w:spacing w:before="0" w:beforeAutospacing="0" w:after="0" w:afterAutospacing="0" w:line="540" w:lineRule="exact"/>
      <w:ind w:left="0" w:right="0" w:firstLine="640" w:firstLineChars="200"/>
      <w:jc w:val="left"/>
    </w:pPr>
    <w:rPr>
      <w:rFonts w:hint="default" w:ascii="Times New Roman" w:hAnsi="Times New Roman" w:eastAsia="仿宋_GB2312" w:cs="宋体"/>
      <w:kern w:val="0"/>
      <w:sz w:val="32"/>
      <w:szCs w:val="32"/>
      <w:lang w:val="en-US" w:eastAsia="zh-CN" w:bidi="ar"/>
    </w:rPr>
  </w:style>
  <w:style w:type="paragraph" w:styleId="10">
    <w:name w:val="Body Text"/>
    <w:basedOn w:val="1"/>
    <w:qFormat/>
    <w:uiPriority w:val="99"/>
    <w:pPr>
      <w:spacing w:before="0" w:beforeLines="30" w:beforeAutospacing="0" w:after="0" w:afterAutospacing="0"/>
      <w:ind w:left="0" w:right="0"/>
      <w:jc w:val="left"/>
    </w:pPr>
    <w:rPr>
      <w:rFonts w:hint="eastAsia" w:ascii="仿宋_GB2312" w:hAnsi="宋体" w:eastAsia="仿宋_GB2312" w:cs="宋体"/>
      <w:kern w:val="0"/>
      <w:sz w:val="24"/>
      <w:szCs w:val="24"/>
      <w:lang w:val="en-US" w:eastAsia="zh-CN" w:bidi="ar"/>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6266</Words>
  <Characters>6891</Characters>
  <TotalTime>12</TotalTime>
  <ScaleCrop>false</ScaleCrop>
  <LinksUpToDate>false</LinksUpToDate>
  <CharactersWithSpaces>6997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2023-09-11T03:03:00Z</dcterms:created>
  <dc:creator>Administrator</dc:creator>
  <cp:lastModifiedBy>奕夕^_^</cp:lastModifiedBy>
  <dcterms:modified xsi:type="dcterms:W3CDTF">2024-09-19T09:41:12Z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A256E86625924AB0919B619DC93FBC3C_13</vt:lpwstr>
  </property>
</Properties>
</file>