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62E4C0">
      <w:pPr>
        <w:pStyle w:val="11"/>
        <w:spacing w:before="0" w:beforeAutospacing="0"/>
        <w:jc w:val="center"/>
        <w:rPr>
          <w:sz w:val="42"/>
          <w:szCs w:val="42"/>
          <w:shd w:val="clear" w:color="auto" w:fill="FFFFFF"/>
        </w:rPr>
      </w:pPr>
    </w:p>
    <w:p w14:paraId="75D389A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2024年度</w:t>
      </w:r>
    </w:p>
    <w:p w14:paraId="25C8317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阿坝州松潘县镇坪乡人民政府单位决算</w:t>
      </w:r>
    </w:p>
    <w:p w14:paraId="1B7078F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单位公开范本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）</w:t>
      </w:r>
    </w:p>
    <w:p w14:paraId="79E59F5D">
      <w:pPr>
        <w:pStyle w:val="11"/>
        <w:spacing w:before="0" w:beforeAutospacing="0"/>
        <w:jc w:val="center"/>
        <w:rPr>
          <w:shd w:val="clear" w:color="auto" w:fill="FFFFFF"/>
        </w:rPr>
      </w:pPr>
    </w:p>
    <w:p w14:paraId="7F91A0BA">
      <w:pPr>
        <w:pStyle w:val="11"/>
        <w:spacing w:before="0" w:beforeAutospacing="0"/>
        <w:jc w:val="center"/>
        <w:rPr>
          <w:shd w:val="clear" w:color="auto" w:fill="FFFFFF"/>
        </w:rPr>
      </w:pPr>
    </w:p>
    <w:p w14:paraId="6B21FAE1">
      <w:pPr>
        <w:pStyle w:val="11"/>
        <w:spacing w:before="0" w:beforeAutospacing="0"/>
        <w:jc w:val="center"/>
        <w:rPr>
          <w:shd w:val="clear" w:color="auto" w:fill="FFFFFF"/>
        </w:rPr>
      </w:pPr>
    </w:p>
    <w:p w14:paraId="7A2652A2">
      <w:pPr>
        <w:pStyle w:val="11"/>
        <w:spacing w:before="0" w:beforeAutospacing="0"/>
        <w:jc w:val="center"/>
        <w:rPr>
          <w:shd w:val="clear" w:color="auto" w:fill="FFFFFF"/>
        </w:rPr>
      </w:pPr>
    </w:p>
    <w:p w14:paraId="4280D274">
      <w:pPr>
        <w:pStyle w:val="11"/>
        <w:spacing w:before="0" w:beforeAutospacing="0"/>
        <w:jc w:val="center"/>
        <w:rPr>
          <w:shd w:val="clear" w:color="auto" w:fill="FFFFFF"/>
        </w:rPr>
      </w:pPr>
    </w:p>
    <w:p w14:paraId="36FCE0B8">
      <w:pPr>
        <w:pStyle w:val="11"/>
        <w:spacing w:before="0" w:beforeAutospacing="0"/>
        <w:jc w:val="center"/>
        <w:rPr>
          <w:shd w:val="clear" w:color="auto" w:fill="FFFFFF"/>
        </w:rPr>
      </w:pPr>
    </w:p>
    <w:p w14:paraId="2C4A00C4">
      <w:pPr>
        <w:pStyle w:val="11"/>
        <w:spacing w:before="0" w:beforeAutospacing="0"/>
        <w:jc w:val="center"/>
        <w:rPr>
          <w:shd w:val="clear" w:color="auto" w:fill="FFFFFF"/>
        </w:rPr>
      </w:pPr>
    </w:p>
    <w:p w14:paraId="525D7B16">
      <w:pPr>
        <w:pStyle w:val="11"/>
        <w:spacing w:before="0" w:beforeAutospacing="0"/>
        <w:jc w:val="center"/>
        <w:rPr>
          <w:shd w:val="clear" w:color="auto" w:fill="FFFFFF"/>
        </w:rPr>
      </w:pPr>
    </w:p>
    <w:p w14:paraId="45F7B4DF">
      <w:pPr>
        <w:pStyle w:val="11"/>
        <w:spacing w:before="0" w:beforeAutospacing="0"/>
        <w:jc w:val="center"/>
        <w:rPr>
          <w:shd w:val="clear" w:color="auto" w:fill="FFFFFF"/>
        </w:rPr>
      </w:pPr>
    </w:p>
    <w:p w14:paraId="6334A3CE">
      <w:pPr>
        <w:pStyle w:val="11"/>
        <w:spacing w:before="0" w:beforeAutospacing="0"/>
        <w:jc w:val="center"/>
        <w:rPr>
          <w:shd w:val="clear" w:color="auto" w:fill="FFFFFF"/>
        </w:rPr>
      </w:pPr>
    </w:p>
    <w:p w14:paraId="55CF2DD3">
      <w:pPr>
        <w:pStyle w:val="11"/>
        <w:spacing w:before="0" w:beforeAutospacing="0"/>
        <w:jc w:val="center"/>
        <w:rPr>
          <w:shd w:val="clear" w:color="auto" w:fill="FFFFFF"/>
        </w:rPr>
      </w:pPr>
    </w:p>
    <w:p w14:paraId="563FA822">
      <w:pPr>
        <w:pStyle w:val="11"/>
        <w:spacing w:before="0" w:beforeAutospacing="0"/>
        <w:jc w:val="center"/>
        <w:rPr>
          <w:shd w:val="clear" w:color="auto" w:fill="FFFFFF"/>
        </w:rPr>
      </w:pPr>
    </w:p>
    <w:p w14:paraId="1C79F20E">
      <w:pPr>
        <w:pStyle w:val="11"/>
        <w:spacing w:before="0" w:beforeAutospacing="0"/>
        <w:jc w:val="center"/>
        <w:rPr>
          <w:shd w:val="clear" w:color="auto" w:fill="FFFFFF"/>
        </w:rPr>
      </w:pPr>
    </w:p>
    <w:p w14:paraId="2CE3CC24">
      <w:pPr>
        <w:pStyle w:val="11"/>
        <w:spacing w:before="0" w:beforeAutospacing="0"/>
        <w:jc w:val="center"/>
        <w:rPr>
          <w:shd w:val="clear" w:color="auto" w:fill="FFFFFF"/>
        </w:rPr>
      </w:pPr>
    </w:p>
    <w:p w14:paraId="03DD9AE9">
      <w:pPr>
        <w:pStyle w:val="11"/>
        <w:spacing w:before="0" w:beforeAutospacing="0"/>
        <w:jc w:val="center"/>
        <w:rPr>
          <w:shd w:val="clear" w:color="auto" w:fill="FFFFFF"/>
        </w:rPr>
      </w:pPr>
    </w:p>
    <w:p w14:paraId="3F3639AA">
      <w:pPr>
        <w:pStyle w:val="11"/>
        <w:spacing w:before="0" w:beforeAutospacing="0"/>
        <w:jc w:val="center"/>
        <w:rPr>
          <w:shd w:val="clear" w:color="auto" w:fill="FFFFFF"/>
        </w:rPr>
      </w:pPr>
    </w:p>
    <w:p w14:paraId="4A2AA667">
      <w:pPr>
        <w:pStyle w:val="11"/>
        <w:spacing w:before="0" w:beforeAutospacing="0"/>
        <w:jc w:val="center"/>
        <w:rPr>
          <w:rFonts w:hint="eastAsia" w:eastAsia="宋体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已经保密审查、内容审定，同意对外公开</w:t>
      </w:r>
    </w:p>
    <w:p w14:paraId="4385FDE0">
      <w:pPr>
        <w:pStyle w:val="11"/>
        <w:spacing w:before="0" w:beforeAutospacing="0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 w14:paraId="7BF807D6">
      <w:pPr>
        <w:pStyle w:val="11"/>
        <w:spacing w:before="0" w:beforeAutospacing="0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</w:rPr>
        <w:sectPr>
          <w:footerReference r:id="rId3" w:type="default"/>
          <w:pgSz w:w="11915" w:h="16851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ECE94A8">
      <w:pPr>
        <w:pStyle w:val="11"/>
        <w:spacing w:before="0" w:beforeAutospacing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目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录</w:t>
      </w:r>
    </w:p>
    <w:p w14:paraId="2B86A46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公开时间：202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 w14:paraId="070409A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第一部分 单位概况</w:t>
      </w:r>
    </w:p>
    <w:p w14:paraId="1D4B7D9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一、主要职责</w:t>
      </w:r>
    </w:p>
    <w:p w14:paraId="46A8DD9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二、机构设置</w:t>
      </w:r>
    </w:p>
    <w:p w14:paraId="52A5FBE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第二部分 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2024年度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单位决算情况说明</w:t>
      </w:r>
    </w:p>
    <w:p w14:paraId="345F4F8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一、收入支出决算总体情况说明</w:t>
      </w:r>
    </w:p>
    <w:p w14:paraId="4625566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二、收入决算情况说明</w:t>
      </w:r>
    </w:p>
    <w:p w14:paraId="2953E06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三、支出决算情况说明</w:t>
      </w:r>
    </w:p>
    <w:p w14:paraId="64C366F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四、财政拨款收入支出决算总体情况说明</w:t>
      </w:r>
    </w:p>
    <w:p w14:paraId="7EC7D1E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五、一般公共预算财政拨款支出决算情况说明</w:t>
      </w:r>
    </w:p>
    <w:p w14:paraId="6C6064B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六、一般公共预算财政拨款基本支出决算情况说明</w:t>
      </w:r>
    </w:p>
    <w:p w14:paraId="34A29C8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七、财政拨款“三公”经费支出决算情况说明</w:t>
      </w:r>
    </w:p>
    <w:p w14:paraId="02EFC39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八、政府性基金预算支出决算情况说明</w:t>
      </w:r>
    </w:p>
    <w:p w14:paraId="1F8431F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九、国有资本经营预算支出决算情况说明</w:t>
      </w:r>
    </w:p>
    <w:p w14:paraId="64CCD61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十、其他重要事项的情况说明 </w:t>
      </w:r>
    </w:p>
    <w:p w14:paraId="7A8CEE4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第三部分 名词解释</w:t>
      </w:r>
    </w:p>
    <w:p w14:paraId="4C2E948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第四部分 附件</w:t>
      </w:r>
    </w:p>
    <w:p w14:paraId="31FB129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第五部分 附表</w:t>
      </w:r>
    </w:p>
    <w:p w14:paraId="2216F03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一、收入支出决算总表</w:t>
      </w:r>
    </w:p>
    <w:p w14:paraId="60469C2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二、收入决算表</w:t>
      </w:r>
    </w:p>
    <w:p w14:paraId="7BD0086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三、支出决算表</w:t>
      </w:r>
    </w:p>
    <w:p w14:paraId="0ACE9E2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四、财政拨款收入支出决算总表</w:t>
      </w:r>
    </w:p>
    <w:p w14:paraId="2679BD9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五、财政拨款支出决算明细表</w:t>
      </w:r>
    </w:p>
    <w:p w14:paraId="115AE4A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六、一般公共预算财政拨款支出决算表</w:t>
      </w:r>
    </w:p>
    <w:p w14:paraId="2BFA719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七、一般公共预算财政拨款支出决算明细表</w:t>
      </w:r>
    </w:p>
    <w:p w14:paraId="6D53214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八、一般公共预算财政拨款基本支出决算表</w:t>
      </w:r>
    </w:p>
    <w:p w14:paraId="37FBCF8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九、一般公共预算财政拨款项目支出决算表</w:t>
      </w:r>
    </w:p>
    <w:p w14:paraId="2F52782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十、政府性基金预算财政拨款收入支出决算表</w:t>
      </w:r>
    </w:p>
    <w:p w14:paraId="4964DF3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十一、国有资本经营预算财政拨款收入支出决算表</w:t>
      </w:r>
    </w:p>
    <w:p w14:paraId="5112717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十二、国有资本经营预算财政拨款支出决算表</w:t>
      </w:r>
    </w:p>
    <w:p w14:paraId="41EC4E8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十三、财政拨款“三公”经费支出决算表</w:t>
      </w:r>
    </w:p>
    <w:p w14:paraId="69C163E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注：请部门根据实际注明页码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</w:t>
      </w:r>
    </w:p>
    <w:p w14:paraId="0E4011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2120731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624D70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12E1820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0C33EB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23CDEE5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4DA3D7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450613B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257CDBA4"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0F4CCD40"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117646C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</w:p>
    <w:p w14:paraId="3EF5AE6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</w:p>
    <w:p w14:paraId="67653C7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</w:p>
    <w:p w14:paraId="1AAA51F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</w:p>
    <w:p w14:paraId="3E7B914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第一部分 单位概况</w:t>
      </w:r>
    </w:p>
    <w:p w14:paraId="75243E7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主要职责</w:t>
      </w:r>
    </w:p>
    <w:p w14:paraId="43809111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主要职能。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决算是各单位预算执行情况的综合反映，是政府宏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观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济决策的重要参考，也是编制部门预算、强化预算管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理的基本依据。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我乡部门预算工作在县财政局的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领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指导下，按照部门预算上报要求，精心编制，认真审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核，努力提高部门预算执行情况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。</w:t>
      </w:r>
    </w:p>
    <w:p w14:paraId="3C52B82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重点工作完成情况。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，镇坪乡在县委、县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政府的正确领导下，坚持以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习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平新时代中国特色社会主义思想为指引，紧扣全乡工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大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局，不断创新思路，锐意进取，注重协调发展，追求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工作实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效，大力推进经济、政治、文化建设。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我乡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济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实力不断增强，农业产业化发展更加科学，社会发展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更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和谐，人民生活更加富裕。全乡职工统一认识，全力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赴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，扎实工作，顺利推进各项目标任务。</w:t>
      </w:r>
    </w:p>
    <w:p w14:paraId="6028DEA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机构设置</w:t>
      </w:r>
    </w:p>
    <w:p w14:paraId="504DC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镇坪乡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部门预算编报独立核算的机构数是2户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，新增加了农业农村服务中心独立核算机构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。人员编制数3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其中行政编制2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政工勤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人，事业编制13人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。年末实有人数3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人，与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去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年人员数相比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少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3人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为调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出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人员。</w:t>
      </w:r>
    </w:p>
    <w:p w14:paraId="50781578">
      <w:pPr>
        <w:tabs>
          <w:tab w:val="left" w:pos="588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44"/>
          <w:sz w:val="32"/>
          <w:szCs w:val="32"/>
          <w:shd w:val="clear" w:color="auto" w:fill="FFFFFF"/>
          <w:lang w:val="en-US" w:eastAsia="zh-CN" w:bidi="ar-SA"/>
        </w:rPr>
        <w:t>第二部分 2024年度单位决算情况说明</w:t>
      </w:r>
    </w:p>
    <w:p w14:paraId="76D2912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收入支出决算总体情况说明</w:t>
      </w:r>
    </w:p>
    <w:p w14:paraId="24B8B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2024年度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1506.75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万元，年初财政拨款结转和结余15.04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与202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年相比，收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总计增加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402.39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36.4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主要变动原因是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项目增加（年末结余）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支出总计1506.75万元，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与202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年相比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支出总计增加256.39万元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增长了20%，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主要变动原因是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项目增加。</w:t>
      </w:r>
    </w:p>
    <w:p w14:paraId="4A3C634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收入决算情况说明</w:t>
      </w:r>
    </w:p>
    <w:p w14:paraId="0774682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本年收入合计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1506.75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万元，其中：一般公共预算财政拨款收入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1506.75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%；政府性基金预算财政拨款收入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%；国有资本经营预算财政拨款收入0.00万元，占0.00%；上级补助收入0.00万元，占0.00%；事业收入0.00万元，占0.00%%；经营收入0.00万元，占0.00%%；附属单位上缴收入0.00万元，占0.00%；其他收入0.00万元，占0.00%。</w:t>
      </w:r>
    </w:p>
    <w:p w14:paraId="5F706D2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支出决算情况说明</w:t>
      </w:r>
    </w:p>
    <w:p w14:paraId="1668322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本年支出合计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1506.75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720.36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47.8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786.38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52.2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%；上缴上级支出0.00万元，占0.00%；经营支出0.00万元，占经营支出0.00万元，占 0.00%；对附属单位补助支出0.00万元，占0.00%。</w:t>
      </w:r>
    </w:p>
    <w:p w14:paraId="700C52C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财政拨款收入支出决算总体情况说明</w:t>
      </w:r>
    </w:p>
    <w:p w14:paraId="49EE87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2024年度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1506.75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万元，年初财政拨款结转和结余15.04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与202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年相比，收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总计增加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402.39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36.4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主要变动原因是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项目增加（年末结余）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支出总计1506.75万元，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与202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年相比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支出总计增加256.39万元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增长了20%，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主要变动原因是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项目增加。</w:t>
      </w:r>
    </w:p>
    <w:p w14:paraId="1755E9F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一般公共预算财政拨款支出决算情况说明</w:t>
      </w:r>
    </w:p>
    <w:p w14:paraId="3006AC7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03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1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32"/>
          <w:szCs w:val="32"/>
          <w:lang w:val="en-US" w:eastAsia="zh-CN" w:bidi="ar-SA"/>
        </w:rPr>
        <w:t>一是一般公共预算财政拨款支出决算总体情况</w:t>
      </w:r>
    </w:p>
    <w:p w14:paraId="5F0C77C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一般公共预算财政拨款支出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1506.75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%。与202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年相比，一般公共预算财政拨款支出增加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256.39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主要变动原因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项目增加。</w:t>
      </w:r>
    </w:p>
    <w:p w14:paraId="2B985F5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一般公共预算财政拨款支出决算结构情况</w:t>
      </w:r>
    </w:p>
    <w:p w14:paraId="4DB4840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一般公共预算财政拨款支出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1506.75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万元，主要用于以下方面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：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一般公共服务（类）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471.09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31.26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%；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教育支出（类）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0.00万元，占0.00%；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科学技术（类）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支出0.00万元，占0.00%；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文化旅游体育与传媒（类）</w:t>
      </w: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支出</w:t>
      </w: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132.81</w:t>
      </w: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万元，占</w:t>
      </w: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8.81</w:t>
      </w: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%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；社会保障和就业（类）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129.48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8.60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%；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卫生健康支出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33.76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2.24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%；住房保障支出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49.59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3.29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%；农林水支出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690.02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45.80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%。</w:t>
      </w:r>
    </w:p>
    <w:p w14:paraId="2D1490F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三是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一般公共预算财政拨款支出决算具体情况</w:t>
      </w:r>
    </w:p>
    <w:p w14:paraId="3B3FE59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2024年</w:t>
      </w: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一般公共预算支出决算数为</w:t>
      </w: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1506.75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，</w:t>
      </w: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完成预算100.00%。其中：</w:t>
      </w:r>
    </w:p>
    <w:p w14:paraId="779FF3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9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一般公共服务支出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政府办公厅（室）及相关机构事务（20103）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运行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sz w:val="32"/>
          <w:szCs w:val="32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471.09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万元，完成预算100%。</w:t>
      </w:r>
    </w:p>
    <w:p w14:paraId="0BA98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4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7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行政事业单位养老支出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20805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机关事业单位基本养老保险缴费支出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2080505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</w:rPr>
        <w:t>出决算32.50万元，完成预算100%。</w:t>
      </w:r>
    </w:p>
    <w:p w14:paraId="15FBBA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7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行政事业单位养老支出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20805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机关事业单位职业年金缴费支出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2080506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决算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129.48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万元，完成预算100%。</w:t>
      </w:r>
    </w:p>
    <w:p w14:paraId="73477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.卫生健康支出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210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行政事业单位医疗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21011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政单位医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疗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2101101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支出决算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33.76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万元，完成预算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00%。</w:t>
      </w:r>
    </w:p>
    <w:p w14:paraId="00D05D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.农林水支出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巩固脱贫衔接乡村振兴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21305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农村基础设施建设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2130504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</w:rPr>
        <w:t>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388.17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万元，完成预算100%。</w:t>
      </w:r>
    </w:p>
    <w:p w14:paraId="5D677E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.农林水支出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巩固脱贫衔接乡村振兴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21305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巩固脱贫衔接乡村振兴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2130599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</w:rPr>
        <w:t>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万元，完成预算100%。</w:t>
      </w:r>
    </w:p>
    <w:p w14:paraId="2ED53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.农林水支出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农村综合改革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21307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对村民委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员会和村党支部的补助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0705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支出决算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183.73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成预算100%。</w:t>
      </w:r>
    </w:p>
    <w:p w14:paraId="51016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0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.住房保障支出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221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住房改革支出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22102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住房公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积金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22102</w:t>
      </w:r>
      <w:r>
        <w:rPr>
          <w:rFonts w:hint="eastAsia" w:ascii="仿宋_GB2312" w:hAnsi="仿宋_GB2312" w:eastAsia="仿宋_GB2312" w:cs="仿宋_GB2312"/>
          <w:sz w:val="32"/>
          <w:szCs w:val="32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万元，完成预算100%。</w:t>
      </w:r>
    </w:p>
    <w:p w14:paraId="603ECE4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一般公共预算财政拨款基本支出决算情况说明</w:t>
      </w:r>
    </w:p>
    <w:p w14:paraId="05C03EE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一般公共预算财政拨款基本支出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720.36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万元，其中：</w:t>
      </w:r>
    </w:p>
    <w:p w14:paraId="1D238AF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617.69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万元，主要包括：基本工资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114.63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万元、津贴补贴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166.25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万元、奖金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151.99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万元、机关事业单位基本养老保险缴费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53.55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万元、职业年金缴费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26.74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万元、职工基本医疗保险缴费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27.53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万元、公务员医疗补助缴费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6.23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万元、其他社会保障缴费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8.77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万元、其他工资福利支出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1.42万元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、离休费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、退休费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、抚恤金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、生活补助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10.96万元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、医疗费补助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、奖励金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0.04万元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、住房公积金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49.59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万元、其他对个人和家庭的补助11万元。</w:t>
      </w:r>
    </w:p>
    <w:p w14:paraId="474EFAD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公用经费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102.68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万元，主要包括：办公费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16.64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万元、电费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万元、邮电费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万元、差旅费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3.94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维护费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69.85万元、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培训费0.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工会经费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5.31万元、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公务用车运行维护费4.0万元。</w:t>
      </w:r>
    </w:p>
    <w:p w14:paraId="2107745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财政拨款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“三公”经费财政拨款支出决算情况说明</w:t>
      </w:r>
    </w:p>
    <w:p w14:paraId="62123DA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“三公”经费财政拨款支出决算总体情况说明</w:t>
      </w:r>
    </w:p>
    <w:p w14:paraId="6EFFE14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“三公”经费财政拨款支出决算为4.00万元，完成预算100.00%，</w:t>
      </w:r>
    </w:p>
    <w:p w14:paraId="3896636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二是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“三公”经费财政拨款支出决算具体情况说明</w:t>
      </w:r>
    </w:p>
    <w:p w14:paraId="294AADD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“三公”经费财政拨款支出决算中，因公出国（境）费支出决算0.00万元，占0.00%；公务用车购置及运行维护费支出决算4.00万元，占100.00%；公务接待费支出决算0.00万元，占0.00%。</w:t>
      </w:r>
    </w:p>
    <w:p w14:paraId="02B149AF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因公出国（境）经费支出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完成预算0.00%。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全年安排因公出国（境）团组0次，出国（境）0人。</w:t>
      </w:r>
    </w:p>
    <w:p w14:paraId="720FB37E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公务用车购置及运行维护费支出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4.00万元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完成预算100.00%。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公务用车购置及运行维护费支出决算比202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年增加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%。</w:t>
      </w:r>
    </w:p>
    <w:p w14:paraId="0B7D3CA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其中：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公务用车购置支出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0.00万元。全年按规定更新购置公务用车0辆，其中：轿车0辆、金额0.00万元，越野车0辆、金额0.00万元，载客汽车0辆、金额0.00万元。截至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12月底，单位共有公务用车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辆。</w:t>
      </w:r>
    </w:p>
    <w:p w14:paraId="7C5776F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公务用车运行维护费支出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4.00万元。主要用于下村开展工作、上县城开会、交材料等所需的公务用车燃料费、维修费等支出。</w:t>
      </w:r>
    </w:p>
    <w:p w14:paraId="7318B6C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3.公务接待费支出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完成预算0%。</w:t>
      </w:r>
    </w:p>
    <w:p w14:paraId="4CBB76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国内公务接待支出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国内公务接待0批次，0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不包括陪同人员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，共计支出0.00万元。</w:t>
      </w:r>
    </w:p>
    <w:p w14:paraId="07CAD3F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外事接待支出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0.00万元，外事接待0批次，0人，共计支出0.00万元。</w:t>
      </w:r>
    </w:p>
    <w:p w14:paraId="28DC363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（八）政府性基金预算支出决算情况说明</w:t>
      </w:r>
    </w:p>
    <w:p w14:paraId="79F6C6C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政府性基金预算财政拨款支出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万元。</w:t>
      </w:r>
    </w:p>
    <w:p w14:paraId="1C7B81B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（九）国有资本经营预算支出决算情况说明</w:t>
      </w:r>
    </w:p>
    <w:p w14:paraId="1BB5638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国有资本经营预算财政拨款支出0.00万元。 </w:t>
      </w:r>
    </w:p>
    <w:p w14:paraId="328615F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（十）其他重要事项的情况说明</w:t>
      </w:r>
    </w:p>
    <w:p w14:paraId="4C67CBD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机关运行经费支出情况</w:t>
      </w:r>
    </w:p>
    <w:p w14:paraId="58B1384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，阿坝州松潘县镇坪乡人民政府机关运行经费支出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102.68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万元，比202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年增加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60.51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143.49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%，主要原因是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项目增加，维修乡政府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 w14:paraId="3A23584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二是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政府采购支出情况</w:t>
      </w:r>
    </w:p>
    <w:p w14:paraId="0FF2140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，阿坝州松潘县镇坪乡人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民政府政府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采购支出总额0.00万元，其中：政府采购货物支出0.00万元、政府采购工程支出0.00万元、政府采购服务支出0.00万元、授予中小企业合同金额0.00万元，占政府采购支出总额的0.00%，其中：授予小微企业合同金额0.00万元，占政府采购支出总额的0.00%。</w:t>
      </w:r>
    </w:p>
    <w:p w14:paraId="7E33101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三是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国有资产占有使用情况</w:t>
      </w:r>
    </w:p>
    <w:p w14:paraId="378A467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12月31日，阿坝州松潘县镇坪乡人民政府共有车辆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辆，其中：主要领导干部用车0辆、机要通信用车0辆、应急保障用车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辆、其他用车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辆。单价100万元（含）以上设备（不含车辆）0台（套）。</w:t>
      </w:r>
    </w:p>
    <w:p w14:paraId="4BEF15C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四是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预算绩效管理情况</w:t>
      </w:r>
    </w:p>
    <w:p w14:paraId="113E9B7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第三部分 名词解释</w:t>
      </w:r>
    </w:p>
    <w:p w14:paraId="19139D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2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.财政拨款收入：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指单位从同级财政部门取得的财政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预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算资金。</w:t>
      </w:r>
    </w:p>
    <w:p w14:paraId="36A540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1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.事业收入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：指事业单位开展专业业务活动及辅助活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动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取得的收入。</w:t>
      </w:r>
    </w:p>
    <w:p w14:paraId="3ED77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0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.经营收入：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指事业单位在专业业务活动及其辅助活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动之外开展非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独立核算经营活动取得的收入</w:t>
      </w:r>
    </w:p>
    <w:p w14:paraId="5A9343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3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.其他收入：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指单位取得的除上述收入以外的各项收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入。</w:t>
      </w:r>
    </w:p>
    <w:p w14:paraId="413E5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0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.用事业基金弥补收支差额：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指事业单位在当年的财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政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款收入、事业收入、经营收入、其他收入不足以安排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当年支出的情况下，使用以前年度积累的事业基金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当年收支相抵后按国家规定提取、用于弥补以后年度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收支差额的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弥补本年度收支缺口的资金。</w:t>
      </w:r>
    </w:p>
    <w:p w14:paraId="4F6BAF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1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.年初结转和结余：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指以前年度尚未完成、结转到本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有关规定继续使用的资金。</w:t>
      </w:r>
    </w:p>
    <w:p w14:paraId="0DFD3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9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.结余分配：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指事业单位按照事业单位会计制度的规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定从非财政补助结余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分配的事业基金和职工福利基金等。</w:t>
      </w:r>
    </w:p>
    <w:p w14:paraId="7CD11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2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.年末结转和结余：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指单位按有关规定结转到下年或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后年度继续使用的资金。</w:t>
      </w:r>
    </w:p>
    <w:p w14:paraId="50D82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7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人大事务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20101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b/>
          <w:bCs/>
          <w:spacing w:val="25"/>
          <w:sz w:val="32"/>
          <w:szCs w:val="32"/>
        </w:rPr>
        <w:t>运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2010101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反映行政单位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包括实行公务员管理的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业单位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的基本支出。</w:t>
      </w:r>
    </w:p>
    <w:p w14:paraId="7D2EE7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1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0.一般公共服务支出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人大事务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20101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人大会</w:t>
      </w: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议</w:t>
      </w: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2010104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反映各级人大召开人民代表大会等专门会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议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的支出。</w:t>
      </w:r>
    </w:p>
    <w:p w14:paraId="3F4BF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7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政府办公厅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及相关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构事务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行政运行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2010301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反映行政单位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包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括实行公务员管理的事业单位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的基本支出。</w:t>
      </w:r>
    </w:p>
    <w:p w14:paraId="570106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7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政府办公厅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及相关</w:t>
      </w:r>
      <w:r>
        <w:rPr>
          <w:rFonts w:hint="eastAsia" w:ascii="仿宋_GB2312" w:hAnsi="仿宋_GB2312" w:eastAsia="仿宋_GB2312" w:cs="仿宋_GB2312"/>
          <w:b/>
          <w:bCs/>
          <w:spacing w:val="26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构事务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一般行政管理事务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2010302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政单位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包括实行公务员管理的事业单位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未单独设置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项级科目的其他项目支出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 w14:paraId="1C72D8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7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政府办公厅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及相关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构事务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事业运行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2010350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反映事业单位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的基本支出，不包括行政单位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包括实行公务员管理的事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后勤服务中心、医务室等附属事业单位。</w:t>
      </w:r>
    </w:p>
    <w:p w14:paraId="31199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71" w:firstLineChars="200"/>
        <w:textAlignment w:val="auto"/>
        <w:rPr>
          <w:rFonts w:hint="eastAsia" w:ascii="仿宋_GB2312" w:hAnsi="仿宋_GB2312" w:eastAsia="仿宋_GB2312" w:cs="仿宋_GB2312"/>
          <w:spacing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政府办公厅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及相关</w:t>
      </w:r>
      <w:r>
        <w:rPr>
          <w:rFonts w:hint="eastAsia" w:ascii="仿宋_GB2312" w:hAnsi="仿宋_GB2312" w:eastAsia="仿宋_GB2312" w:cs="仿宋_GB2312"/>
          <w:b/>
          <w:bCs/>
          <w:spacing w:val="28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构事务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其他政府办公厅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及相关机构事务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2010399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反映除上述项目以外的其他政府办公厅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及相关机构事务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。</w:t>
      </w:r>
    </w:p>
    <w:p w14:paraId="1B560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3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行政事业单位养老支出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</w:rPr>
        <w:t>20805</w:t>
      </w:r>
      <w:r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</w:rPr>
        <w:t>机关事业单位基本养老保险缴费支出</w:t>
      </w:r>
      <w:r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2080505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反映机关事业单位实施养老保险制度由单位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缴纳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的基本养老保险费支出。</w:t>
      </w:r>
    </w:p>
    <w:p w14:paraId="1020C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3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行政事业单位养老支出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20805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机关事业单位职业年金缴费支出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2080506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反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映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机关事业单位实施养老保险制度由单位实际缴纳的职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业年金支出。</w:t>
      </w:r>
    </w:p>
    <w:p w14:paraId="501CD9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3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其他社会保障和就业支</w:t>
      </w:r>
      <w:r>
        <w:rPr>
          <w:rFonts w:hint="eastAsia" w:ascii="仿宋_GB2312" w:hAnsi="仿宋_GB2312" w:eastAsia="仿宋_GB2312" w:cs="仿宋_GB2312"/>
          <w:b/>
          <w:bCs/>
          <w:spacing w:val="34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b/>
          <w:bCs/>
          <w:spacing w:val="3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20899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其他社会保障和就业支出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2089999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除上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述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项i以外其他用于社会保障和就业方面的支出。</w:t>
      </w:r>
    </w:p>
    <w:p w14:paraId="26A023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8.卫生健康支出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行政事业单位医疗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21011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b/>
          <w:bCs/>
          <w:spacing w:val="28"/>
          <w:sz w:val="32"/>
          <w:szCs w:val="32"/>
        </w:rPr>
        <w:t>政</w:t>
      </w:r>
      <w:r>
        <w:rPr>
          <w:rFonts w:hint="eastAsia" w:ascii="仿宋_GB2312" w:hAnsi="仿宋_GB2312" w:eastAsia="仿宋_GB2312" w:cs="仿宋_GB2312"/>
          <w:b/>
          <w:bCs/>
          <w:spacing w:val="21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位医疗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2101101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反映财政部门安排的行政单位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包括实行公务员管理的事业单位，下同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基本医疗保险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缴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费经费，未参加医疗保险的行政单位的公费医疗经费，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国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家规定享受离休人员、红军老战士待遇人员的医疗经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费。</w:t>
      </w:r>
    </w:p>
    <w:p w14:paraId="2E7D0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9.卫生健康支出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行政事业单位医疗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21011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业单位医疗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2101102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反映财政部门安排的事业单位基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疗保险缴费经费，未参加医疗保险的事业单位的公费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疗经费，按国家规定享受离休人员待遇的医疗经费。</w:t>
      </w:r>
    </w:p>
    <w:p w14:paraId="03974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20.卫生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健康支出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行政事业单位医疗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21011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公</w:t>
      </w:r>
    </w:p>
    <w:p w14:paraId="1A1F27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务员医疗补助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2101103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反映财政部门安排的公务员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疗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补助经费。</w:t>
      </w:r>
    </w:p>
    <w:p w14:paraId="5FCD00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21.农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水支出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扶贫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21305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农村基础设施建设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2130504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反映用于农村贫困地区乡村道路、住房、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基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田、水利设施、人畜饮水、生态环境保护等生产生活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改善方面的支出。</w:t>
      </w:r>
    </w:p>
    <w:p w14:paraId="3F80E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1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22.农林水支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扶贫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21305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其他扶贫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支出（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2130599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反映除上述项目以外其他用于扶贫方面的支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出。</w:t>
      </w:r>
    </w:p>
    <w:p w14:paraId="734FFE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23.农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水支出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农村综合改革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21307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对村民委</w:t>
      </w: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会和村党支部的补助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2130705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反映各级财政对村民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委员会和村党支部的补助支出，以及支持建立县级基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财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力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保障机制安排的村级组织运转奖补资金。</w:t>
      </w:r>
    </w:p>
    <w:p w14:paraId="6E687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7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24.住房保障支出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221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住房改革支出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22102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住房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积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2210201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反映行政事业单位按人力资源和社会保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障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、财政部规定的基本工资和津贴补贴以及规定比例为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职工缴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纳的住房公积金。</w:t>
      </w:r>
    </w:p>
    <w:p w14:paraId="732FA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35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25.基本支出：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指为保障机构正常运转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、完成日常工作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任务而发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的人员支出和公用支出。</w:t>
      </w:r>
    </w:p>
    <w:p w14:paraId="2E180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75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.项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目支出：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指在基本支出之外为完成特定行政任务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事业发展目标所发生的支出。</w:t>
      </w:r>
    </w:p>
    <w:p w14:paraId="77DED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75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.经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营支出：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指事业单位在专业业务活动及其辅助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活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之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外开展非独立核算经营活动发生的支出。</w:t>
      </w:r>
    </w:p>
    <w:p w14:paraId="363C6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.“三公”经费：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指部门用财政拨款安排的因公出国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境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费、公务用车购置及运行费和公务接待费。其中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因公出国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境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费反映单位公务出国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境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的国际旅费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国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外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城市间交通费、住宿费、伙食费、培训费、公杂费等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；公务用车购置及运行费反映单位公务用车车辆购置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含车辆购置税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及租用费、燃料费、维修费、过路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过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桥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费、保险费等支出；公务接待费反映单位按规定开支的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类公务接待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含外宾接待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支出。</w:t>
      </w:r>
    </w:p>
    <w:p w14:paraId="02370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9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.机关运行经费：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为保障行政单位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含参照公务员法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管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理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的事业单位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运行用于购买货物和服务的各项资金，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包括办公及印刷费、邮电费、差旅费、会议费、福利费、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常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维修费、专用材料及一般设备购置费、办公用房水电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费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办公用房取暖费、办公用房物业管理费、公务用车运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护费以及其他费用。</w:t>
      </w:r>
    </w:p>
    <w:p w14:paraId="504FA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75" w:firstLineChars="200"/>
        <w:textAlignment w:val="auto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.财政应返还额度：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为行政事业单位会计核算科目，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用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核算实行国库集中支付的行政事业单位应收财政返还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资金额度。</w:t>
      </w:r>
    </w:p>
    <w:p w14:paraId="2F6BCD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/>
        <w:textAlignment w:val="auto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</w:p>
    <w:p w14:paraId="74B90C1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firstLine="680" w:firstLineChars="200"/>
        <w:textAlignment w:val="auto"/>
        <w:rPr>
          <w:rFonts w:hint="eastAsia"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附件</w:t>
      </w:r>
    </w:p>
    <w:p w14:paraId="2D8C406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firstLine="680" w:firstLineChars="200"/>
        <w:textAlignment w:val="auto"/>
        <w:rPr>
          <w:rFonts w:hint="eastAsia"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附表</w:t>
      </w:r>
    </w:p>
    <w:p w14:paraId="6543C5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一、收入支出决算总表</w:t>
      </w:r>
    </w:p>
    <w:p w14:paraId="785E77F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二、收入决算表</w:t>
      </w:r>
    </w:p>
    <w:p w14:paraId="7E70666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三、支出决算表</w:t>
      </w:r>
    </w:p>
    <w:p w14:paraId="3C654C4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四、财政拨款收入支出决算总表</w:t>
      </w:r>
    </w:p>
    <w:p w14:paraId="6577164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五、财政拨款支出决算明细表</w:t>
      </w:r>
    </w:p>
    <w:p w14:paraId="29DF750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六、一般公共预算财政拨款支出决算表</w:t>
      </w:r>
    </w:p>
    <w:p w14:paraId="224647D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七、一般公共预算财政拨款支出决算明细表</w:t>
      </w:r>
    </w:p>
    <w:p w14:paraId="2F47A6D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八、一般公共预算财政拨款基本支出决算表</w:t>
      </w:r>
    </w:p>
    <w:p w14:paraId="3190278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九、一般公共预算财政拨款项目支出决算表</w:t>
      </w:r>
    </w:p>
    <w:p w14:paraId="7D8010A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十、政府性基金预算财政拨款收入支出决算表</w:t>
      </w:r>
    </w:p>
    <w:p w14:paraId="3469C46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十一、国有资本经营预算财政拨款收入支出决算表</w:t>
      </w:r>
    </w:p>
    <w:p w14:paraId="0EE0728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十二、国有资本经营预算财政拨款支出决算表</w:t>
      </w:r>
    </w:p>
    <w:p w14:paraId="3E9EAB9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十三、财政拨款“三公”经费支出决算表</w:t>
      </w:r>
    </w:p>
    <w:p w14:paraId="006961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/>
        <w:textAlignment w:val="auto"/>
        <w:rPr>
          <w:rFonts w:hint="eastAsia" w:ascii="黑体" w:hAnsi="黑体" w:eastAsia="黑体" w:cs="黑体"/>
          <w:spacing w:val="10"/>
          <w:sz w:val="32"/>
          <w:szCs w:val="32"/>
        </w:rPr>
      </w:pPr>
    </w:p>
    <w:p w14:paraId="2A33E1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/>
        <w:textAlignment w:val="auto"/>
        <w:rPr>
          <w:rFonts w:hint="eastAsia" w:ascii="黑体" w:hAnsi="黑体" w:eastAsia="黑体" w:cs="黑体"/>
          <w:spacing w:val="10"/>
          <w:sz w:val="32"/>
          <w:szCs w:val="32"/>
        </w:rPr>
      </w:pPr>
    </w:p>
    <w:p w14:paraId="68D52E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/>
        <w:textAlignment w:val="auto"/>
        <w:rPr>
          <w:rFonts w:hint="eastAsia" w:ascii="黑体" w:hAnsi="黑体" w:eastAsia="黑体" w:cs="黑体"/>
          <w:spacing w:val="10"/>
          <w:sz w:val="32"/>
          <w:szCs w:val="32"/>
        </w:rPr>
      </w:pPr>
    </w:p>
    <w:p w14:paraId="4FC631F9">
      <w:pPr>
        <w:pStyle w:val="11"/>
        <w:spacing w:before="0" w:beforeAutospacing="0"/>
      </w:pPr>
    </w:p>
    <w:sectPr>
      <w:footerReference r:id="rId4" w:type="default"/>
      <w:pgSz w:w="11915" w:h="16851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5A8081-2B92-4ED6-9F66-22D305A04C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DC875BD-403E-4A98-B2B8-77DDAD9B54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665014D-426F-4062-BF9C-DEDA2DD78E2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3681BBD-BFB7-4E2E-B786-0A9D90ECD1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73E8A">
    <w:pPr>
      <w:spacing w:line="178" w:lineRule="auto"/>
      <w:ind w:left="409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</w:t>
    </w:r>
    <w:r>
      <w:rPr>
        <w:rFonts w:ascii="Calibri" w:hAnsi="Calibri" w:eastAsia="Calibri" w:cs="Calibri"/>
        <w:spacing w:val="-7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AB7F2">
    <w:pPr>
      <w:spacing w:line="178" w:lineRule="auto"/>
      <w:ind w:left="409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4628515</wp:posOffset>
              </wp:positionH>
              <wp:positionV relativeFrom="paragraph">
                <wp:posOffset>-172085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84292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45pt;margin-top:-13.5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emft/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84292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1E745"/>
    <w:multiLevelType w:val="singleLevel"/>
    <w:tmpl w:val="0C51E745"/>
    <w:lvl w:ilvl="0" w:tentative="0">
      <w:start w:val="4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4F0093A0"/>
    <w:multiLevelType w:val="multilevel"/>
    <w:tmpl w:val="4F0093A0"/>
    <w:lvl w:ilvl="0" w:tentative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0">
      <w:start w:val="1"/>
      <w:numFmt w:val="lowerLetter"/>
      <w:lvlText w:val="%2)"/>
      <w:legacy w:legacy="1" w:legacySpace="0" w:legacyIndent="420"/>
      <w:lvlJc w:val="left"/>
      <w:pPr>
        <w:ind w:left="840" w:hanging="420"/>
      </w:pPr>
    </w:lvl>
    <w:lvl w:ilvl="2" w:tentative="0">
      <w:start w:val="1"/>
      <w:numFmt w:val="lowerRoman"/>
      <w:lvlText w:val="%3."/>
      <w:legacy w:legacy="1" w:legacySpace="0" w:legacyIndent="420"/>
      <w:lvlJc w:val="right"/>
      <w:pPr>
        <w:ind w:left="1260" w:hanging="420"/>
      </w:pPr>
    </w:lvl>
    <w:lvl w:ilvl="3" w:tentative="0">
      <w:start w:val="1"/>
      <w:numFmt w:val="decimal"/>
      <w:lvlText w:val="%4."/>
      <w:legacy w:legacy="1" w:legacySpace="0" w:legacyIndent="420"/>
      <w:lvlJc w:val="left"/>
      <w:pPr>
        <w:ind w:left="1680" w:hanging="420"/>
      </w:pPr>
    </w:lvl>
    <w:lvl w:ilvl="4" w:tentative="0">
      <w:start w:val="1"/>
      <w:numFmt w:val="lowerLetter"/>
      <w:lvlText w:val="%5)"/>
      <w:legacy w:legacy="1" w:legacySpace="0" w:legacyIndent="420"/>
      <w:lvlJc w:val="left"/>
      <w:pPr>
        <w:ind w:left="2100" w:hanging="420"/>
      </w:pPr>
    </w:lvl>
    <w:lvl w:ilvl="5" w:tentative="0">
      <w:start w:val="1"/>
      <w:numFmt w:val="lowerRoman"/>
      <w:lvlText w:val="%6."/>
      <w:legacy w:legacy="1" w:legacySpace="0" w:legacyIndent="420"/>
      <w:lvlJc w:val="right"/>
      <w:pPr>
        <w:ind w:left="2520" w:hanging="420"/>
      </w:pPr>
    </w:lvl>
    <w:lvl w:ilvl="6" w:tentative="0">
      <w:start w:val="1"/>
      <w:numFmt w:val="decimal"/>
      <w:lvlText w:val="%7."/>
      <w:legacy w:legacy="1" w:legacySpace="0" w:legacyIndent="420"/>
      <w:lvlJc w:val="left"/>
      <w:pPr>
        <w:ind w:left="2940" w:hanging="420"/>
      </w:pPr>
    </w:lvl>
    <w:lvl w:ilvl="7" w:tentative="0">
      <w:start w:val="1"/>
      <w:numFmt w:val="lowerLetter"/>
      <w:lvlText w:val="%8)"/>
      <w:legacy w:legacy="1" w:legacySpace="0" w:legacyIndent="420"/>
      <w:lvlJc w:val="left"/>
      <w:pPr>
        <w:ind w:left="3360" w:hanging="420"/>
      </w:pPr>
    </w:lvl>
    <w:lvl w:ilvl="8" w:tentative="0">
      <w:start w:val="1"/>
      <w:numFmt w:val="lowerRoman"/>
      <w:lvlText w:val="%9."/>
      <w:legacy w:legacy="1" w:legacySpace="0" w:legacyIndent="420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1"/>
  <w:noPunctuationKerning w:val="1"/>
  <w:compat>
    <w:spaceForUL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YmIxOGQyMmFkYzIxMGJmYTcyYWQyNzc5MmRhZDEifQ=="/>
  </w:docVars>
  <w:rsids>
    <w:rsidRoot w:val="00000000"/>
    <w:rsid w:val="0A2E3A74"/>
    <w:rsid w:val="0DB06A32"/>
    <w:rsid w:val="105646D8"/>
    <w:rsid w:val="1BA05E95"/>
    <w:rsid w:val="23867846"/>
    <w:rsid w:val="242D4BFB"/>
    <w:rsid w:val="2BA558A6"/>
    <w:rsid w:val="36BB3EBD"/>
    <w:rsid w:val="44D06B2A"/>
    <w:rsid w:val="4EFA42CD"/>
    <w:rsid w:val="4FC136BD"/>
    <w:rsid w:val="53647D49"/>
    <w:rsid w:val="55DF64F5"/>
    <w:rsid w:val="683D2B94"/>
    <w:rsid w:val="6F973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b/>
      <w:sz w:val="27"/>
      <w:szCs w:val="27"/>
    </w:rPr>
  </w:style>
  <w:style w:type="paragraph" w:styleId="5">
    <w:name w:val="heading 4"/>
    <w:basedOn w:val="1"/>
    <w:next w:val="1"/>
    <w:qFormat/>
    <w:uiPriority w:val="0"/>
    <w:pPr>
      <w:spacing w:before="100" w:beforeAutospacing="1" w:after="100" w:afterAutospacing="1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spacing w:before="100" w:beforeAutospacing="1" w:after="100" w:afterAutospacing="1"/>
      <w:outlineLvl w:val="4"/>
    </w:pPr>
    <w:rPr>
      <w:b/>
      <w:sz w:val="20"/>
      <w:szCs w:val="20"/>
    </w:rPr>
  </w:style>
  <w:style w:type="paragraph" w:styleId="7">
    <w:name w:val="heading 6"/>
    <w:basedOn w:val="1"/>
    <w:next w:val="1"/>
    <w:qFormat/>
    <w:uiPriority w:val="0"/>
    <w:pPr>
      <w:spacing w:before="100" w:beforeAutospacing="1" w:after="100" w:afterAutospacing="1"/>
      <w:outlineLvl w:val="5"/>
    </w:pPr>
    <w:rPr>
      <w:b/>
      <w:sz w:val="15"/>
      <w:szCs w:val="15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15</Pages>
  <Words>5649</Words>
  <Characters>6655</Characters>
  <Lines>3787</Lines>
  <Paragraphs>1728</Paragraphs>
  <TotalTime>8</TotalTime>
  <ScaleCrop>false</ScaleCrop>
  <LinksUpToDate>false</LinksUpToDate>
  <CharactersWithSpaces>6669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2023-09-08T01:19:00Z</dcterms:created>
  <dc:creator>Administrator</dc:creator>
  <cp:lastModifiedBy>奕夕^_^</cp:lastModifiedBy>
  <dcterms:modified xsi:type="dcterms:W3CDTF">2025-10-17T07:07:30Z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A9E4E6CB09004C729901BCEE3F5082E2_13</vt:lpwstr>
  </property>
  <property fmtid="{D5CDD505-2E9C-101B-9397-08002B2CF9AE}" pid="4" name="KSOTemplateDocerSaveRecord">
    <vt:lpwstr>eyJoZGlkIjoiNTU1MWNhN2ZmY2ZhZmY3ODhlYTg0MWU5OGMyY2QwZmUiLCJ1c2VySWQiOiI0MzQ2NTM0NzEifQ==</vt:lpwstr>
  </property>
</Properties>
</file>