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7BE8D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z w:val="42"/>
          <w:szCs w:val="42"/>
          <w:shd w:val="clear" w:fill="FFFFFF"/>
        </w:rPr>
      </w:pPr>
      <w:r>
        <w:rPr>
          <w:rFonts w:hint="eastAsia"/>
          <w:sz w:val="42"/>
          <w:szCs w:val="42"/>
          <w:shd w:val="clear" w:fill="FFFFFF"/>
          <w:lang w:eastAsia="zh-CN"/>
        </w:rPr>
        <w:t>202</w:t>
      </w:r>
      <w:r>
        <w:rPr>
          <w:rFonts w:hint="eastAsia"/>
          <w:sz w:val="42"/>
          <w:szCs w:val="42"/>
          <w:shd w:val="clear" w:fill="FFFFFF"/>
          <w:lang w:val="en-US" w:eastAsia="zh-CN"/>
        </w:rPr>
        <w:t>4</w:t>
      </w:r>
      <w:r>
        <w:rPr>
          <w:sz w:val="42"/>
          <w:szCs w:val="42"/>
          <w:shd w:val="clear" w:fill="FFFFFF"/>
        </w:rPr>
        <w:t>年度</w:t>
      </w:r>
    </w:p>
    <w:p w14:paraId="4655FC6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z w:val="42"/>
          <w:szCs w:val="42"/>
          <w:shd w:val="clear" w:fill="FFFFFF"/>
        </w:rPr>
      </w:pPr>
      <w:r>
        <w:rPr>
          <w:sz w:val="42"/>
          <w:szCs w:val="42"/>
          <w:shd w:val="clear" w:fill="FFFFFF"/>
        </w:rPr>
        <w:t>阿坝州松潘县</w:t>
      </w:r>
      <w:r>
        <w:rPr>
          <w:rFonts w:hint="eastAsia"/>
          <w:sz w:val="42"/>
          <w:szCs w:val="42"/>
          <w:shd w:val="clear" w:fill="FFFFFF"/>
          <w:lang w:val="en-US" w:eastAsia="zh-CN"/>
        </w:rPr>
        <w:t>毛儿盖镇</w:t>
      </w:r>
      <w:r>
        <w:rPr>
          <w:sz w:val="42"/>
          <w:szCs w:val="42"/>
          <w:shd w:val="clear" w:fill="FFFFFF"/>
        </w:rPr>
        <w:t>人民政府</w:t>
      </w:r>
    </w:p>
    <w:p w14:paraId="04DCE66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pPr>
      <w:r>
        <w:rPr>
          <w:rFonts w:hint="eastAsia"/>
          <w:sz w:val="42"/>
          <w:szCs w:val="42"/>
          <w:shd w:val="clear" w:fill="FFFFFF"/>
          <w:lang w:val="en-US" w:eastAsia="zh-CN"/>
        </w:rPr>
        <w:t>单位</w:t>
      </w:r>
      <w:r>
        <w:rPr>
          <w:sz w:val="42"/>
          <w:szCs w:val="42"/>
          <w:shd w:val="clear" w:fill="FFFFFF"/>
        </w:rPr>
        <w:t>决算</w:t>
      </w:r>
    </w:p>
    <w:p w14:paraId="52B3037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pPr>
    </w:p>
    <w:p w14:paraId="4AE89B8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5D32539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38FEDF7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66B8D5A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4C3662B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0B8D9FA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197E353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1AAC407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5D69C63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09786CC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664BA22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2B9FF44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0BD5460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pPr>
      <w:r>
        <w:rPr>
          <w:shd w:val="clear" w:fill="FFFFFF"/>
        </w:rPr>
        <w:t>已经保密审查、内容审定，同意对外公开</w:t>
      </w:r>
    </w:p>
    <w:p w14:paraId="1250D42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14ECFFA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75E464D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142C626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5CC9391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5089437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36DF065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486C3D4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0829E76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2C94531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32D4EEB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4A13E50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6A51490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2784B94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748A1E0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4468842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64DE393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3FA49A9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2CDF27D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3135496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r>
        <w:rPr>
          <w:shd w:val="clear" w:fill="FFFFFF"/>
        </w:rPr>
        <w:t>公开时间：202</w:t>
      </w:r>
      <w:r>
        <w:rPr>
          <w:rFonts w:hint="eastAsia"/>
          <w:shd w:val="clear" w:fill="FFFFFF"/>
          <w:lang w:val="en-US" w:eastAsia="zh-CN"/>
        </w:rPr>
        <w:t>5</w:t>
      </w:r>
      <w:r>
        <w:rPr>
          <w:shd w:val="clear" w:fill="FFFFFF"/>
        </w:rPr>
        <w:t>年</w:t>
      </w:r>
      <w:r>
        <w:rPr>
          <w:rFonts w:hint="eastAsia"/>
          <w:shd w:val="clear" w:fill="FFFFFF"/>
          <w:lang w:val="en-US" w:eastAsia="zh-CN"/>
        </w:rPr>
        <w:t>10</w:t>
      </w:r>
      <w:r>
        <w:rPr>
          <w:shd w:val="clear" w:fill="FFFFFF"/>
        </w:rPr>
        <w:t>月</w:t>
      </w:r>
      <w:r>
        <w:rPr>
          <w:rFonts w:hint="eastAsia"/>
          <w:shd w:val="clear" w:fill="FFFFFF"/>
          <w:lang w:val="en-US" w:eastAsia="zh-CN"/>
        </w:rPr>
        <w:t>16</w:t>
      </w:r>
      <w:r>
        <w:rPr>
          <w:shd w:val="clear" w:fill="FFFFFF"/>
        </w:rPr>
        <w:t>日</w:t>
      </w:r>
    </w:p>
    <w:p w14:paraId="2DAE441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46A90BF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63E2ABD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6A6FAE2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5749008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48550D6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rFonts w:hint="eastAsia" w:eastAsiaTheme="minorEastAsia"/>
          <w:lang w:val="en-US" w:eastAsia="zh-CN"/>
        </w:rPr>
      </w:pPr>
      <w:r>
        <w:rPr>
          <w:rFonts w:hint="eastAsia"/>
          <w:shd w:val="clear" w:fill="FFFFFF"/>
          <w:lang w:val="en-US" w:eastAsia="zh-CN"/>
        </w:rPr>
        <w:t>目录</w:t>
      </w:r>
    </w:p>
    <w:p w14:paraId="3B27122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p>
    <w:p w14:paraId="0890412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第一部分 部门概况</w:t>
      </w:r>
    </w:p>
    <w:p w14:paraId="3F8DDF9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一、基本职能及主要工作</w:t>
      </w:r>
    </w:p>
    <w:p w14:paraId="5E0F5E9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二、机构设置</w:t>
      </w:r>
    </w:p>
    <w:p w14:paraId="4DED064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 xml:space="preserve">第二部分 </w:t>
      </w:r>
      <w:r>
        <w:rPr>
          <w:rFonts w:hint="eastAsia"/>
          <w:shd w:val="clear" w:fill="FFFFFF"/>
          <w:lang w:eastAsia="zh-CN"/>
        </w:rPr>
        <w:t>202</w:t>
      </w:r>
      <w:r>
        <w:rPr>
          <w:rFonts w:hint="eastAsia"/>
          <w:shd w:val="clear" w:fill="FFFFFF"/>
          <w:lang w:val="en-US" w:eastAsia="zh-CN"/>
        </w:rPr>
        <w:t>4</w:t>
      </w:r>
      <w:r>
        <w:rPr>
          <w:shd w:val="clear" w:fill="FFFFFF"/>
        </w:rPr>
        <w:t>年度部门决算情况说明</w:t>
      </w:r>
    </w:p>
    <w:p w14:paraId="397BA61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一、收入支出决算总体情况说明</w:t>
      </w:r>
    </w:p>
    <w:p w14:paraId="122613E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二、收入决算情况说明</w:t>
      </w:r>
    </w:p>
    <w:p w14:paraId="7832F09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三、支出决算情况说明</w:t>
      </w:r>
    </w:p>
    <w:p w14:paraId="1200928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四、财政拨款收入支出决算总体情况说明</w:t>
      </w:r>
    </w:p>
    <w:p w14:paraId="4DFAB31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五、一般公共预算财政拨款支出决算情况说明</w:t>
      </w:r>
    </w:p>
    <w:p w14:paraId="5581080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六、一般公共预算财政拨款基本支出决算情况说明</w:t>
      </w:r>
    </w:p>
    <w:p w14:paraId="10D76EC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七、财政拨款“三公”经费支出决算情况说明</w:t>
      </w:r>
    </w:p>
    <w:p w14:paraId="2E0988B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八、政府性基金预算支出决算情况说明</w:t>
      </w:r>
    </w:p>
    <w:p w14:paraId="461E778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  九、国有资本经营预算支出决算情况说明</w:t>
      </w:r>
    </w:p>
    <w:p w14:paraId="0E06508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  十、其他重要事项的情况说明 </w:t>
      </w:r>
    </w:p>
    <w:p w14:paraId="2E35C33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第三部分 名词解释</w:t>
      </w:r>
    </w:p>
    <w:p w14:paraId="266F492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第四部分 附件</w:t>
      </w:r>
    </w:p>
    <w:p w14:paraId="06699A1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第五部分 附表</w:t>
      </w:r>
    </w:p>
    <w:p w14:paraId="728C25D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一、收入支出决算总表</w:t>
      </w:r>
    </w:p>
    <w:p w14:paraId="2170489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二、收入决算表</w:t>
      </w:r>
    </w:p>
    <w:p w14:paraId="129AECB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三、支出决算表</w:t>
      </w:r>
    </w:p>
    <w:p w14:paraId="667AB81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四、财政拨款收入支出决算总表</w:t>
      </w:r>
    </w:p>
    <w:p w14:paraId="5FCE98D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五、财政拨款支出决算明细表</w:t>
      </w:r>
    </w:p>
    <w:p w14:paraId="3DD1147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六、一般公共预算财政拨款支出决算表</w:t>
      </w:r>
    </w:p>
    <w:p w14:paraId="03A1784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七、一般公共预算财政拨款支出决算明细表</w:t>
      </w:r>
    </w:p>
    <w:p w14:paraId="2C43E3B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八、一般公共预算财政拨款基本支出决算表</w:t>
      </w:r>
    </w:p>
    <w:p w14:paraId="3E11EC2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九、一般公共预算财政拨款项目支出决算表</w:t>
      </w:r>
    </w:p>
    <w:p w14:paraId="3E71E32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十、政府性基金预算财政拨款收入支出决算表</w:t>
      </w:r>
    </w:p>
    <w:p w14:paraId="633A2C4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十一、国有资本经营预算财政拨款收入支出决算表</w:t>
      </w:r>
    </w:p>
    <w:p w14:paraId="39B3024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十二、国有资本经营预算财政拨款支出决算表</w:t>
      </w:r>
    </w:p>
    <w:p w14:paraId="32B2C5D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十三、财政拨款“三公”经费支出决算表</w:t>
      </w:r>
    </w:p>
    <w:p w14:paraId="6551202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rFonts w:hint="eastAsia"/>
          <w:shd w:val="clear" w:fill="FFFFFF"/>
          <w:lang w:eastAsia="zh-CN"/>
        </w:rPr>
        <w:t>（</w:t>
      </w:r>
      <w:r>
        <w:rPr>
          <w:shd w:val="clear" w:fill="FFFFFF"/>
        </w:rPr>
        <w:t>注：请部门根据实际注明页码</w:t>
      </w:r>
      <w:r>
        <w:rPr>
          <w:rFonts w:hint="eastAsia"/>
          <w:shd w:val="clear" w:fill="FFFFFF"/>
          <w:lang w:eastAsia="zh-CN"/>
        </w:rPr>
        <w:t>）</w:t>
      </w:r>
    </w:p>
    <w:p w14:paraId="0E8F50B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5118CCA1">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4AAE55C3">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7192CF0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7DB6B6B9">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rPr>
          <w:shd w:val="clear" w:fill="FFFFFF"/>
        </w:rPr>
      </w:pPr>
    </w:p>
    <w:p w14:paraId="68788DE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pPr>
      <w:r>
        <w:rPr>
          <w:shd w:val="clear" w:fill="FFFFFF"/>
        </w:rPr>
        <w:t>第一部分 部门概况</w:t>
      </w:r>
    </w:p>
    <w:p w14:paraId="0887CE4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pPr>
      <w:r>
        <w:rPr>
          <w:shd w:val="clear" w:fill="FFFFFF"/>
        </w:rPr>
        <w:t>一、基本职能及主要工作</w:t>
      </w:r>
    </w:p>
    <w:p w14:paraId="75671A3B">
      <w:pPr>
        <w:keepNext w:val="0"/>
        <w:keepLines w:val="0"/>
        <w:pageBreakBefore w:val="0"/>
        <w:widowControl w:val="0"/>
        <w:kinsoku/>
        <w:wordWrap/>
        <w:overflowPunct/>
        <w:topLinePunct w:val="0"/>
        <w:autoSpaceDE/>
        <w:autoSpaceDN/>
        <w:bidi w:val="0"/>
        <w:adjustRightInd/>
        <w:snapToGrid/>
        <w:spacing w:afterAutospacing="0" w:line="600" w:lineRule="exact"/>
        <w:ind w:left="0" w:firstLine="643" w:firstLineChars="200"/>
        <w:textAlignment w:val="auto"/>
        <w:outlineLvl w:val="2"/>
        <w:rPr>
          <w:rFonts w:ascii="仿宋" w:hAnsi="仿宋" w:eastAsia="仿宋"/>
          <w:b/>
          <w:color w:val="000000"/>
          <w:sz w:val="32"/>
          <w:szCs w:val="32"/>
        </w:rPr>
      </w:pPr>
      <w:r>
        <w:rPr>
          <w:rFonts w:hint="eastAsia" w:ascii="仿宋" w:hAnsi="仿宋" w:eastAsia="仿宋"/>
          <w:b/>
          <w:color w:val="000000"/>
          <w:sz w:val="32"/>
          <w:szCs w:val="32"/>
          <w:lang w:eastAsia="zh-CN"/>
        </w:rPr>
        <w:t>（</w:t>
      </w:r>
      <w:r>
        <w:rPr>
          <w:rFonts w:hint="eastAsia" w:ascii="仿宋" w:hAnsi="仿宋" w:eastAsia="仿宋"/>
          <w:b/>
          <w:color w:val="000000"/>
          <w:sz w:val="32"/>
          <w:szCs w:val="32"/>
        </w:rPr>
        <w:t>一</w:t>
      </w:r>
      <w:r>
        <w:rPr>
          <w:rFonts w:hint="eastAsia" w:ascii="仿宋" w:hAnsi="仿宋" w:eastAsia="仿宋"/>
          <w:b/>
          <w:color w:val="000000"/>
          <w:sz w:val="32"/>
          <w:szCs w:val="32"/>
          <w:lang w:eastAsia="zh-CN"/>
        </w:rPr>
        <w:t>）</w:t>
      </w:r>
      <w:r>
        <w:rPr>
          <w:rFonts w:hint="eastAsia" w:ascii="仿宋" w:hAnsi="仿宋" w:eastAsia="仿宋"/>
          <w:b/>
          <w:color w:val="000000"/>
          <w:sz w:val="32"/>
          <w:szCs w:val="32"/>
        </w:rPr>
        <w:t>主要职能</w:t>
      </w:r>
    </w:p>
    <w:p w14:paraId="6AF0DF11">
      <w:pPr>
        <w:keepNext w:val="0"/>
        <w:keepLines w:val="0"/>
        <w:pageBreakBefore w:val="0"/>
        <w:widowControl w:val="0"/>
        <w:kinsoku/>
        <w:wordWrap/>
        <w:overflowPunct/>
        <w:topLinePunct w:val="0"/>
        <w:autoSpaceDE/>
        <w:autoSpaceDN/>
        <w:bidi w:val="0"/>
        <w:adjustRightInd/>
        <w:snapToGrid/>
        <w:spacing w:afterAutospacing="0"/>
        <w:ind w:left="0"/>
        <w:textAlignment w:val="auto"/>
        <w:rPr>
          <w:rFonts w:ascii="仿宋" w:hAnsi="仿宋" w:eastAsia="仿宋"/>
          <w:color w:val="000000"/>
          <w:sz w:val="32"/>
          <w:szCs w:val="32"/>
        </w:rPr>
      </w:pPr>
      <w:r>
        <w:rPr>
          <w:rFonts w:ascii="仿宋" w:hAnsi="仿宋" w:eastAsia="仿宋"/>
          <w:color w:val="000000"/>
          <w:sz w:val="32"/>
          <w:szCs w:val="32"/>
        </w:rPr>
        <w:tab/>
      </w:r>
      <w:r>
        <w:rPr>
          <w:rFonts w:ascii="仿宋" w:hAnsi="仿宋" w:eastAsia="仿宋"/>
          <w:color w:val="000000"/>
          <w:sz w:val="32"/>
          <w:szCs w:val="32"/>
        </w:rPr>
        <w:t>一、党委工作职责：</w:t>
      </w:r>
    </w:p>
    <w:p w14:paraId="0EAE8EBC">
      <w:pPr>
        <w:keepNext w:val="0"/>
        <w:keepLines w:val="0"/>
        <w:pageBreakBefore w:val="0"/>
        <w:widowControl w:val="0"/>
        <w:kinsoku/>
        <w:wordWrap/>
        <w:overflowPunct/>
        <w:topLinePunct w:val="0"/>
        <w:autoSpaceDE/>
        <w:autoSpaceDN/>
        <w:bidi w:val="0"/>
        <w:adjustRightInd/>
        <w:snapToGrid/>
        <w:spacing w:afterAutospacing="0"/>
        <w:ind w:left="0"/>
        <w:textAlignment w:val="auto"/>
        <w:rPr>
          <w:rFonts w:ascii="仿宋" w:hAnsi="仿宋" w:eastAsia="仿宋"/>
          <w:color w:val="000000"/>
          <w:sz w:val="32"/>
          <w:szCs w:val="32"/>
        </w:rPr>
      </w:pPr>
      <w:r>
        <w:rPr>
          <w:rFonts w:ascii="仿宋" w:hAnsi="仿宋" w:eastAsia="仿宋"/>
          <w:color w:val="000000"/>
          <w:sz w:val="32"/>
          <w:szCs w:val="32"/>
        </w:rPr>
        <w:t>（1）保证党的路线、方针、政策的坚决贯彻执行。</w:t>
      </w:r>
    </w:p>
    <w:p w14:paraId="2E153F15">
      <w:pPr>
        <w:keepNext w:val="0"/>
        <w:keepLines w:val="0"/>
        <w:pageBreakBefore w:val="0"/>
        <w:widowControl w:val="0"/>
        <w:kinsoku/>
        <w:wordWrap/>
        <w:overflowPunct/>
        <w:topLinePunct w:val="0"/>
        <w:autoSpaceDE/>
        <w:autoSpaceDN/>
        <w:bidi w:val="0"/>
        <w:adjustRightInd/>
        <w:snapToGrid/>
        <w:spacing w:afterAutospacing="0"/>
        <w:ind w:left="0"/>
        <w:textAlignment w:val="auto"/>
        <w:rPr>
          <w:rFonts w:ascii="仿宋" w:hAnsi="仿宋" w:eastAsia="仿宋"/>
          <w:color w:val="000000"/>
          <w:sz w:val="32"/>
          <w:szCs w:val="32"/>
        </w:rPr>
      </w:pPr>
      <w:r>
        <w:rPr>
          <w:rFonts w:ascii="仿宋" w:hAnsi="仿宋" w:eastAsia="仿宋"/>
          <w:color w:val="000000"/>
          <w:sz w:val="32"/>
          <w:szCs w:val="32"/>
        </w:rPr>
        <w:t>（2）保证监督职能。</w:t>
      </w:r>
    </w:p>
    <w:p w14:paraId="78BF84E2">
      <w:pPr>
        <w:keepNext w:val="0"/>
        <w:keepLines w:val="0"/>
        <w:pageBreakBefore w:val="0"/>
        <w:widowControl w:val="0"/>
        <w:kinsoku/>
        <w:wordWrap/>
        <w:overflowPunct/>
        <w:topLinePunct w:val="0"/>
        <w:autoSpaceDE/>
        <w:autoSpaceDN/>
        <w:bidi w:val="0"/>
        <w:adjustRightInd/>
        <w:snapToGrid/>
        <w:spacing w:afterAutospacing="0"/>
        <w:ind w:left="0"/>
        <w:textAlignment w:val="auto"/>
        <w:rPr>
          <w:rFonts w:ascii="仿宋" w:hAnsi="仿宋" w:eastAsia="仿宋"/>
          <w:color w:val="000000"/>
          <w:sz w:val="32"/>
          <w:szCs w:val="32"/>
        </w:rPr>
      </w:pPr>
      <w:r>
        <w:rPr>
          <w:rFonts w:ascii="仿宋" w:hAnsi="仿宋" w:eastAsia="仿宋"/>
          <w:color w:val="000000"/>
          <w:sz w:val="32"/>
          <w:szCs w:val="32"/>
        </w:rPr>
        <w:t>（3）教育和管理职能。</w:t>
      </w:r>
    </w:p>
    <w:p w14:paraId="03FE2BDB">
      <w:pPr>
        <w:keepNext w:val="0"/>
        <w:keepLines w:val="0"/>
        <w:pageBreakBefore w:val="0"/>
        <w:widowControl w:val="0"/>
        <w:kinsoku/>
        <w:wordWrap/>
        <w:overflowPunct/>
        <w:topLinePunct w:val="0"/>
        <w:autoSpaceDE/>
        <w:autoSpaceDN/>
        <w:bidi w:val="0"/>
        <w:adjustRightInd/>
        <w:snapToGrid/>
        <w:spacing w:afterAutospacing="0"/>
        <w:ind w:left="0"/>
        <w:textAlignment w:val="auto"/>
        <w:rPr>
          <w:rFonts w:ascii="仿宋" w:hAnsi="仿宋" w:eastAsia="仿宋"/>
          <w:color w:val="000000"/>
          <w:sz w:val="32"/>
          <w:szCs w:val="32"/>
        </w:rPr>
      </w:pPr>
      <w:r>
        <w:rPr>
          <w:rFonts w:ascii="仿宋" w:hAnsi="仿宋" w:eastAsia="仿宋"/>
          <w:color w:val="000000"/>
          <w:sz w:val="32"/>
          <w:szCs w:val="32"/>
        </w:rPr>
        <w:t>（4）服从和服务于经济建设的职能。</w:t>
      </w:r>
    </w:p>
    <w:p w14:paraId="3B236E12">
      <w:pPr>
        <w:keepNext w:val="0"/>
        <w:keepLines w:val="0"/>
        <w:pageBreakBefore w:val="0"/>
        <w:widowControl w:val="0"/>
        <w:kinsoku/>
        <w:wordWrap/>
        <w:overflowPunct/>
        <w:topLinePunct w:val="0"/>
        <w:autoSpaceDE/>
        <w:autoSpaceDN/>
        <w:bidi w:val="0"/>
        <w:adjustRightInd/>
        <w:snapToGrid/>
        <w:spacing w:afterAutospacing="0"/>
        <w:ind w:left="0"/>
        <w:textAlignment w:val="auto"/>
        <w:rPr>
          <w:rFonts w:ascii="仿宋" w:hAnsi="仿宋" w:eastAsia="仿宋"/>
          <w:color w:val="000000"/>
          <w:sz w:val="32"/>
          <w:szCs w:val="32"/>
        </w:rPr>
      </w:pPr>
      <w:r>
        <w:rPr>
          <w:rFonts w:ascii="仿宋" w:hAnsi="仿宋" w:eastAsia="仿宋"/>
          <w:color w:val="000000"/>
          <w:sz w:val="32"/>
          <w:szCs w:val="32"/>
        </w:rPr>
        <w:t>（5）负责抓好本</w:t>
      </w:r>
      <w:r>
        <w:rPr>
          <w:rFonts w:hint="eastAsia" w:ascii="仿宋" w:hAnsi="仿宋" w:eastAsia="仿宋"/>
          <w:color w:val="000000"/>
          <w:sz w:val="32"/>
          <w:szCs w:val="32"/>
          <w:lang w:val="en-US" w:eastAsia="zh-CN"/>
        </w:rPr>
        <w:t>镇</w:t>
      </w:r>
      <w:r>
        <w:rPr>
          <w:rFonts w:ascii="仿宋" w:hAnsi="仿宋" w:eastAsia="仿宋"/>
          <w:color w:val="000000"/>
          <w:sz w:val="32"/>
          <w:szCs w:val="32"/>
        </w:rPr>
        <w:t>党建工作、群团工作、精神文明建设工作、新闻宣传工作。</w:t>
      </w:r>
    </w:p>
    <w:p w14:paraId="1EFA9BD7">
      <w:pPr>
        <w:keepNext w:val="0"/>
        <w:keepLines w:val="0"/>
        <w:pageBreakBefore w:val="0"/>
        <w:widowControl w:val="0"/>
        <w:kinsoku/>
        <w:wordWrap/>
        <w:overflowPunct/>
        <w:topLinePunct w:val="0"/>
        <w:autoSpaceDE/>
        <w:autoSpaceDN/>
        <w:bidi w:val="0"/>
        <w:adjustRightInd/>
        <w:snapToGrid/>
        <w:spacing w:afterAutospacing="0"/>
        <w:ind w:left="0"/>
        <w:textAlignment w:val="auto"/>
        <w:rPr>
          <w:rFonts w:ascii="仿宋" w:hAnsi="仿宋" w:eastAsia="仿宋"/>
          <w:color w:val="000000"/>
          <w:sz w:val="32"/>
          <w:szCs w:val="32"/>
        </w:rPr>
      </w:pPr>
      <w:r>
        <w:rPr>
          <w:rFonts w:ascii="仿宋" w:hAnsi="仿宋" w:eastAsia="仿宋"/>
          <w:color w:val="000000"/>
          <w:sz w:val="32"/>
          <w:szCs w:val="32"/>
        </w:rPr>
        <w:t>（6）完成县委、县政府交给的其他工作任务。</w:t>
      </w:r>
    </w:p>
    <w:p w14:paraId="12677B01">
      <w:pPr>
        <w:keepNext w:val="0"/>
        <w:keepLines w:val="0"/>
        <w:pageBreakBefore w:val="0"/>
        <w:widowControl w:val="0"/>
        <w:kinsoku/>
        <w:wordWrap/>
        <w:overflowPunct/>
        <w:topLinePunct w:val="0"/>
        <w:autoSpaceDE/>
        <w:autoSpaceDN/>
        <w:bidi w:val="0"/>
        <w:adjustRightInd/>
        <w:snapToGrid/>
        <w:spacing w:afterAutospacing="0"/>
        <w:ind w:left="0" w:firstLine="640" w:firstLineChars="200"/>
        <w:textAlignment w:val="auto"/>
        <w:rPr>
          <w:rFonts w:ascii="仿宋" w:hAnsi="仿宋" w:eastAsia="仿宋"/>
          <w:color w:val="000000"/>
          <w:sz w:val="32"/>
          <w:szCs w:val="32"/>
        </w:rPr>
      </w:pPr>
      <w:r>
        <w:rPr>
          <w:rFonts w:ascii="仿宋" w:hAnsi="仿宋" w:eastAsia="仿宋"/>
          <w:color w:val="000000"/>
          <w:sz w:val="32"/>
          <w:szCs w:val="32"/>
        </w:rPr>
        <w:t>二、政府职能：</w:t>
      </w:r>
    </w:p>
    <w:p w14:paraId="67494512">
      <w:pPr>
        <w:keepNext w:val="0"/>
        <w:keepLines w:val="0"/>
        <w:pageBreakBefore w:val="0"/>
        <w:widowControl w:val="0"/>
        <w:kinsoku/>
        <w:wordWrap/>
        <w:overflowPunct/>
        <w:topLinePunct w:val="0"/>
        <w:autoSpaceDE/>
        <w:autoSpaceDN/>
        <w:bidi w:val="0"/>
        <w:adjustRightInd/>
        <w:snapToGrid/>
        <w:spacing w:afterAutospacing="0"/>
        <w:ind w:left="0" w:firstLine="640" w:firstLineChars="200"/>
        <w:textAlignment w:val="auto"/>
        <w:rPr>
          <w:rFonts w:ascii="仿宋" w:hAnsi="仿宋" w:eastAsia="仿宋"/>
          <w:color w:val="000000"/>
          <w:sz w:val="32"/>
          <w:szCs w:val="32"/>
        </w:rPr>
      </w:pPr>
      <w:r>
        <w:rPr>
          <w:rFonts w:ascii="仿宋" w:hAnsi="仿宋" w:eastAsia="仿宋"/>
          <w:color w:val="000000"/>
          <w:sz w:val="32"/>
          <w:szCs w:val="32"/>
        </w:rPr>
        <w:t>（1）制定和组织实施经济、科技和社会发展计划，制定资源开发技术改造和产业结构调整方案，组织指导好各业生产，搞好商品流通，协调好本</w:t>
      </w:r>
      <w:r>
        <w:rPr>
          <w:rFonts w:hint="eastAsia" w:ascii="仿宋" w:hAnsi="仿宋" w:eastAsia="仿宋"/>
          <w:color w:val="000000"/>
          <w:sz w:val="32"/>
          <w:szCs w:val="32"/>
          <w:lang w:val="en-US" w:eastAsia="zh-CN"/>
        </w:rPr>
        <w:t>镇</w:t>
      </w:r>
      <w:r>
        <w:rPr>
          <w:rFonts w:ascii="仿宋" w:hAnsi="仿宋" w:eastAsia="仿宋"/>
          <w:color w:val="000000"/>
          <w:sz w:val="32"/>
          <w:szCs w:val="32"/>
        </w:rPr>
        <w:t>与外地区的经济交流与合作，抓好招商引资，人才引进项目开发，不断培育市场体系，组织经济运行，促进经济发展。</w:t>
      </w:r>
    </w:p>
    <w:p w14:paraId="31227495">
      <w:pPr>
        <w:keepNext w:val="0"/>
        <w:keepLines w:val="0"/>
        <w:pageBreakBefore w:val="0"/>
        <w:widowControl w:val="0"/>
        <w:kinsoku/>
        <w:wordWrap/>
        <w:overflowPunct/>
        <w:topLinePunct w:val="0"/>
        <w:autoSpaceDE/>
        <w:autoSpaceDN/>
        <w:bidi w:val="0"/>
        <w:adjustRightInd/>
        <w:snapToGrid/>
        <w:spacing w:afterAutospacing="0"/>
        <w:ind w:left="0" w:firstLine="640" w:firstLineChars="200"/>
        <w:textAlignment w:val="auto"/>
        <w:rPr>
          <w:rFonts w:ascii="仿宋" w:hAnsi="仿宋" w:eastAsia="仿宋"/>
          <w:color w:val="000000"/>
          <w:sz w:val="32"/>
          <w:szCs w:val="32"/>
        </w:rPr>
      </w:pPr>
      <w:r>
        <w:rPr>
          <w:rFonts w:ascii="仿宋" w:hAnsi="仿宋" w:eastAsia="仿宋"/>
          <w:color w:val="000000"/>
          <w:sz w:val="32"/>
          <w:szCs w:val="32"/>
        </w:rPr>
        <w:t>（2）制定并组织实施村</w:t>
      </w:r>
      <w:r>
        <w:rPr>
          <w:rFonts w:hint="eastAsia" w:ascii="仿宋" w:hAnsi="仿宋" w:eastAsia="仿宋"/>
          <w:color w:val="000000"/>
          <w:sz w:val="32"/>
          <w:szCs w:val="32"/>
          <w:lang w:val="en-US" w:eastAsia="zh-CN"/>
        </w:rPr>
        <w:t>镇</w:t>
      </w:r>
      <w:r>
        <w:rPr>
          <w:rFonts w:ascii="仿宋" w:hAnsi="仿宋" w:eastAsia="仿宋"/>
          <w:color w:val="000000"/>
          <w:sz w:val="32"/>
          <w:szCs w:val="32"/>
        </w:rPr>
        <w:t>建设规划，部署重点工程建设，地方道路建设及公共设施，水利设施的管理，负责土地、林木、水等自然资源和生态环境的保护，做好护林防火工作。</w:t>
      </w:r>
    </w:p>
    <w:p w14:paraId="131ABEDC">
      <w:pPr>
        <w:keepNext w:val="0"/>
        <w:keepLines w:val="0"/>
        <w:pageBreakBefore w:val="0"/>
        <w:widowControl w:val="0"/>
        <w:kinsoku/>
        <w:wordWrap/>
        <w:overflowPunct/>
        <w:topLinePunct w:val="0"/>
        <w:autoSpaceDE/>
        <w:autoSpaceDN/>
        <w:bidi w:val="0"/>
        <w:adjustRightInd/>
        <w:snapToGrid/>
        <w:spacing w:afterAutospacing="0"/>
        <w:ind w:left="0" w:firstLine="640" w:firstLineChars="200"/>
        <w:textAlignment w:val="auto"/>
        <w:rPr>
          <w:rFonts w:ascii="仿宋" w:hAnsi="仿宋" w:eastAsia="仿宋"/>
          <w:color w:val="000000"/>
          <w:sz w:val="32"/>
          <w:szCs w:val="32"/>
        </w:rPr>
      </w:pPr>
      <w:r>
        <w:rPr>
          <w:rFonts w:ascii="仿宋" w:hAnsi="仿宋" w:eastAsia="仿宋"/>
          <w:color w:val="00000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13261EEB">
      <w:pPr>
        <w:keepNext w:val="0"/>
        <w:keepLines w:val="0"/>
        <w:pageBreakBefore w:val="0"/>
        <w:widowControl w:val="0"/>
        <w:kinsoku/>
        <w:wordWrap/>
        <w:overflowPunct/>
        <w:topLinePunct w:val="0"/>
        <w:autoSpaceDE/>
        <w:autoSpaceDN/>
        <w:bidi w:val="0"/>
        <w:adjustRightInd/>
        <w:snapToGrid/>
        <w:spacing w:afterAutospacing="0"/>
        <w:ind w:left="0" w:firstLine="640" w:firstLineChars="200"/>
        <w:textAlignment w:val="auto"/>
        <w:rPr>
          <w:rFonts w:ascii="仿宋" w:hAnsi="仿宋" w:eastAsia="仿宋"/>
          <w:color w:val="000000"/>
          <w:sz w:val="32"/>
          <w:szCs w:val="32"/>
        </w:rPr>
      </w:pPr>
      <w:r>
        <w:rPr>
          <w:rFonts w:ascii="仿宋" w:hAnsi="仿宋" w:eastAsia="仿宋"/>
          <w:color w:val="000000"/>
          <w:sz w:val="32"/>
          <w:szCs w:val="32"/>
        </w:rPr>
        <w:t>（4）按计划组织本级财政收入和地方税的征收，完成国家财政计划，不断培植税源，管好财政资金，增强财政实力。</w:t>
      </w:r>
    </w:p>
    <w:p w14:paraId="7B253529">
      <w:pPr>
        <w:keepNext w:val="0"/>
        <w:keepLines w:val="0"/>
        <w:pageBreakBefore w:val="0"/>
        <w:widowControl w:val="0"/>
        <w:kinsoku/>
        <w:wordWrap/>
        <w:overflowPunct/>
        <w:topLinePunct w:val="0"/>
        <w:autoSpaceDE/>
        <w:autoSpaceDN/>
        <w:bidi w:val="0"/>
        <w:adjustRightInd/>
        <w:snapToGrid/>
        <w:spacing w:afterAutospacing="0"/>
        <w:ind w:left="0" w:firstLine="640" w:firstLineChars="200"/>
        <w:textAlignment w:val="auto"/>
        <w:rPr>
          <w:rFonts w:ascii="仿宋" w:hAnsi="仿宋" w:eastAsia="仿宋"/>
          <w:color w:val="000000"/>
          <w:sz w:val="32"/>
          <w:szCs w:val="32"/>
        </w:rPr>
      </w:pPr>
      <w:r>
        <w:rPr>
          <w:rFonts w:ascii="仿宋" w:hAnsi="仿宋" w:eastAsia="仿宋"/>
          <w:color w:val="000000"/>
          <w:sz w:val="32"/>
          <w:szCs w:val="32"/>
        </w:rPr>
        <w:t>（5）抓好精神文明建设，丰富群众文化生活，提倡移风易俗，反对封建迷信，破除陈规陋习，树立社会主义新风尚。</w:t>
      </w:r>
    </w:p>
    <w:p w14:paraId="31299C02">
      <w:pPr>
        <w:keepNext w:val="0"/>
        <w:keepLines w:val="0"/>
        <w:pageBreakBefore w:val="0"/>
        <w:widowControl w:val="0"/>
        <w:kinsoku/>
        <w:wordWrap/>
        <w:overflowPunct/>
        <w:topLinePunct w:val="0"/>
        <w:autoSpaceDE/>
        <w:autoSpaceDN/>
        <w:bidi w:val="0"/>
        <w:adjustRightInd/>
        <w:snapToGrid/>
        <w:spacing w:afterAutospacing="0"/>
        <w:ind w:left="0" w:firstLine="640" w:firstLineChars="200"/>
        <w:textAlignment w:val="auto"/>
      </w:pPr>
      <w:r>
        <w:rPr>
          <w:rFonts w:ascii="仿宋" w:hAnsi="仿宋" w:eastAsia="仿宋"/>
          <w:color w:val="000000"/>
          <w:sz w:val="32"/>
          <w:szCs w:val="32"/>
        </w:rPr>
        <w:t>（6）完成上级政府交办的</w:t>
      </w:r>
      <w:r>
        <w:rPr>
          <w:rFonts w:hint="eastAsia" w:ascii="仿宋" w:hAnsi="仿宋" w:eastAsia="仿宋"/>
          <w:color w:val="000000"/>
          <w:sz w:val="32"/>
          <w:szCs w:val="32"/>
          <w:lang w:eastAsia="zh-CN"/>
        </w:rPr>
        <w:t>其他事项</w:t>
      </w:r>
      <w:r>
        <w:rPr>
          <w:rFonts w:ascii="仿宋" w:hAnsi="仿宋" w:eastAsia="仿宋"/>
          <w:color w:val="000000"/>
          <w:sz w:val="32"/>
          <w:szCs w:val="32"/>
        </w:rPr>
        <w:t>。</w:t>
      </w:r>
    </w:p>
    <w:p w14:paraId="7C3A59F1">
      <w:pPr>
        <w:keepNext w:val="0"/>
        <w:keepLines w:val="0"/>
        <w:pageBreakBefore w:val="0"/>
        <w:widowControl w:val="0"/>
        <w:kinsoku/>
        <w:wordWrap/>
        <w:overflowPunct/>
        <w:topLinePunct w:val="0"/>
        <w:autoSpaceDE/>
        <w:autoSpaceDN/>
        <w:bidi w:val="0"/>
        <w:adjustRightInd/>
        <w:snapToGrid/>
        <w:spacing w:afterAutospacing="0" w:line="600" w:lineRule="exact"/>
        <w:ind w:left="0" w:firstLine="643" w:firstLineChars="200"/>
        <w:textAlignment w:val="auto"/>
        <w:outlineLvl w:val="2"/>
        <w:rPr>
          <w:rFonts w:ascii="仿宋" w:hAnsi="仿宋" w:eastAsia="仿宋"/>
          <w:b/>
          <w:color w:val="000000"/>
          <w:sz w:val="32"/>
          <w:szCs w:val="32"/>
        </w:rPr>
      </w:pPr>
      <w:bookmarkStart w:id="0" w:name="_Toc15378446"/>
      <w:bookmarkStart w:id="1" w:name="_Toc15377199"/>
      <w:r>
        <w:rPr>
          <w:rFonts w:hint="eastAsia" w:ascii="仿宋" w:hAnsi="仿宋" w:eastAsia="仿宋"/>
          <w:b/>
          <w:color w:val="000000"/>
          <w:sz w:val="32"/>
          <w:szCs w:val="32"/>
        </w:rPr>
        <w:t>（二）</w:t>
      </w:r>
      <w:r>
        <w:rPr>
          <w:rFonts w:hint="eastAsia" w:ascii="仿宋" w:hAnsi="仿宋" w:eastAsia="仿宋"/>
          <w:b/>
          <w:color w:val="000000"/>
          <w:sz w:val="32"/>
          <w:szCs w:val="32"/>
          <w:lang w:eastAsia="zh-CN"/>
        </w:rPr>
        <w:t>202</w:t>
      </w:r>
      <w:r>
        <w:rPr>
          <w:rFonts w:hint="eastAsia" w:ascii="仿宋" w:hAnsi="仿宋" w:eastAsia="仿宋"/>
          <w:b/>
          <w:color w:val="000000"/>
          <w:sz w:val="32"/>
          <w:szCs w:val="32"/>
          <w:lang w:val="en-US" w:eastAsia="zh-CN"/>
        </w:rPr>
        <w:t>4</w:t>
      </w:r>
      <w:r>
        <w:rPr>
          <w:rFonts w:hint="eastAsia" w:ascii="仿宋" w:hAnsi="仿宋" w:eastAsia="仿宋"/>
          <w:b/>
          <w:color w:val="000000"/>
          <w:sz w:val="32"/>
          <w:szCs w:val="32"/>
        </w:rPr>
        <w:t>重点工作完成情况</w:t>
      </w:r>
      <w:bookmarkEnd w:id="0"/>
      <w:bookmarkEnd w:id="1"/>
    </w:p>
    <w:p w14:paraId="75107EF5">
      <w:pPr>
        <w:keepNext w:val="0"/>
        <w:keepLines w:val="0"/>
        <w:pageBreakBefore w:val="0"/>
        <w:widowControl w:val="0"/>
        <w:kinsoku/>
        <w:wordWrap/>
        <w:overflowPunct/>
        <w:topLinePunct w:val="0"/>
        <w:autoSpaceDE/>
        <w:autoSpaceDN/>
        <w:bidi w:val="0"/>
        <w:adjustRightInd/>
        <w:snapToGrid/>
        <w:spacing w:afterAutospacing="0"/>
        <w:ind w:left="0"/>
        <w:textAlignment w:val="auto"/>
        <w:rPr>
          <w:shd w:val="clear" w:fill="FFFFFF"/>
        </w:rPr>
      </w:pPr>
      <w:r>
        <w:rPr>
          <w:rFonts w:ascii="仿宋" w:hAnsi="仿宋" w:eastAsia="仿宋"/>
          <w:color w:val="000000"/>
          <w:sz w:val="32"/>
          <w:szCs w:val="32"/>
        </w:rPr>
        <w:tab/>
      </w:r>
      <w:r>
        <w:rPr>
          <w:rFonts w:ascii="仿宋" w:hAnsi="仿宋" w:eastAsia="仿宋"/>
          <w:color w:val="000000"/>
          <w:sz w:val="32"/>
          <w:szCs w:val="32"/>
        </w:rPr>
        <w:t>完成了三月敏感期乡维稳工作；完成了上级安排的</w:t>
      </w:r>
      <w:r>
        <w:rPr>
          <w:rFonts w:hint="eastAsia" w:ascii="仿宋" w:hAnsi="仿宋" w:eastAsia="仿宋"/>
          <w:color w:val="000000"/>
          <w:sz w:val="32"/>
          <w:szCs w:val="32"/>
          <w:lang w:eastAsia="zh-CN"/>
        </w:rPr>
        <w:t>党委、政府</w:t>
      </w:r>
      <w:r>
        <w:rPr>
          <w:rFonts w:ascii="仿宋" w:hAnsi="仿宋" w:eastAsia="仿宋"/>
          <w:color w:val="000000"/>
          <w:sz w:val="32"/>
          <w:szCs w:val="32"/>
        </w:rPr>
        <w:t>主要工作；完成了</w:t>
      </w:r>
      <w:r>
        <w:rPr>
          <w:rFonts w:hint="eastAsia" w:ascii="仿宋" w:hAnsi="仿宋" w:eastAsia="仿宋"/>
          <w:color w:val="000000"/>
          <w:sz w:val="32"/>
          <w:szCs w:val="32"/>
          <w:lang w:val="en-US" w:eastAsia="zh-CN"/>
        </w:rPr>
        <w:t>控辍保学</w:t>
      </w:r>
      <w:r>
        <w:rPr>
          <w:rFonts w:ascii="仿宋" w:hAnsi="仿宋" w:eastAsia="仿宋"/>
          <w:color w:val="000000"/>
          <w:sz w:val="32"/>
          <w:szCs w:val="32"/>
        </w:rPr>
        <w:t>工作；</w:t>
      </w:r>
    </w:p>
    <w:p w14:paraId="56A299A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723" w:firstLineChars="200"/>
        <w:jc w:val="left"/>
        <w:textAlignment w:val="auto"/>
      </w:pPr>
      <w:r>
        <w:rPr>
          <w:shd w:val="clear" w:fill="FFFFFF"/>
        </w:rPr>
        <w:t>二、机构设置</w:t>
      </w:r>
    </w:p>
    <w:p w14:paraId="0B52086F">
      <w:pPr>
        <w:pStyle w:val="16"/>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shd w:val="clear" w:fill="FFFFFF"/>
          <w:lang w:val="en-US" w:eastAsia="zh-CN"/>
        </w:rPr>
      </w:pPr>
      <w:r>
        <w:rPr>
          <w:rFonts w:hint="eastAsia" w:ascii="仿宋_GB2312" w:hAnsi="仿宋_GB2312" w:eastAsia="仿宋_GB2312" w:cs="仿宋_GB2312"/>
          <w:color w:val="000000"/>
          <w:sz w:val="32"/>
          <w:szCs w:val="32"/>
        </w:rPr>
        <w:t>松潘县毛儿盖镇人民政府属一级预算单位，独立编制机构数1个，独立核算机构数1个，行政内设5个。</w:t>
      </w:r>
      <w:r>
        <w:rPr>
          <w:rFonts w:hint="eastAsia" w:ascii="仿宋_GB2312" w:hAnsi="仿宋_GB2312" w:eastAsia="仿宋_GB2312" w:cs="仿宋_GB2312"/>
          <w:color w:val="000000"/>
          <w:sz w:val="32"/>
          <w:szCs w:val="32"/>
          <w:lang w:val="zh-CN"/>
        </w:rPr>
        <w:t>我镇总编制</w:t>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val="zh-CN"/>
        </w:rPr>
        <w:t>名，其中：行政编制</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lang w:val="zh-CN"/>
        </w:rPr>
        <w:t>名；事业编制</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val="zh-CN"/>
        </w:rPr>
        <w:t>名。在职人员总数</w:t>
      </w:r>
      <w:r>
        <w:rPr>
          <w:rFonts w:hint="eastAsia" w:ascii="仿宋_GB2312" w:hAnsi="仿宋_GB2312" w:eastAsia="仿宋_GB2312" w:cs="仿宋_GB2312"/>
          <w:color w:val="000000"/>
          <w:sz w:val="32"/>
          <w:szCs w:val="32"/>
          <w:lang w:val="en-US" w:eastAsia="zh-CN"/>
        </w:rPr>
        <w:t>46</w:t>
      </w:r>
      <w:r>
        <w:rPr>
          <w:rFonts w:hint="eastAsia" w:ascii="仿宋_GB2312" w:hAnsi="仿宋_GB2312" w:eastAsia="仿宋_GB2312" w:cs="仿宋_GB2312"/>
          <w:color w:val="000000"/>
          <w:sz w:val="32"/>
          <w:szCs w:val="32"/>
          <w:lang w:val="zh-CN"/>
        </w:rPr>
        <w:t>人，其中：行政人员</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val="zh-CN"/>
        </w:rPr>
        <w:t>人，其他事业人员</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lang w:val="zh-CN"/>
        </w:rPr>
        <w:t>人，行政工勤在职</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val="zh-CN"/>
        </w:rPr>
        <w:t>。</w:t>
      </w:r>
    </w:p>
    <w:p w14:paraId="41B1286E">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center"/>
        <w:textAlignment w:val="auto"/>
      </w:pPr>
      <w:r>
        <w:rPr>
          <w:shd w:val="clear" w:fill="FFFFFF"/>
        </w:rPr>
        <w:t xml:space="preserve">第二部分 </w:t>
      </w:r>
      <w:r>
        <w:rPr>
          <w:rFonts w:hint="eastAsia"/>
          <w:shd w:val="clear" w:fill="FFFFFF"/>
          <w:lang w:eastAsia="zh-CN"/>
        </w:rPr>
        <w:t>202</w:t>
      </w:r>
      <w:r>
        <w:rPr>
          <w:rFonts w:hint="eastAsia"/>
          <w:shd w:val="clear" w:fill="FFFFFF"/>
          <w:lang w:val="en-US" w:eastAsia="zh-CN"/>
        </w:rPr>
        <w:t>4</w:t>
      </w:r>
      <w:r>
        <w:rPr>
          <w:shd w:val="clear" w:fill="FFFFFF"/>
        </w:rPr>
        <w:t>年度部门决算情况说明</w:t>
      </w:r>
    </w:p>
    <w:p w14:paraId="393FDE4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3" w:firstLineChars="20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一、收入支出决算总体情况说明</w:t>
      </w:r>
    </w:p>
    <w:p w14:paraId="1F173AE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年度收、支总计</w:t>
      </w:r>
      <w:r>
        <w:rPr>
          <w:rFonts w:hint="eastAsia" w:ascii="仿宋" w:hAnsi="仿宋" w:eastAsia="仿宋" w:cstheme="minorEastAsia"/>
          <w:color w:val="000000"/>
          <w:kern w:val="0"/>
          <w:sz w:val="32"/>
          <w:szCs w:val="32"/>
          <w:lang w:val="en-US" w:eastAsia="zh-CN" w:bidi="ar"/>
        </w:rPr>
        <w:t>1742.99</w:t>
      </w:r>
      <w:r>
        <w:rPr>
          <w:rFonts w:ascii="仿宋" w:hAnsi="仿宋" w:eastAsia="仿宋" w:cstheme="minorEastAsia"/>
          <w:color w:val="000000"/>
          <w:kern w:val="0"/>
          <w:sz w:val="32"/>
          <w:szCs w:val="32"/>
          <w:lang w:val="en-US" w:eastAsia="zh-CN" w:bidi="ar"/>
        </w:rPr>
        <w:t>万元。与202</w:t>
      </w:r>
      <w:r>
        <w:rPr>
          <w:rFonts w:hint="eastAsia" w:ascii="仿宋" w:hAnsi="仿宋" w:eastAsia="仿宋" w:cstheme="minorEastAsia"/>
          <w:color w:val="000000"/>
          <w:kern w:val="0"/>
          <w:sz w:val="32"/>
          <w:szCs w:val="32"/>
          <w:lang w:val="en-US" w:eastAsia="zh-CN" w:bidi="ar"/>
        </w:rPr>
        <w:t>3</w:t>
      </w:r>
      <w:r>
        <w:rPr>
          <w:rFonts w:ascii="仿宋" w:hAnsi="仿宋" w:eastAsia="仿宋" w:cstheme="minorEastAsia"/>
          <w:color w:val="000000"/>
          <w:kern w:val="0"/>
          <w:sz w:val="32"/>
          <w:szCs w:val="32"/>
          <w:lang w:val="en-US" w:eastAsia="zh-CN" w:bidi="ar"/>
        </w:rPr>
        <w:t>年相比，收、支总计各增加</w:t>
      </w:r>
      <w:r>
        <w:rPr>
          <w:rFonts w:hint="eastAsia" w:ascii="仿宋" w:hAnsi="仿宋" w:eastAsia="仿宋" w:cstheme="minorEastAsia"/>
          <w:color w:val="000000"/>
          <w:kern w:val="0"/>
          <w:sz w:val="32"/>
          <w:szCs w:val="32"/>
          <w:lang w:val="en-US" w:eastAsia="zh-CN" w:bidi="ar"/>
        </w:rPr>
        <w:t>471.1</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37</w:t>
      </w:r>
      <w:r>
        <w:rPr>
          <w:rFonts w:ascii="仿宋" w:hAnsi="仿宋" w:eastAsia="仿宋" w:cstheme="minorEastAsia"/>
          <w:color w:val="000000"/>
          <w:kern w:val="0"/>
          <w:sz w:val="32"/>
          <w:szCs w:val="32"/>
          <w:lang w:val="en-US" w:eastAsia="zh-CN" w:bidi="ar"/>
        </w:rPr>
        <w:t>%。主要变动原因是</w:t>
      </w:r>
      <w:r>
        <w:rPr>
          <w:rFonts w:hint="eastAsia" w:ascii="仿宋" w:hAnsi="仿宋" w:eastAsia="仿宋" w:cstheme="minorEastAsia"/>
          <w:color w:val="000000"/>
          <w:kern w:val="0"/>
          <w:sz w:val="32"/>
          <w:szCs w:val="32"/>
          <w:lang w:val="en-US" w:eastAsia="zh-CN" w:bidi="ar"/>
        </w:rPr>
        <w:t>人员增加、项目增加。</w:t>
      </w:r>
    </w:p>
    <w:p w14:paraId="4130F11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3" w:firstLineChars="20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二、收入决算情况说明</w:t>
      </w:r>
    </w:p>
    <w:p w14:paraId="04AF704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年本年收入合计</w:t>
      </w:r>
      <w:r>
        <w:rPr>
          <w:rFonts w:hint="eastAsia" w:ascii="仿宋" w:hAnsi="仿宋" w:eastAsia="仿宋" w:cstheme="minorEastAsia"/>
          <w:color w:val="000000"/>
          <w:kern w:val="0"/>
          <w:sz w:val="32"/>
          <w:szCs w:val="32"/>
          <w:lang w:val="en-US" w:eastAsia="zh-CN" w:bidi="ar"/>
        </w:rPr>
        <w:t>1742.99</w:t>
      </w:r>
      <w:r>
        <w:rPr>
          <w:rFonts w:ascii="仿宋" w:hAnsi="仿宋" w:eastAsia="仿宋" w:cstheme="minorEastAsia"/>
          <w:color w:val="000000"/>
          <w:kern w:val="0"/>
          <w:sz w:val="32"/>
          <w:szCs w:val="32"/>
          <w:lang w:val="en-US" w:eastAsia="zh-CN" w:bidi="ar"/>
        </w:rPr>
        <w:t>万元，其中：一般公共预算财政拨款收入</w:t>
      </w:r>
      <w:r>
        <w:rPr>
          <w:rFonts w:hint="eastAsia" w:ascii="仿宋" w:hAnsi="仿宋" w:eastAsia="仿宋" w:cstheme="minorEastAsia"/>
          <w:color w:val="000000"/>
          <w:kern w:val="0"/>
          <w:sz w:val="32"/>
          <w:szCs w:val="32"/>
          <w:lang w:val="en-US" w:eastAsia="zh-CN" w:bidi="ar"/>
        </w:rPr>
        <w:t>1741.99</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99.999</w:t>
      </w:r>
      <w:r>
        <w:rPr>
          <w:rFonts w:ascii="仿宋" w:hAnsi="仿宋" w:eastAsia="仿宋" w:cstheme="minorEastAsia"/>
          <w:color w:val="000000"/>
          <w:kern w:val="0"/>
          <w:sz w:val="32"/>
          <w:szCs w:val="32"/>
          <w:lang w:val="en-US" w:eastAsia="zh-CN" w:bidi="ar"/>
        </w:rPr>
        <w:t>%；</w:t>
      </w:r>
      <w:r>
        <w:rPr>
          <w:rFonts w:hint="eastAsia" w:ascii="仿宋_GB2312" w:hAnsi="仿宋_GB2312" w:eastAsia="仿宋_GB2312" w:cs="仿宋_GB2312"/>
          <w:sz w:val="32"/>
          <w:szCs w:val="32"/>
          <w:shd w:val="clear" w:color="auto" w:fill="FFFFFF"/>
          <w:lang w:val="en-US" w:eastAsia="zh-CN"/>
        </w:rPr>
        <w:t>年初结转结余0万元，占0%，</w:t>
      </w:r>
      <w:r>
        <w:rPr>
          <w:rFonts w:ascii="仿宋" w:hAnsi="仿宋" w:eastAsia="仿宋" w:cstheme="minorEastAsia"/>
          <w:color w:val="000000"/>
          <w:kern w:val="0"/>
          <w:sz w:val="32"/>
          <w:szCs w:val="32"/>
          <w:lang w:val="en-US" w:eastAsia="zh-CN" w:bidi="ar"/>
        </w:rPr>
        <w:t>政府性基金预算财政拨款收入</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%；国有资本经营预算财政拨款收入0.00万元，占0.00%；上级补助收入0.00万元，占0.00%；事业收入0.00万元，占0.00%%；经营收入0.00万元，占0.00%%；附属单位上缴收入0.00万元，占0.00%；其他收入</w:t>
      </w:r>
      <w:r>
        <w:rPr>
          <w:rFonts w:hint="eastAsia" w:ascii="仿宋" w:hAnsi="仿宋" w:eastAsia="仿宋" w:cstheme="minorEastAsia"/>
          <w:color w:val="000000"/>
          <w:kern w:val="0"/>
          <w:sz w:val="32"/>
          <w:szCs w:val="32"/>
          <w:lang w:val="en-US" w:eastAsia="zh-CN" w:bidi="ar"/>
        </w:rPr>
        <w:t>1</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0.001</w:t>
      </w:r>
      <w:r>
        <w:rPr>
          <w:rFonts w:ascii="仿宋" w:hAnsi="仿宋" w:eastAsia="仿宋" w:cstheme="minorEastAsia"/>
          <w:color w:val="000000"/>
          <w:kern w:val="0"/>
          <w:sz w:val="32"/>
          <w:szCs w:val="32"/>
          <w:lang w:val="en-US" w:eastAsia="zh-CN" w:bidi="ar"/>
        </w:rPr>
        <w:t>%。</w:t>
      </w:r>
    </w:p>
    <w:p w14:paraId="6CF4FBA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3" w:firstLineChars="20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三、支出决算情况说明</w:t>
      </w:r>
    </w:p>
    <w:p w14:paraId="2737D8B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both"/>
        <w:textAlignment w:val="auto"/>
        <w:rPr>
          <w:rFonts w:hint="default"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年本年支出合计</w:t>
      </w:r>
      <w:r>
        <w:rPr>
          <w:rFonts w:hint="eastAsia" w:ascii="仿宋" w:hAnsi="仿宋" w:eastAsia="仿宋" w:cstheme="minorEastAsia"/>
          <w:color w:val="000000"/>
          <w:kern w:val="0"/>
          <w:sz w:val="32"/>
          <w:szCs w:val="32"/>
          <w:lang w:val="en-US" w:eastAsia="zh-CN" w:bidi="ar"/>
        </w:rPr>
        <w:t>1742.99</w:t>
      </w:r>
      <w:r>
        <w:rPr>
          <w:rFonts w:ascii="仿宋" w:hAnsi="仿宋" w:eastAsia="仿宋" w:cstheme="minorEastAsia"/>
          <w:color w:val="000000"/>
          <w:kern w:val="0"/>
          <w:sz w:val="32"/>
          <w:szCs w:val="32"/>
          <w:lang w:val="en-US" w:eastAsia="zh-CN" w:bidi="ar"/>
        </w:rPr>
        <w:t>万元，其中：基本支出</w:t>
      </w:r>
      <w:r>
        <w:rPr>
          <w:rFonts w:hint="eastAsia" w:ascii="仿宋" w:hAnsi="仿宋" w:eastAsia="仿宋" w:cstheme="minorEastAsia"/>
          <w:color w:val="000000"/>
          <w:kern w:val="0"/>
          <w:sz w:val="32"/>
          <w:szCs w:val="32"/>
          <w:lang w:val="en-US" w:eastAsia="zh-CN" w:bidi="ar"/>
        </w:rPr>
        <w:t>740.09</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42.46</w:t>
      </w:r>
      <w:r>
        <w:rPr>
          <w:rFonts w:ascii="仿宋" w:hAnsi="仿宋" w:eastAsia="仿宋" w:cstheme="minorEastAsia"/>
          <w:color w:val="000000"/>
          <w:kern w:val="0"/>
          <w:sz w:val="32"/>
          <w:szCs w:val="32"/>
          <w:lang w:val="en-US" w:eastAsia="zh-CN" w:bidi="ar"/>
        </w:rPr>
        <w:t>%；项目支出</w:t>
      </w:r>
      <w:r>
        <w:rPr>
          <w:rFonts w:hint="eastAsia" w:ascii="仿宋" w:hAnsi="仿宋" w:eastAsia="仿宋" w:cstheme="minorEastAsia"/>
          <w:color w:val="000000"/>
          <w:kern w:val="0"/>
          <w:sz w:val="32"/>
          <w:szCs w:val="32"/>
          <w:lang w:val="en-US" w:eastAsia="zh-CN" w:bidi="ar"/>
        </w:rPr>
        <w:t>1001.9</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57.48</w:t>
      </w:r>
      <w:r>
        <w:rPr>
          <w:rFonts w:ascii="仿宋" w:hAnsi="仿宋" w:eastAsia="仿宋" w:cstheme="minorEastAsia"/>
          <w:color w:val="000000"/>
          <w:kern w:val="0"/>
          <w:sz w:val="32"/>
          <w:szCs w:val="32"/>
          <w:lang w:val="en-US" w:eastAsia="zh-CN" w:bidi="ar"/>
        </w:rPr>
        <w:t>%；上缴上级支出0.00万元，占0.00%；经营支出0.00万元，占经营支出0.00万元，占 0.00%；对附属单位补助支出0.00万元，占0.00%。</w:t>
      </w:r>
      <w:r>
        <w:rPr>
          <w:rFonts w:hint="eastAsia" w:ascii="仿宋" w:hAnsi="仿宋" w:eastAsia="仿宋" w:cstheme="minorEastAsia"/>
          <w:color w:val="000000"/>
          <w:kern w:val="0"/>
          <w:sz w:val="32"/>
          <w:szCs w:val="32"/>
          <w:lang w:val="en-US" w:eastAsia="zh-CN" w:bidi="ar"/>
        </w:rPr>
        <w:t>年初结转和结余1万元，占0.06%。</w:t>
      </w:r>
    </w:p>
    <w:p w14:paraId="5AC35A8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3" w:firstLineChars="20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四、财政拨款收入支出决算总体情况说明</w:t>
      </w:r>
    </w:p>
    <w:p w14:paraId="58DD185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年财政拨款收、支总计</w:t>
      </w:r>
      <w:r>
        <w:rPr>
          <w:rFonts w:hint="eastAsia" w:ascii="仿宋" w:hAnsi="仿宋" w:eastAsia="仿宋" w:cstheme="minorEastAsia"/>
          <w:color w:val="000000"/>
          <w:kern w:val="0"/>
          <w:sz w:val="32"/>
          <w:szCs w:val="32"/>
          <w:lang w:val="en-US" w:eastAsia="zh-CN" w:bidi="ar"/>
        </w:rPr>
        <w:t>1742.99</w:t>
      </w:r>
      <w:r>
        <w:rPr>
          <w:rFonts w:ascii="仿宋" w:hAnsi="仿宋" w:eastAsia="仿宋" w:cstheme="minorEastAsia"/>
          <w:color w:val="000000"/>
          <w:kern w:val="0"/>
          <w:sz w:val="32"/>
          <w:szCs w:val="32"/>
          <w:lang w:val="en-US" w:eastAsia="zh-CN" w:bidi="ar"/>
        </w:rPr>
        <w:t>万元。与202</w:t>
      </w:r>
      <w:r>
        <w:rPr>
          <w:rFonts w:hint="eastAsia" w:ascii="仿宋" w:hAnsi="仿宋" w:eastAsia="仿宋" w:cstheme="minorEastAsia"/>
          <w:color w:val="000000"/>
          <w:kern w:val="0"/>
          <w:sz w:val="32"/>
          <w:szCs w:val="32"/>
          <w:lang w:val="en-US" w:eastAsia="zh-CN" w:bidi="ar"/>
        </w:rPr>
        <w:t>3</w:t>
      </w:r>
      <w:r>
        <w:rPr>
          <w:rFonts w:ascii="仿宋" w:hAnsi="仿宋" w:eastAsia="仿宋" w:cstheme="minorEastAsia"/>
          <w:color w:val="000000"/>
          <w:kern w:val="0"/>
          <w:sz w:val="32"/>
          <w:szCs w:val="32"/>
          <w:lang w:val="en-US" w:eastAsia="zh-CN" w:bidi="ar"/>
        </w:rPr>
        <w:t>年相比，财政拨款收、支总计各增加</w:t>
      </w:r>
      <w:r>
        <w:rPr>
          <w:rFonts w:hint="eastAsia" w:ascii="仿宋" w:hAnsi="仿宋" w:eastAsia="仿宋" w:cstheme="minorEastAsia"/>
          <w:color w:val="000000"/>
          <w:kern w:val="0"/>
          <w:sz w:val="32"/>
          <w:szCs w:val="32"/>
          <w:lang w:val="en-US" w:eastAsia="zh-CN" w:bidi="ar"/>
        </w:rPr>
        <w:t>471.1</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37</w:t>
      </w:r>
      <w:r>
        <w:rPr>
          <w:rFonts w:ascii="仿宋" w:hAnsi="仿宋" w:eastAsia="仿宋" w:cstheme="minorEastAsia"/>
          <w:color w:val="000000"/>
          <w:kern w:val="0"/>
          <w:sz w:val="32"/>
          <w:szCs w:val="32"/>
          <w:lang w:val="en-US" w:eastAsia="zh-CN" w:bidi="ar"/>
        </w:rPr>
        <w:t>%。主要变动原因是</w:t>
      </w:r>
      <w:r>
        <w:rPr>
          <w:rFonts w:hint="eastAsia" w:ascii="仿宋" w:hAnsi="仿宋" w:eastAsia="仿宋" w:cstheme="minorEastAsia"/>
          <w:color w:val="000000"/>
          <w:kern w:val="0"/>
          <w:sz w:val="32"/>
          <w:szCs w:val="32"/>
          <w:lang w:val="en-US" w:eastAsia="zh-CN" w:bidi="ar"/>
        </w:rPr>
        <w:t>项目增加。</w:t>
      </w:r>
    </w:p>
    <w:p w14:paraId="6E1A2FE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3" w:firstLineChars="20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五、一般公共预算财政拨款支出决算情况说明</w:t>
      </w:r>
    </w:p>
    <w:p w14:paraId="707B334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3" w:firstLineChars="20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（一）一般公共预算财政拨款支出决算总体情况</w:t>
      </w:r>
    </w:p>
    <w:p w14:paraId="165A18C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年一般公共预算财政拨款支出</w:t>
      </w:r>
      <w:r>
        <w:rPr>
          <w:rFonts w:hint="eastAsia" w:ascii="仿宋" w:hAnsi="仿宋" w:eastAsia="仿宋" w:cstheme="minorEastAsia"/>
          <w:color w:val="000000"/>
          <w:kern w:val="0"/>
          <w:sz w:val="32"/>
          <w:szCs w:val="32"/>
          <w:lang w:val="en-US" w:eastAsia="zh-CN" w:bidi="ar"/>
        </w:rPr>
        <w:t>1741.99</w:t>
      </w:r>
      <w:r>
        <w:rPr>
          <w:rFonts w:ascii="仿宋" w:hAnsi="仿宋" w:eastAsia="仿宋" w:cstheme="minorEastAsia"/>
          <w:color w:val="000000"/>
          <w:kern w:val="0"/>
          <w:sz w:val="32"/>
          <w:szCs w:val="32"/>
          <w:lang w:val="en-US" w:eastAsia="zh-CN" w:bidi="ar"/>
        </w:rPr>
        <w:t>万元，占本年支出合计的</w:t>
      </w:r>
      <w:r>
        <w:rPr>
          <w:rFonts w:hint="eastAsia" w:ascii="仿宋" w:hAnsi="仿宋" w:eastAsia="仿宋" w:cstheme="minorEastAsia"/>
          <w:color w:val="000000"/>
          <w:kern w:val="0"/>
          <w:sz w:val="32"/>
          <w:szCs w:val="32"/>
          <w:lang w:val="en-US" w:eastAsia="zh-CN" w:bidi="ar"/>
        </w:rPr>
        <w:t>99.94</w:t>
      </w:r>
      <w:r>
        <w:rPr>
          <w:rFonts w:ascii="仿宋" w:hAnsi="仿宋" w:eastAsia="仿宋" w:cstheme="minorEastAsia"/>
          <w:color w:val="000000"/>
          <w:kern w:val="0"/>
          <w:sz w:val="32"/>
          <w:szCs w:val="32"/>
          <w:lang w:val="en-US" w:eastAsia="zh-CN" w:bidi="ar"/>
        </w:rPr>
        <w:t>%。与202</w:t>
      </w:r>
      <w:r>
        <w:rPr>
          <w:rFonts w:hint="eastAsia" w:ascii="仿宋" w:hAnsi="仿宋" w:eastAsia="仿宋" w:cstheme="minorEastAsia"/>
          <w:color w:val="000000"/>
          <w:kern w:val="0"/>
          <w:sz w:val="32"/>
          <w:szCs w:val="32"/>
          <w:lang w:val="en-US" w:eastAsia="zh-CN" w:bidi="ar"/>
        </w:rPr>
        <w:t>3</w:t>
      </w:r>
      <w:r>
        <w:rPr>
          <w:rFonts w:ascii="仿宋" w:hAnsi="仿宋" w:eastAsia="仿宋" w:cstheme="minorEastAsia"/>
          <w:color w:val="000000"/>
          <w:kern w:val="0"/>
          <w:sz w:val="32"/>
          <w:szCs w:val="32"/>
          <w:lang w:val="en-US" w:eastAsia="zh-CN" w:bidi="ar"/>
        </w:rPr>
        <w:t>年相比，一般公共预算财政拨款支出增加</w:t>
      </w:r>
      <w:r>
        <w:rPr>
          <w:rFonts w:hint="eastAsia" w:ascii="仿宋" w:hAnsi="仿宋" w:eastAsia="仿宋" w:cstheme="minorEastAsia"/>
          <w:color w:val="000000"/>
          <w:kern w:val="0"/>
          <w:sz w:val="32"/>
          <w:szCs w:val="32"/>
          <w:lang w:val="en-US" w:eastAsia="zh-CN" w:bidi="ar"/>
        </w:rPr>
        <w:t>470.1</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37</w:t>
      </w:r>
      <w:r>
        <w:rPr>
          <w:rFonts w:ascii="仿宋" w:hAnsi="仿宋" w:eastAsia="仿宋" w:cstheme="minorEastAsia"/>
          <w:color w:val="000000"/>
          <w:kern w:val="0"/>
          <w:sz w:val="32"/>
          <w:szCs w:val="32"/>
          <w:lang w:val="en-US" w:eastAsia="zh-CN" w:bidi="ar"/>
        </w:rPr>
        <w:t>%。主要变动原因是</w:t>
      </w:r>
      <w:r>
        <w:rPr>
          <w:rFonts w:hint="eastAsia" w:ascii="仿宋" w:hAnsi="仿宋" w:eastAsia="仿宋" w:cstheme="minorEastAsia"/>
          <w:color w:val="000000"/>
          <w:kern w:val="0"/>
          <w:sz w:val="32"/>
          <w:szCs w:val="32"/>
          <w:lang w:val="en-US" w:eastAsia="zh-CN" w:bidi="ar"/>
        </w:rPr>
        <w:t>项目增加。</w:t>
      </w:r>
    </w:p>
    <w:p w14:paraId="570957B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3" w:firstLineChars="20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（二）一般公共预算财政拨款支出决算结构情况</w:t>
      </w:r>
    </w:p>
    <w:p w14:paraId="541BD2F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年一般公共预算财政拨款支出</w:t>
      </w:r>
      <w:r>
        <w:rPr>
          <w:rFonts w:hint="eastAsia" w:ascii="仿宋" w:hAnsi="仿宋" w:eastAsia="仿宋" w:cstheme="minorEastAsia"/>
          <w:color w:val="000000"/>
          <w:kern w:val="0"/>
          <w:sz w:val="32"/>
          <w:szCs w:val="32"/>
          <w:lang w:val="en-US" w:eastAsia="zh-CN" w:bidi="ar"/>
        </w:rPr>
        <w:t>1741.99</w:t>
      </w:r>
      <w:r>
        <w:rPr>
          <w:rFonts w:ascii="仿宋" w:hAnsi="仿宋" w:eastAsia="仿宋" w:cstheme="minorEastAsia"/>
          <w:color w:val="000000"/>
          <w:kern w:val="0"/>
          <w:sz w:val="32"/>
          <w:szCs w:val="32"/>
          <w:lang w:val="en-US" w:eastAsia="zh-CN" w:bidi="ar"/>
        </w:rPr>
        <w:t>万元，主要用于以下方面</w:t>
      </w:r>
      <w:r>
        <w:rPr>
          <w:rFonts w:hint="eastAsia" w:ascii="仿宋" w:hAnsi="仿宋" w:eastAsia="仿宋" w:cstheme="minorEastAsia"/>
          <w:color w:val="000000"/>
          <w:kern w:val="0"/>
          <w:sz w:val="32"/>
          <w:szCs w:val="32"/>
          <w:lang w:val="en-US" w:eastAsia="zh-CN" w:bidi="ar"/>
        </w:rPr>
        <w:t>：</w:t>
      </w:r>
      <w:r>
        <w:rPr>
          <w:rFonts w:ascii="仿宋" w:hAnsi="仿宋" w:eastAsia="仿宋" w:cstheme="minorEastAsia"/>
          <w:color w:val="000000"/>
          <w:kern w:val="0"/>
          <w:sz w:val="32"/>
          <w:szCs w:val="32"/>
          <w:lang w:val="en-US" w:eastAsia="zh-CN" w:bidi="ar"/>
        </w:rPr>
        <w:t>一般公共服务（类）支出</w:t>
      </w:r>
      <w:r>
        <w:rPr>
          <w:rFonts w:hint="eastAsia" w:ascii="仿宋" w:hAnsi="仿宋" w:eastAsia="仿宋" w:cstheme="minorEastAsia"/>
          <w:color w:val="000000"/>
          <w:kern w:val="0"/>
          <w:sz w:val="32"/>
          <w:szCs w:val="32"/>
          <w:lang w:val="en-US" w:eastAsia="zh-CN" w:bidi="ar"/>
        </w:rPr>
        <w:t>562.5</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32.27</w:t>
      </w:r>
      <w:r>
        <w:rPr>
          <w:rFonts w:ascii="仿宋" w:hAnsi="仿宋" w:eastAsia="仿宋" w:cstheme="minorEastAsia"/>
          <w:color w:val="000000"/>
          <w:kern w:val="0"/>
          <w:sz w:val="32"/>
          <w:szCs w:val="32"/>
          <w:lang w:val="en-US" w:eastAsia="zh-CN" w:bidi="ar"/>
        </w:rPr>
        <w:t>%；教育支出（类）0.00万元，占0.00%；科学技术（类）支出0.00万元，占0.00%；文化旅游体育与传媒（类）支出0.00万元，占0.00%；社会保障和就业（类）支出</w:t>
      </w:r>
      <w:r>
        <w:rPr>
          <w:rFonts w:hint="eastAsia" w:ascii="仿宋" w:hAnsi="仿宋" w:eastAsia="仿宋" w:cstheme="minorEastAsia"/>
          <w:color w:val="000000"/>
          <w:kern w:val="0"/>
          <w:sz w:val="32"/>
          <w:szCs w:val="32"/>
          <w:lang w:val="en-US" w:eastAsia="zh-CN" w:bidi="ar"/>
        </w:rPr>
        <w:t>176.96</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10.15</w:t>
      </w:r>
      <w:r>
        <w:rPr>
          <w:rFonts w:ascii="仿宋" w:hAnsi="仿宋" w:eastAsia="仿宋" w:cstheme="minorEastAsia"/>
          <w:color w:val="000000"/>
          <w:kern w:val="0"/>
          <w:sz w:val="32"/>
          <w:szCs w:val="32"/>
          <w:lang w:val="en-US" w:eastAsia="zh-CN" w:bidi="ar"/>
        </w:rPr>
        <w:t>%；卫生健康支出</w:t>
      </w:r>
      <w:r>
        <w:rPr>
          <w:rFonts w:hint="eastAsia" w:ascii="仿宋" w:hAnsi="仿宋" w:eastAsia="仿宋" w:cstheme="minorEastAsia"/>
          <w:color w:val="000000"/>
          <w:kern w:val="0"/>
          <w:sz w:val="32"/>
          <w:szCs w:val="32"/>
          <w:lang w:val="en-US" w:eastAsia="zh-CN" w:bidi="ar"/>
        </w:rPr>
        <w:t>32.54</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1.9</w:t>
      </w:r>
      <w:r>
        <w:rPr>
          <w:rFonts w:ascii="仿宋" w:hAnsi="仿宋" w:eastAsia="仿宋" w:cstheme="minorEastAsia"/>
          <w:color w:val="000000"/>
          <w:kern w:val="0"/>
          <w:sz w:val="32"/>
          <w:szCs w:val="32"/>
          <w:lang w:val="en-US" w:eastAsia="zh-CN" w:bidi="ar"/>
        </w:rPr>
        <w:t>%；住房保障支出</w:t>
      </w:r>
      <w:r>
        <w:rPr>
          <w:rFonts w:hint="eastAsia" w:ascii="仿宋" w:hAnsi="仿宋" w:eastAsia="仿宋" w:cstheme="minorEastAsia"/>
          <w:color w:val="000000"/>
          <w:kern w:val="0"/>
          <w:sz w:val="32"/>
          <w:szCs w:val="32"/>
          <w:lang w:val="en-US" w:eastAsia="zh-CN" w:bidi="ar"/>
        </w:rPr>
        <w:t>46.92</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2.7</w:t>
      </w:r>
      <w:r>
        <w:rPr>
          <w:rFonts w:ascii="仿宋" w:hAnsi="仿宋" w:eastAsia="仿宋" w:cstheme="minorEastAsia"/>
          <w:color w:val="000000"/>
          <w:kern w:val="0"/>
          <w:sz w:val="32"/>
          <w:szCs w:val="32"/>
          <w:lang w:val="en-US" w:eastAsia="zh-CN" w:bidi="ar"/>
        </w:rPr>
        <w:t>%；</w:t>
      </w:r>
      <w:r>
        <w:rPr>
          <w:rFonts w:hint="eastAsia" w:ascii="仿宋" w:hAnsi="仿宋" w:eastAsia="仿宋" w:cstheme="minorEastAsia"/>
          <w:color w:val="000000"/>
          <w:kern w:val="0"/>
          <w:sz w:val="32"/>
          <w:szCs w:val="32"/>
          <w:lang w:val="en-US" w:eastAsia="zh-CN" w:bidi="ar"/>
        </w:rPr>
        <w:t>农林水支出923.06万元，占52.96%。</w:t>
      </w:r>
    </w:p>
    <w:p w14:paraId="1F5448B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321" w:firstLineChars="10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（三）一般公共预算财政拨款支出决算具体情况</w:t>
      </w:r>
    </w:p>
    <w:p w14:paraId="4DC41DA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年一般公共预算支出决算数为</w:t>
      </w:r>
      <w:r>
        <w:rPr>
          <w:rFonts w:hint="eastAsia" w:ascii="仿宋" w:hAnsi="仿宋" w:eastAsia="仿宋" w:cstheme="minorEastAsia"/>
          <w:color w:val="000000"/>
          <w:kern w:val="0"/>
          <w:sz w:val="32"/>
          <w:szCs w:val="32"/>
          <w:lang w:val="en-US" w:eastAsia="zh-CN" w:bidi="ar"/>
        </w:rPr>
        <w:t>1741.99</w:t>
      </w:r>
      <w:r>
        <w:rPr>
          <w:rFonts w:ascii="仿宋" w:hAnsi="仿宋" w:eastAsia="仿宋" w:cstheme="minorEastAsia"/>
          <w:color w:val="000000"/>
          <w:kern w:val="0"/>
          <w:sz w:val="32"/>
          <w:szCs w:val="32"/>
          <w:lang w:val="en-US" w:eastAsia="zh-CN" w:bidi="ar"/>
        </w:rPr>
        <w:t>，完成预算100.00%。其中：</w:t>
      </w:r>
    </w:p>
    <w:p w14:paraId="1B955E8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一般公共服务（类）</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lang w:val="en-US" w:eastAsia="zh-CN"/>
        </w:rPr>
        <w:t>03</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lang w:val="en-US" w:eastAsia="zh-CN"/>
        </w:rPr>
        <w:t>01（行政运行）：</w:t>
      </w:r>
      <w:r>
        <w:rPr>
          <w:rFonts w:hint="eastAsia" w:ascii="仿宋_GB2312" w:hAnsi="仿宋_GB2312" w:eastAsia="仿宋_GB2312" w:cs="仿宋_GB2312"/>
          <w:color w:val="auto"/>
          <w:sz w:val="32"/>
          <w:szCs w:val="32"/>
          <w:lang w:eastAsia="zh-CN"/>
        </w:rPr>
        <w:t xml:space="preserve"> 支出决算为</w:t>
      </w:r>
      <w:r>
        <w:rPr>
          <w:rFonts w:hint="eastAsia" w:ascii="仿宋_GB2312" w:hAnsi="仿宋_GB2312" w:eastAsia="仿宋_GB2312" w:cs="仿宋_GB2312"/>
          <w:color w:val="auto"/>
          <w:sz w:val="32"/>
          <w:szCs w:val="32"/>
          <w:lang w:val="en-US" w:eastAsia="zh-CN"/>
        </w:rPr>
        <w:t>556.15</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w:t>
      </w:r>
    </w:p>
    <w:p w14:paraId="34ADA4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.社会保障和就业（类）</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lang w:eastAsia="zh-CN"/>
        </w:rPr>
        <w:t>（机关事业单位基本养老保险缴费支出）： 支出决算为</w:t>
      </w:r>
      <w:r>
        <w:rPr>
          <w:rFonts w:hint="eastAsia" w:ascii="仿宋_GB2312" w:hAnsi="仿宋_GB2312" w:eastAsia="仿宋_GB2312" w:cs="仿宋_GB2312"/>
          <w:color w:val="auto"/>
          <w:sz w:val="32"/>
          <w:szCs w:val="32"/>
          <w:lang w:val="en-US" w:eastAsia="zh-CN"/>
        </w:rPr>
        <w:t>50.23</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w:t>
      </w:r>
    </w:p>
    <w:p w14:paraId="0ED90BFC">
      <w:pPr>
        <w:pStyle w:val="2"/>
        <w:keepNext w:val="0"/>
        <w:keepLines w:val="0"/>
        <w:pageBreakBefore w:val="0"/>
        <w:widowControl w:val="0"/>
        <w:kinsoku/>
        <w:wordWrap/>
        <w:overflowPunct/>
        <w:topLinePunct w:val="0"/>
        <w:autoSpaceDE/>
        <w:autoSpaceDN/>
        <w:bidi w:val="0"/>
        <w:adjustRightInd/>
        <w:snapToGrid/>
        <w:spacing w:beforeLines="0" w:beforeAutospacing="0" w:afterAutospacing="0"/>
        <w:ind w:left="0" w:firstLine="640" w:firstLineChars="200"/>
        <w:textAlignment w:val="auto"/>
        <w:rPr>
          <w:rFonts w:hint="default" w:hAnsi="仿宋_GB2312" w:cs="仿宋_GB2312"/>
          <w:color w:val="auto"/>
          <w:sz w:val="32"/>
          <w:szCs w:val="32"/>
          <w:lang w:val="en-US" w:eastAsia="zh-CN"/>
        </w:rPr>
      </w:pPr>
      <w:r>
        <w:rPr>
          <w:rFonts w:hint="eastAsia" w:hAnsi="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社会保障和就业（类）</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lang w:val="en-US" w:eastAsia="zh-CN"/>
        </w:rPr>
        <w:t>0</w:t>
      </w:r>
      <w:r>
        <w:rPr>
          <w:rFonts w:hint="eastAsia" w:hAnsi="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（机关事业单位职业年金缴费支出）</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 xml:space="preserve"> 支出决算为</w:t>
      </w:r>
      <w:r>
        <w:rPr>
          <w:rFonts w:hint="eastAsia" w:hAnsi="仿宋_GB2312" w:cs="仿宋_GB2312"/>
          <w:color w:val="auto"/>
          <w:sz w:val="32"/>
          <w:szCs w:val="32"/>
          <w:lang w:val="en-US" w:eastAsia="zh-CN"/>
        </w:rPr>
        <w:t>36.42</w:t>
      </w:r>
      <w:r>
        <w:rPr>
          <w:rFonts w:hint="eastAsia" w:ascii="仿宋_GB2312" w:hAnsi="仿宋_GB2312" w:eastAsia="仿宋_GB2312" w:cs="仿宋_GB2312"/>
          <w:color w:val="auto"/>
          <w:sz w:val="32"/>
          <w:szCs w:val="32"/>
          <w:lang w:eastAsia="zh-CN"/>
        </w:rPr>
        <w:t>万元，完成预算</w:t>
      </w:r>
      <w:r>
        <w:rPr>
          <w:rFonts w:hint="eastAsia" w:hAnsi="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w:t>
      </w:r>
      <w:r>
        <w:rPr>
          <w:rFonts w:hint="eastAsia" w:hAnsi="仿宋_GB2312" w:cs="仿宋_GB2312"/>
          <w:color w:val="auto"/>
          <w:sz w:val="32"/>
          <w:szCs w:val="32"/>
          <w:lang w:eastAsia="zh-CN"/>
        </w:rPr>
        <w:t>。</w:t>
      </w:r>
    </w:p>
    <w:p w14:paraId="5F6AA4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4.卫生健康（类）210（款）11（项）01（行政单位医疗补助）：支出决算为25.17万元，完成预算100%，210（款）11（项）03（公务员医疗补助）：支出决算为7.37万元，完成预算100%。</w:t>
      </w:r>
    </w:p>
    <w:p w14:paraId="1786166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5.卫生健康（类）210（款）11（项）03（公务员医疗补助）：支出决算为6.2万元，完成预算100%，决算数大于预算数的主要原因是当年人员增加，预算不足，追加经费；</w:t>
      </w:r>
    </w:p>
    <w:p w14:paraId="6968E3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6.住房保障（类）221（款）02（项）01（住房公积金）：</w:t>
      </w:r>
      <w:r>
        <w:rPr>
          <w:rFonts w:hint="eastAsia" w:ascii="仿宋_GB2312" w:hAnsi="仿宋_GB2312" w:eastAsia="仿宋_GB2312" w:cs="仿宋_GB2312"/>
          <w:color w:val="auto"/>
          <w:sz w:val="32"/>
          <w:szCs w:val="32"/>
          <w:lang w:eastAsia="zh-CN"/>
        </w:rPr>
        <w:t>支出决算为46.92万元，完成预算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w:t>
      </w:r>
    </w:p>
    <w:p w14:paraId="60F23131">
      <w:pPr>
        <w:pStyle w:val="2"/>
        <w:keepNext w:val="0"/>
        <w:keepLines w:val="0"/>
        <w:pageBreakBefore w:val="0"/>
        <w:widowControl w:val="0"/>
        <w:kinsoku/>
        <w:wordWrap/>
        <w:overflowPunct/>
        <w:topLinePunct w:val="0"/>
        <w:autoSpaceDE/>
        <w:autoSpaceDN/>
        <w:bidi w:val="0"/>
        <w:adjustRightInd/>
        <w:snapToGrid/>
        <w:spacing w:beforeLines="0" w:beforeAutospacing="0" w:afterAutospacing="0"/>
        <w:ind w:left="0" w:firstLine="640" w:firstLineChars="200"/>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7.人大事务（类）201（款）01（项）08（代表工作）：支出决算为5.35万元，完成预算100%</w:t>
      </w:r>
    </w:p>
    <w:p w14:paraId="1733FED5">
      <w:pPr>
        <w:pStyle w:val="2"/>
        <w:keepNext w:val="0"/>
        <w:keepLines w:val="0"/>
        <w:pageBreakBefore w:val="0"/>
        <w:widowControl w:val="0"/>
        <w:kinsoku/>
        <w:wordWrap/>
        <w:overflowPunct/>
        <w:topLinePunct w:val="0"/>
        <w:autoSpaceDE/>
        <w:autoSpaceDN/>
        <w:bidi w:val="0"/>
        <w:adjustRightInd/>
        <w:snapToGrid/>
        <w:spacing w:beforeLines="0" w:beforeAutospacing="0" w:afterAutospacing="0"/>
        <w:ind w:left="0" w:firstLine="640" w:firstLineChars="200"/>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8.农林水支出（类）213（款）05（项）04（农村基础设施建设）：支出决算为649.72万元，完成预算100%，农林水支出（类）213（款）07（项）99（其他农村综合改革支出）：支出决算为64.46万元，完成预算100%。</w:t>
      </w:r>
    </w:p>
    <w:p w14:paraId="48B42DC2">
      <w:pPr>
        <w:pStyle w:val="2"/>
        <w:keepNext w:val="0"/>
        <w:keepLines w:val="0"/>
        <w:pageBreakBefore w:val="0"/>
        <w:widowControl w:val="0"/>
        <w:kinsoku/>
        <w:wordWrap/>
        <w:overflowPunct/>
        <w:topLinePunct w:val="0"/>
        <w:autoSpaceDE/>
        <w:autoSpaceDN/>
        <w:bidi w:val="0"/>
        <w:adjustRightInd/>
        <w:snapToGrid/>
        <w:spacing w:beforeLines="0" w:beforeAutospacing="0" w:afterAutospacing="0"/>
        <w:ind w:left="0"/>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 xml:space="preserve">    9.政协事务（类）201（款）02（项）99（其他政协事务支出）：支出决算为1万元，完成预算100%。</w:t>
      </w:r>
    </w:p>
    <w:p w14:paraId="79B0AD8F">
      <w:pPr>
        <w:pStyle w:val="2"/>
        <w:keepNext w:val="0"/>
        <w:keepLines w:val="0"/>
        <w:pageBreakBefore w:val="0"/>
        <w:widowControl w:val="0"/>
        <w:pBdr>
          <w:bottom w:val="none" w:color="auto" w:sz="0" w:space="0"/>
        </w:pBdr>
        <w:kinsoku/>
        <w:wordWrap/>
        <w:overflowPunct/>
        <w:topLinePunct w:val="0"/>
        <w:autoSpaceDE/>
        <w:autoSpaceDN/>
        <w:bidi w:val="0"/>
        <w:adjustRightInd/>
        <w:snapToGrid/>
        <w:spacing w:beforeLines="0" w:beforeAutospacing="0" w:afterAutospacing="0"/>
        <w:ind w:left="0"/>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 xml:space="preserve">  10.民政管理事务（类）208（款）02（项）08（基层政权建设和社区治理</w:t>
      </w:r>
    </w:p>
    <w:p w14:paraId="25F9F0F8">
      <w:pPr>
        <w:pStyle w:val="2"/>
        <w:keepNext w:val="0"/>
        <w:keepLines w:val="0"/>
        <w:pageBreakBefore w:val="0"/>
        <w:widowControl w:val="0"/>
        <w:pBdr>
          <w:bottom w:val="none" w:color="auto" w:sz="0" w:space="0"/>
        </w:pBdr>
        <w:kinsoku/>
        <w:wordWrap/>
        <w:overflowPunct/>
        <w:topLinePunct w:val="0"/>
        <w:autoSpaceDE/>
        <w:autoSpaceDN/>
        <w:bidi w:val="0"/>
        <w:adjustRightInd/>
        <w:snapToGrid/>
        <w:spacing w:beforeLines="0" w:beforeAutospacing="0" w:afterAutospacing="0"/>
        <w:ind w:left="0" w:firstLine="640" w:firstLineChars="200"/>
        <w:textAlignment w:val="auto"/>
        <w:rPr>
          <w:rFonts w:hint="eastAsia" w:hAnsi="仿宋_GB2312" w:cs="仿宋_GB2312"/>
          <w:color w:val="auto"/>
          <w:sz w:val="32"/>
          <w:szCs w:val="32"/>
          <w:lang w:val="en-US" w:eastAsia="zh-CN"/>
        </w:rPr>
      </w:pPr>
    </w:p>
    <w:p w14:paraId="328F423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3" w:firstLineChars="200"/>
        <w:jc w:val="left"/>
        <w:textAlignment w:val="auto"/>
        <w:rPr>
          <w:rFonts w:ascii="仿宋" w:hAnsi="仿宋" w:eastAsia="仿宋" w:cstheme="minorEastAsia"/>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六、一般公共预算财政拨款基本支出决算情况说明</w:t>
      </w:r>
    </w:p>
    <w:p w14:paraId="69BE01D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年一般公共预算财政拨款基本支出</w:t>
      </w:r>
      <w:r>
        <w:rPr>
          <w:rFonts w:hint="eastAsia" w:ascii="仿宋" w:hAnsi="仿宋" w:eastAsia="仿宋" w:cstheme="minorEastAsia"/>
          <w:color w:val="000000"/>
          <w:kern w:val="0"/>
          <w:sz w:val="32"/>
          <w:szCs w:val="32"/>
          <w:lang w:val="en-US" w:eastAsia="zh-CN" w:bidi="ar"/>
        </w:rPr>
        <w:t>740.09</w:t>
      </w:r>
      <w:r>
        <w:rPr>
          <w:rFonts w:ascii="仿宋" w:hAnsi="仿宋" w:eastAsia="仿宋" w:cstheme="minorEastAsia"/>
          <w:color w:val="000000"/>
          <w:kern w:val="0"/>
          <w:sz w:val="32"/>
          <w:szCs w:val="32"/>
          <w:lang w:val="en-US" w:eastAsia="zh-CN" w:bidi="ar"/>
        </w:rPr>
        <w:t>万元，其中：人员经费</w:t>
      </w:r>
      <w:r>
        <w:rPr>
          <w:rFonts w:hint="eastAsia" w:ascii="仿宋" w:hAnsi="仿宋" w:eastAsia="仿宋" w:cstheme="minorEastAsia"/>
          <w:color w:val="000000"/>
          <w:kern w:val="0"/>
          <w:sz w:val="32"/>
          <w:szCs w:val="32"/>
          <w:lang w:val="en-US" w:eastAsia="zh-CN" w:bidi="ar"/>
        </w:rPr>
        <w:t>687.27</w:t>
      </w:r>
      <w:r>
        <w:rPr>
          <w:rFonts w:ascii="仿宋" w:hAnsi="仿宋" w:eastAsia="仿宋" w:cstheme="minorEastAsia"/>
          <w:color w:val="000000"/>
          <w:kern w:val="0"/>
          <w:sz w:val="32"/>
          <w:szCs w:val="32"/>
          <w:lang w:val="en-US" w:eastAsia="zh-CN" w:bidi="ar"/>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11F9762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公用经费</w:t>
      </w:r>
      <w:r>
        <w:rPr>
          <w:rFonts w:hint="eastAsia" w:ascii="仿宋" w:hAnsi="仿宋" w:eastAsia="仿宋" w:cstheme="minorEastAsia"/>
          <w:color w:val="000000"/>
          <w:kern w:val="0"/>
          <w:sz w:val="32"/>
          <w:szCs w:val="32"/>
          <w:lang w:val="en-US" w:eastAsia="zh-CN" w:bidi="ar"/>
        </w:rPr>
        <w:t>52.81</w:t>
      </w:r>
      <w:r>
        <w:rPr>
          <w:rFonts w:ascii="仿宋" w:hAnsi="仿宋" w:eastAsia="仿宋" w:cstheme="minorEastAsia"/>
          <w:color w:val="000000"/>
          <w:kern w:val="0"/>
          <w:sz w:val="32"/>
          <w:szCs w:val="32"/>
          <w:lang w:val="en-US" w:eastAsia="zh-CN" w:bidi="ar"/>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52EE94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3" w:firstLineChars="20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七、“三公”经费财政拨款支出决算情况说明</w:t>
      </w:r>
    </w:p>
    <w:p w14:paraId="07525D6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3" w:firstLineChars="20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（一）“三公”经费财政拨款支出决算总体情况说明</w:t>
      </w:r>
    </w:p>
    <w:p w14:paraId="67A2D8F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年“三公”经费财政拨款支出决算为</w:t>
      </w:r>
      <w:r>
        <w:rPr>
          <w:rFonts w:hint="eastAsia" w:ascii="仿宋" w:hAnsi="仿宋" w:eastAsia="仿宋" w:cstheme="minorEastAsia"/>
          <w:color w:val="000000"/>
          <w:kern w:val="0"/>
          <w:sz w:val="32"/>
          <w:szCs w:val="32"/>
          <w:lang w:val="en-US" w:eastAsia="zh-CN" w:bidi="ar"/>
        </w:rPr>
        <w:t>7.</w:t>
      </w:r>
      <w:r>
        <w:rPr>
          <w:rFonts w:ascii="仿宋" w:hAnsi="仿宋" w:eastAsia="仿宋" w:cstheme="minorEastAsia"/>
          <w:color w:val="000000"/>
          <w:kern w:val="0"/>
          <w:sz w:val="32"/>
          <w:szCs w:val="32"/>
          <w:lang w:val="en-US" w:eastAsia="zh-CN" w:bidi="ar"/>
        </w:rPr>
        <w:t>万元，完成预算100.00%，决算数</w:t>
      </w:r>
      <w:r>
        <w:rPr>
          <w:rFonts w:hint="eastAsia" w:ascii="仿宋" w:hAnsi="仿宋" w:eastAsia="仿宋" w:cstheme="minorEastAsia"/>
          <w:color w:val="000000"/>
          <w:kern w:val="0"/>
          <w:sz w:val="32"/>
          <w:szCs w:val="32"/>
          <w:lang w:val="en-US" w:eastAsia="zh-CN" w:bidi="ar"/>
        </w:rPr>
        <w:t>与</w:t>
      </w:r>
      <w:r>
        <w:rPr>
          <w:rFonts w:ascii="仿宋" w:hAnsi="仿宋" w:eastAsia="仿宋" w:cstheme="minorEastAsia"/>
          <w:color w:val="000000"/>
          <w:kern w:val="0"/>
          <w:sz w:val="32"/>
          <w:szCs w:val="32"/>
          <w:lang w:val="en-US" w:eastAsia="zh-CN" w:bidi="ar"/>
        </w:rPr>
        <w:t>预算数持平。</w:t>
      </w:r>
    </w:p>
    <w:p w14:paraId="0642674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3" w:firstLineChars="20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（二）“三公”经费财政拨款支出决算具体情况说明</w:t>
      </w:r>
    </w:p>
    <w:p w14:paraId="7046F34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 xml:space="preserve"> 2024</w:t>
      </w:r>
      <w:r>
        <w:rPr>
          <w:rFonts w:ascii="仿宋" w:hAnsi="仿宋" w:eastAsia="仿宋" w:cstheme="minorEastAsia"/>
          <w:color w:val="000000"/>
          <w:kern w:val="0"/>
          <w:sz w:val="32"/>
          <w:szCs w:val="32"/>
          <w:lang w:val="en-US" w:eastAsia="zh-CN" w:bidi="ar"/>
        </w:rPr>
        <w:t>年“三公”经费财政拨款支出决算中，因公出国（境）费支出决算0.00万元，占0.00%；公务用车购置及运行维护费支出决算</w:t>
      </w:r>
      <w:r>
        <w:rPr>
          <w:rFonts w:hint="eastAsia" w:ascii="仿宋" w:hAnsi="仿宋" w:eastAsia="仿宋" w:cstheme="minorEastAsia"/>
          <w:color w:val="000000"/>
          <w:kern w:val="0"/>
          <w:sz w:val="32"/>
          <w:szCs w:val="32"/>
          <w:lang w:val="en-US" w:eastAsia="zh-CN" w:bidi="ar"/>
        </w:rPr>
        <w:t>7</w:t>
      </w:r>
      <w:r>
        <w:rPr>
          <w:rFonts w:ascii="仿宋" w:hAnsi="仿宋" w:eastAsia="仿宋" w:cstheme="minorEastAsia"/>
          <w:color w:val="000000"/>
          <w:kern w:val="0"/>
          <w:sz w:val="32"/>
          <w:szCs w:val="32"/>
          <w:lang w:val="en-US" w:eastAsia="zh-CN" w:bidi="ar"/>
        </w:rPr>
        <w:t>万元，占100.00%；公务接待费支出决算0.00万元，占0.00%。具体情况如下：</w:t>
      </w:r>
    </w:p>
    <w:p w14:paraId="60E9C68E">
      <w:pPr>
        <w:pStyle w:val="12"/>
        <w:keepNext w:val="0"/>
        <w:keepLines w:val="0"/>
        <w:pageBreakBefore w:val="0"/>
        <w:widowControl w:val="0"/>
        <w:numPr>
          <w:ilvl w:val="0"/>
          <w:numId w:val="0"/>
        </w:numPr>
        <w:suppressLineNumbers w:val="0"/>
        <w:pBdr>
          <w:bottom w:val="none" w:color="auto" w:sz="0" w:space="0"/>
        </w:pBdr>
        <w:kinsoku/>
        <w:wordWrap/>
        <w:overflowPunct/>
        <w:topLinePunct w:val="0"/>
        <w:autoSpaceDE/>
        <w:autoSpaceDN/>
        <w:bidi w:val="0"/>
        <w:adjustRightInd/>
        <w:snapToGrid/>
        <w:spacing w:before="0" w:beforeAutospacing="0" w:afterAutospacing="0"/>
        <w:ind w:left="0"/>
        <w:jc w:val="left"/>
        <w:textAlignment w:val="auto"/>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1.</w:t>
      </w:r>
      <w:r>
        <w:rPr>
          <w:rFonts w:ascii="仿宋" w:hAnsi="仿宋" w:eastAsia="仿宋" w:cstheme="minorEastAsia"/>
          <w:color w:val="000000"/>
          <w:kern w:val="0"/>
          <w:sz w:val="32"/>
          <w:szCs w:val="32"/>
          <w:lang w:val="en-US" w:eastAsia="zh-CN" w:bidi="ar"/>
        </w:rPr>
        <w:t>因公出国（境）经费支出0.00万元，完成0.00%</w:t>
      </w:r>
      <w:r>
        <w:rPr>
          <w:rFonts w:hint="eastAsia" w:ascii="仿宋" w:hAnsi="仿宋" w:eastAsia="仿宋" w:cstheme="minorEastAsia"/>
          <w:color w:val="000000"/>
          <w:kern w:val="0"/>
          <w:sz w:val="32"/>
          <w:szCs w:val="32"/>
          <w:lang w:val="en-US" w:eastAsia="zh-CN" w:bidi="ar"/>
        </w:rPr>
        <w:t>。</w:t>
      </w:r>
      <w:r>
        <w:rPr>
          <w:rFonts w:ascii="仿宋" w:hAnsi="仿宋" w:eastAsia="仿宋" w:cstheme="minorEastAsia"/>
          <w:color w:val="000000"/>
          <w:kern w:val="0"/>
          <w:sz w:val="32"/>
          <w:szCs w:val="32"/>
          <w:lang w:val="en-US" w:eastAsia="zh-CN" w:bidi="ar"/>
        </w:rPr>
        <w:t>年安排因公出国（境）团组0次，出国（境）0人。因公出国（境）支出决算比202</w:t>
      </w:r>
      <w:r>
        <w:rPr>
          <w:rFonts w:hint="eastAsia" w:ascii="仿宋" w:hAnsi="仿宋" w:eastAsia="仿宋" w:cstheme="minorEastAsia"/>
          <w:color w:val="000000"/>
          <w:kern w:val="0"/>
          <w:sz w:val="32"/>
          <w:szCs w:val="32"/>
          <w:lang w:val="en-US" w:eastAsia="zh-CN" w:bidi="ar"/>
        </w:rPr>
        <w:t>3</w:t>
      </w:r>
      <w:r>
        <w:rPr>
          <w:rFonts w:ascii="仿宋" w:hAnsi="仿宋" w:eastAsia="仿宋" w:cstheme="minorEastAsia"/>
          <w:color w:val="000000"/>
          <w:kern w:val="0"/>
          <w:sz w:val="32"/>
          <w:szCs w:val="32"/>
          <w:lang w:val="en-US" w:eastAsia="zh-CN" w:bidi="ar"/>
        </w:rPr>
        <w:t>年</w:t>
      </w:r>
      <w:r>
        <w:rPr>
          <w:rFonts w:hint="eastAsia" w:ascii="仿宋" w:hAnsi="仿宋" w:eastAsia="仿宋" w:cstheme="minorEastAsia"/>
          <w:color w:val="000000"/>
          <w:kern w:val="0"/>
          <w:sz w:val="32"/>
          <w:szCs w:val="32"/>
          <w:lang w:val="en-US" w:eastAsia="zh-CN" w:bidi="ar"/>
        </w:rPr>
        <w:t>减少0</w:t>
      </w:r>
      <w:r>
        <w:rPr>
          <w:rFonts w:ascii="仿宋" w:hAnsi="仿宋" w:eastAsia="仿宋" w:cstheme="minorEastAsia"/>
          <w:color w:val="000000"/>
          <w:kern w:val="0"/>
          <w:sz w:val="32"/>
          <w:szCs w:val="32"/>
          <w:lang w:val="en-US" w:eastAsia="zh-CN" w:bidi="ar"/>
        </w:rPr>
        <w:t>万元，增长0.00%</w:t>
      </w:r>
    </w:p>
    <w:p w14:paraId="5D40BE8A">
      <w:pPr>
        <w:pStyle w:val="12"/>
        <w:keepNext w:val="0"/>
        <w:keepLines w:val="0"/>
        <w:pageBreakBefore w:val="0"/>
        <w:widowControl w:val="0"/>
        <w:suppressLineNumbers w:val="0"/>
        <w:pBdr>
          <w:bottom w:val="none" w:color="auto" w:sz="0" w:space="0"/>
        </w:pBdr>
        <w:kinsoku/>
        <w:wordWrap/>
        <w:overflowPunct/>
        <w:topLinePunct w:val="0"/>
        <w:autoSpaceDE/>
        <w:autoSpaceDN/>
        <w:bidi w:val="0"/>
        <w:adjustRightInd/>
        <w:snapToGrid/>
        <w:spacing w:before="0" w:beforeAutospacing="0" w:afterAutospacing="0"/>
        <w:ind w:left="0"/>
        <w:jc w:val="left"/>
        <w:textAlignment w:val="auto"/>
        <w:rPr>
          <w:rFonts w:hint="eastAsia" w:ascii="仿宋_GB2312" w:hAnsi="仿宋_GB2312" w:eastAsia="仿宋_GB2312" w:cs="仿宋_GB2312"/>
          <w:b w:val="0"/>
          <w:bCs/>
          <w:sz w:val="32"/>
          <w:szCs w:val="32"/>
        </w:rPr>
      </w:pPr>
      <w:r>
        <w:rPr>
          <w:rFonts w:ascii="仿宋" w:hAnsi="仿宋" w:eastAsia="仿宋" w:cstheme="minorEastAsia"/>
          <w:color w:val="000000"/>
          <w:kern w:val="0"/>
          <w:sz w:val="32"/>
          <w:szCs w:val="32"/>
          <w:lang w:val="en-US" w:eastAsia="zh-CN" w:bidi="ar"/>
        </w:rPr>
        <w:t>2.公务用车购置及运行维护费支出</w:t>
      </w:r>
      <w:r>
        <w:rPr>
          <w:rFonts w:hint="eastAsia" w:ascii="仿宋" w:hAnsi="仿宋" w:eastAsia="仿宋" w:cstheme="minorEastAsia"/>
          <w:color w:val="000000"/>
          <w:kern w:val="0"/>
          <w:sz w:val="32"/>
          <w:szCs w:val="32"/>
          <w:lang w:val="en-US" w:eastAsia="zh-CN" w:bidi="ar"/>
        </w:rPr>
        <w:t>7</w:t>
      </w:r>
      <w:r>
        <w:rPr>
          <w:rFonts w:ascii="仿宋" w:hAnsi="仿宋" w:eastAsia="仿宋" w:cstheme="minorEastAsia"/>
          <w:color w:val="000000"/>
          <w:kern w:val="0"/>
          <w:sz w:val="32"/>
          <w:szCs w:val="32"/>
          <w:lang w:val="en-US" w:eastAsia="zh-CN" w:bidi="ar"/>
        </w:rPr>
        <w:t>万元</w:t>
      </w:r>
      <w:r>
        <w:rPr>
          <w:rFonts w:hint="eastAsia" w:ascii="仿宋" w:hAnsi="仿宋" w:eastAsia="仿宋" w:cstheme="minorEastAsia"/>
          <w:color w:val="000000"/>
          <w:kern w:val="0"/>
          <w:sz w:val="32"/>
          <w:szCs w:val="32"/>
          <w:lang w:val="en-US" w:eastAsia="zh-CN" w:bidi="ar"/>
        </w:rPr>
        <w:t>，</w:t>
      </w:r>
      <w:r>
        <w:rPr>
          <w:rFonts w:ascii="仿宋" w:hAnsi="仿宋" w:eastAsia="仿宋" w:cstheme="minorEastAsia"/>
          <w:color w:val="000000"/>
          <w:kern w:val="0"/>
          <w:sz w:val="32"/>
          <w:szCs w:val="32"/>
          <w:lang w:val="en-US" w:eastAsia="zh-CN" w:bidi="ar"/>
        </w:rPr>
        <w:t>完成预算100.00%。公务用车购置及运行维护费支出决算比202</w:t>
      </w:r>
      <w:r>
        <w:rPr>
          <w:rFonts w:hint="eastAsia" w:ascii="仿宋" w:hAnsi="仿宋" w:eastAsia="仿宋" w:cstheme="minorEastAsia"/>
          <w:color w:val="000000"/>
          <w:kern w:val="0"/>
          <w:sz w:val="32"/>
          <w:szCs w:val="32"/>
          <w:lang w:val="en-US" w:eastAsia="zh-CN" w:bidi="ar"/>
        </w:rPr>
        <w:t>3</w:t>
      </w:r>
      <w:r>
        <w:rPr>
          <w:rFonts w:ascii="仿宋" w:hAnsi="仿宋" w:eastAsia="仿宋" w:cstheme="minorEastAsia"/>
          <w:color w:val="000000"/>
          <w:kern w:val="0"/>
          <w:sz w:val="32"/>
          <w:szCs w:val="32"/>
          <w:lang w:val="en-US" w:eastAsia="zh-CN" w:bidi="ar"/>
        </w:rPr>
        <w:t>年</w:t>
      </w:r>
      <w:r>
        <w:rPr>
          <w:rFonts w:hint="eastAsia" w:ascii="仿宋" w:hAnsi="仿宋" w:eastAsia="仿宋" w:cstheme="minorEastAsia"/>
          <w:color w:val="000000"/>
          <w:kern w:val="0"/>
          <w:sz w:val="32"/>
          <w:szCs w:val="32"/>
          <w:lang w:val="en-US" w:eastAsia="zh-CN" w:bidi="ar"/>
        </w:rPr>
        <w:t>减少0</w:t>
      </w:r>
      <w:r>
        <w:rPr>
          <w:rFonts w:ascii="仿宋" w:hAnsi="仿宋" w:eastAsia="仿宋" w:cstheme="minorEastAsia"/>
          <w:color w:val="000000"/>
          <w:kern w:val="0"/>
          <w:sz w:val="32"/>
          <w:szCs w:val="32"/>
          <w:lang w:val="en-US" w:eastAsia="zh-CN" w:bidi="ar"/>
        </w:rPr>
        <w:t>万元。</w:t>
      </w:r>
      <w:r>
        <w:rPr>
          <w:rFonts w:hint="eastAsia" w:ascii="仿宋_GB2312" w:hAnsi="仿宋_GB2312" w:eastAsia="仿宋_GB2312" w:cs="仿宋_GB2312"/>
          <w:b w:val="0"/>
          <w:bCs/>
          <w:sz w:val="32"/>
          <w:szCs w:val="32"/>
          <w:shd w:val="clear" w:color="auto" w:fill="FFFFFF"/>
        </w:rPr>
        <w:t>其中：</w:t>
      </w:r>
      <w:r>
        <w:rPr>
          <w:rStyle w:val="15"/>
          <w:rFonts w:hint="eastAsia" w:ascii="仿宋_GB2312" w:hAnsi="仿宋_GB2312" w:eastAsia="仿宋_GB2312" w:cs="仿宋_GB2312"/>
          <w:b w:val="0"/>
          <w:bCs/>
          <w:sz w:val="32"/>
          <w:szCs w:val="32"/>
          <w:shd w:val="clear" w:color="auto" w:fill="FFFFFF"/>
        </w:rPr>
        <w:t>公务用车购置支出</w:t>
      </w:r>
      <w:r>
        <w:rPr>
          <w:rFonts w:hint="eastAsia" w:ascii="仿宋_GB2312" w:hAnsi="仿宋_GB2312" w:eastAsia="仿宋_GB2312" w:cs="仿宋_GB2312"/>
          <w:b w:val="0"/>
          <w:bCs/>
          <w:sz w:val="32"/>
          <w:szCs w:val="32"/>
          <w:shd w:val="clear" w:color="auto" w:fill="FFFFFF"/>
        </w:rPr>
        <w:t>0.00万元。全年按规定更新购置公务用车0辆</w:t>
      </w:r>
      <w:r>
        <w:rPr>
          <w:rFonts w:hint="eastAsia" w:ascii="仿宋_GB2312" w:hAnsi="仿宋_GB2312" w:eastAsia="仿宋_GB2312" w:cs="仿宋_GB2312"/>
          <w:b w:val="0"/>
          <w:bCs/>
          <w:sz w:val="32"/>
          <w:szCs w:val="32"/>
          <w:shd w:val="clear" w:color="auto" w:fill="FFFFFF"/>
          <w:lang w:eastAsia="zh-CN"/>
        </w:rPr>
        <w:t>。</w:t>
      </w:r>
      <w:r>
        <w:rPr>
          <w:rStyle w:val="15"/>
          <w:rFonts w:hint="eastAsia" w:ascii="仿宋_GB2312" w:hAnsi="仿宋_GB2312" w:eastAsia="仿宋_GB2312" w:cs="仿宋_GB2312"/>
          <w:b w:val="0"/>
          <w:bCs/>
          <w:sz w:val="32"/>
          <w:szCs w:val="32"/>
          <w:shd w:val="clear" w:color="auto" w:fill="FFFFFF"/>
        </w:rPr>
        <w:t>公务用车运行维护费支出7</w:t>
      </w:r>
      <w:r>
        <w:rPr>
          <w:rFonts w:hint="eastAsia" w:ascii="仿宋_GB2312" w:hAnsi="仿宋_GB2312" w:eastAsia="仿宋_GB2312" w:cs="仿宋_GB2312"/>
          <w:b w:val="0"/>
          <w:bCs/>
          <w:sz w:val="32"/>
          <w:szCs w:val="32"/>
          <w:shd w:val="clear" w:color="auto" w:fill="FFFFFF"/>
        </w:rPr>
        <w:t>万元。主要用于</w:t>
      </w:r>
      <w:r>
        <w:rPr>
          <w:rFonts w:hint="eastAsia" w:ascii="仿宋_GB2312" w:hAnsi="仿宋_GB2312" w:eastAsia="仿宋_GB2312" w:cs="仿宋_GB2312"/>
          <w:b w:val="0"/>
          <w:bCs/>
          <w:sz w:val="32"/>
          <w:szCs w:val="32"/>
          <w:shd w:val="clear" w:color="auto" w:fill="FFFFFF"/>
          <w:lang w:val="en-US" w:eastAsia="zh-CN"/>
        </w:rPr>
        <w:t>日常上县、下村</w:t>
      </w:r>
      <w:r>
        <w:rPr>
          <w:rFonts w:hint="eastAsia" w:ascii="仿宋_GB2312" w:hAnsi="仿宋_GB2312" w:eastAsia="仿宋_GB2312" w:cs="仿宋_GB2312"/>
          <w:b w:val="0"/>
          <w:bCs/>
          <w:sz w:val="32"/>
          <w:szCs w:val="32"/>
          <w:shd w:val="clear" w:color="auto" w:fill="FFFFFF"/>
        </w:rPr>
        <w:t>所需的公务用车燃料费、维修费、过路过桥费、保险费等支出。</w:t>
      </w:r>
    </w:p>
    <w:p w14:paraId="4AC042E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shd w:val="clear" w:color="auto" w:fill="FFFFFF"/>
        </w:rPr>
        <w:t>3.公务接待费支出</w:t>
      </w:r>
      <w:r>
        <w:rPr>
          <w:rFonts w:hint="eastAsia" w:ascii="仿宋_GB2312" w:hAnsi="仿宋_GB2312" w:eastAsia="仿宋_GB2312" w:cs="仿宋_GB2312"/>
          <w:b w:val="0"/>
          <w:bCs/>
          <w:sz w:val="32"/>
          <w:szCs w:val="32"/>
          <w:shd w:val="clear" w:color="auto" w:fill="FFFFFF"/>
        </w:rPr>
        <w:t>0.00万元，</w:t>
      </w:r>
      <w:r>
        <w:rPr>
          <w:rStyle w:val="15"/>
          <w:rFonts w:hint="eastAsia" w:ascii="仿宋_GB2312" w:hAnsi="仿宋_GB2312" w:eastAsia="仿宋_GB2312" w:cs="仿宋_GB2312"/>
          <w:b w:val="0"/>
          <w:bCs/>
          <w:sz w:val="32"/>
          <w:szCs w:val="32"/>
          <w:shd w:val="clear" w:color="auto" w:fill="FFFFFF"/>
        </w:rPr>
        <w:t>完成预算100%。</w:t>
      </w:r>
    </w:p>
    <w:p w14:paraId="11006E5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Chars="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八、政府性基金预算支出决算情况说明</w:t>
      </w:r>
    </w:p>
    <w:p w14:paraId="2CAB0A8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年政府性基金预算财政拨款支出</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w:t>
      </w:r>
    </w:p>
    <w:p w14:paraId="204BD48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Chars="0"/>
        <w:jc w:val="left"/>
        <w:textAlignment w:val="auto"/>
        <w:rPr>
          <w:rFonts w:ascii="仿宋" w:hAnsi="仿宋" w:eastAsia="仿宋" w:cstheme="minorEastAsia"/>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九、国有资本经营预算支出决算情况说明</w:t>
      </w:r>
    </w:p>
    <w:p w14:paraId="21DA6CA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年国有资本经营预算财政拨款支出0万元。 </w:t>
      </w:r>
    </w:p>
    <w:p w14:paraId="2D518C0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3" w:firstLineChars="20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十、其他重要事项的情况说明</w:t>
      </w:r>
    </w:p>
    <w:p w14:paraId="6192970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（一）机关运行经费支出情况</w:t>
      </w:r>
    </w:p>
    <w:p w14:paraId="3476FB9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仿宋_GB2312" w:hAnsi="仿宋_GB2312" w:eastAsia="仿宋_GB2312" w:cs="仿宋_GB2312"/>
          <w:strike w:val="0"/>
          <w:dstrike w:val="0"/>
          <w:color w:val="auto"/>
          <w:kern w:val="0"/>
          <w:sz w:val="28"/>
          <w:szCs w:val="28"/>
          <w:shd w:val="clear" w:color="auto" w:fill="auto"/>
          <w:lang w:val="en-US" w:eastAsia="zh-CN" w:bidi="ar"/>
        </w:rPr>
      </w:pPr>
      <w:r>
        <w:rPr>
          <w:rFonts w:hint="eastAsia" w:ascii="仿宋_GB2312" w:hAnsi="仿宋_GB2312" w:eastAsia="仿宋_GB2312" w:cs="仿宋_GB2312"/>
          <w:sz w:val="32"/>
          <w:szCs w:val="32"/>
          <w:shd w:val="clear" w:color="auto" w:fill="FFFFFF"/>
        </w:rPr>
        <w:t>20</w:t>
      </w:r>
      <w:r>
        <w:rPr>
          <w:rFonts w:hint="eastAsia" w:ascii="仿宋_GB2312" w:hAnsi="仿宋_GB2312" w:eastAsia="仿宋_GB2312" w:cs="仿宋_GB2312"/>
          <w:sz w:val="32"/>
          <w:szCs w:val="32"/>
          <w:shd w:val="clear" w:color="auto" w:fill="FFFFFF"/>
          <w:lang w:val="en-US" w:eastAsia="zh-CN"/>
        </w:rPr>
        <w:t>24</w:t>
      </w:r>
      <w:r>
        <w:rPr>
          <w:rFonts w:hint="eastAsia" w:ascii="仿宋_GB2312" w:hAnsi="仿宋_GB2312" w:eastAsia="仿宋_GB2312" w:cs="仿宋_GB2312"/>
          <w:sz w:val="32"/>
          <w:szCs w:val="32"/>
          <w:shd w:val="clear" w:color="auto" w:fill="FFFFFF"/>
        </w:rPr>
        <w:t>年，阿坝州松潘县毛尔盖镇人民政府机关运行经费支出52.81万元，比2023年增加3.57万元，增长6.76%</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增加的主要原因人员增加，办公经费开支增加。</w:t>
      </w:r>
    </w:p>
    <w:p w14:paraId="3D92704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rPr>
          <w:rFonts w:hint="eastAsia" w:ascii="楷体_GB2312" w:hAnsi="楷体_GB2312" w:eastAsia="楷体_GB2312" w:cs="楷体_GB2312"/>
          <w:sz w:val="32"/>
          <w:szCs w:val="32"/>
        </w:rPr>
      </w:pPr>
      <w:r>
        <w:rPr>
          <w:rStyle w:val="15"/>
          <w:rFonts w:hint="eastAsia" w:ascii="楷体_GB2312" w:hAnsi="楷体_GB2312" w:eastAsia="楷体_GB2312" w:cs="楷体_GB2312"/>
          <w:sz w:val="32"/>
          <w:szCs w:val="32"/>
          <w:shd w:val="clear" w:color="auto" w:fill="FFFFFF"/>
        </w:rPr>
        <w:t>（二）政府采购支出情况</w:t>
      </w:r>
    </w:p>
    <w:p w14:paraId="74FE967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2024年，阿坝州松潘县毛尔盖镇人民政府政府采购支出总额0.00万元。</w:t>
      </w:r>
    </w:p>
    <w:p w14:paraId="52FCD50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rPr>
          <w:rFonts w:hint="eastAsia" w:ascii="楷体_GB2312" w:hAnsi="楷体_GB2312" w:eastAsia="楷体_GB2312" w:cs="楷体_GB2312"/>
          <w:sz w:val="32"/>
          <w:szCs w:val="32"/>
        </w:rPr>
      </w:pPr>
      <w:r>
        <w:rPr>
          <w:rStyle w:val="15"/>
          <w:rFonts w:hint="eastAsia" w:ascii="楷体_GB2312" w:hAnsi="楷体_GB2312" w:eastAsia="楷体_GB2312" w:cs="楷体_GB2312"/>
          <w:sz w:val="32"/>
          <w:szCs w:val="32"/>
          <w:shd w:val="clear" w:color="auto" w:fill="FFFFFF"/>
        </w:rPr>
        <w:t>（三）国有资产占有使用情况</w:t>
      </w:r>
    </w:p>
    <w:p w14:paraId="591B34A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截至2024年12月31日，阿坝州松潘县毛尔盖镇人民政府共有车辆</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辆，其中：</w:t>
      </w:r>
      <w:r>
        <w:rPr>
          <w:rFonts w:hint="eastAsia" w:ascii="仿宋_GB2312" w:hAnsi="仿宋_GB2312" w:eastAsia="仿宋_GB2312" w:cs="仿宋_GB2312"/>
          <w:sz w:val="32"/>
          <w:szCs w:val="32"/>
          <w:shd w:val="clear" w:color="auto" w:fill="FFFFFF"/>
          <w:lang w:val="en-US" w:eastAsia="zh-CN"/>
        </w:rPr>
        <w:t>特种专业用车1辆，</w:t>
      </w:r>
      <w:r>
        <w:rPr>
          <w:rFonts w:hint="eastAsia" w:ascii="仿宋_GB2312" w:hAnsi="仿宋_GB2312" w:eastAsia="仿宋_GB2312" w:cs="仿宋_GB2312"/>
          <w:sz w:val="32"/>
          <w:szCs w:val="32"/>
          <w:shd w:val="clear" w:color="auto" w:fill="FFFFFF"/>
        </w:rPr>
        <w:t>机要通信用车</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辆、其他用车</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辆。</w:t>
      </w:r>
    </w:p>
    <w:p w14:paraId="48861F8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rPr>
          <w:rFonts w:hint="eastAsia" w:ascii="楷体_GB2312" w:hAnsi="楷体_GB2312" w:eastAsia="楷体_GB2312" w:cs="楷体_GB2312"/>
          <w:sz w:val="32"/>
          <w:szCs w:val="32"/>
        </w:rPr>
      </w:pPr>
      <w:r>
        <w:rPr>
          <w:rStyle w:val="15"/>
          <w:rFonts w:hint="eastAsia" w:ascii="楷体_GB2312" w:hAnsi="楷体_GB2312" w:eastAsia="楷体_GB2312" w:cs="楷体_GB2312"/>
          <w:sz w:val="32"/>
          <w:szCs w:val="32"/>
          <w:shd w:val="clear" w:color="auto" w:fill="FFFFFF"/>
        </w:rPr>
        <w:t>（四）预算绩效管理情况</w:t>
      </w:r>
    </w:p>
    <w:p w14:paraId="07E1FC4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根据预算绩效管理要求，</w:t>
      </w:r>
      <w:r>
        <w:rPr>
          <w:rFonts w:hint="eastAsia" w:ascii="仿宋_GB2312" w:hAnsi="仿宋_GB2312" w:eastAsia="仿宋_GB2312" w:cs="仿宋_GB2312"/>
          <w:color w:val="auto"/>
          <w:sz w:val="32"/>
          <w:szCs w:val="32"/>
          <w:lang w:val="en-US" w:eastAsia="zh-CN"/>
        </w:rPr>
        <w:t>本部门对2024年一般公共预算项目支出开展了绩效目标管理，共编制绩效目标3个，</w:t>
      </w:r>
      <w:r>
        <w:rPr>
          <w:rFonts w:hint="eastAsia" w:ascii="仿宋_GB2312" w:hAnsi="仿宋_GB2312" w:eastAsia="仿宋_GB2312" w:cs="仿宋_GB2312"/>
          <w:sz w:val="32"/>
          <w:szCs w:val="32"/>
          <w:shd w:val="clear" w:color="auto" w:fill="FFFFFF"/>
        </w:rPr>
        <w:t>绩效自评表详见第四部分附件。</w:t>
      </w:r>
    </w:p>
    <w:p w14:paraId="2CFF61D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 </w:t>
      </w:r>
    </w:p>
    <w:p w14:paraId="645E72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center"/>
        <w:textAlignment w:val="auto"/>
        <w:outlineLvl w:val="0"/>
        <w:rPr>
          <w:rFonts w:hint="eastAsia" w:ascii="方正小标宋简体" w:hAnsi="方正小标宋简体" w:eastAsia="方正小标宋简体" w:cs="方正小标宋简体"/>
          <w:color w:val="auto"/>
          <w:sz w:val="44"/>
          <w:szCs w:val="44"/>
          <w:lang w:eastAsia="zh-CN"/>
        </w:rPr>
      </w:pPr>
      <w:bookmarkStart w:id="2" w:name="_Toc31279"/>
      <w:bookmarkStart w:id="3" w:name="_Toc23643"/>
      <w:bookmarkStart w:id="4" w:name="_Toc26671"/>
    </w:p>
    <w:p w14:paraId="04F647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4B23AA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78F6C5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096EA3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6778FB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680382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7C8F85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74664C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firstLineChars="0"/>
        <w:jc w:val="both"/>
        <w:textAlignment w:val="auto"/>
        <w:outlineLvl w:val="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 xml:space="preserve">                 </w:t>
      </w:r>
    </w:p>
    <w:p w14:paraId="3355EF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firstLineChars="0"/>
        <w:jc w:val="both"/>
        <w:textAlignment w:val="auto"/>
        <w:outlineLvl w:val="0"/>
        <w:rPr>
          <w:rFonts w:hint="eastAsia" w:ascii="方正小标宋简体" w:hAnsi="方正小标宋简体" w:eastAsia="方正小标宋简体" w:cs="方正小标宋简体"/>
          <w:color w:val="auto"/>
          <w:sz w:val="44"/>
          <w:szCs w:val="44"/>
          <w:lang w:eastAsia="zh-CN"/>
        </w:rPr>
      </w:pPr>
    </w:p>
    <w:p w14:paraId="0A5512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firstLineChars="0"/>
        <w:jc w:val="both"/>
        <w:textAlignment w:val="auto"/>
        <w:outlineLvl w:val="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 xml:space="preserve">                   第三部分 名词解释</w:t>
      </w:r>
      <w:bookmarkEnd w:id="2"/>
      <w:bookmarkEnd w:id="3"/>
      <w:bookmarkEnd w:id="4"/>
    </w:p>
    <w:p w14:paraId="385A61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both"/>
        <w:textAlignment w:val="auto"/>
        <w:outlineLvl w:val="1"/>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w:t>
      </w:r>
      <w:bookmarkStart w:id="5" w:name="_Toc20652"/>
      <w:r>
        <w:rPr>
          <w:rFonts w:hint="eastAsia" w:ascii="仿宋_GB2312" w:hAnsi="仿宋_GB2312" w:eastAsia="仿宋_GB2312" w:cs="仿宋_GB2312"/>
          <w:strike w:val="0"/>
          <w:dstrike w:val="0"/>
          <w:color w:val="auto"/>
          <w:kern w:val="0"/>
          <w:sz w:val="32"/>
          <w:szCs w:val="32"/>
          <w:shd w:val="clear" w:color="auto" w:fill="auto"/>
          <w:lang w:val="en-US" w:eastAsia="zh-CN" w:bidi="ar"/>
        </w:rPr>
        <w:t>1.财政拨款收入：指县级财政当年拨付的资金。</w:t>
      </w:r>
      <w:bookmarkEnd w:id="5"/>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w:t>
      </w:r>
    </w:p>
    <w:p w14:paraId="6191BC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2.年初结转和结余：指以前年度尚未完成、结转到本年按有关规定继续使用的资金。 </w:t>
      </w:r>
    </w:p>
    <w:p w14:paraId="290875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firstLine="669"/>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3.一般公共服务（类）201（款）03（项）01：指行政运行。（类）201（款）03（项）02：指一般行政管理事务。　　   </w:t>
      </w:r>
    </w:p>
    <w:p w14:paraId="3B9F25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firstLine="669"/>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4.社会保障和就业（类）208（款）05（项）05：指机关事业单位基本养老保险。（类）208（款）08（项）06：指机关事业单位职业年金缴费。</w:t>
      </w:r>
    </w:p>
    <w:p w14:paraId="41F30C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5.医疗卫生与计划生育（类）210（款）11（项）01：指行政单位医疗。（类）210（款）11（项）03：指公务员医疗补助。</w:t>
      </w:r>
    </w:p>
    <w:p w14:paraId="4AB7EA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7.住房保障（类）221（款）02（项）01：指住房公积金。 </w:t>
      </w:r>
    </w:p>
    <w:p w14:paraId="188AA8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8.年末结转和结余：指本年度或以前年度预算安排、因客观条件发生变化无法按原计划实施，需延迟到以后年度按有关规定继续使用的资金。 </w:t>
      </w:r>
    </w:p>
    <w:p w14:paraId="23458D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9.基本支出：指为保障机构正常运转、完成日常工作任务而发生的人员支出和公用支出。 </w:t>
      </w:r>
    </w:p>
    <w:p w14:paraId="0CDF04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10.项目支出：指在基本支出之外为完成特定行政任务和事业发展目标所发生的支出。 </w:t>
      </w:r>
    </w:p>
    <w:p w14:paraId="560E8A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68C844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firstLine="644"/>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22F65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 </w:t>
      </w:r>
    </w:p>
    <w:p w14:paraId="575FE6B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rPr>
          <w:sz w:val="39"/>
          <w:szCs w:val="39"/>
          <w:shd w:val="clear" w:color="auto" w:fill="FFFFFF"/>
        </w:rPr>
      </w:pPr>
    </w:p>
    <w:p w14:paraId="3F08B55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rPr>
          <w:sz w:val="39"/>
          <w:szCs w:val="39"/>
          <w:shd w:val="clear" w:color="auto" w:fill="FFFFFF"/>
        </w:rPr>
      </w:pPr>
    </w:p>
    <w:p w14:paraId="48143DE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rPr>
          <w:sz w:val="39"/>
          <w:szCs w:val="39"/>
          <w:shd w:val="clear" w:color="auto" w:fill="FFFFFF"/>
        </w:rPr>
      </w:pPr>
    </w:p>
    <w:p w14:paraId="6284CB4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rPr>
          <w:sz w:val="39"/>
          <w:szCs w:val="39"/>
          <w:shd w:val="clear" w:color="auto" w:fill="FFFFFF"/>
        </w:rPr>
      </w:pPr>
    </w:p>
    <w:p w14:paraId="12CEECE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rPr>
          <w:sz w:val="39"/>
          <w:szCs w:val="39"/>
          <w:shd w:val="clear" w:color="auto" w:fill="FFFFFF"/>
        </w:rPr>
      </w:pPr>
    </w:p>
    <w:p w14:paraId="7046AFC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rPr>
          <w:sz w:val="39"/>
          <w:szCs w:val="39"/>
          <w:shd w:val="clear" w:color="auto" w:fill="FFFFFF"/>
        </w:rPr>
      </w:pPr>
    </w:p>
    <w:p w14:paraId="7B2B701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rPr>
          <w:sz w:val="39"/>
          <w:szCs w:val="39"/>
          <w:shd w:val="clear" w:color="auto" w:fill="FFFFFF"/>
        </w:rPr>
      </w:pPr>
    </w:p>
    <w:p w14:paraId="5955470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rPr>
          <w:sz w:val="39"/>
          <w:szCs w:val="39"/>
          <w:shd w:val="clear" w:color="auto" w:fill="FFFFFF"/>
        </w:rPr>
      </w:pPr>
    </w:p>
    <w:p w14:paraId="2104929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rPr>
          <w:sz w:val="39"/>
          <w:szCs w:val="39"/>
          <w:shd w:val="clear" w:color="auto" w:fill="FFFFFF"/>
        </w:rPr>
      </w:pPr>
    </w:p>
    <w:p w14:paraId="012F489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rPr>
          <w:sz w:val="39"/>
          <w:szCs w:val="39"/>
          <w:shd w:val="clear" w:color="auto" w:fill="FFFFFF"/>
        </w:rPr>
      </w:pPr>
    </w:p>
    <w:p w14:paraId="6418DCA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both"/>
        <w:textAlignment w:val="auto"/>
      </w:pPr>
      <w:r>
        <w:rPr>
          <w:rFonts w:hint="eastAsia"/>
          <w:sz w:val="39"/>
          <w:szCs w:val="39"/>
          <w:shd w:val="clear" w:color="auto" w:fill="FFFFFF"/>
        </w:rPr>
        <w:t xml:space="preserve">              </w:t>
      </w:r>
      <w:r>
        <w:rPr>
          <w:rStyle w:val="15"/>
          <w:sz w:val="39"/>
          <w:szCs w:val="39"/>
          <w:shd w:val="clear" w:color="auto" w:fill="FFFFFF"/>
        </w:rPr>
        <w:t>第四部分 附件</w:t>
      </w:r>
    </w:p>
    <w:p w14:paraId="4EE9F77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 </w:t>
      </w:r>
    </w:p>
    <w:p w14:paraId="4F5B3D3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rPr>
          <w:shd w:val="clear" w:color="auto" w:fill="FFFFFF"/>
        </w:rPr>
        <w:t>部门预算项目支出绩效自评表（202</w:t>
      </w:r>
      <w:r>
        <w:rPr>
          <w:rFonts w:hint="eastAsia"/>
          <w:shd w:val="clear" w:color="auto" w:fill="FFFFFF"/>
        </w:rPr>
        <w:t>4</w:t>
      </w:r>
      <w:r>
        <w:rPr>
          <w:shd w:val="clear" w:color="auto" w:fill="FFFFFF"/>
        </w:rPr>
        <w:t>年度）</w:t>
      </w:r>
    </w:p>
    <w:p w14:paraId="2C3BCAF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rPr>
          <w:shd w:val="clear" w:color="auto" w:fill="FFFFFF"/>
        </w:rPr>
        <w:t> </w:t>
      </w:r>
    </w:p>
    <w:p w14:paraId="3296979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（备注：按照绩效自评工作安排，各单位可在预算管理一体化系统—综合报表查询—预算绩效报表模块中下载本单位“部门预算项目支出绩效自评表（202</w:t>
      </w:r>
      <w:r>
        <w:rPr>
          <w:rFonts w:hint="eastAsia"/>
          <w:shd w:val="clear" w:color="auto" w:fill="FFFFFF"/>
          <w:lang w:val="en-US" w:eastAsia="zh-CN"/>
        </w:rPr>
        <w:t>3</w:t>
      </w:r>
      <w:r>
        <w:rPr>
          <w:shd w:val="clear" w:color="auto" w:fill="FFFFFF"/>
        </w:rPr>
        <w:t>年度</w:t>
      </w:r>
      <w:bookmarkStart w:id="6" w:name="_GoBack"/>
      <w:r>
        <w:rPr>
          <w:shd w:val="clear" w:color="auto" w:fill="FFFFFF"/>
        </w:rPr>
        <w:t>）</w:t>
      </w:r>
      <w:bookmarkEnd w:id="6"/>
      <w:r>
        <w:rPr>
          <w:shd w:val="clear" w:color="auto" w:fill="FFFFFF"/>
        </w:rPr>
        <w:t>”，该表格应作为附件予以公开。）</w:t>
      </w:r>
    </w:p>
    <w:p w14:paraId="1F18531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rPr>
          <w:shd w:val="clear" w:color="auto" w:fill="FFFFFF"/>
        </w:rPr>
        <w:t> </w:t>
      </w:r>
    </w:p>
    <w:p w14:paraId="2C297B0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附表</w:t>
      </w:r>
    </w:p>
    <w:tbl>
      <w:tblPr>
        <w:tblStyle w:val="13"/>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10"/>
        <w:gridCol w:w="1170"/>
        <w:gridCol w:w="1665"/>
        <w:gridCol w:w="1215"/>
        <w:gridCol w:w="1260"/>
        <w:gridCol w:w="2445"/>
      </w:tblGrid>
      <w:tr w14:paraId="5E8686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blCellSpacing w:w="0" w:type="dxa"/>
        </w:trPr>
        <w:tc>
          <w:tcPr>
            <w:tcW w:w="9765" w:type="dxa"/>
            <w:gridSpan w:val="6"/>
            <w:noWrap/>
            <w:vAlign w:val="center"/>
          </w:tcPr>
          <w:p w14:paraId="3AAF047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rPr>
                <w:rStyle w:val="15"/>
              </w:rPr>
              <w:t>202</w:t>
            </w:r>
            <w:r>
              <w:rPr>
                <w:rStyle w:val="15"/>
                <w:rFonts w:hint="eastAsia"/>
                <w:lang w:val="en-US" w:eastAsia="zh-CN"/>
              </w:rPr>
              <w:t>3</w:t>
            </w:r>
            <w:r>
              <w:rPr>
                <w:rStyle w:val="15"/>
              </w:rPr>
              <w:t>年100万元以上（含）特定目标类部门预算项目绩效目标自评</w:t>
            </w:r>
          </w:p>
        </w:tc>
      </w:tr>
      <w:tr w14:paraId="3BD8E1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blCellSpacing w:w="0" w:type="dxa"/>
        </w:trPr>
        <w:tc>
          <w:tcPr>
            <w:tcW w:w="3180" w:type="dxa"/>
            <w:gridSpan w:val="2"/>
            <w:noWrap/>
            <w:vAlign w:val="center"/>
          </w:tcPr>
          <w:p w14:paraId="0E19787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主管部门及代码</w:t>
            </w:r>
          </w:p>
        </w:tc>
        <w:tc>
          <w:tcPr>
            <w:tcW w:w="2880" w:type="dxa"/>
            <w:gridSpan w:val="2"/>
            <w:noWrap/>
            <w:vAlign w:val="center"/>
          </w:tcPr>
          <w:p w14:paraId="4DFB470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1260" w:type="dxa"/>
            <w:noWrap/>
            <w:vAlign w:val="center"/>
          </w:tcPr>
          <w:p w14:paraId="637E1A6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实施单位</w:t>
            </w:r>
          </w:p>
        </w:tc>
        <w:tc>
          <w:tcPr>
            <w:tcW w:w="2445" w:type="dxa"/>
            <w:noWrap/>
            <w:vAlign w:val="center"/>
          </w:tcPr>
          <w:p w14:paraId="6DD766E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r w14:paraId="6153A6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80" w:type="dxa"/>
            <w:gridSpan w:val="2"/>
            <w:vMerge w:val="restart"/>
            <w:noWrap/>
            <w:vAlign w:val="center"/>
          </w:tcPr>
          <w:p w14:paraId="72DF0F9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项目预算</w:t>
            </w:r>
          </w:p>
          <w:p w14:paraId="3BD0D05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执行情况</w:t>
            </w:r>
          </w:p>
          <w:p w14:paraId="27A4C0A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（万元）</w:t>
            </w:r>
          </w:p>
        </w:tc>
        <w:tc>
          <w:tcPr>
            <w:tcW w:w="1665" w:type="dxa"/>
            <w:noWrap/>
            <w:vAlign w:val="center"/>
          </w:tcPr>
          <w:p w14:paraId="4D6A789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预算数：</w:t>
            </w:r>
          </w:p>
        </w:tc>
        <w:tc>
          <w:tcPr>
            <w:tcW w:w="1215" w:type="dxa"/>
            <w:noWrap/>
            <w:vAlign w:val="center"/>
          </w:tcPr>
          <w:p w14:paraId="6A9B155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1260" w:type="dxa"/>
            <w:noWrap/>
            <w:vAlign w:val="center"/>
          </w:tcPr>
          <w:p w14:paraId="68F0F5E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执行数：</w:t>
            </w:r>
          </w:p>
        </w:tc>
        <w:tc>
          <w:tcPr>
            <w:tcW w:w="2445" w:type="dxa"/>
            <w:noWrap/>
            <w:vAlign w:val="center"/>
          </w:tcPr>
          <w:p w14:paraId="2C48C17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r w14:paraId="46F669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0" w:type="dxa"/>
        </w:trPr>
        <w:tc>
          <w:tcPr>
            <w:tcW w:w="3180" w:type="dxa"/>
            <w:gridSpan w:val="2"/>
            <w:vMerge w:val="continue"/>
            <w:noWrap/>
            <w:vAlign w:val="center"/>
          </w:tcPr>
          <w:p w14:paraId="102E2904">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665" w:type="dxa"/>
            <w:noWrap/>
            <w:vAlign w:val="center"/>
          </w:tcPr>
          <w:p w14:paraId="5EC2AF5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其中：</w:t>
            </w:r>
          </w:p>
          <w:p w14:paraId="2B5892D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财政拨款</w:t>
            </w:r>
          </w:p>
        </w:tc>
        <w:tc>
          <w:tcPr>
            <w:tcW w:w="1215" w:type="dxa"/>
            <w:noWrap/>
            <w:vAlign w:val="center"/>
          </w:tcPr>
          <w:p w14:paraId="2F58994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1260" w:type="dxa"/>
            <w:noWrap/>
            <w:vAlign w:val="center"/>
          </w:tcPr>
          <w:p w14:paraId="28E7254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其中：</w:t>
            </w:r>
          </w:p>
          <w:p w14:paraId="25E3162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财政拨款</w:t>
            </w:r>
          </w:p>
        </w:tc>
        <w:tc>
          <w:tcPr>
            <w:tcW w:w="2445" w:type="dxa"/>
            <w:noWrap/>
            <w:vAlign w:val="center"/>
          </w:tcPr>
          <w:p w14:paraId="63DEDD9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r w14:paraId="6B4FCF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80" w:type="dxa"/>
            <w:gridSpan w:val="2"/>
            <w:vMerge w:val="continue"/>
            <w:noWrap/>
            <w:vAlign w:val="center"/>
          </w:tcPr>
          <w:p w14:paraId="3651EC2B">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665" w:type="dxa"/>
            <w:noWrap/>
            <w:vAlign w:val="center"/>
          </w:tcPr>
          <w:p w14:paraId="670A315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其他资金</w:t>
            </w:r>
          </w:p>
        </w:tc>
        <w:tc>
          <w:tcPr>
            <w:tcW w:w="1215" w:type="dxa"/>
            <w:noWrap/>
            <w:vAlign w:val="center"/>
          </w:tcPr>
          <w:p w14:paraId="68C3A88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1260" w:type="dxa"/>
            <w:noWrap/>
            <w:vAlign w:val="center"/>
          </w:tcPr>
          <w:p w14:paraId="53F2342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其他资金</w:t>
            </w:r>
          </w:p>
        </w:tc>
        <w:tc>
          <w:tcPr>
            <w:tcW w:w="2445" w:type="dxa"/>
            <w:noWrap/>
            <w:vAlign w:val="center"/>
          </w:tcPr>
          <w:p w14:paraId="60B239A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r w14:paraId="43081E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010" w:type="dxa"/>
            <w:vMerge w:val="restart"/>
            <w:noWrap/>
            <w:vAlign w:val="center"/>
          </w:tcPr>
          <w:p w14:paraId="2C35747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年度总体目标</w:t>
            </w:r>
          </w:p>
          <w:p w14:paraId="659E373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完成情况</w:t>
            </w:r>
          </w:p>
        </w:tc>
        <w:tc>
          <w:tcPr>
            <w:tcW w:w="4050" w:type="dxa"/>
            <w:gridSpan w:val="3"/>
            <w:noWrap/>
            <w:vAlign w:val="center"/>
          </w:tcPr>
          <w:p w14:paraId="7B16421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预期目标</w:t>
            </w:r>
          </w:p>
        </w:tc>
        <w:tc>
          <w:tcPr>
            <w:tcW w:w="3705" w:type="dxa"/>
            <w:gridSpan w:val="2"/>
            <w:noWrap/>
            <w:vAlign w:val="center"/>
          </w:tcPr>
          <w:p w14:paraId="49EE5FC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目标实际完成情况</w:t>
            </w:r>
          </w:p>
        </w:tc>
      </w:tr>
      <w:tr w14:paraId="38A26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trPr>
        <w:tc>
          <w:tcPr>
            <w:tcW w:w="2010" w:type="dxa"/>
            <w:vMerge w:val="continue"/>
            <w:noWrap/>
            <w:vAlign w:val="center"/>
          </w:tcPr>
          <w:p w14:paraId="607C36D2">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4050" w:type="dxa"/>
            <w:gridSpan w:val="3"/>
            <w:noWrap/>
            <w:vAlign w:val="center"/>
          </w:tcPr>
          <w:p w14:paraId="35CEE23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3705" w:type="dxa"/>
            <w:gridSpan w:val="2"/>
            <w:noWrap/>
            <w:vAlign w:val="center"/>
          </w:tcPr>
          <w:p w14:paraId="4F30B7E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r w14:paraId="3DAEEA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blCellSpacing w:w="0" w:type="dxa"/>
        </w:trPr>
        <w:tc>
          <w:tcPr>
            <w:tcW w:w="2010" w:type="dxa"/>
            <w:vMerge w:val="restart"/>
            <w:noWrap/>
            <w:vAlign w:val="center"/>
          </w:tcPr>
          <w:p w14:paraId="335D004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年度绩效指标完成情况</w:t>
            </w:r>
          </w:p>
        </w:tc>
        <w:tc>
          <w:tcPr>
            <w:tcW w:w="1170" w:type="dxa"/>
            <w:noWrap/>
            <w:vAlign w:val="center"/>
          </w:tcPr>
          <w:p w14:paraId="25A444D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一级</w:t>
            </w:r>
          </w:p>
          <w:p w14:paraId="581791A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指标</w:t>
            </w:r>
          </w:p>
        </w:tc>
        <w:tc>
          <w:tcPr>
            <w:tcW w:w="1665" w:type="dxa"/>
            <w:noWrap/>
            <w:vAlign w:val="center"/>
          </w:tcPr>
          <w:p w14:paraId="4B9A013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二级</w:t>
            </w:r>
          </w:p>
          <w:p w14:paraId="277C3AF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指标</w:t>
            </w:r>
          </w:p>
        </w:tc>
        <w:tc>
          <w:tcPr>
            <w:tcW w:w="1215" w:type="dxa"/>
            <w:noWrap/>
            <w:vAlign w:val="center"/>
          </w:tcPr>
          <w:p w14:paraId="5A8C09F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三级</w:t>
            </w:r>
          </w:p>
          <w:p w14:paraId="3751B4D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指标</w:t>
            </w:r>
          </w:p>
        </w:tc>
        <w:tc>
          <w:tcPr>
            <w:tcW w:w="1260" w:type="dxa"/>
            <w:noWrap/>
            <w:vAlign w:val="center"/>
          </w:tcPr>
          <w:p w14:paraId="69B1F05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预期指标值</w:t>
            </w:r>
          </w:p>
        </w:tc>
        <w:tc>
          <w:tcPr>
            <w:tcW w:w="2445" w:type="dxa"/>
            <w:noWrap/>
            <w:vAlign w:val="center"/>
          </w:tcPr>
          <w:p w14:paraId="782869E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实际完成指标值</w:t>
            </w:r>
          </w:p>
        </w:tc>
      </w:tr>
      <w:tr w14:paraId="12DC8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2010" w:type="dxa"/>
            <w:vMerge w:val="continue"/>
            <w:noWrap/>
            <w:vAlign w:val="center"/>
          </w:tcPr>
          <w:p w14:paraId="481E593B">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170" w:type="dxa"/>
            <w:vMerge w:val="restart"/>
            <w:noWrap/>
            <w:vAlign w:val="center"/>
          </w:tcPr>
          <w:p w14:paraId="5D08986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完成</w:t>
            </w:r>
          </w:p>
          <w:p w14:paraId="491581B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指标</w:t>
            </w:r>
          </w:p>
        </w:tc>
        <w:tc>
          <w:tcPr>
            <w:tcW w:w="1665" w:type="dxa"/>
            <w:noWrap/>
            <w:vAlign w:val="center"/>
          </w:tcPr>
          <w:p w14:paraId="195936A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数量指标</w:t>
            </w:r>
          </w:p>
        </w:tc>
        <w:tc>
          <w:tcPr>
            <w:tcW w:w="1215" w:type="dxa"/>
            <w:noWrap/>
            <w:vAlign w:val="center"/>
          </w:tcPr>
          <w:p w14:paraId="7BCDF5F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1260" w:type="dxa"/>
            <w:noWrap/>
            <w:vAlign w:val="center"/>
          </w:tcPr>
          <w:p w14:paraId="510B362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2445" w:type="dxa"/>
            <w:noWrap/>
            <w:vAlign w:val="center"/>
          </w:tcPr>
          <w:p w14:paraId="27FFCCD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r w14:paraId="0CC46E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2010" w:type="dxa"/>
            <w:vMerge w:val="continue"/>
            <w:noWrap/>
            <w:vAlign w:val="center"/>
          </w:tcPr>
          <w:p w14:paraId="6559F035">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170" w:type="dxa"/>
            <w:vMerge w:val="continue"/>
            <w:noWrap/>
            <w:vAlign w:val="center"/>
          </w:tcPr>
          <w:p w14:paraId="6546FD62">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665" w:type="dxa"/>
            <w:noWrap/>
            <w:vAlign w:val="center"/>
          </w:tcPr>
          <w:p w14:paraId="42B3FA6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质量指标</w:t>
            </w:r>
          </w:p>
        </w:tc>
        <w:tc>
          <w:tcPr>
            <w:tcW w:w="1215" w:type="dxa"/>
            <w:noWrap/>
            <w:vAlign w:val="center"/>
          </w:tcPr>
          <w:p w14:paraId="4D24320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1260" w:type="dxa"/>
            <w:noWrap/>
            <w:vAlign w:val="center"/>
          </w:tcPr>
          <w:p w14:paraId="5523BFD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2445" w:type="dxa"/>
            <w:noWrap/>
            <w:vAlign w:val="center"/>
          </w:tcPr>
          <w:p w14:paraId="69F0493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r w14:paraId="2732F0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2010" w:type="dxa"/>
            <w:vMerge w:val="continue"/>
            <w:noWrap/>
            <w:vAlign w:val="center"/>
          </w:tcPr>
          <w:p w14:paraId="7BAF164E">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170" w:type="dxa"/>
            <w:vMerge w:val="continue"/>
            <w:noWrap/>
            <w:vAlign w:val="center"/>
          </w:tcPr>
          <w:p w14:paraId="76D9A4C3">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665" w:type="dxa"/>
            <w:noWrap/>
            <w:vAlign w:val="center"/>
          </w:tcPr>
          <w:p w14:paraId="4CF6DB0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时效指标</w:t>
            </w:r>
          </w:p>
        </w:tc>
        <w:tc>
          <w:tcPr>
            <w:tcW w:w="1215" w:type="dxa"/>
            <w:noWrap/>
            <w:vAlign w:val="center"/>
          </w:tcPr>
          <w:p w14:paraId="7820E2B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1260" w:type="dxa"/>
            <w:noWrap/>
            <w:vAlign w:val="center"/>
          </w:tcPr>
          <w:p w14:paraId="1F84211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2445" w:type="dxa"/>
            <w:noWrap/>
            <w:vAlign w:val="center"/>
          </w:tcPr>
          <w:p w14:paraId="47EF5B9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r w14:paraId="7408D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2010" w:type="dxa"/>
            <w:vMerge w:val="continue"/>
            <w:noWrap/>
            <w:vAlign w:val="center"/>
          </w:tcPr>
          <w:p w14:paraId="6820DA50">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170" w:type="dxa"/>
            <w:vMerge w:val="continue"/>
            <w:noWrap/>
            <w:vAlign w:val="center"/>
          </w:tcPr>
          <w:p w14:paraId="42CD78A5">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665" w:type="dxa"/>
            <w:noWrap/>
            <w:vAlign w:val="center"/>
          </w:tcPr>
          <w:p w14:paraId="1B91897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成本指标</w:t>
            </w:r>
          </w:p>
        </w:tc>
        <w:tc>
          <w:tcPr>
            <w:tcW w:w="1215" w:type="dxa"/>
            <w:noWrap/>
            <w:vAlign w:val="center"/>
          </w:tcPr>
          <w:p w14:paraId="24D024F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1260" w:type="dxa"/>
            <w:noWrap/>
            <w:vAlign w:val="center"/>
          </w:tcPr>
          <w:p w14:paraId="6D573C0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2445" w:type="dxa"/>
            <w:noWrap/>
            <w:vAlign w:val="center"/>
          </w:tcPr>
          <w:p w14:paraId="7187D96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r w14:paraId="1EBEE8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2010" w:type="dxa"/>
            <w:vMerge w:val="continue"/>
            <w:noWrap/>
            <w:vAlign w:val="center"/>
          </w:tcPr>
          <w:p w14:paraId="68C81446">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170" w:type="dxa"/>
            <w:vMerge w:val="restart"/>
            <w:noWrap/>
            <w:vAlign w:val="center"/>
          </w:tcPr>
          <w:p w14:paraId="1F1838B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效益</w:t>
            </w:r>
          </w:p>
          <w:p w14:paraId="13E8693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指标</w:t>
            </w:r>
          </w:p>
        </w:tc>
        <w:tc>
          <w:tcPr>
            <w:tcW w:w="1665" w:type="dxa"/>
            <w:noWrap/>
            <w:vAlign w:val="center"/>
          </w:tcPr>
          <w:p w14:paraId="58AC3A9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经济效益指标</w:t>
            </w:r>
          </w:p>
        </w:tc>
        <w:tc>
          <w:tcPr>
            <w:tcW w:w="1215" w:type="dxa"/>
            <w:noWrap/>
            <w:vAlign w:val="center"/>
          </w:tcPr>
          <w:p w14:paraId="61F106F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1260" w:type="dxa"/>
            <w:noWrap/>
            <w:vAlign w:val="center"/>
          </w:tcPr>
          <w:p w14:paraId="7528357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2445" w:type="dxa"/>
            <w:noWrap/>
            <w:vAlign w:val="center"/>
          </w:tcPr>
          <w:p w14:paraId="07225EE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r w14:paraId="677F0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2010" w:type="dxa"/>
            <w:vMerge w:val="continue"/>
            <w:noWrap/>
            <w:vAlign w:val="center"/>
          </w:tcPr>
          <w:p w14:paraId="5071EA77">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170" w:type="dxa"/>
            <w:vMerge w:val="continue"/>
            <w:noWrap/>
            <w:vAlign w:val="center"/>
          </w:tcPr>
          <w:p w14:paraId="67BE40BB">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665" w:type="dxa"/>
            <w:noWrap/>
            <w:vAlign w:val="center"/>
          </w:tcPr>
          <w:p w14:paraId="489FD7B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社会效益指标</w:t>
            </w:r>
          </w:p>
        </w:tc>
        <w:tc>
          <w:tcPr>
            <w:tcW w:w="1215" w:type="dxa"/>
            <w:noWrap/>
            <w:vAlign w:val="center"/>
          </w:tcPr>
          <w:p w14:paraId="7C6F8F9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1260" w:type="dxa"/>
            <w:noWrap/>
            <w:vAlign w:val="center"/>
          </w:tcPr>
          <w:p w14:paraId="0ECF8C9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2445" w:type="dxa"/>
            <w:noWrap/>
            <w:vAlign w:val="center"/>
          </w:tcPr>
          <w:p w14:paraId="6237EF1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r w14:paraId="78F174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2010" w:type="dxa"/>
            <w:vMerge w:val="continue"/>
            <w:noWrap/>
            <w:vAlign w:val="center"/>
          </w:tcPr>
          <w:p w14:paraId="1E3A05B3">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170" w:type="dxa"/>
            <w:vMerge w:val="continue"/>
            <w:noWrap/>
            <w:vAlign w:val="center"/>
          </w:tcPr>
          <w:p w14:paraId="6EC40648">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665" w:type="dxa"/>
            <w:noWrap/>
            <w:vAlign w:val="center"/>
          </w:tcPr>
          <w:p w14:paraId="146EA66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both"/>
              <w:textAlignment w:val="auto"/>
            </w:pPr>
            <w:r>
              <w:t>生态效益指标</w:t>
            </w:r>
          </w:p>
        </w:tc>
        <w:tc>
          <w:tcPr>
            <w:tcW w:w="1215" w:type="dxa"/>
            <w:noWrap/>
            <w:vAlign w:val="center"/>
          </w:tcPr>
          <w:p w14:paraId="5EAEE6A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1260" w:type="dxa"/>
            <w:noWrap/>
            <w:vAlign w:val="center"/>
          </w:tcPr>
          <w:p w14:paraId="67DEAF1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2445" w:type="dxa"/>
            <w:noWrap/>
            <w:vAlign w:val="center"/>
          </w:tcPr>
          <w:p w14:paraId="0827D85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r w14:paraId="1ECE2D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2010" w:type="dxa"/>
            <w:vMerge w:val="continue"/>
            <w:noWrap/>
            <w:vAlign w:val="center"/>
          </w:tcPr>
          <w:p w14:paraId="03E367FF">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170" w:type="dxa"/>
            <w:vMerge w:val="continue"/>
            <w:noWrap/>
            <w:vAlign w:val="center"/>
          </w:tcPr>
          <w:p w14:paraId="72994651">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665" w:type="dxa"/>
            <w:noWrap/>
            <w:vAlign w:val="center"/>
          </w:tcPr>
          <w:p w14:paraId="1B07C8A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可持续影响指标</w:t>
            </w:r>
          </w:p>
        </w:tc>
        <w:tc>
          <w:tcPr>
            <w:tcW w:w="1215" w:type="dxa"/>
            <w:noWrap/>
            <w:vAlign w:val="center"/>
          </w:tcPr>
          <w:p w14:paraId="5466A45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1260" w:type="dxa"/>
            <w:noWrap/>
            <w:vAlign w:val="center"/>
          </w:tcPr>
          <w:p w14:paraId="69AFB45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2445" w:type="dxa"/>
            <w:noWrap/>
            <w:vAlign w:val="center"/>
          </w:tcPr>
          <w:p w14:paraId="64C45EB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r w14:paraId="45A9EE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blCellSpacing w:w="0" w:type="dxa"/>
        </w:trPr>
        <w:tc>
          <w:tcPr>
            <w:tcW w:w="2010" w:type="dxa"/>
            <w:vMerge w:val="continue"/>
            <w:noWrap/>
            <w:vAlign w:val="center"/>
          </w:tcPr>
          <w:p w14:paraId="6465781B">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rPr>
                <w:rFonts w:hint="eastAsia" w:ascii="宋体"/>
                <w:sz w:val="24"/>
                <w:szCs w:val="24"/>
              </w:rPr>
            </w:pPr>
          </w:p>
        </w:tc>
        <w:tc>
          <w:tcPr>
            <w:tcW w:w="1170" w:type="dxa"/>
            <w:noWrap/>
            <w:vAlign w:val="center"/>
          </w:tcPr>
          <w:p w14:paraId="3F88734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满意</w:t>
            </w:r>
          </w:p>
          <w:p w14:paraId="0A6AFDF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度指标</w:t>
            </w:r>
          </w:p>
        </w:tc>
        <w:tc>
          <w:tcPr>
            <w:tcW w:w="1665" w:type="dxa"/>
            <w:noWrap/>
            <w:vAlign w:val="center"/>
          </w:tcPr>
          <w:p w14:paraId="36DE670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满意度</w:t>
            </w:r>
          </w:p>
          <w:p w14:paraId="2359582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指标</w:t>
            </w:r>
          </w:p>
        </w:tc>
        <w:tc>
          <w:tcPr>
            <w:tcW w:w="1215" w:type="dxa"/>
            <w:noWrap/>
            <w:vAlign w:val="center"/>
          </w:tcPr>
          <w:p w14:paraId="79EA449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1260" w:type="dxa"/>
            <w:noWrap/>
            <w:vAlign w:val="center"/>
          </w:tcPr>
          <w:p w14:paraId="4A3720A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c>
          <w:tcPr>
            <w:tcW w:w="2445" w:type="dxa"/>
            <w:noWrap/>
            <w:vAlign w:val="center"/>
          </w:tcPr>
          <w:p w14:paraId="7F16F4C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t> </w:t>
            </w:r>
          </w:p>
        </w:tc>
      </w:tr>
    </w:tbl>
    <w:p w14:paraId="63770AC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（注：有两个及以上100万元以上（含）特定目标类部门预算项目的，需分别开展绩效目标自评并填写附表）</w:t>
      </w:r>
    </w:p>
    <w:p w14:paraId="4428859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 </w:t>
      </w:r>
    </w:p>
    <w:p w14:paraId="047B8AB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 </w:t>
      </w:r>
    </w:p>
    <w:p w14:paraId="12361D2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 </w:t>
      </w:r>
    </w:p>
    <w:p w14:paraId="12CDCAF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center"/>
        <w:textAlignment w:val="auto"/>
      </w:pPr>
      <w:r>
        <w:rPr>
          <w:rStyle w:val="15"/>
          <w:sz w:val="39"/>
          <w:szCs w:val="39"/>
          <w:shd w:val="clear" w:color="auto" w:fill="FFFFFF"/>
        </w:rPr>
        <w:t>第五部分 附表</w:t>
      </w:r>
    </w:p>
    <w:p w14:paraId="4C9660D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一、收入支出决算总表</w:t>
      </w:r>
    </w:p>
    <w:p w14:paraId="40E390F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二、收入决算表</w:t>
      </w:r>
    </w:p>
    <w:p w14:paraId="5E4FB40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三、支出决算表</w:t>
      </w:r>
    </w:p>
    <w:p w14:paraId="07DF55E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四、财政拨款收入支出决算总表</w:t>
      </w:r>
    </w:p>
    <w:p w14:paraId="419DB00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五、财政拨款支出决算明细表</w:t>
      </w:r>
    </w:p>
    <w:p w14:paraId="3569175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六、一般公共预算财政拨款支出决算表</w:t>
      </w:r>
    </w:p>
    <w:p w14:paraId="3F6C8C6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七、一般公共预算财政拨款支出决算明细表</w:t>
      </w:r>
    </w:p>
    <w:p w14:paraId="5F531B3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八、一般公共预算财政拨款基本支出决算表</w:t>
      </w:r>
    </w:p>
    <w:p w14:paraId="17FE9DD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九、一般公共预算财政拨款项目支出决算表</w:t>
      </w:r>
    </w:p>
    <w:p w14:paraId="0606947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十、政府性基金预算财政拨款收入支出决算表</w:t>
      </w:r>
    </w:p>
    <w:p w14:paraId="4D4D323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十一、国有资本经营预算财政拨款收入支出决算表</w:t>
      </w:r>
    </w:p>
    <w:p w14:paraId="20B29ED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十二、国有资本经营预算财政拨款支出决算表</w:t>
      </w:r>
    </w:p>
    <w:p w14:paraId="7DCE7BC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十三、财政拨款“三公”经费支出决算表</w:t>
      </w:r>
    </w:p>
    <w:p w14:paraId="565650E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jc w:val="left"/>
        <w:textAlignment w:val="auto"/>
        <w:rPr>
          <w:rFonts w:ascii="仿宋" w:hAnsi="仿宋" w:eastAsia="仿宋" w:cstheme="minorEastAsia"/>
          <w:color w:val="000000"/>
          <w:kern w:val="0"/>
          <w:sz w:val="32"/>
          <w:szCs w:val="32"/>
          <w:lang w:val="en-US" w:eastAsia="zh-CN" w:bidi="ar"/>
        </w:rPr>
      </w:pP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79277527-4201-4F93-9664-898489A58FFE}"/>
  </w:font>
  <w:font w:name="仿宋">
    <w:panose1 w:val="02010609060101010101"/>
    <w:charset w:val="86"/>
    <w:family w:val="modern"/>
    <w:pitch w:val="default"/>
    <w:sig w:usb0="800002BF" w:usb1="38CF7CFA" w:usb2="00000016" w:usb3="00000000" w:csb0="00040001" w:csb1="00000000"/>
    <w:embedRegular r:id="rId2" w:fontKey="{30F4761E-CFEA-47A7-A6FA-94328A3E10DD}"/>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B4CB0A52-438C-4D3F-9CF1-D5ED6ABE976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NjA0OWE3ZWM3ZTJiMjVkMTVlNmQ0ODk5ZDcwMTUifQ=="/>
  </w:docVars>
  <w:rsids>
    <w:rsidRoot w:val="00000000"/>
    <w:rsid w:val="00D602CF"/>
    <w:rsid w:val="02FA4AEE"/>
    <w:rsid w:val="0A974AD5"/>
    <w:rsid w:val="1460770F"/>
    <w:rsid w:val="1C7D6F54"/>
    <w:rsid w:val="344B5884"/>
    <w:rsid w:val="3582520D"/>
    <w:rsid w:val="438C2264"/>
    <w:rsid w:val="48E63E5E"/>
    <w:rsid w:val="52BC2A39"/>
    <w:rsid w:val="763F6155"/>
    <w:rsid w:val="7DF92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lang w:val="zh-CN"/>
    </w:rPr>
  </w:style>
  <w:style w:type="paragraph" w:styleId="9">
    <w:name w:val="Normal Indent"/>
    <w:basedOn w:val="1"/>
    <w:unhideWhenUsed/>
    <w:qFormat/>
    <w:uiPriority w:val="99"/>
    <w:pPr>
      <w:ind w:firstLine="68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paragraph" w:customStyle="1" w:styleId="16">
    <w:name w:val="p0"/>
    <w:basedOn w:val="1"/>
    <w:qFormat/>
    <w:uiPriority w:val="0"/>
    <w:pPr>
      <w:widowControl/>
      <w:ind w:firstLine="420"/>
      <w:jc w:val="left"/>
    </w:pPr>
    <w:rPr>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4924</Words>
  <Characters>5523</Characters>
  <TotalTime>1</TotalTime>
  <ScaleCrop>false</ScaleCrop>
  <LinksUpToDate>false</LinksUpToDate>
  <CharactersWithSpaces>5681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2025-10-15T18:03:00Z</dcterms:created>
  <dc:creator>Administrator</dc:creator>
  <cp:lastModifiedBy>奕夕^_^</cp:lastModifiedBy>
  <dcterms:modified xsi:type="dcterms:W3CDTF">2025-10-16T03:03:43Z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eyJoZGlkIjoiNTU1MWNhN2ZmY2ZhZmY3ODhlYTg0MWU5OGMyY2QwZmUiLCJ1c2VySWQiOiI0MzQ2NTM0NzEifQ==</vt:lpwstr>
  </property>
  <property fmtid="{D5CDD505-2E9C-101B-9397-08002B2CF9AE}" pid="3" name="KSOProductBuildVer">
    <vt:lpwstr>2052-12.1.0.22529</vt:lpwstr>
  </property>
  <property fmtid="{D5CDD505-2E9C-101B-9397-08002B2CF9AE}" pid="4" name="ICV">
    <vt:lpwstr>0AF778E9A890463BBA6EC201A6AC39A3_12</vt:lpwstr>
  </property>
</Properties>
</file>