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E1CBAD">
      <w:pPr>
        <w:pStyle w:val="10"/>
        <w:keepNext w:val="0"/>
        <w:keepLines w:val="0"/>
        <w:widowControl/>
        <w:suppressLineNumbers w:val="0"/>
        <w:spacing w:before="0" w:beforeAutospacing="0"/>
        <w:ind w:left="0"/>
        <w:jc w:val="center"/>
        <w:rPr>
          <w:rFonts w:hint="default" w:ascii="Times New Roman" w:hAnsi="Times New Roman" w:eastAsia="方正小标宋简体" w:cs="Times New Roman"/>
          <w:sz w:val="44"/>
          <w:szCs w:val="44"/>
          <w:shd w:val="clear" w:color="auto" w:fill="FFFFFF"/>
        </w:rPr>
      </w:pPr>
    </w:p>
    <w:p w14:paraId="5DDCC996">
      <w:pPr>
        <w:pStyle w:val="10"/>
        <w:keepNext w:val="0"/>
        <w:keepLines w:val="0"/>
        <w:widowControl/>
        <w:suppressLineNumbers w:val="0"/>
        <w:spacing w:before="0" w:beforeAutospacing="0"/>
        <w:ind w:left="0"/>
        <w:jc w:val="center"/>
        <w:rPr>
          <w:rFonts w:hint="default" w:ascii="Times New Roman" w:hAnsi="Times New Roman" w:eastAsia="方正小标宋简体" w:cs="Times New Roman"/>
          <w:sz w:val="44"/>
          <w:szCs w:val="44"/>
          <w:shd w:val="clear" w:color="auto" w:fill="FFFFFF"/>
        </w:rPr>
      </w:pPr>
    </w:p>
    <w:p w14:paraId="03E4EB9C">
      <w:pPr>
        <w:pStyle w:val="10"/>
        <w:keepNext w:val="0"/>
        <w:keepLines w:val="0"/>
        <w:widowControl/>
        <w:suppressLineNumbers w:val="0"/>
        <w:spacing w:before="0" w:beforeAutospacing="0"/>
        <w:ind w:left="0"/>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shd w:val="clear" w:color="auto" w:fill="FFFFFF"/>
        </w:rPr>
        <w:t>202</w:t>
      </w:r>
      <w:r>
        <w:rPr>
          <w:rFonts w:hint="default" w:ascii="Times New Roman" w:hAnsi="Times New Roman" w:eastAsia="方正小标宋简体" w:cs="Times New Roman"/>
          <w:sz w:val="44"/>
          <w:szCs w:val="44"/>
          <w:shd w:val="clear" w:color="auto" w:fill="FFFFFF"/>
          <w:lang w:val="en-US" w:eastAsia="zh-CN"/>
        </w:rPr>
        <w:t>4</w:t>
      </w:r>
      <w:r>
        <w:rPr>
          <w:rFonts w:hint="default" w:ascii="Times New Roman" w:hAnsi="Times New Roman" w:eastAsia="方正小标宋简体" w:cs="Times New Roman"/>
          <w:sz w:val="44"/>
          <w:szCs w:val="44"/>
          <w:shd w:val="clear" w:color="auto" w:fill="FFFFFF"/>
        </w:rPr>
        <w:t>年度</w:t>
      </w:r>
    </w:p>
    <w:p w14:paraId="25F51AD2">
      <w:pPr>
        <w:pStyle w:val="10"/>
        <w:keepNext w:val="0"/>
        <w:keepLines w:val="0"/>
        <w:widowControl/>
        <w:suppressLineNumbers w:val="0"/>
        <w:spacing w:before="0" w:beforeAutospacing="0"/>
        <w:ind w:left="0"/>
        <w:jc w:val="center"/>
        <w:outlineLvl w:val="0"/>
        <w:rPr>
          <w:rFonts w:hint="default" w:ascii="Times New Roman" w:hAnsi="Times New Roman" w:eastAsia="方正小标宋简体" w:cs="Times New Roman"/>
          <w:sz w:val="44"/>
          <w:szCs w:val="44"/>
          <w:shd w:val="clear" w:color="auto" w:fill="FFFFFF"/>
        </w:rPr>
      </w:pPr>
      <w:bookmarkStart w:id="0" w:name="_Toc17411"/>
      <w:bookmarkStart w:id="1" w:name="_Toc11279"/>
      <w:bookmarkStart w:id="2" w:name="_Toc22753"/>
      <w:r>
        <w:rPr>
          <w:rFonts w:hint="default" w:ascii="Times New Roman" w:hAnsi="Times New Roman" w:eastAsia="方正小标宋简体" w:cs="Times New Roman"/>
          <w:sz w:val="44"/>
          <w:szCs w:val="44"/>
          <w:shd w:val="clear" w:color="auto" w:fill="FFFFFF"/>
          <w:lang w:val="en-US" w:eastAsia="zh-CN"/>
        </w:rPr>
        <w:t>四川省</w:t>
      </w:r>
      <w:r>
        <w:rPr>
          <w:rFonts w:hint="default" w:ascii="Times New Roman" w:hAnsi="Times New Roman" w:eastAsia="方正小标宋简体" w:cs="Times New Roman"/>
          <w:sz w:val="44"/>
          <w:szCs w:val="44"/>
          <w:shd w:val="clear" w:color="auto" w:fill="FFFFFF"/>
        </w:rPr>
        <w:t>阿坝州松潘县</w:t>
      </w:r>
      <w:r>
        <w:rPr>
          <w:rFonts w:hint="default" w:ascii="Times New Roman" w:hAnsi="Times New Roman" w:eastAsia="方正小标宋简体" w:cs="Times New Roman"/>
          <w:sz w:val="44"/>
          <w:szCs w:val="44"/>
          <w:shd w:val="clear" w:color="auto" w:fill="FFFFFF"/>
          <w:lang w:eastAsia="zh-CN"/>
        </w:rPr>
        <w:t>川主寺镇</w:t>
      </w:r>
      <w:r>
        <w:rPr>
          <w:rFonts w:hint="default" w:ascii="Times New Roman" w:hAnsi="Times New Roman" w:eastAsia="方正小标宋简体" w:cs="Times New Roman"/>
          <w:sz w:val="44"/>
          <w:szCs w:val="44"/>
          <w:shd w:val="clear" w:color="auto" w:fill="FFFFFF"/>
        </w:rPr>
        <w:t>人民政府</w:t>
      </w:r>
      <w:bookmarkEnd w:id="0"/>
      <w:bookmarkEnd w:id="1"/>
      <w:bookmarkEnd w:id="2"/>
    </w:p>
    <w:p w14:paraId="16426BDE">
      <w:pPr>
        <w:pStyle w:val="10"/>
        <w:keepNext w:val="0"/>
        <w:keepLines w:val="0"/>
        <w:widowControl/>
        <w:suppressLineNumbers w:val="0"/>
        <w:spacing w:before="0" w:beforeAutospacing="0"/>
        <w:ind w:left="0"/>
        <w:jc w:val="center"/>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shd w:val="clear" w:color="auto" w:fill="FFFFFF"/>
          <w:lang w:eastAsia="zh-CN"/>
        </w:rPr>
        <w:t>（</w:t>
      </w:r>
      <w:r>
        <w:rPr>
          <w:rFonts w:hint="default" w:ascii="Times New Roman" w:hAnsi="Times New Roman" w:eastAsia="方正小标宋简体" w:cs="Times New Roman"/>
          <w:sz w:val="44"/>
          <w:szCs w:val="44"/>
          <w:shd w:val="clear" w:color="auto" w:fill="FFFFFF"/>
        </w:rPr>
        <w:t>单位决算</w:t>
      </w:r>
      <w:r>
        <w:rPr>
          <w:rFonts w:hint="default" w:ascii="Times New Roman" w:hAnsi="Times New Roman" w:eastAsia="方正小标宋简体" w:cs="Times New Roman"/>
          <w:sz w:val="44"/>
          <w:szCs w:val="44"/>
          <w:shd w:val="clear" w:color="auto" w:fill="FFFFFF"/>
          <w:lang w:val="en-US" w:eastAsia="zh-CN"/>
        </w:rPr>
        <w:t>公开）</w:t>
      </w:r>
    </w:p>
    <w:p w14:paraId="374B365F">
      <w:pPr>
        <w:pStyle w:val="10"/>
        <w:keepNext w:val="0"/>
        <w:keepLines w:val="0"/>
        <w:widowControl/>
        <w:suppressLineNumbers w:val="0"/>
        <w:spacing w:before="0" w:beforeAutospacing="0"/>
        <w:ind w:left="0"/>
        <w:jc w:val="center"/>
        <w:rPr>
          <w:rFonts w:hint="default" w:ascii="Times New Roman" w:hAnsi="Times New Roman" w:eastAsia="仿宋_GB2312" w:cs="Times New Roman"/>
          <w:sz w:val="32"/>
          <w:szCs w:val="32"/>
          <w:shd w:val="clear" w:color="auto" w:fill="FFFFFF"/>
        </w:rPr>
      </w:pPr>
    </w:p>
    <w:p w14:paraId="4F8F97FE">
      <w:pPr>
        <w:pStyle w:val="10"/>
        <w:keepNext w:val="0"/>
        <w:keepLines w:val="0"/>
        <w:widowControl/>
        <w:suppressLineNumbers w:val="0"/>
        <w:spacing w:before="0" w:beforeAutospacing="0"/>
        <w:ind w:left="0"/>
        <w:jc w:val="center"/>
        <w:rPr>
          <w:rFonts w:hint="default" w:ascii="Times New Roman" w:hAnsi="Times New Roman" w:eastAsia="仿宋_GB2312" w:cs="Times New Roman"/>
          <w:sz w:val="32"/>
          <w:szCs w:val="32"/>
          <w:shd w:val="clear" w:color="auto" w:fill="FFFFFF"/>
        </w:rPr>
      </w:pPr>
    </w:p>
    <w:p w14:paraId="64FA3C53">
      <w:pPr>
        <w:pStyle w:val="10"/>
        <w:keepNext w:val="0"/>
        <w:keepLines w:val="0"/>
        <w:widowControl/>
        <w:suppressLineNumbers w:val="0"/>
        <w:spacing w:before="0" w:beforeAutospacing="0"/>
        <w:ind w:left="0"/>
        <w:jc w:val="center"/>
        <w:rPr>
          <w:rFonts w:hint="default" w:ascii="Times New Roman" w:hAnsi="Times New Roman" w:eastAsia="仿宋_GB2312" w:cs="Times New Roman"/>
          <w:sz w:val="32"/>
          <w:szCs w:val="32"/>
          <w:shd w:val="clear" w:color="auto" w:fill="FFFFFF"/>
        </w:rPr>
      </w:pPr>
    </w:p>
    <w:p w14:paraId="3C2CACCE">
      <w:pPr>
        <w:pStyle w:val="10"/>
        <w:keepNext w:val="0"/>
        <w:keepLines w:val="0"/>
        <w:widowControl/>
        <w:suppressLineNumbers w:val="0"/>
        <w:spacing w:before="0" w:beforeAutospacing="0"/>
        <w:ind w:left="0"/>
        <w:jc w:val="center"/>
        <w:rPr>
          <w:rFonts w:hint="default" w:ascii="Times New Roman" w:hAnsi="Times New Roman" w:eastAsia="仿宋_GB2312" w:cs="Times New Roman"/>
          <w:sz w:val="32"/>
          <w:szCs w:val="32"/>
          <w:shd w:val="clear" w:color="auto" w:fill="FFFFFF"/>
        </w:rPr>
      </w:pPr>
      <w:r>
        <w:rPr>
          <w:rFonts w:hint="default" w:ascii="Times New Roman" w:hAnsi="Times New Roman" w:eastAsia="仿宋_GB2312" w:cs="Times New Roman"/>
          <w:sz w:val="32"/>
          <w:szCs w:val="32"/>
          <w:shd w:val="clear" w:color="auto" w:fill="FFFFFF"/>
        </w:rPr>
        <w:t>已经保密审查、内容审定，同意对外公开</w:t>
      </w:r>
    </w:p>
    <w:p w14:paraId="750D17B5">
      <w:pPr>
        <w:widowControl/>
        <w:jc w:val="center"/>
        <w:rPr>
          <w:rFonts w:hint="default" w:ascii="Times New Roman" w:hAnsi="Times New Roman" w:eastAsia="黑体" w:cs="Times New Roman"/>
          <w:color w:val="auto"/>
          <w:sz w:val="48"/>
          <w:szCs w:val="48"/>
          <w:highlight w:val="none"/>
        </w:rPr>
      </w:pPr>
    </w:p>
    <w:p w14:paraId="02676D00">
      <w:pPr>
        <w:widowControl/>
        <w:jc w:val="center"/>
        <w:rPr>
          <w:rFonts w:hint="default" w:ascii="Times New Roman" w:hAnsi="Times New Roman" w:eastAsia="黑体" w:cs="Times New Roman"/>
          <w:color w:val="auto"/>
          <w:sz w:val="48"/>
          <w:szCs w:val="48"/>
          <w:highlight w:val="none"/>
        </w:rPr>
      </w:pPr>
    </w:p>
    <w:p w14:paraId="4821F178">
      <w:pPr>
        <w:widowControl/>
        <w:jc w:val="center"/>
        <w:rPr>
          <w:rFonts w:hint="default" w:ascii="Times New Roman" w:hAnsi="Times New Roman" w:eastAsia="黑体" w:cs="Times New Roman"/>
          <w:color w:val="auto"/>
          <w:sz w:val="48"/>
          <w:szCs w:val="48"/>
          <w:highlight w:val="none"/>
        </w:rPr>
      </w:pPr>
    </w:p>
    <w:p w14:paraId="0B286AEE">
      <w:pPr>
        <w:widowControl/>
        <w:jc w:val="center"/>
        <w:rPr>
          <w:rFonts w:hint="default" w:ascii="Times New Roman" w:hAnsi="Times New Roman" w:eastAsia="黑体" w:cs="Times New Roman"/>
          <w:color w:val="auto"/>
          <w:sz w:val="48"/>
          <w:szCs w:val="48"/>
          <w:highlight w:val="none"/>
        </w:rPr>
      </w:pPr>
    </w:p>
    <w:p w14:paraId="3CD93D37">
      <w:pPr>
        <w:pStyle w:val="3"/>
        <w:rPr>
          <w:rFonts w:hint="default" w:ascii="Times New Roman" w:hAnsi="Times New Roman" w:eastAsia="黑体" w:cs="Times New Roman"/>
          <w:color w:val="auto"/>
          <w:sz w:val="48"/>
          <w:szCs w:val="48"/>
          <w:highlight w:val="none"/>
        </w:rPr>
      </w:pPr>
    </w:p>
    <w:p w14:paraId="366DF5CB">
      <w:pPr>
        <w:pStyle w:val="3"/>
        <w:rPr>
          <w:rFonts w:hint="default" w:ascii="Times New Roman" w:hAnsi="Times New Roman" w:eastAsia="黑体" w:cs="Times New Roman"/>
          <w:color w:val="auto"/>
          <w:sz w:val="48"/>
          <w:szCs w:val="48"/>
          <w:highlight w:val="none"/>
        </w:rPr>
        <w:sectPr>
          <w:pgSz w:w="11906" w:h="16838"/>
          <w:pgMar w:top="2098" w:right="1474" w:bottom="1984" w:left="1587" w:header="851" w:footer="1474" w:gutter="0"/>
          <w:pgNumType w:fmt="decimal"/>
          <w:cols w:space="425" w:num="1"/>
          <w:docGrid w:type="lines" w:linePitch="312" w:charSpace="0"/>
        </w:sectPr>
      </w:pPr>
    </w:p>
    <w:p w14:paraId="6343EE05">
      <w:pPr>
        <w:pStyle w:val="3"/>
        <w:rPr>
          <w:rFonts w:hint="default" w:ascii="Times New Roman" w:hAnsi="Times New Roman" w:eastAsia="黑体" w:cs="Times New Roman"/>
          <w:color w:val="auto"/>
          <w:sz w:val="48"/>
          <w:szCs w:val="48"/>
          <w:highlight w:val="none"/>
        </w:rPr>
      </w:pPr>
    </w:p>
    <w:p w14:paraId="48C05A57">
      <w:pPr>
        <w:widowControl/>
        <w:jc w:val="center"/>
        <w:rPr>
          <w:rFonts w:hint="default" w:ascii="Times New Roman" w:hAnsi="Times New Roman" w:eastAsia="黑体" w:cs="Times New Roman"/>
          <w:color w:val="auto"/>
          <w:sz w:val="48"/>
          <w:szCs w:val="48"/>
          <w:highlight w:val="none"/>
        </w:rPr>
      </w:pPr>
      <w:r>
        <w:rPr>
          <w:rFonts w:hint="default" w:ascii="Times New Roman" w:hAnsi="Times New Roman" w:eastAsia="黑体" w:cs="Times New Roman"/>
          <w:color w:val="auto"/>
          <w:sz w:val="48"/>
          <w:szCs w:val="48"/>
          <w:highlight w:val="none"/>
        </w:rPr>
        <w:t>目录</w:t>
      </w:r>
    </w:p>
    <w:p w14:paraId="358785C9">
      <w:pPr>
        <w:widowControl/>
        <w:jc w:val="center"/>
        <w:rPr>
          <w:rFonts w:hint="default" w:ascii="Times New Roman" w:hAnsi="Times New Roman" w:eastAsia="黑体" w:cs="Times New Roman"/>
          <w:color w:val="auto"/>
          <w:sz w:val="28"/>
          <w:szCs w:val="28"/>
          <w:highlight w:val="none"/>
        </w:rPr>
      </w:pPr>
    </w:p>
    <w:p w14:paraId="624E0113">
      <w:pPr>
        <w:pStyle w:val="8"/>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公开时间：202</w:t>
      </w:r>
      <w:r>
        <w:rPr>
          <w:rFonts w:hint="eastAsia" w:ascii="Times New Roman" w:hAnsi="Times New Roman" w:eastAsia="仿宋_GB2312" w:cs="Times New Roman"/>
          <w:kern w:val="0"/>
          <w:sz w:val="32"/>
          <w:szCs w:val="32"/>
          <w:shd w:val="clear" w:color="auto" w:fill="FFFFFF"/>
          <w:lang w:val="en-US" w:eastAsia="zh-CN" w:bidi="ar"/>
        </w:rPr>
        <w:t>5</w:t>
      </w:r>
      <w:r>
        <w:rPr>
          <w:rFonts w:hint="default" w:ascii="Times New Roman" w:hAnsi="Times New Roman" w:eastAsia="仿宋_GB2312" w:cs="Times New Roman"/>
          <w:kern w:val="0"/>
          <w:sz w:val="32"/>
          <w:szCs w:val="32"/>
          <w:shd w:val="clear" w:color="auto" w:fill="FFFFFF"/>
          <w:lang w:val="en-US" w:eastAsia="zh-CN" w:bidi="ar"/>
        </w:rPr>
        <w:t>年10月</w:t>
      </w:r>
      <w:r>
        <w:rPr>
          <w:rFonts w:hint="eastAsia" w:ascii="Times New Roman" w:hAnsi="Times New Roman" w:eastAsia="仿宋_GB2312" w:cs="Times New Roman"/>
          <w:kern w:val="0"/>
          <w:sz w:val="32"/>
          <w:szCs w:val="32"/>
          <w:shd w:val="clear" w:color="auto" w:fill="FFFFFF"/>
          <w:lang w:val="en-US" w:eastAsia="zh-CN" w:bidi="ar"/>
        </w:rPr>
        <w:t>20</w:t>
      </w:r>
      <w:r>
        <w:rPr>
          <w:rFonts w:hint="default" w:ascii="Times New Roman" w:hAnsi="Times New Roman" w:eastAsia="仿宋_GB2312" w:cs="Times New Roman"/>
          <w:kern w:val="0"/>
          <w:sz w:val="32"/>
          <w:szCs w:val="32"/>
          <w:shd w:val="clear" w:color="auto" w:fill="FFFFFF"/>
          <w:lang w:val="en-US" w:eastAsia="zh-CN" w:bidi="ar"/>
        </w:rPr>
        <w:t>日</w:t>
      </w:r>
    </w:p>
    <w:p w14:paraId="44866805">
      <w:pPr>
        <w:pStyle w:val="8"/>
        <w:tabs>
          <w:tab w:val="right" w:leader="dot" w:pos="8854"/>
          <w:tab w:val="clear" w:pos="8296"/>
        </w:tabs>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_Toc17411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第</w:t>
      </w:r>
      <w:r>
        <w:rPr>
          <w:rFonts w:hint="default" w:ascii="Times New Roman" w:hAnsi="Times New Roman" w:eastAsia="仿宋_GB2312" w:cs="Times New Roman"/>
          <w:sz w:val="32"/>
          <w:szCs w:val="32"/>
          <w:shd w:val="clear" w:color="auto" w:fill="FFFFFF"/>
          <w:lang w:eastAsia="zh-CN"/>
        </w:rPr>
        <w:t>一</w:t>
      </w:r>
      <w:r>
        <w:rPr>
          <w:rFonts w:hint="default" w:ascii="Times New Roman" w:hAnsi="Times New Roman" w:eastAsia="仿宋_GB2312" w:cs="Times New Roman"/>
          <w:sz w:val="32"/>
          <w:szCs w:val="32"/>
          <w:shd w:val="clear" w:color="auto" w:fill="FFFFFF"/>
        </w:rPr>
        <w:t>部分</w:t>
      </w:r>
      <w:r>
        <w:rPr>
          <w:rFonts w:hint="default" w:ascii="Times New Roman" w:hAnsi="Times New Roman" w:eastAsia="仿宋_GB2312" w:cs="Times New Roman"/>
          <w:sz w:val="32"/>
          <w:szCs w:val="32"/>
          <w:shd w:val="clear" w:color="auto" w:fill="FFFFFF"/>
          <w:lang w:val="en-US" w:eastAsia="zh-CN"/>
        </w:rPr>
        <w:t xml:space="preserve"> </w:t>
      </w:r>
      <w:r>
        <w:rPr>
          <w:rFonts w:hint="default" w:ascii="Times New Roman" w:hAnsi="Times New Roman" w:eastAsia="仿宋_GB2312" w:cs="Times New Roman"/>
          <w:sz w:val="32"/>
          <w:szCs w:val="32"/>
          <w:shd w:val="clear" w:color="auto" w:fill="FFFFFF"/>
          <w:lang w:eastAsia="zh-CN"/>
        </w:rPr>
        <w:t>单位概况…</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shd w:val="clear" w:color="auto" w:fill="FFFFFF"/>
          <w:lang w:eastAsia="zh-CN"/>
        </w:rPr>
        <w:t>……………………………………………</w:t>
      </w:r>
      <w:r>
        <w:rPr>
          <w:rFonts w:hint="default" w:ascii="Times New Roman" w:hAnsi="Times New Roman" w:eastAsia="仿宋_GB2312" w:cs="Times New Roman"/>
          <w:sz w:val="32"/>
          <w:szCs w:val="32"/>
          <w:shd w:val="clear" w:color="auto" w:fill="FFFFFF"/>
          <w:lang w:val="en-US" w:eastAsia="zh-CN"/>
        </w:rPr>
        <w:t>1</w:t>
      </w:r>
    </w:p>
    <w:p w14:paraId="0C7B2198">
      <w:pPr>
        <w:pStyle w:val="9"/>
        <w:tabs>
          <w:tab w:val="right" w:leader="dot" w:pos="8854"/>
          <w:tab w:val="clear" w:pos="829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_Toc16571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bCs w:val="0"/>
          <w:sz w:val="32"/>
          <w:szCs w:val="32"/>
          <w:shd w:val="clear" w:color="auto" w:fill="FFFFFF"/>
          <w:lang w:val="en-US" w:eastAsia="zh-CN"/>
        </w:rPr>
        <w:t>一、</w:t>
      </w:r>
      <w:r>
        <w:rPr>
          <w:rFonts w:hint="default" w:ascii="Times New Roman" w:hAnsi="Times New Roman" w:eastAsia="仿宋_GB2312" w:cs="Times New Roman"/>
          <w:bCs w:val="0"/>
          <w:sz w:val="32"/>
          <w:szCs w:val="32"/>
          <w:shd w:val="clear" w:color="auto" w:fill="FFFFFF"/>
        </w:rPr>
        <w:t>主要职责</w:t>
      </w:r>
      <w:r>
        <w:rPr>
          <w:rFonts w:hint="default" w:ascii="Times New Roman" w:hAnsi="Times New Roman" w:eastAsia="仿宋_GB2312" w:cs="Times New Roman"/>
          <w:sz w:val="32"/>
          <w:szCs w:val="32"/>
        </w:rPr>
        <w:tab/>
      </w:r>
      <w:r>
        <w:rPr>
          <w:rFonts w:hint="eastAsia"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fldChar w:fldCharType="end"/>
      </w:r>
    </w:p>
    <w:p w14:paraId="6D9CA5FF">
      <w:pPr>
        <w:pStyle w:val="9"/>
        <w:tabs>
          <w:tab w:val="right" w:leader="dot" w:pos="8854"/>
          <w:tab w:val="clear" w:pos="829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_Toc23235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bCs w:val="0"/>
          <w:sz w:val="32"/>
          <w:szCs w:val="32"/>
          <w:shd w:val="clear" w:color="auto" w:fill="FFFFFF"/>
        </w:rPr>
        <w:t>二、机构设置</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_Toc23235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w:t>
      </w:r>
      <w:r>
        <w:rPr>
          <w:rFonts w:hint="eastAsia"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29593CBB">
      <w:pPr>
        <w:pStyle w:val="8"/>
        <w:tabs>
          <w:tab w:val="right" w:leader="dot" w:pos="8854"/>
          <w:tab w:val="clear" w:pos="829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_Toc29154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第二部分 202</w:t>
      </w:r>
      <w:r>
        <w:rPr>
          <w:rFonts w:hint="eastAsia" w:ascii="Times New Roman" w:hAnsi="Times New Roman" w:eastAsia="仿宋_GB2312" w:cs="Times New Roman"/>
          <w:sz w:val="32"/>
          <w:szCs w:val="32"/>
          <w:shd w:val="clear" w:color="auto" w:fill="FFFFFF"/>
          <w:lang w:val="en-US" w:eastAsia="zh-CN"/>
        </w:rPr>
        <w:t>4</w:t>
      </w:r>
      <w:r>
        <w:rPr>
          <w:rFonts w:hint="default" w:ascii="Times New Roman" w:hAnsi="Times New Roman" w:eastAsia="仿宋_GB2312" w:cs="Times New Roman"/>
          <w:sz w:val="32"/>
          <w:szCs w:val="32"/>
          <w:shd w:val="clear" w:color="auto" w:fill="FFFFFF"/>
        </w:rPr>
        <w:t>年度单位决算情况说明</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_Toc29154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w:t>
      </w: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74245E78">
      <w:pPr>
        <w:pStyle w:val="9"/>
        <w:tabs>
          <w:tab w:val="right" w:leader="dot" w:pos="8854"/>
          <w:tab w:val="clear" w:pos="829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_Toc22951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一、收入支出决算总体情况说明</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_Toc22951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w:t>
      </w: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095D6EF8">
      <w:pPr>
        <w:pStyle w:val="9"/>
        <w:tabs>
          <w:tab w:val="right" w:leader="dot" w:pos="8854"/>
          <w:tab w:val="clear" w:pos="829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_Toc23994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二、收入决算情况说明</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_Toc23994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w:t>
      </w: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3E0293B7">
      <w:pPr>
        <w:pStyle w:val="9"/>
        <w:tabs>
          <w:tab w:val="right" w:leader="dot" w:pos="8854"/>
          <w:tab w:val="clear" w:pos="829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_Toc25425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三、支出决算情况说明</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_Toc25425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w:t>
      </w:r>
      <w:r>
        <w:rPr>
          <w:rFonts w:hint="eastAsia"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714D7338">
      <w:pPr>
        <w:pStyle w:val="9"/>
        <w:tabs>
          <w:tab w:val="right" w:leader="dot" w:pos="8854"/>
          <w:tab w:val="clear" w:pos="8296"/>
        </w:tabs>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_Toc4429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四、财政拨款收入支出决算总体情况说明</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fldChar w:fldCharType="end"/>
      </w:r>
      <w:r>
        <w:rPr>
          <w:rFonts w:hint="eastAsia" w:ascii="Times New Roman" w:hAnsi="Times New Roman" w:eastAsia="仿宋_GB2312" w:cs="Times New Roman"/>
          <w:sz w:val="32"/>
          <w:szCs w:val="32"/>
          <w:lang w:val="en-US" w:eastAsia="zh-CN"/>
        </w:rPr>
        <w:t>4</w:t>
      </w:r>
    </w:p>
    <w:p w14:paraId="173B67B7">
      <w:pPr>
        <w:pStyle w:val="9"/>
        <w:tabs>
          <w:tab w:val="right" w:leader="dot" w:pos="8854"/>
          <w:tab w:val="clear" w:pos="829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_Toc11905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五、一般公共预算财政拨款支出决算情况说明</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_Toc11905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w:t>
      </w:r>
      <w:r>
        <w:rPr>
          <w:rFonts w:hint="eastAsia" w:ascii="Times New Roman" w:hAnsi="Times New Roman" w:eastAsia="仿宋_GB2312" w:cs="Times New Roman"/>
          <w:sz w:val="32"/>
          <w:szCs w:val="32"/>
          <w:lang w:val="en-US" w:eastAsia="zh-CN"/>
        </w:rPr>
        <w:t>5</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01CBE296">
      <w:pPr>
        <w:pStyle w:val="9"/>
        <w:tabs>
          <w:tab w:val="right" w:leader="dot" w:pos="8854"/>
          <w:tab w:val="clear" w:pos="8296"/>
        </w:tabs>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_Toc30488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六、一般公共预算财政拨款基本支出决算情况说明   </w:t>
      </w:r>
      <w:r>
        <w:rPr>
          <w:rFonts w:hint="default" w:ascii="Times New Roman" w:hAnsi="Times New Roman" w:eastAsia="仿宋_GB2312" w:cs="Times New Roman"/>
          <w:sz w:val="32"/>
          <w:szCs w:val="32"/>
        </w:rPr>
        <w:tab/>
      </w:r>
      <w:r>
        <w:rPr>
          <w:rFonts w:hint="eastAsia"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fldChar w:fldCharType="end"/>
      </w:r>
      <w:r>
        <w:rPr>
          <w:rFonts w:hint="eastAsia" w:ascii="Times New Roman" w:hAnsi="Times New Roman" w:eastAsia="仿宋_GB2312" w:cs="Times New Roman"/>
          <w:sz w:val="32"/>
          <w:szCs w:val="32"/>
          <w:lang w:val="en-US" w:eastAsia="zh-CN"/>
        </w:rPr>
        <w:t>9</w:t>
      </w:r>
    </w:p>
    <w:p w14:paraId="79AFC576">
      <w:pPr>
        <w:pStyle w:val="9"/>
        <w:tabs>
          <w:tab w:val="right" w:leader="dot" w:pos="8854"/>
          <w:tab w:val="clear" w:pos="8296"/>
        </w:tabs>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_Toc15275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七、“三公”经费财政拨款支出决算情况说明</w:t>
      </w:r>
      <w:r>
        <w:rPr>
          <w:rFonts w:hint="default" w:ascii="Times New Roman" w:hAnsi="Times New Roman" w:eastAsia="仿宋_GB2312" w:cs="Times New Roman"/>
          <w:sz w:val="32"/>
          <w:szCs w:val="32"/>
        </w:rPr>
        <w:tab/>
      </w:r>
      <w:r>
        <w:rPr>
          <w:rFonts w:hint="eastAsia"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fldChar w:fldCharType="end"/>
      </w:r>
      <w:r>
        <w:rPr>
          <w:rFonts w:hint="eastAsia" w:ascii="Times New Roman" w:hAnsi="Times New Roman" w:eastAsia="仿宋_GB2312" w:cs="Times New Roman"/>
          <w:sz w:val="32"/>
          <w:szCs w:val="32"/>
          <w:lang w:val="en-US" w:eastAsia="zh-CN"/>
        </w:rPr>
        <w:t>9</w:t>
      </w:r>
    </w:p>
    <w:p w14:paraId="2641C78D">
      <w:pPr>
        <w:pStyle w:val="9"/>
        <w:tabs>
          <w:tab w:val="right" w:leader="dot" w:pos="8854"/>
          <w:tab w:val="clear" w:pos="8296"/>
        </w:tabs>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_Toc22045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八、政府性基金预算支出决算情况说明</w:t>
      </w:r>
      <w:r>
        <w:rPr>
          <w:rFonts w:hint="default" w:ascii="Times New Roman" w:hAnsi="Times New Roman" w:eastAsia="仿宋_GB2312" w:cs="Times New Roman"/>
          <w:sz w:val="32"/>
          <w:szCs w:val="32"/>
        </w:rPr>
        <w:tab/>
      </w:r>
      <w:r>
        <w:rPr>
          <w:rFonts w:hint="eastAsia"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fldChar w:fldCharType="end"/>
      </w:r>
      <w:r>
        <w:rPr>
          <w:rFonts w:hint="eastAsia" w:ascii="Times New Roman" w:hAnsi="Times New Roman" w:eastAsia="仿宋_GB2312" w:cs="Times New Roman"/>
          <w:sz w:val="32"/>
          <w:szCs w:val="32"/>
          <w:lang w:val="en-US" w:eastAsia="zh-CN"/>
        </w:rPr>
        <w:t>1</w:t>
      </w:r>
    </w:p>
    <w:p w14:paraId="2B540813">
      <w:pPr>
        <w:pStyle w:val="9"/>
        <w:tabs>
          <w:tab w:val="right" w:leader="dot" w:pos="8854"/>
          <w:tab w:val="clear" w:pos="829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_Toc17590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九、国有资本经营预算支出决算情况说明</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_Toc17590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w:t>
      </w:r>
      <w:r>
        <w:rPr>
          <w:rFonts w:hint="eastAsia"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39F7A14F">
      <w:pPr>
        <w:pStyle w:val="9"/>
        <w:tabs>
          <w:tab w:val="right" w:leader="dot" w:pos="8854"/>
          <w:tab w:val="clear" w:pos="829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_Toc7116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十、其他重要事项的情况说明</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_Toc7116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w:t>
      </w:r>
      <w:r>
        <w:rPr>
          <w:rFonts w:hint="eastAsia"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45F866FC">
      <w:pPr>
        <w:pStyle w:val="8"/>
        <w:tabs>
          <w:tab w:val="right" w:leader="dot" w:pos="8854"/>
          <w:tab w:val="clear" w:pos="829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_Toc22487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第三部分 名词解释</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_Toc22487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w:t>
      </w: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6EB8343F">
      <w:pPr>
        <w:pStyle w:val="8"/>
        <w:tabs>
          <w:tab w:val="right" w:leader="dot" w:pos="8854"/>
          <w:tab w:val="clear" w:pos="8296"/>
        </w:tabs>
        <w:rPr>
          <w:rFonts w:hint="default" w:ascii="Times New Roman" w:hAnsi="Times New Roman" w:eastAsia="仿宋_GB2312" w:cs="Times New Roman"/>
          <w:sz w:val="32"/>
          <w:szCs w:val="32"/>
        </w:rPr>
        <w:sectPr>
          <w:footerReference r:id="rId3" w:type="default"/>
          <w:pgSz w:w="11906" w:h="16838"/>
          <w:pgMar w:top="2098" w:right="1474" w:bottom="1984" w:left="1587" w:header="851" w:footer="1474" w:gutter="0"/>
          <w:pgNumType w:fmt="decimal" w:start="1"/>
          <w:cols w:space="425" w:num="1"/>
          <w:docGrid w:type="lines" w:linePitch="312" w:charSpace="0"/>
        </w:sectPr>
      </w:pPr>
    </w:p>
    <w:p w14:paraId="1FB2C2AC">
      <w:pPr>
        <w:pStyle w:val="8"/>
        <w:tabs>
          <w:tab w:val="right" w:leader="dot" w:pos="8854"/>
          <w:tab w:val="clear" w:pos="8296"/>
        </w:tabs>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_Toc17166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第四部分 附</w:t>
      </w:r>
      <w:r>
        <w:rPr>
          <w:rFonts w:hint="eastAsia" w:ascii="Times New Roman" w:hAnsi="Times New Roman" w:eastAsia="仿宋_GB2312" w:cs="Times New Roman"/>
          <w:sz w:val="32"/>
          <w:szCs w:val="32"/>
          <w:shd w:val="clear" w:color="auto" w:fill="FFFFFF"/>
          <w:lang w:eastAsia="zh-CN"/>
        </w:rPr>
        <w:t>表</w:t>
      </w:r>
      <w:r>
        <w:rPr>
          <w:rFonts w:hint="default" w:ascii="Times New Roman" w:hAnsi="Times New Roman" w:eastAsia="仿宋_GB2312" w:cs="Times New Roman"/>
          <w:sz w:val="32"/>
          <w:szCs w:val="32"/>
        </w:rPr>
        <w:tab/>
      </w:r>
      <w:r>
        <w:rPr>
          <w:rFonts w:hint="eastAsia"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fldChar w:fldCharType="end"/>
      </w:r>
      <w:r>
        <w:rPr>
          <w:rFonts w:hint="eastAsia" w:ascii="Times New Roman" w:hAnsi="Times New Roman" w:eastAsia="仿宋_GB2312" w:cs="Times New Roman"/>
          <w:sz w:val="32"/>
          <w:szCs w:val="32"/>
          <w:lang w:val="en-US" w:eastAsia="zh-CN"/>
        </w:rPr>
        <w:t>7</w:t>
      </w:r>
    </w:p>
    <w:p w14:paraId="65A3D1DD">
      <w:pPr>
        <w:pStyle w:val="9"/>
        <w:tabs>
          <w:tab w:val="right" w:leader="dot" w:pos="8854"/>
          <w:tab w:val="clear" w:pos="829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_Toc30847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一、收入支出决算总表</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_Toc30847 \h </w:instrText>
      </w:r>
      <w:r>
        <w:rPr>
          <w:rFonts w:hint="default" w:ascii="Times New Roman" w:hAnsi="Times New Roman" w:eastAsia="仿宋_GB2312" w:cs="Times New Roman"/>
          <w:sz w:val="32"/>
          <w:szCs w:val="32"/>
        </w:rPr>
        <w:fldChar w:fldCharType="separate"/>
      </w:r>
      <w:r>
        <w:rPr>
          <w:rFonts w:hint="eastAsia"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7</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1A0C1F3A">
      <w:pPr>
        <w:pStyle w:val="9"/>
        <w:tabs>
          <w:tab w:val="right" w:leader="dot" w:pos="8854"/>
          <w:tab w:val="clear" w:pos="829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_Toc21972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二、收入决算表</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_Toc21972 \h </w:instrText>
      </w:r>
      <w:r>
        <w:rPr>
          <w:rFonts w:hint="default" w:ascii="Times New Roman" w:hAnsi="Times New Roman" w:eastAsia="仿宋_GB2312" w:cs="Times New Roman"/>
          <w:sz w:val="32"/>
          <w:szCs w:val="32"/>
        </w:rPr>
        <w:fldChar w:fldCharType="separate"/>
      </w:r>
      <w:r>
        <w:rPr>
          <w:rFonts w:hint="eastAsia"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7</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69C207F5">
      <w:pPr>
        <w:pStyle w:val="9"/>
        <w:tabs>
          <w:tab w:val="right" w:leader="dot" w:pos="8854"/>
          <w:tab w:val="clear" w:pos="829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_Toc5995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三、支出决算表</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_Toc5995 \h </w:instrText>
      </w:r>
      <w:r>
        <w:rPr>
          <w:rFonts w:hint="default" w:ascii="Times New Roman" w:hAnsi="Times New Roman" w:eastAsia="仿宋_GB2312" w:cs="Times New Roman"/>
          <w:sz w:val="32"/>
          <w:szCs w:val="32"/>
        </w:rPr>
        <w:fldChar w:fldCharType="separate"/>
      </w:r>
      <w:r>
        <w:rPr>
          <w:rFonts w:hint="eastAsia"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7</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53FD7052">
      <w:pPr>
        <w:pStyle w:val="9"/>
        <w:tabs>
          <w:tab w:val="right" w:leader="dot" w:pos="8854"/>
          <w:tab w:val="clear" w:pos="829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_Toc4308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四、财政拨款收入支出决算总表</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_Toc4308 \h </w:instrText>
      </w:r>
      <w:r>
        <w:rPr>
          <w:rFonts w:hint="default" w:ascii="Times New Roman" w:hAnsi="Times New Roman" w:eastAsia="仿宋_GB2312" w:cs="Times New Roman"/>
          <w:sz w:val="32"/>
          <w:szCs w:val="32"/>
        </w:rPr>
        <w:fldChar w:fldCharType="separate"/>
      </w:r>
      <w:r>
        <w:rPr>
          <w:rFonts w:hint="eastAsia"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7</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613C3CAC">
      <w:pPr>
        <w:pStyle w:val="9"/>
        <w:tabs>
          <w:tab w:val="right" w:leader="dot" w:pos="8854"/>
          <w:tab w:val="clear" w:pos="829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_Toc18749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五、财政拨款支出决算明细表</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_Toc18749 \h </w:instrText>
      </w:r>
      <w:r>
        <w:rPr>
          <w:rFonts w:hint="default" w:ascii="Times New Roman" w:hAnsi="Times New Roman" w:eastAsia="仿宋_GB2312" w:cs="Times New Roman"/>
          <w:sz w:val="32"/>
          <w:szCs w:val="32"/>
        </w:rPr>
        <w:fldChar w:fldCharType="separate"/>
      </w:r>
      <w:r>
        <w:rPr>
          <w:rFonts w:hint="eastAsia"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7</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7C20BF15">
      <w:pPr>
        <w:pStyle w:val="9"/>
        <w:tabs>
          <w:tab w:val="right" w:leader="dot" w:pos="8854"/>
          <w:tab w:val="clear" w:pos="829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_Toc21634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六、一般公共预算财政拨款支出决算表</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_Toc21634 \h </w:instrText>
      </w:r>
      <w:r>
        <w:rPr>
          <w:rFonts w:hint="default" w:ascii="Times New Roman" w:hAnsi="Times New Roman" w:eastAsia="仿宋_GB2312" w:cs="Times New Roman"/>
          <w:sz w:val="32"/>
          <w:szCs w:val="32"/>
        </w:rPr>
        <w:fldChar w:fldCharType="separate"/>
      </w:r>
      <w:r>
        <w:rPr>
          <w:rFonts w:hint="eastAsia"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7</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329D5DB0">
      <w:pPr>
        <w:pStyle w:val="9"/>
        <w:tabs>
          <w:tab w:val="right" w:leader="dot" w:pos="8854"/>
          <w:tab w:val="clear" w:pos="829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_Toc28135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七、一般公共预算财政拨款支出决算明细表</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_Toc28135 \h </w:instrText>
      </w:r>
      <w:r>
        <w:rPr>
          <w:rFonts w:hint="default" w:ascii="Times New Roman" w:hAnsi="Times New Roman" w:eastAsia="仿宋_GB2312" w:cs="Times New Roman"/>
          <w:sz w:val="32"/>
          <w:szCs w:val="32"/>
        </w:rPr>
        <w:fldChar w:fldCharType="separate"/>
      </w:r>
      <w:r>
        <w:rPr>
          <w:rFonts w:hint="eastAsia"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7</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1706C0F8">
      <w:pPr>
        <w:pStyle w:val="9"/>
        <w:tabs>
          <w:tab w:val="right" w:leader="dot" w:pos="8854"/>
          <w:tab w:val="clear" w:pos="829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_Toc9739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八、一般公共预算财政拨款基本支出决算表</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_Toc9739 \h </w:instrText>
      </w:r>
      <w:r>
        <w:rPr>
          <w:rFonts w:hint="default" w:ascii="Times New Roman" w:hAnsi="Times New Roman" w:eastAsia="仿宋_GB2312" w:cs="Times New Roman"/>
          <w:sz w:val="32"/>
          <w:szCs w:val="32"/>
        </w:rPr>
        <w:fldChar w:fldCharType="separate"/>
      </w:r>
      <w:r>
        <w:rPr>
          <w:rFonts w:hint="eastAsia"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7</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04E2854F">
      <w:pPr>
        <w:pStyle w:val="9"/>
        <w:tabs>
          <w:tab w:val="right" w:leader="dot" w:pos="8854"/>
          <w:tab w:val="clear" w:pos="829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_Toc3800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九、一般公共预算财政拨款项目支出决算表</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_Toc3800 \h </w:instrText>
      </w:r>
      <w:r>
        <w:rPr>
          <w:rFonts w:hint="default" w:ascii="Times New Roman" w:hAnsi="Times New Roman" w:eastAsia="仿宋_GB2312" w:cs="Times New Roman"/>
          <w:sz w:val="32"/>
          <w:szCs w:val="32"/>
        </w:rPr>
        <w:fldChar w:fldCharType="separate"/>
      </w:r>
      <w:r>
        <w:rPr>
          <w:rFonts w:hint="eastAsia"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7</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468D8695">
      <w:pPr>
        <w:pStyle w:val="9"/>
        <w:tabs>
          <w:tab w:val="right" w:leader="dot" w:pos="8854"/>
          <w:tab w:val="clear" w:pos="829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_Toc1585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十、政府性基金预算财政拨款收入支出决算表</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_Toc1585 \h </w:instrText>
      </w:r>
      <w:r>
        <w:rPr>
          <w:rFonts w:hint="default" w:ascii="Times New Roman" w:hAnsi="Times New Roman" w:eastAsia="仿宋_GB2312" w:cs="Times New Roman"/>
          <w:sz w:val="32"/>
          <w:szCs w:val="32"/>
        </w:rPr>
        <w:fldChar w:fldCharType="separate"/>
      </w:r>
      <w:r>
        <w:rPr>
          <w:rFonts w:hint="eastAsia"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7</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3B073DAE">
      <w:pPr>
        <w:pStyle w:val="9"/>
        <w:tabs>
          <w:tab w:val="right" w:leader="dot" w:pos="8854"/>
          <w:tab w:val="clear" w:pos="829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_Toc6807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十一、国有资本经营预算财政拨款收入支出决算表</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_Toc6807 \h </w:instrText>
      </w:r>
      <w:r>
        <w:rPr>
          <w:rFonts w:hint="default" w:ascii="Times New Roman" w:hAnsi="Times New Roman" w:eastAsia="仿宋_GB2312" w:cs="Times New Roman"/>
          <w:sz w:val="32"/>
          <w:szCs w:val="32"/>
        </w:rPr>
        <w:fldChar w:fldCharType="separate"/>
      </w:r>
      <w:r>
        <w:rPr>
          <w:rFonts w:hint="eastAsia"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7</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114E34CC">
      <w:pPr>
        <w:pStyle w:val="9"/>
        <w:tabs>
          <w:tab w:val="right" w:leader="dot" w:pos="8854"/>
          <w:tab w:val="clear" w:pos="829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_Toc32518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十二、国有资本经营预算财政拨款支出决算表</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_Toc32518 \h </w:instrText>
      </w:r>
      <w:r>
        <w:rPr>
          <w:rFonts w:hint="default" w:ascii="Times New Roman" w:hAnsi="Times New Roman" w:eastAsia="仿宋_GB2312" w:cs="Times New Roman"/>
          <w:sz w:val="32"/>
          <w:szCs w:val="32"/>
        </w:rPr>
        <w:fldChar w:fldCharType="separate"/>
      </w:r>
      <w:r>
        <w:rPr>
          <w:rFonts w:hint="eastAsia"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7</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0313A026">
      <w:pPr>
        <w:tabs>
          <w:tab w:val="right" w:leader="dot" w:pos="8854"/>
        </w:tabs>
        <w:ind w:left="480" w:leftChars="200"/>
        <w:jc w:val="left"/>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kern w:val="0"/>
          <w:sz w:val="32"/>
          <w:szCs w:val="32"/>
          <w:lang w:val="en-US" w:eastAsia="zh-CN" w:bidi="ar"/>
        </w:rPr>
        <w:instrText xml:space="preserve"> HYPERLINK \l _Toc31235 </w:instrText>
      </w:r>
      <w:r>
        <w:rPr>
          <w:rFonts w:hint="default" w:ascii="Times New Roman" w:hAnsi="Times New Roman" w:eastAsia="仿宋_GB2312" w:cs="Times New Roman"/>
          <w:kern w:val="0"/>
          <w:sz w:val="32"/>
          <w:szCs w:val="32"/>
          <w:lang w:val="en-US" w:eastAsia="zh-CN" w:bidi="ar"/>
        </w:rPr>
        <w:fldChar w:fldCharType="separate"/>
      </w:r>
      <w:r>
        <w:rPr>
          <w:rFonts w:hint="default" w:ascii="Times New Roman" w:hAnsi="Times New Roman" w:eastAsia="仿宋_GB2312" w:cs="Times New Roman"/>
          <w:kern w:val="0"/>
          <w:sz w:val="32"/>
          <w:szCs w:val="32"/>
          <w:lang w:val="en-US" w:eastAsia="zh-CN" w:bidi="ar"/>
        </w:rPr>
        <w:t>十三、财政拨款“三公”经费支出决算表</w:t>
      </w:r>
      <w:r>
        <w:rPr>
          <w:rFonts w:hint="default" w:ascii="Times New Roman" w:hAnsi="Times New Roman" w:eastAsia="仿宋_GB2312" w:cs="Times New Roman"/>
          <w:kern w:val="0"/>
          <w:sz w:val="32"/>
          <w:szCs w:val="32"/>
          <w:lang w:val="en-US" w:eastAsia="zh-CN" w:bidi="ar"/>
        </w:rPr>
        <w:tab/>
      </w:r>
      <w:r>
        <w:rPr>
          <w:rFonts w:hint="default" w:ascii="Times New Roman" w:hAnsi="Times New Roman" w:eastAsia="仿宋_GB2312" w:cs="Times New Roman"/>
          <w:kern w:val="0"/>
          <w:sz w:val="32"/>
          <w:szCs w:val="32"/>
          <w:lang w:val="en-US" w:eastAsia="zh-CN" w:bidi="ar"/>
        </w:rPr>
        <w:fldChar w:fldCharType="begin"/>
      </w:r>
      <w:r>
        <w:rPr>
          <w:rFonts w:hint="default" w:ascii="Times New Roman" w:hAnsi="Times New Roman" w:eastAsia="仿宋_GB2312" w:cs="Times New Roman"/>
          <w:kern w:val="0"/>
          <w:sz w:val="32"/>
          <w:szCs w:val="32"/>
          <w:lang w:val="en-US" w:eastAsia="zh-CN" w:bidi="ar"/>
        </w:rPr>
        <w:instrText xml:space="preserve"> PAGEREF _Toc31235 \h </w:instrText>
      </w:r>
      <w:r>
        <w:rPr>
          <w:rFonts w:hint="default" w:ascii="Times New Roman" w:hAnsi="Times New Roman" w:eastAsia="仿宋_GB2312" w:cs="Times New Roman"/>
          <w:kern w:val="0"/>
          <w:sz w:val="32"/>
          <w:szCs w:val="32"/>
          <w:lang w:val="en-US" w:eastAsia="zh-CN" w:bidi="ar"/>
        </w:rPr>
        <w:fldChar w:fldCharType="separate"/>
      </w:r>
      <w:r>
        <w:rPr>
          <w:rFonts w:hint="eastAsia" w:ascii="Times New Roman" w:hAnsi="Times New Roman" w:eastAsia="仿宋_GB2312" w:cs="Times New Roman"/>
          <w:kern w:val="0"/>
          <w:sz w:val="32"/>
          <w:szCs w:val="32"/>
          <w:lang w:val="en-US" w:eastAsia="zh-CN" w:bidi="ar"/>
        </w:rPr>
        <w:t>2</w:t>
      </w:r>
      <w:r>
        <w:rPr>
          <w:rFonts w:hint="default" w:ascii="Times New Roman" w:hAnsi="Times New Roman" w:eastAsia="仿宋_GB2312" w:cs="Times New Roman"/>
          <w:kern w:val="0"/>
          <w:sz w:val="32"/>
          <w:szCs w:val="32"/>
          <w:lang w:val="en-US" w:eastAsia="zh-CN" w:bidi="ar"/>
        </w:rPr>
        <w:t>7</w:t>
      </w:r>
      <w:r>
        <w:rPr>
          <w:rFonts w:hint="default" w:ascii="Times New Roman" w:hAnsi="Times New Roman" w:eastAsia="仿宋_GB2312" w:cs="Times New Roman"/>
          <w:kern w:val="0"/>
          <w:sz w:val="32"/>
          <w:szCs w:val="32"/>
          <w:lang w:val="en-US" w:eastAsia="zh-CN" w:bidi="ar"/>
        </w:rPr>
        <w:fldChar w:fldCharType="end"/>
      </w:r>
      <w:r>
        <w:rPr>
          <w:rFonts w:hint="default" w:ascii="Times New Roman" w:hAnsi="Times New Roman" w:eastAsia="仿宋_GB2312" w:cs="Times New Roman"/>
          <w:kern w:val="0"/>
          <w:sz w:val="32"/>
          <w:szCs w:val="32"/>
          <w:lang w:val="en-US" w:eastAsia="zh-CN" w:bidi="ar"/>
        </w:rPr>
        <w:fldChar w:fldCharType="end"/>
      </w:r>
    </w:p>
    <w:p w14:paraId="1AAE556D">
      <w:pPr>
        <w:keepNext w:val="0"/>
        <w:keepLines w:val="0"/>
        <w:pageBreakBefore w:val="0"/>
        <w:widowControl/>
        <w:kinsoku/>
        <w:wordWrap/>
        <w:overflowPunct/>
        <w:topLinePunct w:val="0"/>
        <w:autoSpaceDE/>
        <w:autoSpaceDN/>
        <w:bidi w:val="0"/>
        <w:adjustRightInd/>
        <w:spacing w:afterAutospacing="0" w:line="578" w:lineRule="exact"/>
        <w:ind w:leftChars="0" w:firstLine="880" w:firstLineChars="200"/>
        <w:jc w:val="center"/>
        <w:textAlignment w:val="auto"/>
        <w:rPr>
          <w:rFonts w:hint="default" w:ascii="Times New Roman" w:hAnsi="Times New Roman" w:eastAsia="方正小标宋简体" w:cs="Times New Roman"/>
          <w:b w:val="0"/>
          <w:bCs w:val="0"/>
          <w:sz w:val="44"/>
          <w:szCs w:val="44"/>
          <w:shd w:val="clear" w:color="auto" w:fill="FFFFFF"/>
        </w:rPr>
        <w:sectPr>
          <w:footerReference r:id="rId4" w:type="default"/>
          <w:pgSz w:w="11906" w:h="16838"/>
          <w:pgMar w:top="2098" w:right="1474" w:bottom="1984" w:left="1587" w:header="851" w:footer="1474" w:gutter="0"/>
          <w:pgNumType w:fmt="decimal"/>
          <w:cols w:space="425" w:num="1"/>
          <w:docGrid w:type="lines" w:linePitch="312" w:charSpace="0"/>
        </w:sectPr>
      </w:pPr>
    </w:p>
    <w:p w14:paraId="10EC574E">
      <w:pPr>
        <w:keepNext w:val="0"/>
        <w:keepLines w:val="0"/>
        <w:pageBreakBefore w:val="0"/>
        <w:widowControl/>
        <w:kinsoku/>
        <w:wordWrap/>
        <w:overflowPunct/>
        <w:topLinePunct w:val="0"/>
        <w:autoSpaceDE/>
        <w:autoSpaceDN/>
        <w:bidi w:val="0"/>
        <w:adjustRightInd/>
        <w:spacing w:afterAutospacing="0" w:line="578" w:lineRule="exact"/>
        <w:ind w:leftChars="0" w:firstLine="880" w:firstLineChars="200"/>
        <w:jc w:val="center"/>
        <w:textAlignment w:val="auto"/>
        <w:rPr>
          <w:rFonts w:hint="default" w:ascii="Times New Roman" w:hAnsi="Times New Roman" w:eastAsia="仿宋_GB2312" w:cs="Times New Roman"/>
          <w:b w:val="0"/>
          <w:bCs w:val="0"/>
          <w:sz w:val="44"/>
          <w:szCs w:val="44"/>
        </w:rPr>
      </w:pPr>
      <w:r>
        <w:rPr>
          <w:rFonts w:hint="default" w:ascii="Times New Roman" w:hAnsi="Times New Roman" w:eastAsia="方正小标宋简体" w:cs="Times New Roman"/>
          <w:b w:val="0"/>
          <w:bCs w:val="0"/>
          <w:sz w:val="44"/>
          <w:szCs w:val="44"/>
          <w:shd w:val="clear" w:color="auto" w:fill="FFFFFF"/>
        </w:rPr>
        <w:t>第一部分 单位概况</w:t>
      </w:r>
    </w:p>
    <w:p w14:paraId="5F9DF3CA">
      <w:pPr>
        <w:pStyle w:val="2"/>
        <w:keepNext w:val="0"/>
        <w:keepLines w:val="0"/>
        <w:pageBreakBefore w:val="0"/>
        <w:widowControl/>
        <w:numPr>
          <w:ilvl w:val="0"/>
          <w:numId w:val="0"/>
        </w:numPr>
        <w:suppressLineNumbers w:val="0"/>
        <w:kinsoku/>
        <w:wordWrap/>
        <w:overflowPunct/>
        <w:topLinePunct w:val="0"/>
        <w:autoSpaceDE/>
        <w:autoSpaceDN/>
        <w:bidi w:val="0"/>
        <w:adjustRightInd/>
        <w:spacing w:before="0" w:beforeAutospacing="0" w:after="0" w:afterAutospacing="0" w:line="578" w:lineRule="exact"/>
        <w:ind w:leftChars="200"/>
        <w:jc w:val="left"/>
        <w:textAlignment w:val="auto"/>
        <w:rPr>
          <w:rFonts w:hint="default" w:ascii="Times New Roman" w:hAnsi="Times New Roman" w:eastAsia="楷体_GB2312" w:cs="Times New Roman"/>
          <w:sz w:val="32"/>
          <w:szCs w:val="32"/>
          <w:lang w:val="en-US" w:eastAsia="zh-CN"/>
        </w:rPr>
      </w:pPr>
      <w:bookmarkStart w:id="3" w:name="_Toc23550"/>
      <w:bookmarkStart w:id="4" w:name="_Toc16571"/>
    </w:p>
    <w:p w14:paraId="07F98AAA">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78" w:lineRule="exact"/>
        <w:ind w:left="0" w:leftChars="0" w:firstLine="640" w:firstLineChars="200"/>
        <w:jc w:val="left"/>
        <w:textAlignment w:val="auto"/>
        <w:rPr>
          <w:rFonts w:hint="default" w:ascii="Times New Roman" w:hAnsi="Times New Roman" w:eastAsia="黑体" w:cs="Times New Roman"/>
          <w:b w:val="0"/>
          <w:bCs w:val="0"/>
          <w:sz w:val="32"/>
          <w:szCs w:val="32"/>
          <w:lang w:val="en-US" w:eastAsia="zh-CN"/>
        </w:rPr>
      </w:pPr>
      <w:r>
        <w:rPr>
          <w:rFonts w:hint="default" w:ascii="Times New Roman" w:hAnsi="Times New Roman" w:eastAsia="黑体" w:cs="Times New Roman"/>
          <w:b w:val="0"/>
          <w:bCs w:val="0"/>
          <w:kern w:val="0"/>
          <w:sz w:val="32"/>
          <w:szCs w:val="32"/>
          <w:lang w:val="en-US" w:eastAsia="zh-CN" w:bidi="ar"/>
        </w:rPr>
        <w:t>一、</w:t>
      </w:r>
      <w:r>
        <w:rPr>
          <w:rFonts w:hint="default" w:ascii="Times New Roman" w:hAnsi="Times New Roman" w:eastAsia="黑体" w:cs="Times New Roman"/>
          <w:b w:val="0"/>
          <w:bCs w:val="0"/>
          <w:sz w:val="32"/>
          <w:szCs w:val="32"/>
          <w:shd w:val="clear" w:color="auto" w:fill="FFFFFF"/>
        </w:rPr>
        <w:t>主要职责</w:t>
      </w:r>
      <w:bookmarkEnd w:id="3"/>
      <w:bookmarkEnd w:id="4"/>
    </w:p>
    <w:p w14:paraId="0F136B5E">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78" w:lineRule="exact"/>
        <w:ind w:left="0" w:leftChars="0" w:firstLine="643" w:firstLineChars="200"/>
        <w:jc w:val="left"/>
        <w:textAlignment w:val="auto"/>
        <w:rPr>
          <w:rFonts w:hint="default" w:ascii="Times New Roman" w:hAnsi="Times New Roman" w:eastAsia="仿宋_GB2312" w:cs="Times New Roman"/>
          <w:sz w:val="32"/>
          <w:szCs w:val="32"/>
        </w:rPr>
      </w:pPr>
      <w:bookmarkStart w:id="5" w:name="_Toc23992"/>
      <w:bookmarkStart w:id="6" w:name="_Toc1742"/>
      <w:bookmarkStart w:id="7" w:name="_Toc29792"/>
      <w:r>
        <w:rPr>
          <w:rFonts w:hint="default" w:ascii="Times New Roman" w:hAnsi="Times New Roman" w:eastAsia="楷体_GB2312" w:cs="Times New Roman"/>
          <w:b/>
          <w:bCs/>
          <w:kern w:val="0"/>
          <w:sz w:val="32"/>
          <w:szCs w:val="32"/>
          <w:lang w:val="en-US" w:eastAsia="zh-CN" w:bidi="ar"/>
        </w:rPr>
        <w:t>（一）</w:t>
      </w:r>
      <w:r>
        <w:rPr>
          <w:rFonts w:hint="default" w:ascii="Times New Roman" w:hAnsi="Times New Roman" w:eastAsia="楷体_GB2312" w:cs="Times New Roman"/>
          <w:sz w:val="32"/>
          <w:szCs w:val="32"/>
          <w:lang w:val="en-US" w:eastAsia="zh-CN"/>
        </w:rPr>
        <w:t>主要职能</w:t>
      </w:r>
      <w:bookmarkEnd w:id="5"/>
      <w:bookmarkEnd w:id="6"/>
      <w:bookmarkEnd w:id="7"/>
    </w:p>
    <w:p w14:paraId="7DE158A3">
      <w:pPr>
        <w:pStyle w:val="3"/>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rPr>
          <w:rFonts w:hint="default" w:ascii="Times New Roman" w:hAnsi="Times New Roman" w:eastAsia="仿宋_GB2312" w:cs="Times New Roman"/>
          <w:b/>
          <w:bCs/>
          <w:color w:val="auto"/>
          <w:kern w:val="2"/>
          <w:sz w:val="32"/>
          <w:szCs w:val="32"/>
          <w:lang w:val="en-US" w:eastAsia="zh-CN" w:bidi="ar-SA"/>
        </w:rPr>
      </w:pPr>
      <w:bookmarkStart w:id="8" w:name="_Toc79163604"/>
      <w:bookmarkStart w:id="9" w:name="_Toc79163854"/>
      <w:bookmarkStart w:id="10" w:name="_Toc15377199"/>
      <w:bookmarkStart w:id="11" w:name="_Toc15378446"/>
      <w:r>
        <w:rPr>
          <w:rFonts w:hint="default" w:ascii="Times New Roman" w:hAnsi="Times New Roman" w:eastAsia="仿宋_GB2312" w:cs="Times New Roman"/>
          <w:b/>
          <w:bCs/>
          <w:color w:val="auto"/>
          <w:kern w:val="2"/>
          <w:sz w:val="32"/>
          <w:szCs w:val="32"/>
          <w:lang w:val="en-US" w:eastAsia="zh-CN" w:bidi="ar-SA"/>
        </w:rPr>
        <w:t>1.加强党的领导。</w:t>
      </w:r>
    </w:p>
    <w:p w14:paraId="24ED59AF">
      <w:pPr>
        <w:pStyle w:val="3"/>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（1）履行政治领导责任。做好理论武装和思想政治工作，负责学习、宣传、贯彻执行党的理论和路线方针政策，贯彻落实党中央、省委、州委、县委的决策部署，发挥好把方向、管大局、保落实的重要作用。</w:t>
      </w:r>
    </w:p>
    <w:p w14:paraId="68B6696F">
      <w:pPr>
        <w:pStyle w:val="3"/>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（2）履行</w:t>
      </w:r>
      <w:r>
        <w:rPr>
          <w:rFonts w:hint="eastAsia" w:ascii="Times New Roman" w:hAnsi="Times New Roman" w:eastAsia="仿宋_GB2312" w:cs="Times New Roman"/>
          <w:color w:val="auto"/>
          <w:kern w:val="2"/>
          <w:sz w:val="32"/>
          <w:szCs w:val="32"/>
          <w:lang w:val="en-US" w:eastAsia="zh-CN" w:bidi="ar-SA"/>
        </w:rPr>
        <w:t>党要管党、全面从严治党</w:t>
      </w:r>
      <w:r>
        <w:rPr>
          <w:rFonts w:hint="default" w:ascii="Times New Roman" w:hAnsi="Times New Roman" w:eastAsia="仿宋_GB2312" w:cs="Times New Roman"/>
          <w:color w:val="auto"/>
          <w:kern w:val="2"/>
          <w:sz w:val="32"/>
          <w:szCs w:val="32"/>
          <w:lang w:val="en-US" w:eastAsia="zh-CN" w:bidi="ar-SA"/>
        </w:rPr>
        <w:t>责任。全面推进辖区党的政治建设、思想建设、组织建设、作风建设、纪律建设，落实党建工作责任制，推动全面从严治党向基层延伸。认真履行党风廉政建设主体责任，维护和执行党的纪律，监督党员干部和其他工作人员严格遵守国家法律法规。</w:t>
      </w:r>
    </w:p>
    <w:p w14:paraId="4DBF4C65">
      <w:pPr>
        <w:pStyle w:val="3"/>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（3）讨论和决定辖区内</w:t>
      </w:r>
      <w:r>
        <w:rPr>
          <w:rFonts w:hint="eastAsia" w:ascii="Times New Roman" w:hAnsi="Times New Roman" w:eastAsia="仿宋_GB2312" w:cs="Times New Roman"/>
          <w:color w:val="auto"/>
          <w:kern w:val="2"/>
          <w:sz w:val="32"/>
          <w:szCs w:val="32"/>
          <w:lang w:val="en-US" w:eastAsia="zh-CN" w:bidi="ar-SA"/>
        </w:rPr>
        <w:t>经济建设、政治建设、文化建设、社会建设、生态文明建设</w:t>
      </w:r>
      <w:r>
        <w:rPr>
          <w:rFonts w:hint="default" w:ascii="Times New Roman" w:hAnsi="Times New Roman" w:eastAsia="仿宋_GB2312" w:cs="Times New Roman"/>
          <w:color w:val="auto"/>
          <w:kern w:val="2"/>
          <w:sz w:val="32"/>
          <w:szCs w:val="32"/>
          <w:lang w:val="en-US" w:eastAsia="zh-CN" w:bidi="ar-SA"/>
        </w:rPr>
        <w:t>、</w:t>
      </w:r>
      <w:r>
        <w:rPr>
          <w:rFonts w:hint="eastAsia" w:ascii="Times New Roman" w:hAnsi="Times New Roman" w:eastAsia="仿宋_GB2312" w:cs="Times New Roman"/>
          <w:color w:val="auto"/>
          <w:kern w:val="2"/>
          <w:sz w:val="32"/>
          <w:szCs w:val="32"/>
          <w:lang w:val="en-US" w:eastAsia="zh-CN" w:bidi="ar-SA"/>
        </w:rPr>
        <w:t>法治建设</w:t>
      </w:r>
      <w:r>
        <w:rPr>
          <w:rFonts w:hint="default" w:ascii="Times New Roman" w:hAnsi="Times New Roman" w:eastAsia="仿宋_GB2312" w:cs="Times New Roman"/>
          <w:color w:val="auto"/>
          <w:kern w:val="2"/>
          <w:sz w:val="32"/>
          <w:szCs w:val="32"/>
          <w:lang w:val="en-US" w:eastAsia="zh-CN" w:bidi="ar-SA"/>
        </w:rPr>
        <w:t>和党的建设以及乡村振兴中的重大问题。其他应当由党委讨论和决定的重大问题。</w:t>
      </w:r>
    </w:p>
    <w:p w14:paraId="0A2D0556">
      <w:pPr>
        <w:pStyle w:val="3"/>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（4）贯彻党管干部原则。加强干部队伍建设，完善干部培养选拔机制，加强干部教育管理监督。贯彻党管人才原则，加强人才队伍建设。加强对本镇工会、共青团、妇联等群团工作的领导。</w:t>
      </w:r>
    </w:p>
    <w:p w14:paraId="6DC0497A">
      <w:pPr>
        <w:pStyle w:val="3"/>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（5）指导农村党建。落实基层党建工作责任制，严格抓好基层党组织建设各项制度，统筹抓好镇机关、村（社区）、驻辖区单位、行业、 “两新 ”组织等党建工作，推进全面从严治党，落实农村基层党建工作。</w:t>
      </w:r>
    </w:p>
    <w:p w14:paraId="13631848">
      <w:pPr>
        <w:pStyle w:val="3"/>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6）落实党管意识形态工作责任制。加强基层社会宣传、舆论引导、精神文明建设、统一战线工作，健全完善党建引领基层体系，强化基层治理平台建设，进一步增强党在农村的政治领导力、思想引领力、群众组织力、社会号召力。</w:t>
      </w:r>
    </w:p>
    <w:p w14:paraId="0E48E5C6">
      <w:pPr>
        <w:pStyle w:val="3"/>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b/>
          <w:bCs/>
          <w:color w:val="auto"/>
          <w:kern w:val="2"/>
          <w:sz w:val="32"/>
          <w:szCs w:val="32"/>
          <w:lang w:val="en-US" w:eastAsia="zh-CN" w:bidi="ar-SA"/>
        </w:rPr>
        <w:t>2.统筹经济发展。</w:t>
      </w:r>
    </w:p>
    <w:p w14:paraId="09EEE3DE">
      <w:pPr>
        <w:pStyle w:val="3"/>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1）负责辖区经济发展工作。执行辖区内的经济和社会发展计划、预算。参与区域内土地利用、产业发展等规划编制，对区域内重大基础设施建设、重大公共服务资源布局、重大政策提出意见建议。落实辖区内发展规划、专项规划、区域规划、国土空间规划和 “</w:t>
      </w:r>
      <w:r>
        <w:rPr>
          <w:rFonts w:hint="eastAsia" w:ascii="Times New Roman" w:hAnsi="Times New Roman" w:eastAsia="仿宋_GB2312" w:cs="Times New Roman"/>
          <w:color w:val="auto"/>
          <w:kern w:val="2"/>
          <w:sz w:val="32"/>
          <w:szCs w:val="32"/>
          <w:lang w:val="en-US" w:eastAsia="zh-CN" w:bidi="ar-SA"/>
        </w:rPr>
        <w:t>‘四好农村路’</w:t>
      </w:r>
      <w:r>
        <w:rPr>
          <w:rFonts w:hint="default" w:ascii="Times New Roman" w:hAnsi="Times New Roman" w:eastAsia="仿宋_GB2312" w:cs="Times New Roman"/>
          <w:color w:val="auto"/>
          <w:kern w:val="2"/>
          <w:sz w:val="32"/>
          <w:szCs w:val="32"/>
          <w:lang w:val="en-US" w:eastAsia="zh-CN" w:bidi="ar-SA"/>
        </w:rPr>
        <w:t xml:space="preserve"> ”建设等。</w:t>
      </w:r>
    </w:p>
    <w:p w14:paraId="4789A2C6">
      <w:pPr>
        <w:pStyle w:val="3"/>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（2）</w:t>
      </w:r>
      <w:r>
        <w:rPr>
          <w:rFonts w:hint="eastAsia" w:ascii="Times New Roman" w:hAnsi="Times New Roman" w:eastAsia="仿宋_GB2312" w:cs="Times New Roman"/>
          <w:color w:val="auto"/>
          <w:kern w:val="2"/>
          <w:sz w:val="32"/>
          <w:szCs w:val="32"/>
          <w:lang w:val="en-US" w:eastAsia="zh-CN" w:bidi="ar-SA"/>
        </w:rPr>
        <w:t>巩固拓展脱贫攻坚成果</w:t>
      </w:r>
      <w:r>
        <w:rPr>
          <w:rFonts w:hint="default" w:ascii="Times New Roman" w:hAnsi="Times New Roman" w:eastAsia="仿宋_GB2312" w:cs="Times New Roman"/>
          <w:color w:val="auto"/>
          <w:kern w:val="2"/>
          <w:sz w:val="32"/>
          <w:szCs w:val="32"/>
          <w:lang w:val="en-US" w:eastAsia="zh-CN" w:bidi="ar-SA"/>
        </w:rPr>
        <w:t>。贯彻落实中央、省、州、县关于实施乡村振兴战略的决策部署，提升农业发展质量，加强农村人居环境整治，推进宜居乡村建设，增强乡村振兴内生动力。</w:t>
      </w:r>
    </w:p>
    <w:p w14:paraId="0A0940C5">
      <w:pPr>
        <w:pStyle w:val="3"/>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（3）指导农村经济发展，推动产业结构调整。保护各种经济组织的合法权益，营造良好的营商环境。</w:t>
      </w:r>
    </w:p>
    <w:p w14:paraId="325F070C">
      <w:pPr>
        <w:pStyle w:val="3"/>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（4）落实财政保障和财政管理有关政策，统筹管理本级财务及国有资产，协助做好税收征管工作，指导、监管村级财务和资产管理工作等。</w:t>
      </w:r>
    </w:p>
    <w:p w14:paraId="1DEA4579">
      <w:pPr>
        <w:pStyle w:val="3"/>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（5）负责村镇规范建设管理，统筹农村基础设施建设等工作。负责辖区内自然资源保护、生态环境保护、城镇管理等工作。</w:t>
      </w:r>
    </w:p>
    <w:p w14:paraId="46248408">
      <w:pPr>
        <w:pStyle w:val="3"/>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rPr>
          <w:rFonts w:hint="default" w:ascii="Times New Roman" w:hAnsi="Times New Roman" w:eastAsia="仿宋_GB2312" w:cs="Times New Roman"/>
          <w:b/>
          <w:bCs/>
          <w:color w:val="auto"/>
          <w:kern w:val="2"/>
          <w:sz w:val="32"/>
          <w:szCs w:val="32"/>
          <w:lang w:val="en-US" w:eastAsia="zh-CN" w:bidi="ar-SA"/>
        </w:rPr>
      </w:pPr>
      <w:r>
        <w:rPr>
          <w:rFonts w:hint="default" w:ascii="Times New Roman" w:hAnsi="Times New Roman" w:eastAsia="仿宋_GB2312" w:cs="Times New Roman"/>
          <w:b/>
          <w:bCs/>
          <w:color w:val="auto"/>
          <w:kern w:val="2"/>
          <w:sz w:val="32"/>
          <w:szCs w:val="32"/>
          <w:lang w:val="en-US" w:eastAsia="zh-CN" w:bidi="ar-SA"/>
        </w:rPr>
        <w:t>3.加强民生改善。</w:t>
      </w:r>
    </w:p>
    <w:p w14:paraId="74B0FE12">
      <w:pPr>
        <w:pStyle w:val="3"/>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（1）加强镇综合便民服务平台标准化建设，做好村（社区）服务配套设施和综合服务平台建设，提升便民服务质量。</w:t>
      </w:r>
    </w:p>
    <w:p w14:paraId="03882E76">
      <w:pPr>
        <w:pStyle w:val="3"/>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2）负责教育、体育、劳动就业、社会保障、卫生健康、医疗保障、低保救助、助老助残、殡葬管理、文化旅游、民族宗教、移民搬迁、农技推广、农民工、妇女和未成年人保护等公共服务工作，承担组织领导、推进实施、综合协调等职责。</w:t>
      </w:r>
    </w:p>
    <w:p w14:paraId="6FC2B9A2">
      <w:pPr>
        <w:pStyle w:val="3"/>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b/>
          <w:bCs/>
          <w:color w:val="auto"/>
          <w:kern w:val="2"/>
          <w:sz w:val="32"/>
          <w:szCs w:val="32"/>
          <w:lang w:val="en-US" w:eastAsia="zh-CN" w:bidi="ar-SA"/>
        </w:rPr>
        <w:t>4.维护社会稳定。</w:t>
      </w:r>
    </w:p>
    <w:p w14:paraId="452F423D">
      <w:pPr>
        <w:pStyle w:val="3"/>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（1）负责辖区公共安全及安全生产监管、应急管理工作。构建公共安全防控体系，建立应对突发紧急事件的处理预案，做好安全生产、防汛、消防、森林（草原） 防灭火、减灾救灾、防疫、气象灾害防御、食品药品安全、地质灾害防治等应急管理工作，加强监督检查、隐患排查，落实安全生产责任制。负责辖区内生态环境保护和自然资源管理等工作。</w:t>
      </w:r>
    </w:p>
    <w:p w14:paraId="7064A635">
      <w:pPr>
        <w:pStyle w:val="3"/>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（2）承担辖区社会治安综合治理工作，加强</w:t>
      </w:r>
      <w:r>
        <w:rPr>
          <w:rFonts w:hint="eastAsia" w:ascii="Times New Roman" w:hAnsi="Times New Roman" w:eastAsia="仿宋_GB2312" w:cs="Times New Roman"/>
          <w:color w:val="auto"/>
          <w:kern w:val="2"/>
          <w:sz w:val="32"/>
          <w:szCs w:val="32"/>
          <w:lang w:val="en-US" w:eastAsia="zh-CN" w:bidi="ar-SA"/>
        </w:rPr>
        <w:t>法治建设</w:t>
      </w:r>
      <w:r>
        <w:rPr>
          <w:rFonts w:hint="default" w:ascii="Times New Roman" w:hAnsi="Times New Roman" w:eastAsia="仿宋_GB2312" w:cs="Times New Roman"/>
          <w:color w:val="auto"/>
          <w:kern w:val="2"/>
          <w:sz w:val="32"/>
          <w:szCs w:val="32"/>
          <w:lang w:val="en-US" w:eastAsia="zh-CN" w:bidi="ar-SA"/>
        </w:rPr>
        <w:t>和社会治安综合治理。贯彻落实社会矛盾纠纷排查调处机制，及时化解辖区社会矛盾纠纷，确保社会稳定。协助司法机关开展打击各类刑事犯罪和禁毒、扫黑除恶等活动，稳妥处理突发性、群体性事件，确保人民群众生命财产安全。</w:t>
      </w:r>
    </w:p>
    <w:p w14:paraId="0581C8E1">
      <w:pPr>
        <w:pStyle w:val="3"/>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（3）指导村（社区）村民（居民）自治，促进社会组织健康发展，完善村规民约，增强社会自治功能。</w:t>
      </w:r>
    </w:p>
    <w:p w14:paraId="53F741B9">
      <w:pPr>
        <w:pStyle w:val="3"/>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（4）负责国防教育，承担辖区内国防动员、征兵、民兵预备役、双拥等工作。</w:t>
      </w:r>
    </w:p>
    <w:p w14:paraId="6673E165">
      <w:pPr>
        <w:pStyle w:val="3"/>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（5）保障各少数民族的合法权利和利益，尊重少数民族的风俗习惯，坚决与民族分裂活动和邪教组织斗争。</w:t>
      </w:r>
    </w:p>
    <w:p w14:paraId="397302E4">
      <w:pPr>
        <w:pStyle w:val="3"/>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（6）保障宪法和法律赋予妇女的男女平等、同工同酬和婚姻自由等各项权利。</w:t>
      </w:r>
    </w:p>
    <w:p w14:paraId="58D4F412">
      <w:pPr>
        <w:pStyle w:val="3"/>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b/>
          <w:bCs/>
          <w:color w:val="auto"/>
          <w:kern w:val="2"/>
          <w:sz w:val="32"/>
          <w:szCs w:val="32"/>
          <w:lang w:val="en-US" w:eastAsia="zh-CN" w:bidi="ar-SA"/>
        </w:rPr>
        <w:t>5.完成上级交办的其他事项。</w:t>
      </w:r>
    </w:p>
    <w:p w14:paraId="364F1DF7">
      <w:pPr>
        <w:pStyle w:val="3"/>
        <w:keepNext w:val="0"/>
        <w:keepLines w:val="0"/>
        <w:pageBreakBefore w:val="0"/>
        <w:widowControl w:val="0"/>
        <w:kinsoku/>
        <w:wordWrap/>
        <w:overflowPunct/>
        <w:topLinePunct w:val="0"/>
        <w:autoSpaceDE/>
        <w:autoSpaceDN/>
        <w:bidi w:val="0"/>
        <w:adjustRightInd/>
        <w:snapToGrid/>
        <w:spacing w:line="578" w:lineRule="exact"/>
        <w:rPr>
          <w:rFonts w:hint="default" w:ascii="Times New Roman" w:hAnsi="Times New Roman" w:eastAsia="仿宋_GB2312" w:cs="Times New Roman"/>
          <w:b/>
          <w:bCs/>
          <w:sz w:val="32"/>
          <w:szCs w:val="32"/>
          <w:lang w:eastAsia="zh-CN"/>
        </w:rPr>
      </w:pPr>
      <w:r>
        <w:rPr>
          <w:rFonts w:hint="default" w:ascii="Times New Roman" w:hAnsi="Times New Roman" w:eastAsia="楷体" w:cs="Times New Roman"/>
          <w:b/>
          <w:bCs w:val="0"/>
          <w:color w:val="000000"/>
          <w:sz w:val="32"/>
          <w:szCs w:val="32"/>
        </w:rPr>
        <w:t>（二）202</w:t>
      </w:r>
      <w:r>
        <w:rPr>
          <w:rFonts w:hint="default" w:ascii="Times New Roman" w:hAnsi="Times New Roman" w:eastAsia="楷体" w:cs="Times New Roman"/>
          <w:b/>
          <w:bCs w:val="0"/>
          <w:color w:val="000000"/>
          <w:sz w:val="32"/>
          <w:szCs w:val="32"/>
          <w:lang w:val="en-US" w:eastAsia="zh-CN"/>
        </w:rPr>
        <w:t>4</w:t>
      </w:r>
      <w:r>
        <w:rPr>
          <w:rFonts w:hint="default" w:ascii="Times New Roman" w:hAnsi="Times New Roman" w:eastAsia="楷体" w:cs="Times New Roman"/>
          <w:b/>
          <w:bCs w:val="0"/>
          <w:color w:val="000000"/>
          <w:sz w:val="32"/>
          <w:szCs w:val="32"/>
        </w:rPr>
        <w:t>年重点工作完成情况</w:t>
      </w:r>
      <w:bookmarkEnd w:id="8"/>
      <w:bookmarkEnd w:id="9"/>
      <w:bookmarkEnd w:id="10"/>
      <w:bookmarkEnd w:id="11"/>
    </w:p>
    <w:p w14:paraId="26B3526D">
      <w:pPr>
        <w:pStyle w:val="16"/>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baseline"/>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b/>
          <w:bCs/>
          <w:color w:val="auto"/>
          <w:kern w:val="2"/>
          <w:sz w:val="32"/>
          <w:szCs w:val="32"/>
          <w:lang w:val="en-US" w:eastAsia="zh-CN" w:bidi="ar-SA"/>
        </w:rPr>
        <w:t>（1）抓党建，推动</w:t>
      </w:r>
      <w:r>
        <w:rPr>
          <w:rFonts w:hint="eastAsia" w:ascii="Times New Roman" w:hAnsi="Times New Roman" w:eastAsia="仿宋_GB2312" w:cs="Times New Roman"/>
          <w:b/>
          <w:bCs/>
          <w:color w:val="auto"/>
          <w:kern w:val="2"/>
          <w:sz w:val="32"/>
          <w:szCs w:val="32"/>
          <w:lang w:val="en-US" w:eastAsia="zh-CN" w:bidi="ar-SA"/>
        </w:rPr>
        <w:t>全面从严治党</w:t>
      </w:r>
      <w:r>
        <w:rPr>
          <w:rFonts w:hint="default" w:ascii="Times New Roman" w:hAnsi="Times New Roman" w:eastAsia="仿宋_GB2312" w:cs="Times New Roman"/>
          <w:b/>
          <w:bCs/>
          <w:color w:val="auto"/>
          <w:kern w:val="2"/>
          <w:sz w:val="32"/>
          <w:szCs w:val="32"/>
          <w:lang w:val="en-US" w:eastAsia="zh-CN" w:bidi="ar-SA"/>
        </w:rPr>
        <w:t>纵深发展。</w:t>
      </w:r>
      <w:r>
        <w:rPr>
          <w:rFonts w:hint="default" w:ascii="Times New Roman" w:hAnsi="Times New Roman" w:eastAsia="仿宋_GB2312" w:cs="Times New Roman"/>
          <w:color w:val="auto"/>
          <w:kern w:val="2"/>
          <w:sz w:val="32"/>
          <w:szCs w:val="32"/>
          <w:lang w:val="en-US" w:eastAsia="zh-CN" w:bidi="ar-SA"/>
        </w:rPr>
        <w:t>一是制度化开展理论学习。镇党委中心组组织学习《中国共产党纪律处分条例》、县委十四届六次全会精神等重要精神共7次，党员干部集中学习6次。召开专题研究意识形态工作2次、意识形态领域情况分析研判会3次。二是抓实党建重点任务，落实党政廉风工作。完成26名预备党员转正手续，发展预备党员22名，吸收并组织培训入党积极分子54名。全镇储备村级后备干部55名，其他村“两委”后备力量25名，新培养壮大致富带头人队伍24人，完成22个村（社）级后备力量协理村务人员62名考察对象302人次走访考察。有序实施村级活动阵地规范化建设，全镇清理各类标识标牌110余块，清理上墙制度100余个，添置必要桌椅120余套，修缮破损墙面10处。开展会前学纪15次，观看警示教育片2次。办理违纪案件10起并结案。收集群众反映问题23个，已解决16个。对我镇阶段性重点工作监督检查14次。三是扎实开展“两联一进”群众工作，收集群众意见建议396余条，解决问题92余件，化解各类矛盾纠纷20件。</w:t>
      </w:r>
    </w:p>
    <w:p w14:paraId="61304E81">
      <w:pPr>
        <w:pStyle w:val="16"/>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baseline"/>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b/>
          <w:bCs/>
          <w:color w:val="auto"/>
          <w:kern w:val="2"/>
          <w:sz w:val="32"/>
          <w:szCs w:val="32"/>
          <w:lang w:val="en-US" w:eastAsia="zh-CN" w:bidi="ar-SA"/>
        </w:rPr>
        <w:t>（2）抓增量，实现经济发展稳中向上。</w:t>
      </w:r>
      <w:r>
        <w:rPr>
          <w:rFonts w:hint="default" w:ascii="Times New Roman" w:hAnsi="Times New Roman" w:eastAsia="仿宋_GB2312" w:cs="Times New Roman"/>
          <w:color w:val="auto"/>
          <w:kern w:val="2"/>
          <w:sz w:val="32"/>
          <w:szCs w:val="32"/>
          <w:lang w:val="en-US" w:eastAsia="zh-CN" w:bidi="ar-SA"/>
        </w:rPr>
        <w:t>截至第一季度，农村经济总收入6807.58万元、种植业收入0万元、渔业收入0万元、林业收入0万元，牧业收入1119.69万元、工业收入215.22万元、建筑业收入308.84万元、运输业收入1030.97万元、商饮业收入913.01万元、服务业收入1241.71万元、其他收入1978.15万元。农民外出务工1357人，农民所得总额5550.69万元，农民人均所得5251.36元，汇总人口数10570人。</w:t>
      </w:r>
      <w:r>
        <w:rPr>
          <w:rFonts w:hint="eastAsia" w:ascii="Times New Roman" w:hAnsi="Times New Roman" w:eastAsia="仿宋_GB2312" w:cs="Times New Roman"/>
          <w:color w:val="auto"/>
          <w:kern w:val="2"/>
          <w:sz w:val="32"/>
          <w:szCs w:val="32"/>
          <w:lang w:val="en-US" w:eastAsia="zh-CN" w:bidi="ar-SA"/>
        </w:rPr>
        <w:t>截至</w:t>
      </w:r>
      <w:r>
        <w:rPr>
          <w:rFonts w:hint="default" w:ascii="Times New Roman" w:hAnsi="Times New Roman" w:eastAsia="仿宋_GB2312" w:cs="Times New Roman"/>
          <w:color w:val="auto"/>
          <w:kern w:val="2"/>
          <w:sz w:val="32"/>
          <w:szCs w:val="32"/>
          <w:lang w:val="en-US" w:eastAsia="zh-CN" w:bidi="ar-SA"/>
        </w:rPr>
        <w:t>第三季度，川主寺旅游景区接待旅游人次239.84万人，旅游收入224.270万元；上磨水乡景区接待人次15.06万人，旅游收入13707.8万元。我镇民宿客栈、宾馆酒店共计172家，共计房间数8916间，床位数17306个。</w:t>
      </w:r>
    </w:p>
    <w:p w14:paraId="75EBF21E">
      <w:pPr>
        <w:pStyle w:val="16"/>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baseline"/>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b/>
          <w:bCs/>
          <w:color w:val="auto"/>
          <w:kern w:val="2"/>
          <w:sz w:val="32"/>
          <w:szCs w:val="32"/>
          <w:lang w:val="en-US" w:eastAsia="zh-CN" w:bidi="ar-SA"/>
        </w:rPr>
        <w:t>（3）抓建设，推动基础设施持续提升。</w:t>
      </w:r>
      <w:r>
        <w:rPr>
          <w:rFonts w:hint="eastAsia" w:ascii="Times New Roman" w:hAnsi="Times New Roman" w:eastAsia="仿宋_GB2312" w:cs="Times New Roman"/>
          <w:b/>
          <w:bCs/>
          <w:color w:val="auto"/>
          <w:kern w:val="2"/>
          <w:sz w:val="32"/>
          <w:szCs w:val="32"/>
          <w:lang w:val="en-US" w:eastAsia="zh-CN" w:bidi="ar-SA"/>
        </w:rPr>
        <w:t>截至</w:t>
      </w:r>
      <w:r>
        <w:rPr>
          <w:rFonts w:hint="default" w:ascii="Times New Roman" w:hAnsi="Times New Roman" w:eastAsia="仿宋_GB2312" w:cs="Times New Roman"/>
          <w:color w:val="auto"/>
          <w:kern w:val="2"/>
          <w:sz w:val="32"/>
          <w:szCs w:val="32"/>
          <w:lang w:val="en-US" w:eastAsia="zh-CN" w:bidi="ar-SA"/>
        </w:rPr>
        <w:t>目前，我镇获批2024年建设项目11个，资金2655.25万元，完工项目9个。已完工续建项目1个，总投资1170.91万元。收集规划区内外民房建房诉求129件。完成川青铁路黄龙九寨站连接线9户土地征拆赔偿工作。扎实做好2025年政府性投资项目、招商引资项目的储备工作，按县级部门要求完成衔接资金项目的申报前期评审工作；完成2025年以工代赈示范工程申报收尾工作、申报并落实相关资金。松潘希尔顿逸林酒店于今年4月23日正式与希尔顿签约，签约后按照希尔顿酒店标准重新核定酒店所有设计方案，获得希尔顿核准后继续施工。</w:t>
      </w:r>
    </w:p>
    <w:p w14:paraId="3FBD3CEA">
      <w:pPr>
        <w:pStyle w:val="16"/>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baseline"/>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b/>
          <w:bCs/>
          <w:color w:val="auto"/>
          <w:kern w:val="2"/>
          <w:sz w:val="32"/>
          <w:szCs w:val="32"/>
          <w:lang w:val="en-US" w:eastAsia="zh-CN" w:bidi="ar-SA"/>
        </w:rPr>
        <w:t>（4）抓民生，社会事业实现全面进步。</w:t>
      </w:r>
      <w:r>
        <w:rPr>
          <w:rFonts w:hint="default" w:ascii="Times New Roman" w:hAnsi="Times New Roman" w:eastAsia="仿宋_GB2312" w:cs="Times New Roman"/>
          <w:color w:val="auto"/>
          <w:kern w:val="2"/>
          <w:sz w:val="32"/>
          <w:szCs w:val="32"/>
          <w:lang w:val="en-US" w:eastAsia="zh-CN" w:bidi="ar-SA"/>
        </w:rPr>
        <w:t>一是社会保障更加有力。新增高龄津贴15人、低保47户47人、特困供养5人、残疾人8人、居家灵活就业22人、生产扶持5人、医保参保人员7人，纳入留守儿童15人。每月特殊人群医保缴纳2人，医保暂停待遇3人，医保维护21人。就业外出务工申请补贴53人。养老保险认证378人，扩面新增10人，抚恤金发放15人。二是乡村振兴有效衔接。处理风险线索排查信息188户，纳入监测户2户5人，享受低保1户1人。雨露计划学生43人，教育补助64500元；开发就业公益性岗位16个，护林员60个，就业奖补政策36人40500元，分3次为152名省内县外和省外务工，外出务工人员落实交通补助，共发交通补助91400元；科农局就业奖补政策107人，落实资金66000元；按照县乡村振兴局要求，鼓励脱贫户、监测户申请到户产业项目，今年我镇共有6户申请到户产业项目，其中3户监测户，10月到户产业资金已发放到位；大力宣传脱贫户小额信贷政策，鼓励脱贫户积极申请用于产业发展，提高家庭收入，今年及时为完成还款任务脱贫户核对发放政府贴息27002.1元。完成国家、省级考核评估反馈。与黄龙管理局对接，完成水晶村防洪沟、堡坎、护栏、便桥建设投入资金20</w:t>
      </w:r>
      <w:r>
        <w:rPr>
          <w:rFonts w:hint="eastAsia" w:ascii="Times New Roman" w:hAnsi="Times New Roman" w:eastAsia="仿宋_GB2312" w:cs="Times New Roman"/>
          <w:color w:val="auto"/>
          <w:kern w:val="2"/>
          <w:sz w:val="32"/>
          <w:szCs w:val="32"/>
          <w:lang w:val="en-US" w:eastAsia="zh-CN" w:bidi="ar-SA"/>
        </w:rPr>
        <w:t>万元</w:t>
      </w:r>
      <w:r>
        <w:rPr>
          <w:rFonts w:hint="default" w:ascii="Times New Roman" w:hAnsi="Times New Roman" w:eastAsia="仿宋_GB2312" w:cs="Times New Roman"/>
          <w:color w:val="auto"/>
          <w:kern w:val="2"/>
          <w:sz w:val="32"/>
          <w:szCs w:val="32"/>
          <w:lang w:val="en-US" w:eastAsia="zh-CN" w:bidi="ar-SA"/>
        </w:rPr>
        <w:t>，采购垃圾桶三分类式120个、挂车式35个，共计8.977万元，采购金河坝村60盏太阳能路灯共计20</w:t>
      </w:r>
      <w:r>
        <w:rPr>
          <w:rFonts w:hint="eastAsia" w:ascii="Times New Roman" w:hAnsi="Times New Roman" w:eastAsia="仿宋_GB2312" w:cs="Times New Roman"/>
          <w:color w:val="auto"/>
          <w:kern w:val="2"/>
          <w:sz w:val="32"/>
          <w:szCs w:val="32"/>
          <w:lang w:val="en-US" w:eastAsia="zh-CN" w:bidi="ar-SA"/>
        </w:rPr>
        <w:t>万元</w:t>
      </w:r>
      <w:r>
        <w:rPr>
          <w:rFonts w:hint="default" w:ascii="Times New Roman" w:hAnsi="Times New Roman" w:eastAsia="仿宋_GB2312" w:cs="Times New Roman"/>
          <w:color w:val="auto"/>
          <w:kern w:val="2"/>
          <w:sz w:val="32"/>
          <w:szCs w:val="32"/>
          <w:lang w:val="en-US" w:eastAsia="zh-CN" w:bidi="ar-SA"/>
        </w:rPr>
        <w:t>。开展防返贫监测帮扶集中大排查工作，完成2498户排查，其中脱贫户156户，监测户7户，大排查期间纳入监测户2户10人。三是卫生教育持续抓。对考上大专以上69名学生</w:t>
      </w:r>
      <w:r>
        <w:rPr>
          <w:rFonts w:hint="eastAsia" w:ascii="Times New Roman" w:hAnsi="Times New Roman" w:eastAsia="仿宋_GB2312" w:cs="Times New Roman"/>
          <w:color w:val="auto"/>
          <w:kern w:val="2"/>
          <w:sz w:val="32"/>
          <w:szCs w:val="32"/>
          <w:lang w:val="en-US" w:eastAsia="zh-CN" w:bidi="ar-SA"/>
        </w:rPr>
        <w:t>发放</w:t>
      </w:r>
      <w:r>
        <w:rPr>
          <w:rFonts w:hint="default" w:ascii="Times New Roman" w:hAnsi="Times New Roman" w:eastAsia="仿宋_GB2312" w:cs="Times New Roman"/>
          <w:color w:val="auto"/>
          <w:kern w:val="2"/>
          <w:sz w:val="32"/>
          <w:szCs w:val="32"/>
          <w:lang w:val="en-US" w:eastAsia="zh-CN" w:bidi="ar-SA"/>
        </w:rPr>
        <w:t>助学金共计8.45万元。对8名留守儿童进行中秋慰问，申报传子沟村重教家庭典型案例并对接奖励资金1.2万元。动员12名失学学生成功入学，组织初三6名毕业学生参加学业补偿测试，6名学生顺利入读职校，对接5名特殊儿童病情、学籍及残疾证明。办理准生证44张。四是民生实事项目人大代表常态化监督工作，完成安备村、金河坝村、八十沟村3个代表联络站的规范化建设。召开人大主席团会议4次，提请镇党委专题研究人大工作5次，支持开展代表活动3次。召开川主寺镇第九届人民代表大会第六次和第七次会议，选举副镇长2名，副主席1名。五是农业畜牧发展平稳有序。本年度超额完成1000亩主粮播种任务。我镇6个参与松潘县2023年小河片区高标准农田建设项目的村顺利通过县级验收。特色中药材实际种植面积达249.6余亩。兑付2024年草原生态奖补资金420.98万元，涉及1876户。发放应急牧草80吨，兑现一次性</w:t>
      </w:r>
      <w:r>
        <w:rPr>
          <w:rFonts w:hint="eastAsia" w:ascii="Times New Roman" w:hAnsi="Times New Roman" w:eastAsia="仿宋_GB2312" w:cs="Times New Roman"/>
          <w:color w:val="auto"/>
          <w:kern w:val="2"/>
          <w:sz w:val="32"/>
          <w:szCs w:val="32"/>
          <w:lang w:val="en-US" w:eastAsia="zh-CN" w:bidi="ar-SA"/>
        </w:rPr>
        <w:t>补贴</w:t>
      </w:r>
      <w:r>
        <w:rPr>
          <w:rFonts w:hint="default" w:ascii="Times New Roman" w:hAnsi="Times New Roman" w:eastAsia="仿宋_GB2312" w:cs="Times New Roman"/>
          <w:color w:val="auto"/>
          <w:kern w:val="2"/>
          <w:sz w:val="32"/>
          <w:szCs w:val="32"/>
          <w:lang w:val="en-US" w:eastAsia="zh-CN" w:bidi="ar-SA"/>
        </w:rPr>
        <w:t>资金共55200元。开展沿河流域禁渔工作，出动车辆94余次，巡护里程达8230余公里。验收89个固定式牲畜疫苗注射站的建设。足额足量完成县定牦牛10105头、羊950只、马281匹的减蓄任务。六是坚决遏制耕地“非农化”问题。涉及209.9亩“非农化”耕地均已播种青稞及油菜，新发现1处计划违规建房点，完成劝阻及土地复垦。召开高质量完成高标准农田建设项目专题推进会议4次、高标准农田廉政谈话工作会议1次。每周至少赴项目建设地1次并督查检查项目推进情况。</w:t>
      </w:r>
    </w:p>
    <w:p w14:paraId="49C16A66">
      <w:pPr>
        <w:pStyle w:val="16"/>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baseline"/>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b/>
          <w:bCs/>
          <w:color w:val="auto"/>
          <w:kern w:val="2"/>
          <w:sz w:val="32"/>
          <w:szCs w:val="32"/>
          <w:lang w:val="en-US" w:eastAsia="zh-CN" w:bidi="ar-SA"/>
        </w:rPr>
        <w:t>（5）抓生态，推动环境保护持续发力。</w:t>
      </w:r>
      <w:r>
        <w:rPr>
          <w:rFonts w:hint="default" w:ascii="Times New Roman" w:hAnsi="Times New Roman" w:eastAsia="仿宋_GB2312" w:cs="Times New Roman"/>
          <w:color w:val="auto"/>
          <w:kern w:val="2"/>
          <w:sz w:val="32"/>
          <w:szCs w:val="32"/>
          <w:lang w:val="en-US" w:eastAsia="zh-CN" w:bidi="ar-SA"/>
        </w:rPr>
        <w:t>组织召开川主寺镇城乡环境质量提升动员部署会议，对我镇城乡环境治理进行安排部署，组织人员对城镇等7大领域开展大起底、大排查，对问题汇总形成问题清单13项并销号，拆除不规范、破旧的标识标牌59个。发现镇区内不规范打围4户，要求其按照规范要求设置封闭围挡、出入口硬化工作。完成每月县环境治理办下发的环境卫生整改通知，县检察院下发的城乡环境综合治理公益诉讼2处。9月开展为期14天的城乡环境综合整治工作，重点整治河道垃圾、卫生死角清理不到位、庭院梳理不规范、建渣、垃圾乱倒、飞线等乱象。没收落地灯箱6个、各类杂物1车、发放和签订环境卫生质量提升倡议书400余份，全镇规范停车划线已完成。日常环保巡查58次，发现问题12处，整改完成11个。开展镇级林长巡护12次、村级林长530次，及时与11个村签订湿地管护协议。</w:t>
      </w:r>
    </w:p>
    <w:p w14:paraId="14F079BA">
      <w:pPr>
        <w:pStyle w:val="16"/>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baseline"/>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b/>
          <w:bCs/>
          <w:color w:val="auto"/>
          <w:kern w:val="2"/>
          <w:sz w:val="32"/>
          <w:szCs w:val="32"/>
          <w:lang w:val="en-US" w:eastAsia="zh-CN" w:bidi="ar-SA"/>
        </w:rPr>
        <w:t>（6）抓治理，社会大局实现稳定祥和。</w:t>
      </w:r>
      <w:r>
        <w:rPr>
          <w:rFonts w:hint="default" w:ascii="Times New Roman" w:hAnsi="Times New Roman" w:eastAsia="仿宋_GB2312" w:cs="Times New Roman"/>
          <w:color w:val="auto"/>
          <w:kern w:val="2"/>
          <w:sz w:val="32"/>
          <w:szCs w:val="32"/>
          <w:lang w:val="en-US" w:eastAsia="zh-CN" w:bidi="ar-SA"/>
        </w:rPr>
        <w:t>一是排查隐患抓好安全。落实各级安全生产领导小组职责，深入推进安全生产月活动，“瓶改管”共申请160户，已安装25户。召开森林草原防灭火专题会议6次，深入22个村（社区）开展法律法规宣讲69次，发放条例4562本、宣传手册2600册，受教育群众及僧侣达1万余人。每季度召开1次安全生产联席会议，全镇共派出检查组近160余次，检查各类生产经营单位2386余户次，查处事故隐患278余条，下达隐患整改通知书168余份。加强对旅游景区、17个地质、6条山洪沟灾害隐患排查整治工作。对各村社区民兵连长等24名人员开展应急安全培训、地质灾害专题培训。二是切实做好社会面稳控工作。召开维稳工作专题会议18次，开展禁毒宣传6场。加</w:t>
      </w:r>
      <w:r>
        <w:rPr>
          <w:rFonts w:hint="eastAsia" w:ascii="Times New Roman" w:hAnsi="Times New Roman" w:eastAsia="仿宋_GB2312" w:cs="Times New Roman"/>
          <w:color w:val="auto"/>
          <w:kern w:val="2"/>
          <w:sz w:val="32"/>
          <w:szCs w:val="32"/>
          <w:lang w:val="en-US" w:eastAsia="zh-CN" w:bidi="ar-SA"/>
        </w:rPr>
        <w:t>强对</w:t>
      </w:r>
      <w:r>
        <w:rPr>
          <w:rFonts w:hint="default" w:ascii="Times New Roman" w:hAnsi="Times New Roman" w:eastAsia="仿宋_GB2312" w:cs="Times New Roman"/>
          <w:color w:val="auto"/>
          <w:kern w:val="2"/>
          <w:sz w:val="32"/>
          <w:szCs w:val="32"/>
          <w:lang w:val="en-US" w:eastAsia="zh-CN" w:bidi="ar-SA"/>
        </w:rPr>
        <w:t>我镇65名重点人员，15个重点场所管理力度，其中5个加油站、10个药店。我镇辖区刑事立案14起，已移送审查起诉12起，行政案件立案调查55起，行政处罚114人，抓获网逃犯1人。全镇7名吸毒史人员，定期尿检未发现复吸情况。对8座藏传佛教寺庙、1座活动点393名僧尼全覆盖走访，累计开展16场佛事活动，其中3、7、8月期间所有佛事活动一律停办，出境到印度、尼泊尔等国家停止护照发放。9月佛事活动做到及时研判、风险评估，采取措施对寺庙和信众做劝导工作。网格员参与旅游市场、辖区安全排查50余人次，排查并处置各类隐患10个，组织网格员开展辖区稳定巡护3轮次。全镇领导干部定期公开接访18批次68人次，已办结16批次60余人次，摸排各类信访不稳定因素30条，化解群众上访48起，上访案件有回音、有着落、有结果，案件处结率达到98%。深入寺庙等地，开展法律、政策宣讲工作80余次，集中专题宣讲2次，挂历100余本，宣传用品100余件。完成人民调解工作30余件，主要是农民工讨要工资问题，涉及金额300余万元。梳理原有6个信访案件，主动化解有信访倾向的矛盾纠纷8件，处理州长信箱投诉件3件、县信访局交办信访线索8条。</w:t>
      </w:r>
    </w:p>
    <w:p w14:paraId="6BFC2210">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8" w:lineRule="exact"/>
        <w:ind w:left="0" w:leftChars="0" w:firstLine="640" w:firstLineChars="200"/>
        <w:jc w:val="left"/>
        <w:textAlignment w:val="auto"/>
        <w:rPr>
          <w:rFonts w:hint="default" w:ascii="Times New Roman" w:hAnsi="Times New Roman" w:eastAsia="黑体" w:cs="Times New Roman"/>
          <w:b w:val="0"/>
          <w:bCs w:val="0"/>
          <w:sz w:val="32"/>
          <w:szCs w:val="32"/>
          <w:lang w:val="en-US" w:eastAsia="zh-CN"/>
        </w:rPr>
      </w:pPr>
      <w:r>
        <w:rPr>
          <w:rFonts w:hint="default" w:ascii="Times New Roman" w:hAnsi="Times New Roman" w:eastAsia="黑体" w:cs="Times New Roman"/>
          <w:b w:val="0"/>
          <w:bCs w:val="0"/>
          <w:kern w:val="0"/>
          <w:sz w:val="32"/>
          <w:szCs w:val="32"/>
          <w:lang w:val="en-US" w:eastAsia="zh-CN" w:bidi="ar"/>
        </w:rPr>
        <w:t>二、</w:t>
      </w:r>
      <w:r>
        <w:rPr>
          <w:rFonts w:hint="default" w:ascii="Times New Roman" w:hAnsi="Times New Roman" w:eastAsia="黑体" w:cs="Times New Roman"/>
          <w:b w:val="0"/>
          <w:bCs w:val="0"/>
          <w:sz w:val="32"/>
          <w:szCs w:val="32"/>
          <w:shd w:val="clear" w:color="auto" w:fill="FFFFFF"/>
        </w:rPr>
        <w:t>机构设置</w:t>
      </w:r>
    </w:p>
    <w:p w14:paraId="2C309B89">
      <w:pPr>
        <w:pStyle w:val="16"/>
        <w:keepNext w:val="0"/>
        <w:keepLines w:val="0"/>
        <w:pageBreakBefore w:val="0"/>
        <w:widowControl w:val="0"/>
        <w:kinsoku/>
        <w:wordWrap/>
        <w:overflowPunct/>
        <w:topLinePunct w:val="0"/>
        <w:autoSpaceDE/>
        <w:autoSpaceDN/>
        <w:bidi w:val="0"/>
        <w:adjustRightInd/>
        <w:snapToGrid/>
        <w:spacing w:line="578" w:lineRule="exact"/>
        <w:ind w:firstLine="643" w:firstLineChars="200"/>
        <w:jc w:val="both"/>
        <w:textAlignment w:val="baseline"/>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color w:val="auto"/>
          <w:kern w:val="2"/>
          <w:sz w:val="32"/>
          <w:szCs w:val="32"/>
          <w:lang w:val="en-US" w:eastAsia="zh-CN" w:bidi="ar-SA"/>
        </w:rPr>
        <w:t>（一）党建工作办公室。</w:t>
      </w:r>
      <w:r>
        <w:rPr>
          <w:rFonts w:hint="default" w:ascii="Times New Roman" w:hAnsi="Times New Roman" w:eastAsia="仿宋_GB2312" w:cs="Times New Roman"/>
          <w:color w:val="auto"/>
          <w:kern w:val="2"/>
          <w:sz w:val="32"/>
          <w:szCs w:val="32"/>
          <w:lang w:val="en-US" w:eastAsia="zh-CN" w:bidi="ar-SA"/>
        </w:rPr>
        <w:t>负责基层党组织建设、</w:t>
      </w:r>
      <w:r>
        <w:rPr>
          <w:rFonts w:hint="eastAsia" w:ascii="Times New Roman" w:hAnsi="Times New Roman" w:eastAsia="仿宋_GB2312" w:cs="Times New Roman"/>
          <w:color w:val="auto"/>
          <w:kern w:val="2"/>
          <w:sz w:val="32"/>
          <w:szCs w:val="32"/>
          <w:lang w:val="en-US" w:eastAsia="zh-CN" w:bidi="ar-SA"/>
        </w:rPr>
        <w:t>流动党员党支部</w:t>
      </w:r>
      <w:r>
        <w:rPr>
          <w:rFonts w:hint="default" w:ascii="Times New Roman" w:hAnsi="Times New Roman" w:eastAsia="仿宋_GB2312" w:cs="Times New Roman"/>
          <w:color w:val="auto"/>
          <w:kern w:val="2"/>
          <w:sz w:val="32"/>
          <w:szCs w:val="32"/>
          <w:lang w:val="en-US" w:eastAsia="zh-CN" w:bidi="ar-SA"/>
        </w:rPr>
        <w:t>建设、党风廉政建设、反腐败等工作；统筹辖区内党员和流动党员的发展、教育、管理和党费收缴工作，指导村（社区）党组织建设管理等工作；负责宣传思想、意识形态、精神文明建设和群众工作；负责本镇机构编制管理及人才队伍建设、干部人事管理、离退休干部管理工作；指导村（居）民委员会换届选举。</w:t>
      </w:r>
    </w:p>
    <w:p w14:paraId="79FADCE4">
      <w:pPr>
        <w:pStyle w:val="16"/>
        <w:keepNext w:val="0"/>
        <w:keepLines w:val="0"/>
        <w:pageBreakBefore w:val="0"/>
        <w:widowControl w:val="0"/>
        <w:kinsoku/>
        <w:wordWrap/>
        <w:overflowPunct/>
        <w:topLinePunct w:val="0"/>
        <w:autoSpaceDE/>
        <w:autoSpaceDN/>
        <w:bidi w:val="0"/>
        <w:adjustRightInd/>
        <w:snapToGrid/>
        <w:spacing w:line="578" w:lineRule="exact"/>
        <w:ind w:firstLine="643" w:firstLineChars="200"/>
        <w:jc w:val="both"/>
        <w:textAlignment w:val="baseline"/>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color w:val="auto"/>
          <w:kern w:val="2"/>
          <w:sz w:val="32"/>
          <w:szCs w:val="32"/>
          <w:lang w:val="en-US" w:eastAsia="zh-CN" w:bidi="ar-SA"/>
        </w:rPr>
        <w:t>（二）党政办公室。</w:t>
      </w:r>
      <w:r>
        <w:rPr>
          <w:rFonts w:hint="default" w:ascii="Times New Roman" w:hAnsi="Times New Roman" w:eastAsia="仿宋_GB2312" w:cs="Times New Roman"/>
          <w:color w:val="auto"/>
          <w:kern w:val="2"/>
          <w:sz w:val="32"/>
          <w:szCs w:val="32"/>
          <w:lang w:val="en-US" w:eastAsia="zh-CN" w:bidi="ar-SA"/>
        </w:rPr>
        <w:t>负责镇机关日常事务和综合协调工作；负责综合文秘、档案管理、党政印章管理、信息、机要、保密、后勤保障等工作；组织办理人大代表议案建议、政协委员提案和人大代表、政协委员的联络服务工作；负责镇工会、共青团、妇联等群团工作；监督干部职工福利待遇工作的落实，编制管理维护职工的合法权益；负责国有资产管理，指导村级财务管理，管理镇行政事业单位和其他组织的各类财政资金等工作；根据有关法律规定和省政府授权，按照县政府职权调整事项目录，统一组织和指挥协调开展综合行政执法工作；负责整合落实行政执法信息平台和行政执法监督网络平台建设。</w:t>
      </w:r>
    </w:p>
    <w:p w14:paraId="63C7E016">
      <w:pPr>
        <w:pStyle w:val="16"/>
        <w:keepNext w:val="0"/>
        <w:keepLines w:val="0"/>
        <w:pageBreakBefore w:val="0"/>
        <w:widowControl w:val="0"/>
        <w:kinsoku/>
        <w:wordWrap/>
        <w:overflowPunct/>
        <w:topLinePunct w:val="0"/>
        <w:autoSpaceDE/>
        <w:autoSpaceDN/>
        <w:bidi w:val="0"/>
        <w:adjustRightInd/>
        <w:snapToGrid/>
        <w:spacing w:line="578" w:lineRule="exact"/>
        <w:ind w:firstLine="643" w:firstLineChars="200"/>
        <w:jc w:val="both"/>
        <w:textAlignment w:val="baseline"/>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color w:val="auto"/>
          <w:kern w:val="2"/>
          <w:sz w:val="32"/>
          <w:szCs w:val="32"/>
          <w:lang w:val="en-US" w:eastAsia="zh-CN" w:bidi="ar-SA"/>
        </w:rPr>
        <w:t>（三）维护稳定办公室。</w:t>
      </w:r>
      <w:r>
        <w:rPr>
          <w:rFonts w:hint="default" w:ascii="Times New Roman" w:hAnsi="Times New Roman" w:eastAsia="仿宋_GB2312" w:cs="Times New Roman"/>
          <w:color w:val="auto"/>
          <w:kern w:val="2"/>
          <w:sz w:val="32"/>
          <w:szCs w:val="32"/>
          <w:lang w:val="en-US" w:eastAsia="zh-CN" w:bidi="ar-SA"/>
        </w:rPr>
        <w:t>负责社会治安综合治理、维护稳定、群众信访等工作；组织开展人武、政法、统战、信访、稳定、民宗、群众、防邪和微网实格等相关工作；负责辖区内法治建设，配合开展调解和帮教管理，承担辖区内矛盾纠纷多元化解协调工作；协助司法机关开展打击违法犯罪和禁毒、扫黑除恶活动；负责流动人口、外来僧侣管理；组织开展法制、综治、平安建设等宣传教育活动，负责基层综治干部和群防群治队伍的教育、培训和管理等工作。</w:t>
      </w:r>
    </w:p>
    <w:p w14:paraId="4FB440A1">
      <w:pPr>
        <w:pStyle w:val="16"/>
        <w:keepNext w:val="0"/>
        <w:keepLines w:val="0"/>
        <w:pageBreakBefore w:val="0"/>
        <w:widowControl w:val="0"/>
        <w:kinsoku/>
        <w:wordWrap/>
        <w:overflowPunct/>
        <w:topLinePunct w:val="0"/>
        <w:autoSpaceDE/>
        <w:autoSpaceDN/>
        <w:bidi w:val="0"/>
        <w:adjustRightInd/>
        <w:snapToGrid/>
        <w:spacing w:line="578" w:lineRule="exact"/>
        <w:ind w:firstLine="643" w:firstLineChars="200"/>
        <w:jc w:val="both"/>
        <w:textAlignment w:val="baseline"/>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color w:val="auto"/>
          <w:kern w:val="2"/>
          <w:sz w:val="32"/>
          <w:szCs w:val="32"/>
          <w:lang w:val="en-US" w:eastAsia="zh-CN" w:bidi="ar-SA"/>
        </w:rPr>
        <w:t>（四）应急管理和消防办公室。</w:t>
      </w:r>
      <w:r>
        <w:rPr>
          <w:rFonts w:hint="default" w:ascii="Times New Roman" w:hAnsi="Times New Roman" w:eastAsia="仿宋_GB2312" w:cs="Times New Roman"/>
          <w:color w:val="auto"/>
          <w:kern w:val="2"/>
          <w:sz w:val="32"/>
          <w:szCs w:val="32"/>
          <w:lang w:val="en-US" w:eastAsia="zh-CN" w:bidi="ar-SA"/>
        </w:rPr>
        <w:t>负责应急体系建设、制度建设和应急管理工作，负责组织、指导、协调安全生产、自然灾害、防灾减灾救灾等日常工作；负责防汛抗旱、森林草原防灭火、地质灾害防治、卫生防疫等工作；负责应急抢险和应急队伍建设、管理、培训、演习以及应急设备和物资的储备、管理等工作；负责应急值守工作；负责辖区内生产经营单位安全生产状况的监督检查工作，协助有关部门依法履行安全生产监督管理工作；负责农村老旧危房安全排查，落实农村老旧住房安全监管和住房安全宣传引导职责；负责本辖区内日常消防工作，开展消防安全检查、督促火灾隐患整改、建强多种形式消防组织、开展经常性宣传教育、指导村（社区）和寺庙开展消防工作，定期研究解决本辖区内消防安全突出问题。</w:t>
      </w:r>
    </w:p>
    <w:p w14:paraId="4A64BDC6">
      <w:pPr>
        <w:pStyle w:val="16"/>
        <w:keepNext w:val="0"/>
        <w:keepLines w:val="0"/>
        <w:pageBreakBefore w:val="0"/>
        <w:widowControl w:val="0"/>
        <w:kinsoku/>
        <w:wordWrap/>
        <w:overflowPunct/>
        <w:topLinePunct w:val="0"/>
        <w:autoSpaceDE/>
        <w:autoSpaceDN/>
        <w:bidi w:val="0"/>
        <w:adjustRightInd/>
        <w:snapToGrid/>
        <w:spacing w:line="578" w:lineRule="exact"/>
        <w:ind w:firstLine="643" w:firstLineChars="200"/>
        <w:jc w:val="both"/>
        <w:textAlignment w:val="baseline"/>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color w:val="auto"/>
          <w:kern w:val="2"/>
          <w:sz w:val="32"/>
          <w:szCs w:val="32"/>
          <w:lang w:val="en-US" w:eastAsia="zh-CN" w:bidi="ar-SA"/>
        </w:rPr>
        <w:t>（五）社会治理和退役军人工作办公室。</w:t>
      </w:r>
      <w:r>
        <w:rPr>
          <w:rFonts w:hint="default" w:ascii="Times New Roman" w:hAnsi="Times New Roman" w:eastAsia="仿宋_GB2312" w:cs="Times New Roman"/>
          <w:color w:val="auto"/>
          <w:kern w:val="2"/>
          <w:sz w:val="32"/>
          <w:szCs w:val="32"/>
          <w:lang w:val="en-US" w:eastAsia="zh-CN" w:bidi="ar-SA"/>
        </w:rPr>
        <w:t>负责公共事务综合管理工作；负责基层自治建设和民主法治建设，指导基层群众性自治组织规范化、制度化建设；负责国防动员和兵役服务工作；承担退役军人就业创业扶持、拥军优属、优抚帮扶、走访慰问、信访接待、权益保障等退役军人服务工作；配合武装部做好征兵、民兵、预备役、国防教育、国民经济动员、人民防空、国防交通、国防设施保护等相关工作。</w:t>
      </w:r>
    </w:p>
    <w:p w14:paraId="51FFD0CF">
      <w:pPr>
        <w:pStyle w:val="16"/>
        <w:keepNext w:val="0"/>
        <w:keepLines w:val="0"/>
        <w:pageBreakBefore w:val="0"/>
        <w:widowControl w:val="0"/>
        <w:kinsoku/>
        <w:wordWrap/>
        <w:overflowPunct/>
        <w:topLinePunct w:val="0"/>
        <w:autoSpaceDE/>
        <w:autoSpaceDN/>
        <w:bidi w:val="0"/>
        <w:adjustRightInd/>
        <w:snapToGrid/>
        <w:spacing w:line="578" w:lineRule="exact"/>
        <w:ind w:firstLine="643" w:firstLineChars="200"/>
        <w:jc w:val="both"/>
        <w:textAlignment w:val="baseline"/>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color w:val="auto"/>
          <w:kern w:val="2"/>
          <w:sz w:val="32"/>
          <w:szCs w:val="32"/>
          <w:lang w:val="en-US" w:eastAsia="zh-CN" w:bidi="ar-SA"/>
        </w:rPr>
        <w:t>（六）村镇规划建设办公室。</w:t>
      </w:r>
      <w:r>
        <w:rPr>
          <w:rFonts w:hint="default" w:ascii="Times New Roman" w:hAnsi="Times New Roman" w:eastAsia="仿宋_GB2312" w:cs="Times New Roman"/>
          <w:color w:val="auto"/>
          <w:kern w:val="2"/>
          <w:sz w:val="32"/>
          <w:szCs w:val="32"/>
          <w:lang w:val="en-US" w:eastAsia="zh-CN" w:bidi="ar-SA"/>
        </w:rPr>
        <w:t>负责村镇规划建设管理，统筹农村基础设施建设等工作；负责辖区内重大基础设施建设、重大公共服务资源布局规划，并对重大决策提出意见及建议。</w:t>
      </w:r>
    </w:p>
    <w:p w14:paraId="2163CA0F">
      <w:pPr>
        <w:pStyle w:val="16"/>
        <w:keepNext w:val="0"/>
        <w:keepLines w:val="0"/>
        <w:pageBreakBefore w:val="0"/>
        <w:widowControl w:val="0"/>
        <w:kinsoku/>
        <w:wordWrap/>
        <w:overflowPunct/>
        <w:topLinePunct w:val="0"/>
        <w:autoSpaceDE/>
        <w:autoSpaceDN/>
        <w:bidi w:val="0"/>
        <w:adjustRightInd/>
        <w:snapToGrid/>
        <w:spacing w:line="578" w:lineRule="exact"/>
        <w:ind w:firstLine="643" w:firstLineChars="200"/>
        <w:jc w:val="both"/>
        <w:textAlignment w:val="baseline"/>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color w:val="auto"/>
          <w:kern w:val="2"/>
          <w:sz w:val="32"/>
          <w:szCs w:val="32"/>
          <w:lang w:val="en-US" w:eastAsia="zh-CN" w:bidi="ar-SA"/>
        </w:rPr>
        <w:t>（七）文化旅游和生态环境保护办公室。</w:t>
      </w:r>
      <w:r>
        <w:rPr>
          <w:rFonts w:hint="default" w:ascii="Times New Roman" w:hAnsi="Times New Roman" w:eastAsia="仿宋_GB2312" w:cs="Times New Roman"/>
          <w:color w:val="auto"/>
          <w:kern w:val="2"/>
          <w:sz w:val="32"/>
          <w:szCs w:val="32"/>
          <w:lang w:val="en-US" w:eastAsia="zh-CN" w:bidi="ar-SA"/>
        </w:rPr>
        <w:t>负责宣传并贯彻落实宣传思想、精神文明建设、文化、旅游等法律法规和方针政策；承担基层新时代文明实践活动服务工作，做好理论宣讲、教育服务、文化服务、科技服务、健康服务、法律服务、志愿服务等工作；拟订年度公益性文化项目实施计划，组织开展多种形式的文娱体育活动和宣传文化阵地建设；负责对乡村文化、文艺等活动的指导、协调和宣传工作；拟订旅游发展项目实施计划，搞好旅游发展等服务工作；负责辖区内自然资源保护、生态环境保护等工作；配合相关部门组织开展工业、生活、生产、经营、农业等污染的监督检查和防控整治工作；负责辖区内水资源保护、水环境治理、节约用水、环境卫生管理等工作；参与重大生态破坏事件的调查处理。</w:t>
      </w:r>
    </w:p>
    <w:p w14:paraId="4D86478B">
      <w:pPr>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br w:type="page"/>
      </w:r>
    </w:p>
    <w:p w14:paraId="407D7BB8">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firstLine="880" w:firstLineChars="200"/>
        <w:jc w:val="center"/>
        <w:textAlignment w:val="auto"/>
        <w:outlineLvl w:val="0"/>
        <w:rPr>
          <w:rFonts w:hint="default" w:ascii="Times New Roman" w:hAnsi="Times New Roman" w:eastAsia="仿宋_GB2312" w:cs="Times New Roman"/>
          <w:sz w:val="32"/>
          <w:szCs w:val="32"/>
        </w:rPr>
      </w:pPr>
      <w:r>
        <w:rPr>
          <w:rFonts w:hint="default" w:ascii="Times New Roman" w:hAnsi="Times New Roman" w:eastAsia="方正小标宋简体" w:cs="Times New Roman"/>
          <w:sz w:val="44"/>
          <w:szCs w:val="44"/>
          <w:shd w:val="clear" w:color="auto" w:fill="FFFFFF"/>
        </w:rPr>
        <w:t>第二部分 20</w:t>
      </w:r>
      <w:r>
        <w:rPr>
          <w:rFonts w:hint="default" w:ascii="Times New Roman" w:hAnsi="Times New Roman" w:eastAsia="方正小标宋简体" w:cs="Times New Roman"/>
          <w:sz w:val="44"/>
          <w:szCs w:val="44"/>
          <w:shd w:val="clear" w:color="auto" w:fill="FFFFFF"/>
          <w:lang w:val="en-US" w:eastAsia="zh-CN"/>
        </w:rPr>
        <w:t>24</w:t>
      </w:r>
      <w:r>
        <w:rPr>
          <w:rFonts w:hint="default" w:ascii="Times New Roman" w:hAnsi="Times New Roman" w:eastAsia="方正小标宋简体" w:cs="Times New Roman"/>
          <w:sz w:val="44"/>
          <w:szCs w:val="44"/>
          <w:shd w:val="clear" w:color="auto" w:fill="FFFFFF"/>
        </w:rPr>
        <w:t>年度单位决算情况说明</w:t>
      </w:r>
    </w:p>
    <w:p w14:paraId="76E17CE9">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firstLine="640" w:firstLineChars="200"/>
        <w:jc w:val="left"/>
        <w:textAlignment w:val="auto"/>
        <w:outlineLvl w:val="1"/>
        <w:rPr>
          <w:rFonts w:hint="default" w:ascii="Times New Roman" w:hAnsi="Times New Roman" w:eastAsia="黑体" w:cs="Times New Roman"/>
          <w:sz w:val="32"/>
          <w:szCs w:val="32"/>
          <w:shd w:val="clear" w:color="auto" w:fill="FFFFFF"/>
        </w:rPr>
      </w:pPr>
      <w:bookmarkStart w:id="12" w:name="_Toc22951"/>
      <w:bookmarkStart w:id="13" w:name="_Toc20628"/>
    </w:p>
    <w:p w14:paraId="7806747B">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firstLine="640" w:firstLineChars="200"/>
        <w:jc w:val="left"/>
        <w:textAlignment w:val="auto"/>
        <w:outlineLvl w:val="1"/>
        <w:rPr>
          <w:rFonts w:hint="default" w:ascii="Times New Roman" w:hAnsi="Times New Roman" w:eastAsia="黑体" w:cs="Times New Roman"/>
          <w:sz w:val="32"/>
          <w:szCs w:val="32"/>
        </w:rPr>
      </w:pPr>
      <w:r>
        <w:rPr>
          <w:rFonts w:hint="default" w:ascii="Times New Roman" w:hAnsi="Times New Roman" w:eastAsia="黑体" w:cs="Times New Roman"/>
          <w:sz w:val="32"/>
          <w:szCs w:val="32"/>
          <w:shd w:val="clear" w:color="auto" w:fill="FFFFFF"/>
        </w:rPr>
        <w:t>一、收入支出决算总体情况说明</w:t>
      </w:r>
      <w:bookmarkEnd w:id="12"/>
      <w:bookmarkEnd w:id="13"/>
    </w:p>
    <w:p w14:paraId="1F87E682">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sz w:val="32"/>
          <w:szCs w:val="32"/>
          <w:shd w:val="clear" w:color="auto" w:fill="FFFFFF"/>
          <w:lang w:val="en-US" w:eastAsia="zh-CN"/>
        </w:rPr>
      </w:pPr>
      <w:r>
        <w:rPr>
          <w:rFonts w:hint="default" w:ascii="Times New Roman" w:hAnsi="Times New Roman" w:eastAsia="仿宋_GB2312" w:cs="Times New Roman"/>
          <w:sz w:val="32"/>
          <w:szCs w:val="32"/>
          <w:shd w:val="clear" w:color="auto" w:fill="FFFFFF"/>
        </w:rPr>
        <w:t>202</w:t>
      </w:r>
      <w:r>
        <w:rPr>
          <w:rFonts w:hint="default" w:ascii="Times New Roman" w:hAnsi="Times New Roman" w:eastAsia="仿宋_GB2312" w:cs="Times New Roman"/>
          <w:sz w:val="32"/>
          <w:szCs w:val="32"/>
          <w:shd w:val="clear" w:color="auto" w:fill="FFFFFF"/>
          <w:lang w:val="en-US" w:eastAsia="zh-CN"/>
        </w:rPr>
        <w:t>4</w:t>
      </w:r>
      <w:r>
        <w:rPr>
          <w:rFonts w:hint="default" w:ascii="Times New Roman" w:hAnsi="Times New Roman" w:eastAsia="仿宋_GB2312" w:cs="Times New Roman"/>
          <w:sz w:val="32"/>
          <w:szCs w:val="32"/>
          <w:shd w:val="clear" w:color="auto" w:fill="FFFFFF"/>
        </w:rPr>
        <w:t>年收</w:t>
      </w:r>
      <w:r>
        <w:rPr>
          <w:rFonts w:hint="default" w:ascii="Times New Roman" w:hAnsi="Times New Roman" w:eastAsia="仿宋_GB2312" w:cs="Times New Roman"/>
          <w:sz w:val="32"/>
          <w:szCs w:val="32"/>
          <w:shd w:val="clear" w:color="auto" w:fill="FFFFFF"/>
          <w:lang w:eastAsia="zh-CN"/>
        </w:rPr>
        <w:t>入合计</w:t>
      </w:r>
      <w:r>
        <w:rPr>
          <w:rFonts w:hint="default" w:ascii="Times New Roman" w:hAnsi="Times New Roman" w:eastAsia="仿宋_GB2312" w:cs="Times New Roman"/>
          <w:sz w:val="32"/>
          <w:szCs w:val="32"/>
          <w:shd w:val="clear" w:color="auto" w:fill="FFFFFF"/>
          <w:lang w:val="en-US" w:eastAsia="zh-CN"/>
        </w:rPr>
        <w:t>5309.83万元</w:t>
      </w:r>
      <w:r>
        <w:rPr>
          <w:rFonts w:hint="default" w:ascii="Times New Roman" w:hAnsi="Times New Roman" w:eastAsia="仿宋_GB2312" w:cs="Times New Roman"/>
          <w:sz w:val="32"/>
          <w:szCs w:val="32"/>
          <w:shd w:val="clear" w:color="auto" w:fill="FFFFFF"/>
          <w:lang w:eastAsia="zh-CN"/>
        </w:rPr>
        <w:t>；</w:t>
      </w:r>
      <w:r>
        <w:rPr>
          <w:rFonts w:hint="default" w:ascii="Times New Roman" w:hAnsi="Times New Roman" w:eastAsia="仿宋_GB2312" w:cs="Times New Roman"/>
          <w:sz w:val="32"/>
          <w:szCs w:val="32"/>
          <w:shd w:val="clear" w:color="auto" w:fill="FFFFFF"/>
          <w:lang w:val="en-US" w:eastAsia="zh-CN"/>
        </w:rPr>
        <w:t>2024年支出合计5309.83万元</w:t>
      </w:r>
      <w:r>
        <w:rPr>
          <w:rFonts w:hint="default" w:ascii="Times New Roman" w:hAnsi="Times New Roman" w:eastAsia="仿宋_GB2312" w:cs="Times New Roman"/>
          <w:sz w:val="32"/>
          <w:szCs w:val="32"/>
          <w:shd w:val="clear" w:color="auto" w:fill="FFFFFF"/>
        </w:rPr>
        <w:t>。与202</w:t>
      </w:r>
      <w:r>
        <w:rPr>
          <w:rFonts w:hint="default" w:ascii="Times New Roman" w:hAnsi="Times New Roman" w:eastAsia="仿宋_GB2312" w:cs="Times New Roman"/>
          <w:sz w:val="32"/>
          <w:szCs w:val="32"/>
          <w:shd w:val="clear" w:color="auto" w:fill="FFFFFF"/>
          <w:lang w:val="en-US" w:eastAsia="zh-CN"/>
        </w:rPr>
        <w:t>3</w:t>
      </w:r>
      <w:r>
        <w:rPr>
          <w:rFonts w:hint="default" w:ascii="Times New Roman" w:hAnsi="Times New Roman" w:eastAsia="仿宋_GB2312" w:cs="Times New Roman"/>
          <w:sz w:val="32"/>
          <w:szCs w:val="32"/>
          <w:shd w:val="clear" w:color="auto" w:fill="FFFFFF"/>
        </w:rPr>
        <w:t>年相比，</w:t>
      </w:r>
      <w:r>
        <w:rPr>
          <w:rFonts w:hint="default" w:ascii="Times New Roman" w:hAnsi="Times New Roman" w:eastAsia="仿宋_GB2312" w:cs="Times New Roman"/>
          <w:sz w:val="32"/>
          <w:szCs w:val="32"/>
          <w:shd w:val="clear" w:color="auto" w:fill="FFFFFF"/>
          <w:lang w:val="en-US" w:eastAsia="zh-CN"/>
        </w:rPr>
        <w:t>收入增加2333.52万元，增长78.4%；</w:t>
      </w:r>
      <w:r>
        <w:rPr>
          <w:rFonts w:hint="default" w:ascii="Times New Roman" w:hAnsi="Times New Roman" w:eastAsia="仿宋_GB2312" w:cs="Times New Roman"/>
          <w:sz w:val="32"/>
          <w:szCs w:val="32"/>
          <w:shd w:val="clear" w:color="auto" w:fill="FFFFFF"/>
          <w:lang w:eastAsia="zh-CN"/>
        </w:rPr>
        <w:t>支出</w:t>
      </w:r>
      <w:r>
        <w:rPr>
          <w:rFonts w:hint="default" w:ascii="Times New Roman" w:hAnsi="Times New Roman" w:eastAsia="仿宋_GB2312" w:cs="Times New Roman"/>
          <w:sz w:val="32"/>
          <w:szCs w:val="32"/>
          <w:shd w:val="clear" w:color="auto" w:fill="FFFFFF"/>
        </w:rPr>
        <w:t>增</w:t>
      </w:r>
      <w:r>
        <w:rPr>
          <w:rFonts w:hint="default" w:ascii="Times New Roman" w:hAnsi="Times New Roman" w:eastAsia="仿宋_GB2312" w:cs="Times New Roman"/>
          <w:sz w:val="32"/>
          <w:szCs w:val="32"/>
          <w:shd w:val="clear" w:color="auto" w:fill="FFFFFF"/>
          <w:lang w:eastAsia="zh-CN"/>
        </w:rPr>
        <w:t>加</w:t>
      </w:r>
      <w:r>
        <w:rPr>
          <w:rFonts w:hint="default" w:ascii="Times New Roman" w:hAnsi="Times New Roman" w:eastAsia="仿宋_GB2312" w:cs="Times New Roman"/>
          <w:sz w:val="32"/>
          <w:szCs w:val="32"/>
          <w:shd w:val="clear" w:color="auto" w:fill="FFFFFF"/>
        </w:rPr>
        <w:t>1759.94万元，增</w:t>
      </w:r>
      <w:r>
        <w:rPr>
          <w:rFonts w:hint="default" w:ascii="Times New Roman" w:hAnsi="Times New Roman" w:eastAsia="仿宋_GB2312" w:cs="Times New Roman"/>
          <w:sz w:val="32"/>
          <w:szCs w:val="32"/>
          <w:shd w:val="clear" w:color="auto" w:fill="FFFFFF"/>
          <w:lang w:eastAsia="zh-CN"/>
        </w:rPr>
        <w:t>长</w:t>
      </w:r>
      <w:r>
        <w:rPr>
          <w:rFonts w:hint="default" w:ascii="Times New Roman" w:hAnsi="Times New Roman" w:eastAsia="仿宋_GB2312" w:cs="Times New Roman"/>
          <w:sz w:val="32"/>
          <w:szCs w:val="32"/>
          <w:shd w:val="clear" w:color="auto" w:fill="FFFFFF"/>
        </w:rPr>
        <w:t>49.58%。主要</w:t>
      </w:r>
      <w:r>
        <w:rPr>
          <w:rFonts w:hint="default" w:ascii="Times New Roman" w:hAnsi="Times New Roman" w:eastAsia="仿宋_GB2312" w:cs="Times New Roman"/>
          <w:sz w:val="32"/>
          <w:szCs w:val="32"/>
          <w:shd w:val="clear" w:color="auto" w:fill="FFFFFF"/>
          <w:lang w:eastAsia="zh-CN"/>
        </w:rPr>
        <w:t>增加</w:t>
      </w:r>
      <w:r>
        <w:rPr>
          <w:rFonts w:hint="default" w:ascii="Times New Roman" w:hAnsi="Times New Roman" w:eastAsia="仿宋_GB2312" w:cs="Times New Roman"/>
          <w:sz w:val="32"/>
          <w:szCs w:val="32"/>
          <w:shd w:val="clear" w:color="auto" w:fill="FFFFFF"/>
        </w:rPr>
        <w:t>原因是</w:t>
      </w:r>
      <w:r>
        <w:rPr>
          <w:rFonts w:hint="default" w:ascii="Times New Roman" w:hAnsi="Times New Roman" w:eastAsia="仿宋_GB2312" w:cs="Times New Roman"/>
          <w:sz w:val="32"/>
          <w:szCs w:val="32"/>
          <w:shd w:val="clear" w:color="auto" w:fill="FFFFFF"/>
          <w:lang w:val="en-US" w:eastAsia="zh-CN"/>
        </w:rPr>
        <w:t>项目增多，项目支出增加，人员经费变化，基本支出增加。</w:t>
      </w:r>
    </w:p>
    <w:p w14:paraId="1B6A10EF">
      <w:pPr>
        <w:pStyle w:val="16"/>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baseline"/>
        <w:rPr>
          <w:rFonts w:hint="default" w:ascii="Times New Roman" w:hAnsi="Times New Roman" w:eastAsia="仿宋_GB2312" w:cs="Times New Roman"/>
          <w:sz w:val="32"/>
          <w:szCs w:val="32"/>
          <w:shd w:val="clear" w:color="auto" w:fill="FFFFFF"/>
          <w:lang w:val="en-US" w:eastAsia="zh-CN"/>
        </w:rPr>
      </w:pPr>
      <w:r>
        <w:rPr>
          <w:rFonts w:hint="default" w:ascii="Times New Roman" w:hAnsi="Times New Roman" w:eastAsia="仿宋_GB2312" w:cs="Times New Roman"/>
          <w:sz w:val="32"/>
          <w:szCs w:val="32"/>
          <w:shd w:val="clear" w:color="auto" w:fill="FFFFFF"/>
          <w:lang w:val="en-US" w:eastAsia="zh-CN"/>
        </w:rPr>
        <w:drawing>
          <wp:anchor distT="0" distB="0" distL="114300" distR="114300" simplePos="0" relativeHeight="251666432" behindDoc="0" locked="0" layoutInCell="1" allowOverlap="1">
            <wp:simplePos x="0" y="0"/>
            <wp:positionH relativeFrom="column">
              <wp:posOffset>444500</wp:posOffset>
            </wp:positionH>
            <wp:positionV relativeFrom="paragraph">
              <wp:posOffset>108585</wp:posOffset>
            </wp:positionV>
            <wp:extent cx="4552950" cy="2066925"/>
            <wp:effectExtent l="0" t="0" r="0" b="9525"/>
            <wp:wrapNone/>
            <wp:docPr id="15" name="图片 1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1"/>
                    <pic:cNvPicPr>
                      <a:picLocks noChangeAspect="1"/>
                    </pic:cNvPicPr>
                  </pic:nvPicPr>
                  <pic:blipFill>
                    <a:blip r:embed="rId7"/>
                    <a:stretch>
                      <a:fillRect/>
                    </a:stretch>
                  </pic:blipFill>
                  <pic:spPr>
                    <a:xfrm>
                      <a:off x="0" y="0"/>
                      <a:ext cx="4552950" cy="2066925"/>
                    </a:xfrm>
                    <a:prstGeom prst="rect">
                      <a:avLst/>
                    </a:prstGeom>
                  </pic:spPr>
                </pic:pic>
              </a:graphicData>
            </a:graphic>
          </wp:anchor>
        </w:drawing>
      </w:r>
    </w:p>
    <w:p w14:paraId="4707C82A">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sz w:val="32"/>
          <w:szCs w:val="32"/>
          <w:shd w:val="clear" w:color="auto" w:fill="FFFFFF"/>
          <w:lang w:val="en-US" w:eastAsia="zh-CN"/>
        </w:rPr>
      </w:pPr>
    </w:p>
    <w:p w14:paraId="68AFAD66">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sz w:val="32"/>
          <w:szCs w:val="32"/>
          <w:shd w:val="clear" w:color="auto" w:fill="FFFFFF"/>
          <w:lang w:val="en-US" w:eastAsia="zh-CN"/>
        </w:rPr>
      </w:pPr>
    </w:p>
    <w:p w14:paraId="328669B5">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sz w:val="32"/>
          <w:szCs w:val="32"/>
          <w:shd w:val="clear" w:color="auto" w:fill="FFFFFF"/>
          <w:lang w:val="en-US" w:eastAsia="zh-CN"/>
        </w:rPr>
      </w:pPr>
    </w:p>
    <w:p w14:paraId="30C05A4C">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sz w:val="32"/>
          <w:szCs w:val="32"/>
          <w:shd w:val="clear" w:color="auto" w:fill="FFFFFF"/>
          <w:lang w:val="en-US" w:eastAsia="zh-CN"/>
        </w:rPr>
      </w:pPr>
    </w:p>
    <w:p w14:paraId="16E7C9AD">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sz w:val="32"/>
          <w:szCs w:val="32"/>
          <w:shd w:val="clear" w:color="auto" w:fill="FFFFFF"/>
          <w:lang w:val="en-US" w:eastAsia="zh-CN"/>
        </w:rPr>
      </w:pPr>
    </w:p>
    <w:p w14:paraId="4555712B">
      <w:pPr>
        <w:pStyle w:val="16"/>
        <w:keepNext w:val="0"/>
        <w:keepLines w:val="0"/>
        <w:pageBreakBefore w:val="0"/>
        <w:widowControl w:val="0"/>
        <w:kinsoku/>
        <w:wordWrap/>
        <w:overflowPunct/>
        <w:topLinePunct w:val="0"/>
        <w:autoSpaceDE/>
        <w:autoSpaceDN/>
        <w:bidi w:val="0"/>
        <w:adjustRightInd/>
        <w:snapToGrid/>
        <w:spacing w:afterAutospacing="0" w:line="576" w:lineRule="exact"/>
        <w:jc w:val="center"/>
        <w:textAlignment w:val="baseline"/>
        <w:rPr>
          <w:rFonts w:hint="default" w:ascii="Times New Roman" w:hAnsi="Times New Roman" w:eastAsia="仿宋_GB2312" w:cs="Times New Roman"/>
          <w:sz w:val="32"/>
          <w:szCs w:val="32"/>
          <w:shd w:val="clear" w:color="auto" w:fill="FFFFFF"/>
          <w:lang w:val="en-US" w:eastAsia="zh-CN"/>
        </w:rPr>
      </w:pPr>
      <w:r>
        <w:rPr>
          <w:rFonts w:hint="default" w:ascii="Times New Roman" w:hAnsi="Times New Roman" w:eastAsia="仿宋_GB2312" w:cs="Times New Roman"/>
          <w:sz w:val="28"/>
          <w:szCs w:val="28"/>
          <w:shd w:val="clear" w:color="auto" w:fill="FFFFFF"/>
          <w:lang w:val="en-US" w:eastAsia="zh-CN"/>
        </w:rPr>
        <w:t>（图1：收、支决算总计变动情况图）（柱状图）</w:t>
      </w:r>
    </w:p>
    <w:p w14:paraId="0187FD0D">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黑体" w:cs="Times New Roman"/>
          <w:kern w:val="0"/>
          <w:sz w:val="32"/>
          <w:szCs w:val="32"/>
          <w:shd w:val="clear" w:color="auto" w:fill="FFFFFF"/>
          <w:lang w:val="en-US" w:eastAsia="zh-CN" w:bidi="ar"/>
        </w:rPr>
      </w:pPr>
      <w:r>
        <w:rPr>
          <w:rFonts w:hint="default" w:ascii="Times New Roman" w:hAnsi="Times New Roman" w:eastAsia="黑体" w:cs="Times New Roman"/>
          <w:kern w:val="0"/>
          <w:sz w:val="32"/>
          <w:szCs w:val="32"/>
          <w:shd w:val="clear" w:color="auto" w:fill="FFFFFF"/>
          <w:lang w:val="en-US" w:eastAsia="zh-CN" w:bidi="ar"/>
        </w:rPr>
        <w:t>二、收入决算情况说明</w:t>
      </w:r>
    </w:p>
    <w:p w14:paraId="688E4BE4">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sz w:val="32"/>
          <w:szCs w:val="32"/>
          <w:shd w:val="clear" w:color="auto" w:fill="FFFFFF"/>
          <w:lang w:val="en-US" w:eastAsia="zh-CN"/>
        </w:rPr>
      </w:pPr>
      <w:r>
        <w:rPr>
          <w:rFonts w:hint="default" w:ascii="Times New Roman" w:hAnsi="Times New Roman" w:eastAsia="仿宋_GB2312" w:cs="Times New Roman"/>
          <w:sz w:val="32"/>
          <w:szCs w:val="32"/>
          <w:shd w:val="clear" w:color="auto" w:fill="FFFFFF"/>
          <w:lang w:val="en-US" w:eastAsia="zh-CN"/>
        </w:rPr>
        <w:t>2024年本年收入合计5309.83万元，其中：一般公共预算财政拨款收入5309.83万元，占100.00%；政府性基金预算财政拨款收入0.00万元，占0.00%；国有资本经营预算财政拨款收入0.00万元，占0.00%；上级补助收入0.00万元，占0.00%；事业收入0.00万元，占0.00%；经营收入0.00万元，占0.00%；附属单位上缴收入0.00万元，占0.00%；其他收入0.00万元，占0.00%。</w:t>
      </w:r>
    </w:p>
    <w:p w14:paraId="00A7FA12">
      <w:pPr>
        <w:pStyle w:val="16"/>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baseline"/>
        <w:rPr>
          <w:rFonts w:hint="default" w:ascii="Times New Roman" w:hAnsi="Times New Roman" w:eastAsia="仿宋_GB2312" w:cs="Times New Roman"/>
          <w:sz w:val="32"/>
          <w:szCs w:val="32"/>
          <w:shd w:val="clear" w:color="auto" w:fill="FFFFFF"/>
          <w:lang w:val="en-US" w:eastAsia="zh-CN"/>
        </w:rPr>
      </w:pPr>
      <w:r>
        <w:rPr>
          <w:rFonts w:hint="default" w:ascii="Times New Roman" w:hAnsi="Times New Roman" w:eastAsia="仿宋_GB2312" w:cs="Times New Roman"/>
          <w:sz w:val="32"/>
          <w:szCs w:val="32"/>
          <w:shd w:val="clear" w:color="auto" w:fill="FFFFFF"/>
          <w:lang w:val="en-US" w:eastAsia="zh-CN"/>
        </w:rPr>
        <w:drawing>
          <wp:anchor distT="0" distB="0" distL="114300" distR="114300" simplePos="0" relativeHeight="251665408" behindDoc="0" locked="0" layoutInCell="1" allowOverlap="1">
            <wp:simplePos x="0" y="0"/>
            <wp:positionH relativeFrom="column">
              <wp:posOffset>635000</wp:posOffset>
            </wp:positionH>
            <wp:positionV relativeFrom="paragraph">
              <wp:posOffset>-17145</wp:posOffset>
            </wp:positionV>
            <wp:extent cx="4219575" cy="2562225"/>
            <wp:effectExtent l="0" t="0" r="9525" b="9525"/>
            <wp:wrapNone/>
            <wp:docPr id="14" name="图片 1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2"/>
                    <pic:cNvPicPr>
                      <a:picLocks noChangeAspect="1"/>
                    </pic:cNvPicPr>
                  </pic:nvPicPr>
                  <pic:blipFill>
                    <a:blip r:embed="rId8"/>
                    <a:stretch>
                      <a:fillRect/>
                    </a:stretch>
                  </pic:blipFill>
                  <pic:spPr>
                    <a:xfrm>
                      <a:off x="0" y="0"/>
                      <a:ext cx="4219575" cy="2562225"/>
                    </a:xfrm>
                    <a:prstGeom prst="rect">
                      <a:avLst/>
                    </a:prstGeom>
                  </pic:spPr>
                </pic:pic>
              </a:graphicData>
            </a:graphic>
          </wp:anchor>
        </w:drawing>
      </w:r>
    </w:p>
    <w:p w14:paraId="22392A76">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sz w:val="32"/>
          <w:szCs w:val="32"/>
          <w:shd w:val="clear" w:color="auto" w:fill="FFFFFF"/>
          <w:lang w:val="en-US" w:eastAsia="zh-CN"/>
        </w:rPr>
      </w:pPr>
    </w:p>
    <w:p w14:paraId="7EFA91EC">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sz w:val="32"/>
          <w:szCs w:val="32"/>
          <w:shd w:val="clear" w:color="auto" w:fill="FFFFFF"/>
          <w:lang w:val="en-US" w:eastAsia="zh-CN"/>
        </w:rPr>
      </w:pPr>
    </w:p>
    <w:p w14:paraId="240BAB72">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sz w:val="32"/>
          <w:szCs w:val="32"/>
          <w:shd w:val="clear" w:color="auto" w:fill="FFFFFF"/>
          <w:lang w:val="en-US" w:eastAsia="zh-CN"/>
        </w:rPr>
      </w:pPr>
    </w:p>
    <w:p w14:paraId="50636782">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sz w:val="32"/>
          <w:szCs w:val="32"/>
          <w:shd w:val="clear" w:color="auto" w:fill="FFFFFF"/>
          <w:lang w:val="en-US" w:eastAsia="zh-CN"/>
        </w:rPr>
      </w:pPr>
    </w:p>
    <w:p w14:paraId="0941F86B">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sz w:val="32"/>
          <w:szCs w:val="32"/>
          <w:shd w:val="clear" w:color="auto" w:fill="FFFFFF"/>
          <w:lang w:val="en-US" w:eastAsia="zh-CN"/>
        </w:rPr>
      </w:pPr>
    </w:p>
    <w:p w14:paraId="7B818806">
      <w:pPr>
        <w:pStyle w:val="16"/>
        <w:keepNext w:val="0"/>
        <w:keepLines w:val="0"/>
        <w:pageBreakBefore w:val="0"/>
        <w:widowControl w:val="0"/>
        <w:kinsoku/>
        <w:wordWrap/>
        <w:overflowPunct/>
        <w:topLinePunct w:val="0"/>
        <w:autoSpaceDE/>
        <w:autoSpaceDN/>
        <w:bidi w:val="0"/>
        <w:adjustRightInd/>
        <w:snapToGrid/>
        <w:spacing w:afterAutospacing="0" w:line="576" w:lineRule="exact"/>
        <w:jc w:val="both"/>
        <w:textAlignment w:val="baseline"/>
        <w:rPr>
          <w:rFonts w:hint="default" w:ascii="Times New Roman" w:hAnsi="Times New Roman" w:eastAsia="仿宋_GB2312" w:cs="Times New Roman"/>
          <w:sz w:val="28"/>
          <w:szCs w:val="28"/>
          <w:shd w:val="clear" w:color="auto" w:fill="FFFFFF"/>
          <w:lang w:val="en-US" w:eastAsia="zh-CN"/>
        </w:rPr>
      </w:pPr>
    </w:p>
    <w:p w14:paraId="2E50ED64">
      <w:pPr>
        <w:pStyle w:val="16"/>
        <w:keepNext w:val="0"/>
        <w:keepLines w:val="0"/>
        <w:pageBreakBefore w:val="0"/>
        <w:widowControl w:val="0"/>
        <w:kinsoku/>
        <w:wordWrap/>
        <w:overflowPunct/>
        <w:topLinePunct w:val="0"/>
        <w:autoSpaceDE/>
        <w:autoSpaceDN/>
        <w:bidi w:val="0"/>
        <w:adjustRightInd/>
        <w:snapToGrid/>
        <w:spacing w:afterAutospacing="0" w:line="576" w:lineRule="exact"/>
        <w:jc w:val="center"/>
        <w:textAlignment w:val="baseline"/>
        <w:rPr>
          <w:rFonts w:hint="default" w:ascii="Times New Roman" w:hAnsi="Times New Roman" w:eastAsia="仿宋_GB2312" w:cs="Times New Roman"/>
          <w:sz w:val="28"/>
          <w:szCs w:val="28"/>
          <w:shd w:val="clear" w:color="auto" w:fill="FFFFFF"/>
          <w:lang w:val="en-US" w:eastAsia="zh-CN"/>
        </w:rPr>
      </w:pPr>
      <w:r>
        <w:rPr>
          <w:rFonts w:hint="default" w:ascii="Times New Roman" w:hAnsi="Times New Roman" w:eastAsia="仿宋_GB2312" w:cs="Times New Roman"/>
          <w:sz w:val="28"/>
          <w:szCs w:val="28"/>
          <w:shd w:val="clear" w:color="auto" w:fill="FFFFFF"/>
          <w:lang w:val="en-US" w:eastAsia="zh-CN"/>
        </w:rPr>
        <w:t>（图2：收入决算结构图）（饼状图）</w:t>
      </w:r>
    </w:p>
    <w:p w14:paraId="577FA65C">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firstLine="640" w:firstLineChars="200"/>
        <w:jc w:val="left"/>
        <w:textAlignment w:val="auto"/>
        <w:outlineLvl w:val="1"/>
        <w:rPr>
          <w:rFonts w:hint="default" w:ascii="Times New Roman" w:hAnsi="Times New Roman" w:eastAsia="黑体" w:cs="Times New Roman"/>
          <w:sz w:val="32"/>
          <w:szCs w:val="32"/>
        </w:rPr>
      </w:pPr>
      <w:bookmarkStart w:id="14" w:name="_Toc24420"/>
      <w:bookmarkStart w:id="15" w:name="_Toc25425"/>
      <w:r>
        <w:rPr>
          <w:rFonts w:hint="default" w:ascii="Times New Roman" w:hAnsi="Times New Roman" w:eastAsia="黑体" w:cs="Times New Roman"/>
          <w:sz w:val="32"/>
          <w:szCs w:val="32"/>
          <w:shd w:val="clear" w:color="auto" w:fill="FFFFFF"/>
        </w:rPr>
        <w:t>三、支出决算情况说明</w:t>
      </w:r>
      <w:bookmarkEnd w:id="14"/>
      <w:bookmarkEnd w:id="15"/>
    </w:p>
    <w:p w14:paraId="2B34F5BC">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sz w:val="32"/>
          <w:szCs w:val="32"/>
          <w:shd w:val="clear" w:color="auto" w:fill="FFFFFF"/>
          <w:lang w:val="en-US" w:eastAsia="zh-CN"/>
        </w:rPr>
      </w:pPr>
      <w:r>
        <w:rPr>
          <w:rFonts w:hint="default" w:ascii="Times New Roman" w:hAnsi="Times New Roman" w:eastAsia="仿宋_GB2312" w:cs="Times New Roman"/>
          <w:sz w:val="32"/>
          <w:szCs w:val="32"/>
          <w:shd w:val="clear" w:color="auto" w:fill="FFFFFF"/>
        </w:rPr>
        <w:t>202</w:t>
      </w:r>
      <w:r>
        <w:rPr>
          <w:rFonts w:hint="default" w:ascii="Times New Roman" w:hAnsi="Times New Roman" w:eastAsia="仿宋_GB2312" w:cs="Times New Roman"/>
          <w:sz w:val="32"/>
          <w:szCs w:val="32"/>
          <w:shd w:val="clear" w:color="auto" w:fill="FFFFFF"/>
          <w:lang w:val="en-US" w:eastAsia="zh-CN"/>
        </w:rPr>
        <w:t>4</w:t>
      </w:r>
      <w:r>
        <w:rPr>
          <w:rFonts w:hint="default" w:ascii="Times New Roman" w:hAnsi="Times New Roman" w:eastAsia="仿宋_GB2312" w:cs="Times New Roman"/>
          <w:sz w:val="32"/>
          <w:szCs w:val="32"/>
          <w:shd w:val="clear" w:color="auto" w:fill="FFFFFF"/>
        </w:rPr>
        <w:t>年本年支出合计</w:t>
      </w:r>
      <w:r>
        <w:rPr>
          <w:rFonts w:hint="default" w:ascii="Times New Roman" w:hAnsi="Times New Roman" w:eastAsia="仿宋_GB2312" w:cs="Times New Roman"/>
          <w:sz w:val="32"/>
          <w:szCs w:val="32"/>
          <w:shd w:val="clear" w:color="auto" w:fill="FFFFFF"/>
          <w:lang w:val="en-US" w:eastAsia="zh-CN"/>
        </w:rPr>
        <w:t>5309.83万元</w:t>
      </w:r>
      <w:r>
        <w:rPr>
          <w:rFonts w:hint="default" w:ascii="Times New Roman" w:hAnsi="Times New Roman" w:eastAsia="仿宋_GB2312" w:cs="Times New Roman"/>
          <w:sz w:val="32"/>
          <w:szCs w:val="32"/>
          <w:shd w:val="clear" w:color="auto" w:fill="FFFFFF"/>
        </w:rPr>
        <w:t>，</w:t>
      </w:r>
      <w:r>
        <w:rPr>
          <w:rFonts w:hint="default" w:ascii="Times New Roman" w:hAnsi="Times New Roman" w:eastAsia="仿宋_GB2312" w:cs="Times New Roman"/>
          <w:sz w:val="32"/>
          <w:szCs w:val="32"/>
          <w:highlight w:val="none"/>
          <w:lang w:val="en-US" w:eastAsia="zh-CN"/>
        </w:rPr>
        <w:t>其中基本支出1406.26万元</w:t>
      </w:r>
      <w:r>
        <w:rPr>
          <w:rFonts w:hint="default" w:ascii="Times New Roman" w:hAnsi="Times New Roman" w:eastAsia="仿宋_GB2312" w:cs="Times New Roman"/>
          <w:sz w:val="32"/>
          <w:szCs w:val="32"/>
          <w:shd w:val="clear" w:color="auto" w:fill="FFFFFF"/>
          <w:lang w:val="en-US" w:eastAsia="zh-CN"/>
        </w:rPr>
        <w:t>，占26.48%</w:t>
      </w:r>
      <w:r>
        <w:rPr>
          <w:rFonts w:hint="default" w:ascii="Times New Roman" w:hAnsi="Times New Roman" w:eastAsia="仿宋_GB2312" w:cs="Times New Roman"/>
          <w:sz w:val="32"/>
          <w:szCs w:val="32"/>
          <w:highlight w:val="none"/>
          <w:lang w:val="en-US" w:eastAsia="zh-CN"/>
        </w:rPr>
        <w:t>，公用经费支出100万元，占1%；项目支出3903.57万元，占73.51%</w:t>
      </w:r>
      <w:r>
        <w:rPr>
          <w:rFonts w:hint="default" w:ascii="Times New Roman" w:hAnsi="Times New Roman" w:eastAsia="仿宋_GB2312" w:cs="Times New Roman"/>
          <w:sz w:val="32"/>
          <w:szCs w:val="32"/>
          <w:shd w:val="clear" w:color="auto" w:fill="FFFFFF"/>
          <w:lang w:val="en-US" w:eastAsia="zh-CN"/>
        </w:rPr>
        <w:t>。</w:t>
      </w:r>
    </w:p>
    <w:p w14:paraId="07413AA5">
      <w:pPr>
        <w:pStyle w:val="16"/>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baseline"/>
        <w:rPr>
          <w:rFonts w:hint="default" w:ascii="Times New Roman" w:hAnsi="Times New Roman" w:eastAsia="仿宋_GB2312" w:cs="Times New Roman"/>
          <w:sz w:val="32"/>
          <w:szCs w:val="32"/>
          <w:shd w:val="clear" w:color="auto" w:fill="FFFFFF"/>
          <w:lang w:val="en-US" w:eastAsia="zh-CN"/>
        </w:rPr>
      </w:pPr>
      <w:r>
        <w:rPr>
          <w:rFonts w:hint="default" w:ascii="Times New Roman" w:hAnsi="Times New Roman" w:eastAsia="仿宋_GB2312" w:cs="Times New Roman"/>
          <w:sz w:val="32"/>
          <w:szCs w:val="32"/>
          <w:shd w:val="clear" w:color="auto" w:fill="FFFFFF"/>
          <w:lang w:val="en-US" w:eastAsia="zh-CN"/>
        </w:rPr>
        <w:drawing>
          <wp:anchor distT="0" distB="0" distL="114300" distR="114300" simplePos="0" relativeHeight="251664384" behindDoc="0" locked="0" layoutInCell="1" allowOverlap="1">
            <wp:simplePos x="0" y="0"/>
            <wp:positionH relativeFrom="column">
              <wp:posOffset>406400</wp:posOffset>
            </wp:positionH>
            <wp:positionV relativeFrom="paragraph">
              <wp:posOffset>97155</wp:posOffset>
            </wp:positionV>
            <wp:extent cx="4067175" cy="2381250"/>
            <wp:effectExtent l="0" t="0" r="9525" b="0"/>
            <wp:wrapNone/>
            <wp:docPr id="13" name="图片 1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3"/>
                    <pic:cNvPicPr>
                      <a:picLocks noChangeAspect="1"/>
                    </pic:cNvPicPr>
                  </pic:nvPicPr>
                  <pic:blipFill>
                    <a:blip r:embed="rId9"/>
                    <a:stretch>
                      <a:fillRect/>
                    </a:stretch>
                  </pic:blipFill>
                  <pic:spPr>
                    <a:xfrm>
                      <a:off x="0" y="0"/>
                      <a:ext cx="4067175" cy="2381250"/>
                    </a:xfrm>
                    <a:prstGeom prst="rect">
                      <a:avLst/>
                    </a:prstGeom>
                  </pic:spPr>
                </pic:pic>
              </a:graphicData>
            </a:graphic>
          </wp:anchor>
        </w:drawing>
      </w:r>
    </w:p>
    <w:p w14:paraId="33CDDDCB">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sz w:val="32"/>
          <w:szCs w:val="32"/>
          <w:shd w:val="clear" w:color="auto" w:fill="FFFFFF"/>
          <w:lang w:val="en-US" w:eastAsia="zh-CN"/>
        </w:rPr>
      </w:pPr>
    </w:p>
    <w:p w14:paraId="2D947295">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sz w:val="32"/>
          <w:szCs w:val="32"/>
          <w:shd w:val="clear" w:color="auto" w:fill="FFFFFF"/>
          <w:lang w:val="en-US" w:eastAsia="zh-CN"/>
        </w:rPr>
      </w:pPr>
    </w:p>
    <w:p w14:paraId="1CE07E71">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sz w:val="32"/>
          <w:szCs w:val="32"/>
          <w:shd w:val="clear" w:color="auto" w:fill="FFFFFF"/>
          <w:lang w:val="en-US" w:eastAsia="zh-CN"/>
        </w:rPr>
      </w:pPr>
    </w:p>
    <w:p w14:paraId="2BDD1BAD">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sz w:val="32"/>
          <w:szCs w:val="32"/>
          <w:shd w:val="clear" w:color="auto" w:fill="FFFFFF"/>
          <w:lang w:val="en-US" w:eastAsia="zh-CN"/>
        </w:rPr>
      </w:pPr>
    </w:p>
    <w:p w14:paraId="66752B94">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sz w:val="32"/>
          <w:szCs w:val="32"/>
          <w:shd w:val="clear" w:color="auto" w:fill="FFFFFF"/>
          <w:lang w:val="en-US" w:eastAsia="zh-CN"/>
        </w:rPr>
      </w:pPr>
    </w:p>
    <w:p w14:paraId="0628E982">
      <w:pPr>
        <w:pStyle w:val="16"/>
        <w:keepNext w:val="0"/>
        <w:keepLines w:val="0"/>
        <w:pageBreakBefore w:val="0"/>
        <w:widowControl w:val="0"/>
        <w:kinsoku/>
        <w:wordWrap/>
        <w:overflowPunct/>
        <w:topLinePunct w:val="0"/>
        <w:autoSpaceDE/>
        <w:autoSpaceDN/>
        <w:bidi w:val="0"/>
        <w:adjustRightInd/>
        <w:snapToGrid/>
        <w:spacing w:afterAutospacing="0" w:line="576" w:lineRule="exact"/>
        <w:textAlignment w:val="baseline"/>
        <w:rPr>
          <w:rFonts w:hint="default" w:ascii="Times New Roman" w:hAnsi="Times New Roman" w:eastAsia="仿宋_GB2312" w:cs="Times New Roman"/>
          <w:sz w:val="32"/>
          <w:szCs w:val="32"/>
          <w:shd w:val="clear" w:color="auto" w:fill="FFFFFF"/>
          <w:lang w:val="en-US" w:eastAsia="zh-CN"/>
        </w:rPr>
      </w:pPr>
    </w:p>
    <w:p w14:paraId="5537106E">
      <w:pPr>
        <w:pStyle w:val="16"/>
        <w:keepNext w:val="0"/>
        <w:keepLines w:val="0"/>
        <w:pageBreakBefore w:val="0"/>
        <w:widowControl w:val="0"/>
        <w:kinsoku/>
        <w:wordWrap/>
        <w:overflowPunct/>
        <w:topLinePunct w:val="0"/>
        <w:autoSpaceDE/>
        <w:autoSpaceDN/>
        <w:bidi w:val="0"/>
        <w:adjustRightInd/>
        <w:snapToGrid/>
        <w:spacing w:afterAutospacing="0" w:line="576" w:lineRule="exact"/>
        <w:jc w:val="center"/>
        <w:textAlignment w:val="baseline"/>
        <w:rPr>
          <w:rFonts w:hint="default" w:ascii="Times New Roman" w:hAnsi="Times New Roman" w:eastAsia="仿宋_GB2312" w:cs="Times New Roman"/>
          <w:sz w:val="32"/>
          <w:szCs w:val="32"/>
          <w:shd w:val="clear" w:color="auto" w:fill="FFFFFF"/>
          <w:lang w:val="en-US" w:eastAsia="zh-CN"/>
        </w:rPr>
      </w:pPr>
      <w:r>
        <w:rPr>
          <w:rFonts w:hint="default" w:ascii="Times New Roman" w:hAnsi="Times New Roman" w:eastAsia="仿宋_GB2312" w:cs="Times New Roman"/>
          <w:sz w:val="28"/>
          <w:szCs w:val="28"/>
          <w:shd w:val="clear" w:color="auto" w:fill="FFFFFF"/>
          <w:lang w:val="en-US" w:eastAsia="zh-CN"/>
        </w:rPr>
        <w:t>（图3：支出决算结构图）（饼状图）</w:t>
      </w:r>
    </w:p>
    <w:p w14:paraId="1476DE90">
      <w:pPr>
        <w:spacing w:line="600" w:lineRule="exact"/>
        <w:ind w:firstLine="640" w:firstLineChars="200"/>
        <w:outlineLvl w:val="1"/>
        <w:rPr>
          <w:rFonts w:hint="default" w:ascii="Times New Roman" w:hAnsi="Times New Roman" w:eastAsia="仿宋_GB2312" w:cs="Times New Roman"/>
          <w:kern w:val="0"/>
          <w:sz w:val="32"/>
          <w:szCs w:val="32"/>
          <w:shd w:val="clear" w:color="auto" w:fill="FFFFFF"/>
          <w:lang w:val="en-US" w:eastAsia="zh-CN" w:bidi="ar"/>
        </w:rPr>
      </w:pPr>
      <w:bookmarkStart w:id="16" w:name="_Toc79163613"/>
      <w:bookmarkStart w:id="17" w:name="_Toc79163863"/>
      <w:bookmarkStart w:id="18" w:name="_Toc15377208"/>
      <w:bookmarkStart w:id="19" w:name="_Toc15396606"/>
      <w:r>
        <w:rPr>
          <w:rFonts w:hint="default" w:ascii="Times New Roman" w:hAnsi="Times New Roman" w:eastAsia="黑体" w:cs="Times New Roman"/>
          <w:kern w:val="0"/>
          <w:sz w:val="32"/>
          <w:szCs w:val="32"/>
          <w:shd w:val="clear" w:color="auto" w:fill="FFFFFF"/>
          <w:lang w:val="en-US" w:eastAsia="zh-CN" w:bidi="ar"/>
        </w:rPr>
        <w:t>四、财政拨款收入支出决算总体情况说明</w:t>
      </w:r>
      <w:bookmarkEnd w:id="16"/>
      <w:bookmarkEnd w:id="17"/>
      <w:bookmarkEnd w:id="18"/>
      <w:bookmarkEnd w:id="19"/>
    </w:p>
    <w:p w14:paraId="50EEB36A">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2024年度财政拨款收入总计5309.83万元、支出总计2505.34万元。与2023年相比，财政拨款收入总计增加2333.53万元、</w:t>
      </w:r>
      <w:r>
        <w:rPr>
          <w:rFonts w:hint="default" w:ascii="Times New Roman" w:hAnsi="Times New Roman" w:eastAsia="仿宋_GB2312" w:cs="Times New Roman"/>
          <w:sz w:val="32"/>
          <w:szCs w:val="32"/>
          <w:shd w:val="clear" w:color="auto" w:fill="FFFFFF"/>
          <w:lang w:val="en-US" w:eastAsia="zh-CN"/>
        </w:rPr>
        <w:t>增长78.4%</w:t>
      </w:r>
      <w:r>
        <w:rPr>
          <w:rFonts w:hint="default" w:ascii="Times New Roman" w:hAnsi="Times New Roman" w:eastAsia="仿宋_GB2312" w:cs="Times New Roman"/>
          <w:kern w:val="0"/>
          <w:sz w:val="32"/>
          <w:szCs w:val="32"/>
          <w:shd w:val="clear" w:color="auto" w:fill="FFFFFF"/>
          <w:lang w:val="en-US" w:eastAsia="zh-CN" w:bidi="ar"/>
        </w:rPr>
        <w:t>，支出增加1759.94万元，增长49.58%。主要增加原因是项目增多，项目支出增加，人员经费变化，基本支出增加。</w:t>
      </w:r>
    </w:p>
    <w:p w14:paraId="6427F669">
      <w:pPr>
        <w:pStyle w:val="16"/>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drawing>
          <wp:anchor distT="0" distB="0" distL="114300" distR="114300" simplePos="0" relativeHeight="251663360" behindDoc="0" locked="0" layoutInCell="1" allowOverlap="1">
            <wp:simplePos x="0" y="0"/>
            <wp:positionH relativeFrom="column">
              <wp:posOffset>330200</wp:posOffset>
            </wp:positionH>
            <wp:positionV relativeFrom="paragraph">
              <wp:posOffset>247650</wp:posOffset>
            </wp:positionV>
            <wp:extent cx="4552950" cy="1914525"/>
            <wp:effectExtent l="0" t="0" r="0" b="9525"/>
            <wp:wrapNone/>
            <wp:docPr id="12" name="图片 12"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4"/>
                    <pic:cNvPicPr>
                      <a:picLocks noChangeAspect="1"/>
                    </pic:cNvPicPr>
                  </pic:nvPicPr>
                  <pic:blipFill>
                    <a:blip r:embed="rId10"/>
                    <a:stretch>
                      <a:fillRect/>
                    </a:stretch>
                  </pic:blipFill>
                  <pic:spPr>
                    <a:xfrm>
                      <a:off x="0" y="0"/>
                      <a:ext cx="4552950" cy="1914525"/>
                    </a:xfrm>
                    <a:prstGeom prst="rect">
                      <a:avLst/>
                    </a:prstGeom>
                  </pic:spPr>
                </pic:pic>
              </a:graphicData>
            </a:graphic>
          </wp:anchor>
        </w:drawing>
      </w:r>
    </w:p>
    <w:p w14:paraId="1AE7EE73">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p>
    <w:p w14:paraId="2FEEDB25">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p>
    <w:p w14:paraId="523439FC">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p>
    <w:p w14:paraId="6ADED5F9">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p>
    <w:p w14:paraId="76E7BC6A">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p>
    <w:p w14:paraId="13F8CA75">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56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sz w:val="28"/>
          <w:szCs w:val="28"/>
          <w:shd w:val="clear" w:color="auto" w:fill="FFFFFF"/>
          <w:lang w:val="en-US" w:eastAsia="zh-CN"/>
        </w:rPr>
        <w:t>（图4：财政拨款收、支决算总计变动情况）（柱状图）</w:t>
      </w:r>
    </w:p>
    <w:p w14:paraId="1FD98900">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黑体" w:cs="Times New Roman"/>
          <w:kern w:val="0"/>
          <w:sz w:val="32"/>
          <w:szCs w:val="32"/>
          <w:shd w:val="clear" w:color="auto" w:fill="FFFFFF"/>
          <w:lang w:val="en-US" w:eastAsia="zh-CN" w:bidi="ar"/>
        </w:rPr>
        <w:t>五、一般公共预算财政拨款支出决算情况说明</w:t>
      </w:r>
    </w:p>
    <w:p w14:paraId="3A6FEBB1">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3"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楷体_GB2312" w:cs="Times New Roman"/>
          <w:b/>
          <w:bCs/>
          <w:kern w:val="0"/>
          <w:sz w:val="32"/>
          <w:szCs w:val="32"/>
          <w:shd w:val="clear" w:color="auto" w:fill="FFFFFF"/>
          <w:lang w:val="en-US" w:eastAsia="zh-CN" w:bidi="ar"/>
        </w:rPr>
        <w:t>（一）一般公共预算财政拨款支出决算总体情况</w:t>
      </w:r>
    </w:p>
    <w:p w14:paraId="0895E401">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2024年度一般公共预算财政拨款支出5309.83万元，占本年支出合计的100.00%。与2023年相比，一般公共预算财政拨款支出增加1759.96万元，增长33.15%。主要变动原因是基础绩效奖金工资，工资标准调整、津贴调整等原因人员经费增加。</w:t>
      </w:r>
    </w:p>
    <w:p w14:paraId="29DA7E4C">
      <w:pPr>
        <w:pStyle w:val="16"/>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drawing>
          <wp:anchor distT="0" distB="0" distL="114300" distR="114300" simplePos="0" relativeHeight="251662336" behindDoc="0" locked="0" layoutInCell="1" allowOverlap="1">
            <wp:simplePos x="0" y="0"/>
            <wp:positionH relativeFrom="column">
              <wp:posOffset>454025</wp:posOffset>
            </wp:positionH>
            <wp:positionV relativeFrom="paragraph">
              <wp:posOffset>61595</wp:posOffset>
            </wp:positionV>
            <wp:extent cx="4486275" cy="1876425"/>
            <wp:effectExtent l="0" t="0" r="9525" b="0"/>
            <wp:wrapNone/>
            <wp:docPr id="11" name="图片 11"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5"/>
                    <pic:cNvPicPr>
                      <a:picLocks noChangeAspect="1"/>
                    </pic:cNvPicPr>
                  </pic:nvPicPr>
                  <pic:blipFill>
                    <a:blip r:embed="rId11"/>
                    <a:stretch>
                      <a:fillRect/>
                    </a:stretch>
                  </pic:blipFill>
                  <pic:spPr>
                    <a:xfrm>
                      <a:off x="0" y="0"/>
                      <a:ext cx="4486275" cy="1876425"/>
                    </a:xfrm>
                    <a:prstGeom prst="rect">
                      <a:avLst/>
                    </a:prstGeom>
                  </pic:spPr>
                </pic:pic>
              </a:graphicData>
            </a:graphic>
          </wp:anchor>
        </w:drawing>
      </w:r>
    </w:p>
    <w:p w14:paraId="1B27CDC3">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p>
    <w:p w14:paraId="08D33D49">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p>
    <w:p w14:paraId="76B936D3">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p>
    <w:p w14:paraId="2F72E5A5">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p>
    <w:p w14:paraId="4C46384C">
      <w:pPr>
        <w:pStyle w:val="16"/>
        <w:keepNext w:val="0"/>
        <w:keepLines w:val="0"/>
        <w:pageBreakBefore w:val="0"/>
        <w:widowControl w:val="0"/>
        <w:kinsoku/>
        <w:wordWrap/>
        <w:overflowPunct/>
        <w:topLinePunct w:val="0"/>
        <w:autoSpaceDE/>
        <w:autoSpaceDN/>
        <w:bidi w:val="0"/>
        <w:adjustRightInd/>
        <w:snapToGrid/>
        <w:spacing w:afterAutospacing="0" w:line="576" w:lineRule="exact"/>
        <w:jc w:val="center"/>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sz w:val="28"/>
          <w:szCs w:val="28"/>
          <w:shd w:val="clear" w:color="auto" w:fill="FFFFFF"/>
          <w:lang w:val="en-US" w:eastAsia="zh-CN"/>
        </w:rPr>
        <w:t>（图5：一般公共预算财政拨款支出决算变动情况）（柱状图）</w:t>
      </w:r>
    </w:p>
    <w:p w14:paraId="7B0E82C8">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3"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Style w:val="13"/>
          <w:rFonts w:hint="default" w:ascii="Times New Roman" w:hAnsi="Times New Roman" w:eastAsia="楷体_GB2312" w:cs="Times New Roman"/>
          <w:sz w:val="32"/>
          <w:szCs w:val="32"/>
          <w:shd w:val="clear" w:color="auto" w:fill="FFFFFF"/>
          <w:lang w:val="en-US" w:eastAsia="zh-CN"/>
        </w:rPr>
        <w:t>（二）</w:t>
      </w:r>
      <w:r>
        <w:rPr>
          <w:rStyle w:val="13"/>
          <w:rFonts w:hint="default" w:ascii="Times New Roman" w:hAnsi="Times New Roman" w:eastAsia="楷体_GB2312" w:cs="Times New Roman"/>
          <w:sz w:val="32"/>
          <w:szCs w:val="32"/>
          <w:shd w:val="clear" w:color="auto" w:fill="FFFFFF"/>
        </w:rPr>
        <w:t>一般公共预算财政拨款支出决算结构情况</w:t>
      </w:r>
    </w:p>
    <w:p w14:paraId="5B1CC8E4">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2024年度一般公共预算财政拨款支出5309.83万元，主要用于以下方面：一般公共服务支出2505.34万元，占47.18%；社会保障和就业支出180.89万元，占3.41%；卫生健康支出67.14万元，占1.26%；节能环保支出139.36万元，占2.62%；城乡社区支出613.57万元，占11.56%；农林水支出1709.58万元，占32.20%；住房保障支出93.94万元，占1.77%。</w:t>
      </w:r>
    </w:p>
    <w:p w14:paraId="628B2C9E">
      <w:pPr>
        <w:pStyle w:val="16"/>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drawing>
          <wp:anchor distT="0" distB="0" distL="114300" distR="114300" simplePos="0" relativeHeight="251661312" behindDoc="0" locked="0" layoutInCell="1" allowOverlap="1">
            <wp:simplePos x="0" y="0"/>
            <wp:positionH relativeFrom="column">
              <wp:posOffset>587375</wp:posOffset>
            </wp:positionH>
            <wp:positionV relativeFrom="paragraph">
              <wp:posOffset>60960</wp:posOffset>
            </wp:positionV>
            <wp:extent cx="4171950" cy="2162175"/>
            <wp:effectExtent l="0" t="0" r="0" b="9525"/>
            <wp:wrapNone/>
            <wp:docPr id="10" name="图片 10"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6"/>
                    <pic:cNvPicPr>
                      <a:picLocks noChangeAspect="1"/>
                    </pic:cNvPicPr>
                  </pic:nvPicPr>
                  <pic:blipFill>
                    <a:blip r:embed="rId12"/>
                    <a:stretch>
                      <a:fillRect/>
                    </a:stretch>
                  </pic:blipFill>
                  <pic:spPr>
                    <a:xfrm>
                      <a:off x="0" y="0"/>
                      <a:ext cx="4171950" cy="2162175"/>
                    </a:xfrm>
                    <a:prstGeom prst="rect">
                      <a:avLst/>
                    </a:prstGeom>
                  </pic:spPr>
                </pic:pic>
              </a:graphicData>
            </a:graphic>
          </wp:anchor>
        </w:drawing>
      </w:r>
    </w:p>
    <w:p w14:paraId="2EE932DF">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p>
    <w:p w14:paraId="5A2C6D1D">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p>
    <w:p w14:paraId="613E97A7">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p>
    <w:p w14:paraId="490D4F9E">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p>
    <w:p w14:paraId="2C619293">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p>
    <w:p w14:paraId="53323AF3">
      <w:pPr>
        <w:pStyle w:val="16"/>
        <w:keepNext w:val="0"/>
        <w:keepLines w:val="0"/>
        <w:pageBreakBefore w:val="0"/>
        <w:widowControl w:val="0"/>
        <w:kinsoku/>
        <w:wordWrap/>
        <w:overflowPunct/>
        <w:topLinePunct w:val="0"/>
        <w:autoSpaceDE/>
        <w:autoSpaceDN/>
        <w:bidi w:val="0"/>
        <w:adjustRightInd/>
        <w:snapToGrid/>
        <w:spacing w:afterAutospacing="0" w:line="576" w:lineRule="exact"/>
        <w:jc w:val="center"/>
        <w:textAlignment w:val="baseline"/>
        <w:rPr>
          <w:rFonts w:hint="default" w:ascii="Times New Roman" w:hAnsi="Times New Roman" w:eastAsia="仿宋_GB2312" w:cs="Times New Roman"/>
          <w:sz w:val="28"/>
          <w:szCs w:val="28"/>
          <w:shd w:val="clear" w:color="auto" w:fill="FFFFFF"/>
          <w:lang w:val="en-US" w:eastAsia="zh-CN"/>
        </w:rPr>
      </w:pPr>
      <w:r>
        <w:rPr>
          <w:rFonts w:hint="default" w:ascii="Times New Roman" w:hAnsi="Times New Roman" w:eastAsia="仿宋_GB2312" w:cs="Times New Roman"/>
          <w:sz w:val="28"/>
          <w:szCs w:val="28"/>
          <w:shd w:val="clear" w:color="auto" w:fill="FFFFFF"/>
          <w:lang w:val="en-US" w:eastAsia="zh-CN"/>
        </w:rPr>
        <w:t>（图6：一般公共预算财政拨款支出决算结构）（饼状图）</w:t>
      </w:r>
    </w:p>
    <w:p w14:paraId="20D51299">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3"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Style w:val="13"/>
          <w:rFonts w:hint="default" w:ascii="Times New Roman" w:hAnsi="Times New Roman" w:eastAsia="楷体_GB2312" w:cs="Times New Roman"/>
          <w:sz w:val="32"/>
          <w:szCs w:val="32"/>
          <w:shd w:val="clear" w:color="auto" w:fill="FFFFFF"/>
        </w:rPr>
        <w:t>（三）一般公共预算财政拨款支出决算具体情况</w:t>
      </w:r>
    </w:p>
    <w:p w14:paraId="4E887E00">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2024年度一般公共预算支出决算数为5309.83万元，完成预算100%。其中：</w:t>
      </w:r>
    </w:p>
    <w:p w14:paraId="70B9EA97">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3"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楷体_GB2312" w:cs="Times New Roman"/>
          <w:b/>
          <w:bCs/>
          <w:kern w:val="0"/>
          <w:sz w:val="32"/>
          <w:szCs w:val="32"/>
          <w:shd w:val="clear" w:color="auto" w:fill="FFFFFF"/>
          <w:lang w:val="en-US" w:eastAsia="zh-CN" w:bidi="ar"/>
        </w:rPr>
        <w:t>1.一般公共服务（201）</w:t>
      </w:r>
      <w:r>
        <w:rPr>
          <w:rFonts w:hint="default" w:ascii="Times New Roman" w:hAnsi="Times New Roman" w:eastAsia="仿宋_GB2312" w:cs="Times New Roman"/>
          <w:kern w:val="0"/>
          <w:sz w:val="32"/>
          <w:szCs w:val="32"/>
          <w:shd w:val="clear" w:color="auto" w:fill="FFFFFF"/>
          <w:lang w:val="en-US" w:eastAsia="zh-CN" w:bidi="ar"/>
        </w:rPr>
        <w:t>：支出决算为2505.34万元，完成预算100%，决算数与预算数持平。</w:t>
      </w:r>
    </w:p>
    <w:p w14:paraId="4F8552F7">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（1）代表工作（2010108）：支出决算为0.88万元，完成预算100%，决算数与预算数持平。</w:t>
      </w:r>
    </w:p>
    <w:p w14:paraId="261BD7AD">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（2）行政运行（2010301）：支出决算为982.92万元，完成预算100%，决算数与预算数持平。</w:t>
      </w:r>
    </w:p>
    <w:p w14:paraId="3BF56A05">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（3）一般行政管理事务（2010201）：支出决算为1297.13万元，完成预算100%，决算数与预算数持平。</w:t>
      </w:r>
    </w:p>
    <w:p w14:paraId="1A50264B">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（4）其他政府办公厅（室）及相关机构事务支出（2010399）：支出决算为192.42万元，完成预算100%，决算数与预算数持平。</w:t>
      </w:r>
    </w:p>
    <w:p w14:paraId="5B5C0B0B">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（5）其他一般公共服务支出（2019999）：支出决算为31.99万元，完成预算100%，决算数与预算数持平。</w:t>
      </w:r>
    </w:p>
    <w:p w14:paraId="12A73408">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3"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楷体_GB2312" w:cs="Times New Roman"/>
          <w:b/>
          <w:bCs/>
          <w:kern w:val="0"/>
          <w:sz w:val="32"/>
          <w:szCs w:val="32"/>
          <w:shd w:val="clear" w:color="auto" w:fill="FFFFFF"/>
          <w:lang w:val="en-US" w:eastAsia="zh-CN" w:bidi="ar"/>
        </w:rPr>
        <w:t>2.社会保障和就业支出（208）</w:t>
      </w:r>
      <w:r>
        <w:rPr>
          <w:rFonts w:hint="default" w:ascii="Times New Roman" w:hAnsi="Times New Roman" w:eastAsia="仿宋_GB2312" w:cs="Times New Roman"/>
          <w:kern w:val="0"/>
          <w:sz w:val="32"/>
          <w:szCs w:val="32"/>
          <w:shd w:val="clear" w:color="auto" w:fill="FFFFFF"/>
          <w:lang w:val="en-US" w:eastAsia="zh-CN" w:bidi="ar"/>
        </w:rPr>
        <w:t>：支出决算为180.89万元，完成预算100%，决算数与预算数持平。</w:t>
      </w:r>
    </w:p>
    <w:p w14:paraId="4AF0B327">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（1）机关事业单位基本养老保险缴费支出（2080505）：支出决算为108.62万元，完成预算100%，决算数与预算数持平。</w:t>
      </w:r>
    </w:p>
    <w:p w14:paraId="43A063C7">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（2）机关事业单位职业年金缴费支出（2080506）：支出决算为72.28万元，完成预算100%，决算数与预算数持平。</w:t>
      </w:r>
    </w:p>
    <w:p w14:paraId="3FB48C46">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3"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楷体_GB2312" w:cs="Times New Roman"/>
          <w:b/>
          <w:bCs/>
          <w:kern w:val="0"/>
          <w:sz w:val="32"/>
          <w:szCs w:val="32"/>
          <w:shd w:val="clear" w:color="auto" w:fill="FFFFFF"/>
          <w:lang w:val="en-US" w:eastAsia="zh-CN" w:bidi="ar"/>
        </w:rPr>
        <w:t>3.卫生健康支出（210）</w:t>
      </w:r>
      <w:r>
        <w:rPr>
          <w:rFonts w:hint="default" w:ascii="Times New Roman" w:hAnsi="Times New Roman" w:eastAsia="仿宋_GB2312" w:cs="Times New Roman"/>
          <w:kern w:val="0"/>
          <w:sz w:val="32"/>
          <w:szCs w:val="32"/>
          <w:shd w:val="clear" w:color="auto" w:fill="FFFFFF"/>
          <w:lang w:val="en-US" w:eastAsia="zh-CN" w:bidi="ar"/>
        </w:rPr>
        <w:t>： 支出决算为67.14万元，完成预算100%，决算数与预算数持平。</w:t>
      </w:r>
    </w:p>
    <w:p w14:paraId="70466146">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（1）行政单位医疗（2101101）：支出决算为52.10万元，完成预算100%，决算数与预算数持平。</w:t>
      </w:r>
    </w:p>
    <w:p w14:paraId="291786CF">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（2）公务员医疗补助（2101103）：支出决算为15.04万元，完成预算100%，决算数与预算数持平。</w:t>
      </w:r>
    </w:p>
    <w:p w14:paraId="7C8754B0">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3"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楷体_GB2312" w:cs="Times New Roman"/>
          <w:b/>
          <w:bCs/>
          <w:kern w:val="0"/>
          <w:sz w:val="32"/>
          <w:szCs w:val="32"/>
          <w:shd w:val="clear" w:color="auto" w:fill="FFFFFF"/>
          <w:lang w:val="en-US" w:eastAsia="zh-CN" w:bidi="ar"/>
        </w:rPr>
        <w:t>4.节能环保支出（211）</w:t>
      </w:r>
      <w:r>
        <w:rPr>
          <w:rFonts w:hint="default" w:ascii="Times New Roman" w:hAnsi="Times New Roman" w:eastAsia="仿宋_GB2312" w:cs="Times New Roman"/>
          <w:kern w:val="0"/>
          <w:sz w:val="32"/>
          <w:szCs w:val="32"/>
          <w:shd w:val="clear" w:color="auto" w:fill="FFFFFF"/>
          <w:lang w:val="en-US" w:eastAsia="zh-CN" w:bidi="ar"/>
        </w:rPr>
        <w:t>：支出决算为139.36万元，完成预算100%，决算数与预算数持平。</w:t>
      </w:r>
    </w:p>
    <w:p w14:paraId="55C62E7E">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（1）农村环境保护（2110402）：支出决算为1.08万元，完成预算100%，决算数与预算数持平。</w:t>
      </w:r>
    </w:p>
    <w:p w14:paraId="57BF5963">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（2）其他节能环保支出（2119999）：支出决算为138.28万元，完成预算100%，决算数与预算数持平。</w:t>
      </w:r>
    </w:p>
    <w:p w14:paraId="0923116B">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3"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楷体_GB2312" w:cs="Times New Roman"/>
          <w:b/>
          <w:bCs/>
          <w:kern w:val="0"/>
          <w:sz w:val="32"/>
          <w:szCs w:val="32"/>
          <w:shd w:val="clear" w:color="auto" w:fill="FFFFFF"/>
          <w:lang w:val="en-US" w:eastAsia="zh-CN" w:bidi="ar"/>
        </w:rPr>
        <w:t>5.城乡社区支出（212）</w:t>
      </w:r>
      <w:r>
        <w:rPr>
          <w:rFonts w:hint="default" w:ascii="Times New Roman" w:hAnsi="Times New Roman" w:eastAsia="仿宋_GB2312" w:cs="Times New Roman"/>
          <w:kern w:val="0"/>
          <w:sz w:val="32"/>
          <w:szCs w:val="32"/>
          <w:shd w:val="clear" w:color="auto" w:fill="FFFFFF"/>
          <w:lang w:val="en-US" w:eastAsia="zh-CN" w:bidi="ar"/>
        </w:rPr>
        <w:t>：支出决算为613.57万元，完成预算100%，决算数与预算数持平。</w:t>
      </w:r>
    </w:p>
    <w:p w14:paraId="2C4B33C6">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（1）城乡社区环境卫生（2120501）：支出决算为613.57万元，完成预算100%，决算数与预算数持平。</w:t>
      </w:r>
    </w:p>
    <w:p w14:paraId="0BD7D9BB">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3"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楷体_GB2312" w:cs="Times New Roman"/>
          <w:b/>
          <w:bCs/>
          <w:kern w:val="0"/>
          <w:sz w:val="32"/>
          <w:szCs w:val="32"/>
          <w:shd w:val="clear" w:color="auto" w:fill="FFFFFF"/>
          <w:lang w:val="en-US" w:eastAsia="zh-CN" w:bidi="ar"/>
        </w:rPr>
        <w:t>6.农林水支出（213）</w:t>
      </w:r>
      <w:r>
        <w:rPr>
          <w:rFonts w:hint="default" w:ascii="Times New Roman" w:hAnsi="Times New Roman" w:eastAsia="仿宋_GB2312" w:cs="Times New Roman"/>
          <w:kern w:val="0"/>
          <w:sz w:val="32"/>
          <w:szCs w:val="32"/>
          <w:shd w:val="clear" w:color="auto" w:fill="FFFFFF"/>
          <w:lang w:val="en-US" w:eastAsia="zh-CN" w:bidi="ar"/>
        </w:rPr>
        <w:t>：支出决算为1709.58万元，完成预算100%，决算数与预算数持平。</w:t>
      </w:r>
    </w:p>
    <w:p w14:paraId="32656434">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（1）其他农业农村支出（2130199）：支出决算为31.82万元，完成预算100%，决算数与预算数持平。</w:t>
      </w:r>
    </w:p>
    <w:p w14:paraId="59851693">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（2）农村基础设施建设（2130504）：支出决算为638.02万元，完成预算100%，决算数与预算数持平。</w:t>
      </w:r>
    </w:p>
    <w:p w14:paraId="69DD00CD">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（3）其他巩固脱贫衔接乡村振兴支出（2130599）：支出决算为201.59万元，完成预算100%，决算数与预算数持平。</w:t>
      </w:r>
    </w:p>
    <w:p w14:paraId="251F9E68">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（4）对村民委员会和村党支部的补助（2130705）：支出决算为838.15万元，完成预算100%，决算数与预算数持平。</w:t>
      </w:r>
    </w:p>
    <w:p w14:paraId="075A0C57">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3"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楷体_GB2312" w:cs="Times New Roman"/>
          <w:b/>
          <w:bCs/>
          <w:kern w:val="0"/>
          <w:sz w:val="32"/>
          <w:szCs w:val="32"/>
          <w:shd w:val="clear" w:color="auto" w:fill="FFFFFF"/>
          <w:lang w:val="en-US" w:eastAsia="zh-CN" w:bidi="ar"/>
        </w:rPr>
        <w:t>7.住房保障支出（221）</w:t>
      </w:r>
      <w:r>
        <w:rPr>
          <w:rFonts w:hint="default" w:ascii="Times New Roman" w:hAnsi="Times New Roman" w:eastAsia="仿宋_GB2312" w:cs="Times New Roman"/>
          <w:kern w:val="0"/>
          <w:sz w:val="32"/>
          <w:szCs w:val="32"/>
          <w:shd w:val="clear" w:color="auto" w:fill="FFFFFF"/>
          <w:lang w:val="en-US" w:eastAsia="zh-CN" w:bidi="ar"/>
        </w:rPr>
        <w:t>：支出决算为93.94万元，完成预算100%，决算数与预算数持平。</w:t>
      </w:r>
    </w:p>
    <w:p w14:paraId="6151BF35">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（1）住房公积金（2210201）：支出决算为93.94万元，完成预算100%，决算数与预算数持平。</w:t>
      </w:r>
    </w:p>
    <w:p w14:paraId="785816CB">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黑体" w:cs="Times New Roman"/>
          <w:kern w:val="0"/>
          <w:sz w:val="32"/>
          <w:szCs w:val="32"/>
          <w:shd w:val="clear" w:color="auto" w:fill="FFFFFF"/>
          <w:lang w:val="en-US" w:eastAsia="zh-CN" w:bidi="ar"/>
        </w:rPr>
      </w:pPr>
      <w:r>
        <w:rPr>
          <w:rFonts w:hint="default" w:ascii="Times New Roman" w:hAnsi="Times New Roman" w:eastAsia="黑体" w:cs="Times New Roman"/>
          <w:kern w:val="0"/>
          <w:sz w:val="32"/>
          <w:szCs w:val="32"/>
          <w:shd w:val="clear" w:color="auto" w:fill="FFFFFF"/>
          <w:lang w:val="en-US" w:eastAsia="zh-CN" w:bidi="ar"/>
        </w:rPr>
        <w:t>六、一般公共预算财政拨款基本支出决算情况说明</w:t>
      </w:r>
    </w:p>
    <w:p w14:paraId="74A14853">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2024年度一般公共预算财政拨款基本支出</w:t>
      </w:r>
      <w:r>
        <w:rPr>
          <w:rFonts w:hint="eastAsia" w:ascii="Times New Roman" w:hAnsi="Times New Roman" w:eastAsia="仿宋_GB2312" w:cs="Times New Roman"/>
          <w:kern w:val="0"/>
          <w:sz w:val="32"/>
          <w:szCs w:val="32"/>
          <w:shd w:val="clear" w:color="auto" w:fill="FFFFFF"/>
          <w:lang w:val="en-US" w:eastAsia="zh-CN" w:bidi="ar"/>
        </w:rPr>
        <w:t>1406.26</w:t>
      </w:r>
      <w:r>
        <w:rPr>
          <w:rFonts w:hint="default" w:ascii="Times New Roman" w:hAnsi="Times New Roman" w:eastAsia="仿宋_GB2312" w:cs="Times New Roman"/>
          <w:kern w:val="0"/>
          <w:sz w:val="32"/>
          <w:szCs w:val="32"/>
          <w:shd w:val="clear" w:color="auto" w:fill="FFFFFF"/>
          <w:lang w:val="en-US" w:eastAsia="zh-CN" w:bidi="ar"/>
        </w:rPr>
        <w:t>万元，其中：</w:t>
      </w:r>
    </w:p>
    <w:p w14:paraId="503C3925">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人员经费1306.26万元，主要包括：基本工资</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津贴补贴</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奖金</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伙食补助费</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绩效工资</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机关事业单位基本养老保险缴费</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职业年金缴费</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职工基本医疗保险缴费</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公务员医疗补助缴费</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其他社会保障缴费</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住房公积金</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医疗费</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其他工资福利支出</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离休费</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退休费</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退职（役）费</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抚恤金</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生活补助</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救济费</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医疗费补助</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助学金</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奖励金</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个人农业生产补贴</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代缴社会保险费</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其他对个人和家庭的补助</w:t>
      </w:r>
      <w:r>
        <w:rPr>
          <w:rFonts w:hint="eastAsia" w:ascii="Times New Roman" w:hAnsi="Times New Roman" w:eastAsia="仿宋_GB2312" w:cs="Times New Roman"/>
          <w:kern w:val="0"/>
          <w:sz w:val="32"/>
          <w:szCs w:val="32"/>
          <w:shd w:val="clear" w:color="auto" w:fill="FFFFFF"/>
          <w:lang w:val="en-US" w:eastAsia="zh-CN" w:bidi="ar"/>
        </w:rPr>
        <w:t>等。</w:t>
      </w:r>
    </w:p>
    <w:p w14:paraId="5137F34A">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公用经费100.00万元，主要包括：办公费</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印刷费</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咨询费</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手续费</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水费</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电费</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邮电费</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取暖费</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物业管理费</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差旅费</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因公出国（境）费用</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维修（护）费</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租赁费</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会议费</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培训费</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公务接待费</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专用材料费</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被装购置费</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专用燃料费</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劳务费</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委托业务费</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工会经费</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福利费</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公务用车运行维护费</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其他交通费用</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税金及附加费用</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其他商品和服务支出</w:t>
      </w:r>
      <w:r>
        <w:rPr>
          <w:rFonts w:hint="eastAsia" w:ascii="Times New Roman" w:hAnsi="Times New Roman" w:eastAsia="仿宋_GB2312" w:cs="Times New Roman"/>
          <w:kern w:val="0"/>
          <w:sz w:val="32"/>
          <w:szCs w:val="32"/>
          <w:shd w:val="clear" w:color="auto" w:fill="FFFFFF"/>
          <w:lang w:val="en-US" w:eastAsia="zh-CN" w:bidi="ar"/>
        </w:rPr>
        <w:t>等。</w:t>
      </w:r>
    </w:p>
    <w:p w14:paraId="33134A1A">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eastAsia" w:ascii="黑体" w:hAnsi="黑体" w:eastAsia="黑体" w:cs="黑体"/>
          <w:kern w:val="0"/>
          <w:sz w:val="32"/>
          <w:szCs w:val="32"/>
          <w:shd w:val="clear" w:color="auto" w:fill="FFFFFF"/>
          <w:lang w:val="en-US" w:eastAsia="zh-CN" w:bidi="ar"/>
        </w:rPr>
      </w:pPr>
      <w:bookmarkStart w:id="20" w:name="_Toc15275"/>
      <w:bookmarkStart w:id="21" w:name="_Toc17459"/>
      <w:r>
        <w:rPr>
          <w:rFonts w:hint="eastAsia" w:ascii="黑体" w:hAnsi="黑体" w:eastAsia="黑体" w:cs="黑体"/>
          <w:kern w:val="0"/>
          <w:sz w:val="32"/>
          <w:szCs w:val="32"/>
          <w:shd w:val="clear" w:color="auto" w:fill="FFFFFF"/>
          <w:lang w:val="en-US" w:eastAsia="zh-CN" w:bidi="ar"/>
        </w:rPr>
        <w:t>七、“三公”经费财政拨款支出决算情况说明</w:t>
      </w:r>
      <w:bookmarkEnd w:id="20"/>
      <w:bookmarkEnd w:id="21"/>
    </w:p>
    <w:p w14:paraId="4FA77C09">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3" w:firstLineChars="200"/>
        <w:textAlignment w:val="baseline"/>
        <w:rPr>
          <w:rFonts w:hint="eastAsia" w:ascii="楷体_GB2312" w:hAnsi="楷体_GB2312" w:eastAsia="楷体_GB2312" w:cs="楷体_GB2312"/>
          <w:b/>
          <w:bCs/>
          <w:kern w:val="0"/>
          <w:sz w:val="32"/>
          <w:szCs w:val="32"/>
          <w:shd w:val="clear" w:color="auto" w:fill="FFFFFF"/>
          <w:lang w:val="en-US" w:eastAsia="zh-CN" w:bidi="ar"/>
        </w:rPr>
      </w:pPr>
      <w:r>
        <w:rPr>
          <w:rFonts w:hint="eastAsia" w:ascii="楷体_GB2312" w:hAnsi="楷体_GB2312" w:eastAsia="楷体_GB2312" w:cs="楷体_GB2312"/>
          <w:b/>
          <w:bCs/>
          <w:kern w:val="0"/>
          <w:sz w:val="32"/>
          <w:szCs w:val="32"/>
          <w:shd w:val="clear" w:color="auto" w:fill="FFFFFF"/>
          <w:lang w:val="en-US" w:eastAsia="zh-CN" w:bidi="ar"/>
        </w:rPr>
        <w:t>（一）“三公”经费财政拨款支出决算总体情况说明</w:t>
      </w:r>
    </w:p>
    <w:p w14:paraId="1CE2BEB2">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2024年度“三公”经费财政拨款支出决算为8.81万元，完成预算100.00%，决算数与预算数持平。</w:t>
      </w:r>
    </w:p>
    <w:p w14:paraId="3F988C0C">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3" w:firstLineChars="200"/>
        <w:textAlignment w:val="baseline"/>
        <w:rPr>
          <w:rFonts w:hint="default" w:ascii="楷体_GB2312" w:hAnsi="楷体_GB2312" w:eastAsia="楷体_GB2312" w:cs="楷体_GB2312"/>
          <w:b/>
          <w:bCs/>
          <w:kern w:val="0"/>
          <w:sz w:val="32"/>
          <w:szCs w:val="32"/>
          <w:shd w:val="clear" w:color="auto" w:fill="FFFFFF"/>
          <w:lang w:val="en-US" w:eastAsia="zh-CN" w:bidi="ar"/>
        </w:rPr>
      </w:pPr>
      <w:r>
        <w:rPr>
          <w:rFonts w:hint="default" w:ascii="楷体_GB2312" w:hAnsi="楷体_GB2312" w:eastAsia="楷体_GB2312" w:cs="楷体_GB2312"/>
          <w:b/>
          <w:bCs/>
          <w:kern w:val="0"/>
          <w:sz w:val="32"/>
          <w:szCs w:val="32"/>
          <w:shd w:val="clear" w:color="auto" w:fill="FFFFFF"/>
          <w:lang w:val="en-US" w:eastAsia="zh-CN" w:bidi="ar"/>
        </w:rPr>
        <w:t>（二）“三公”经费财政拨款支出决算具体情况说明</w:t>
      </w:r>
    </w:p>
    <w:p w14:paraId="76DA8770">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2024年度“三公”经费财政拨款支出决算中，因公出国（境）费支出决算0.00万元，占0.00%；公务用车运行维护费支出决算8.81万元，占100.00%；公务接待费支出决算0.00万元，占0.00%。具体情况如下：</w:t>
      </w:r>
    </w:p>
    <w:p w14:paraId="667CB2F5">
      <w:pPr>
        <w:pStyle w:val="16"/>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drawing>
          <wp:anchor distT="0" distB="0" distL="114300" distR="114300" simplePos="0" relativeHeight="251660288" behindDoc="0" locked="0" layoutInCell="1" allowOverlap="1">
            <wp:simplePos x="0" y="0"/>
            <wp:positionH relativeFrom="column">
              <wp:posOffset>854075</wp:posOffset>
            </wp:positionH>
            <wp:positionV relativeFrom="paragraph">
              <wp:posOffset>193675</wp:posOffset>
            </wp:positionV>
            <wp:extent cx="3743325" cy="1991360"/>
            <wp:effectExtent l="0" t="0" r="9525" b="8890"/>
            <wp:wrapNone/>
            <wp:docPr id="9" name="图片 9"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7"/>
                    <pic:cNvPicPr>
                      <a:picLocks noChangeAspect="1"/>
                    </pic:cNvPicPr>
                  </pic:nvPicPr>
                  <pic:blipFill>
                    <a:blip r:embed="rId13"/>
                    <a:stretch>
                      <a:fillRect/>
                    </a:stretch>
                  </pic:blipFill>
                  <pic:spPr>
                    <a:xfrm>
                      <a:off x="0" y="0"/>
                      <a:ext cx="3743325" cy="1991360"/>
                    </a:xfrm>
                    <a:prstGeom prst="rect">
                      <a:avLst/>
                    </a:prstGeom>
                  </pic:spPr>
                </pic:pic>
              </a:graphicData>
            </a:graphic>
          </wp:anchor>
        </w:drawing>
      </w:r>
    </w:p>
    <w:p w14:paraId="03368C3B">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p>
    <w:p w14:paraId="6B165C22">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p>
    <w:p w14:paraId="0C0F00FE">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p>
    <w:p w14:paraId="5FBE577E">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p>
    <w:p w14:paraId="33625DF6">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p>
    <w:p w14:paraId="6DB6A52D">
      <w:pPr>
        <w:pStyle w:val="16"/>
        <w:keepNext w:val="0"/>
        <w:keepLines w:val="0"/>
        <w:pageBreakBefore w:val="0"/>
        <w:widowControl w:val="0"/>
        <w:kinsoku/>
        <w:wordWrap/>
        <w:overflowPunct/>
        <w:topLinePunct w:val="0"/>
        <w:autoSpaceDE/>
        <w:autoSpaceDN/>
        <w:bidi w:val="0"/>
        <w:adjustRightInd/>
        <w:snapToGrid/>
        <w:spacing w:afterAutospacing="0" w:line="576" w:lineRule="exact"/>
        <w:jc w:val="center"/>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28"/>
          <w:szCs w:val="28"/>
          <w:shd w:val="clear" w:color="auto" w:fill="FFFFFF"/>
          <w:lang w:val="en-US" w:eastAsia="zh-CN" w:bidi="ar"/>
        </w:rPr>
        <w:t>（图7：“三公”经费财政拨款支出结构）（饼状图）</w:t>
      </w:r>
    </w:p>
    <w:p w14:paraId="6A5C6319">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1.因公出国（境）经费支出0.00万元，完成预算0.00%。全年安排因公出国（境）团组0次，出国（境）0人。因公出国（境）支出决算比202</w:t>
      </w:r>
      <w:r>
        <w:rPr>
          <w:rFonts w:hint="eastAsia" w:ascii="Times New Roman" w:hAnsi="Times New Roman" w:eastAsia="仿宋_GB2312" w:cs="Times New Roman"/>
          <w:kern w:val="0"/>
          <w:sz w:val="32"/>
          <w:szCs w:val="32"/>
          <w:shd w:val="clear" w:color="auto" w:fill="FFFFFF"/>
          <w:lang w:val="en-US" w:eastAsia="zh-CN" w:bidi="ar"/>
        </w:rPr>
        <w:t>3</w:t>
      </w:r>
      <w:r>
        <w:rPr>
          <w:rFonts w:hint="default" w:ascii="Times New Roman" w:hAnsi="Times New Roman" w:eastAsia="仿宋_GB2312" w:cs="Times New Roman"/>
          <w:kern w:val="0"/>
          <w:sz w:val="32"/>
          <w:szCs w:val="32"/>
          <w:shd w:val="clear" w:color="auto" w:fill="FFFFFF"/>
          <w:lang w:val="en-US" w:eastAsia="zh-CN" w:bidi="ar"/>
        </w:rPr>
        <w:t>年增加0.00万元，增长0.00%。</w:t>
      </w:r>
    </w:p>
    <w:p w14:paraId="3A06C323">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2.公务用车购置及运行维护费支出</w:t>
      </w:r>
      <w:r>
        <w:rPr>
          <w:rFonts w:hint="eastAsia" w:ascii="Times New Roman" w:hAnsi="Times New Roman" w:eastAsia="仿宋_GB2312" w:cs="Times New Roman"/>
          <w:kern w:val="0"/>
          <w:sz w:val="32"/>
          <w:szCs w:val="32"/>
          <w:shd w:val="clear" w:color="auto" w:fill="FFFFFF"/>
          <w:lang w:val="en-US" w:eastAsia="zh-CN" w:bidi="ar"/>
        </w:rPr>
        <w:t>8.81</w:t>
      </w:r>
      <w:r>
        <w:rPr>
          <w:rFonts w:hint="default" w:ascii="Times New Roman" w:hAnsi="Times New Roman" w:eastAsia="仿宋_GB2312" w:cs="Times New Roman"/>
          <w:kern w:val="0"/>
          <w:sz w:val="32"/>
          <w:szCs w:val="32"/>
          <w:shd w:val="clear" w:color="auto" w:fill="FFFFFF"/>
          <w:lang w:val="en-US" w:eastAsia="zh-CN" w:bidi="ar"/>
        </w:rPr>
        <w:t>万元，完成预算100.00%。公务用车购置及运行维护费支出决算比2023年</w:t>
      </w:r>
      <w:r>
        <w:rPr>
          <w:rFonts w:hint="eastAsia" w:ascii="Times New Roman" w:hAnsi="Times New Roman" w:eastAsia="仿宋_GB2312" w:cs="Times New Roman"/>
          <w:kern w:val="0"/>
          <w:sz w:val="32"/>
          <w:szCs w:val="32"/>
          <w:shd w:val="clear" w:color="auto" w:fill="FFFFFF"/>
          <w:lang w:val="en-US" w:eastAsia="zh-CN" w:bidi="ar"/>
        </w:rPr>
        <w:t>减少1.38</w:t>
      </w:r>
      <w:r>
        <w:rPr>
          <w:rFonts w:hint="default" w:ascii="Times New Roman" w:hAnsi="Times New Roman" w:eastAsia="仿宋_GB2312" w:cs="Times New Roman"/>
          <w:kern w:val="0"/>
          <w:sz w:val="32"/>
          <w:szCs w:val="32"/>
          <w:shd w:val="clear" w:color="auto" w:fill="FFFFFF"/>
          <w:lang w:val="en-US" w:eastAsia="zh-CN" w:bidi="ar"/>
        </w:rPr>
        <w:t>万元，</w:t>
      </w:r>
      <w:r>
        <w:rPr>
          <w:rFonts w:hint="eastAsia" w:ascii="Times New Roman" w:hAnsi="Times New Roman" w:eastAsia="仿宋_GB2312" w:cs="Times New Roman"/>
          <w:kern w:val="0"/>
          <w:sz w:val="32"/>
          <w:szCs w:val="32"/>
          <w:shd w:val="clear" w:color="auto" w:fill="FFFFFF"/>
          <w:lang w:val="en-US" w:eastAsia="zh-CN" w:bidi="ar"/>
        </w:rPr>
        <w:t>减少15.66</w:t>
      </w:r>
      <w:r>
        <w:rPr>
          <w:rFonts w:hint="default" w:ascii="Times New Roman" w:hAnsi="Times New Roman" w:eastAsia="仿宋_GB2312" w:cs="Times New Roman"/>
          <w:kern w:val="0"/>
          <w:sz w:val="32"/>
          <w:szCs w:val="32"/>
          <w:shd w:val="clear" w:color="auto" w:fill="FFFFFF"/>
          <w:lang w:val="en-US" w:eastAsia="zh-CN" w:bidi="ar"/>
        </w:rPr>
        <w:t>%。主要原因是公务用车运行费</w:t>
      </w:r>
      <w:r>
        <w:rPr>
          <w:rFonts w:hint="eastAsia" w:ascii="Times New Roman" w:hAnsi="Times New Roman" w:eastAsia="仿宋_GB2312" w:cs="Times New Roman"/>
          <w:kern w:val="0"/>
          <w:sz w:val="32"/>
          <w:szCs w:val="32"/>
          <w:shd w:val="clear" w:color="auto" w:fill="FFFFFF"/>
          <w:lang w:val="en-US" w:eastAsia="zh-CN" w:bidi="ar"/>
        </w:rPr>
        <w:t>减少</w:t>
      </w:r>
      <w:r>
        <w:rPr>
          <w:rFonts w:hint="default" w:ascii="Times New Roman" w:hAnsi="Times New Roman" w:eastAsia="仿宋_GB2312" w:cs="Times New Roman"/>
          <w:kern w:val="0"/>
          <w:sz w:val="32"/>
          <w:szCs w:val="32"/>
          <w:shd w:val="clear" w:color="auto" w:fill="FFFFFF"/>
          <w:lang w:val="en-US" w:eastAsia="zh-CN" w:bidi="ar"/>
        </w:rPr>
        <w:t>。</w:t>
      </w:r>
    </w:p>
    <w:p w14:paraId="76716C7D">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其中：公务用车购置支出0.00万元。全年按规定更新购置公务用车0辆，其中：轿车0辆、金额0万元，越野车0辆、金额0万元，载客汽车0辆、金额0万元。截至2024年12月底，单位共有公务用车</w:t>
      </w:r>
      <w:r>
        <w:rPr>
          <w:rFonts w:hint="eastAsia" w:ascii="Times New Roman" w:hAnsi="Times New Roman" w:eastAsia="仿宋_GB2312" w:cs="Times New Roman"/>
          <w:kern w:val="0"/>
          <w:sz w:val="32"/>
          <w:szCs w:val="32"/>
          <w:shd w:val="clear" w:color="auto" w:fill="FFFFFF"/>
          <w:lang w:val="en-US" w:eastAsia="zh-CN" w:bidi="ar"/>
        </w:rPr>
        <w:t>8</w:t>
      </w:r>
      <w:r>
        <w:rPr>
          <w:rFonts w:hint="default" w:ascii="Times New Roman" w:hAnsi="Times New Roman" w:eastAsia="仿宋_GB2312" w:cs="Times New Roman"/>
          <w:kern w:val="0"/>
          <w:sz w:val="32"/>
          <w:szCs w:val="32"/>
          <w:shd w:val="clear" w:color="auto" w:fill="FFFFFF"/>
          <w:lang w:val="en-US" w:eastAsia="zh-CN" w:bidi="ar"/>
        </w:rPr>
        <w:t>辆，其中：轿车</w:t>
      </w:r>
      <w:r>
        <w:rPr>
          <w:rFonts w:hint="eastAsia" w:ascii="Times New Roman" w:hAnsi="Times New Roman" w:eastAsia="仿宋_GB2312" w:cs="Times New Roman"/>
          <w:kern w:val="0"/>
          <w:sz w:val="32"/>
          <w:szCs w:val="32"/>
          <w:shd w:val="clear" w:color="auto" w:fill="FFFFFF"/>
          <w:lang w:val="en-US" w:eastAsia="zh-CN" w:bidi="ar"/>
        </w:rPr>
        <w:t>1</w:t>
      </w:r>
      <w:r>
        <w:rPr>
          <w:rFonts w:hint="default" w:ascii="Times New Roman" w:hAnsi="Times New Roman" w:eastAsia="仿宋_GB2312" w:cs="Times New Roman"/>
          <w:kern w:val="0"/>
          <w:sz w:val="32"/>
          <w:szCs w:val="32"/>
          <w:shd w:val="clear" w:color="auto" w:fill="FFFFFF"/>
          <w:lang w:val="en-US" w:eastAsia="zh-CN" w:bidi="ar"/>
        </w:rPr>
        <w:t>辆、皮卡车</w:t>
      </w:r>
      <w:r>
        <w:rPr>
          <w:rFonts w:hint="eastAsia" w:ascii="Times New Roman" w:hAnsi="Times New Roman" w:eastAsia="仿宋_GB2312" w:cs="Times New Roman"/>
          <w:kern w:val="0"/>
          <w:sz w:val="32"/>
          <w:szCs w:val="32"/>
          <w:shd w:val="clear" w:color="auto" w:fill="FFFFFF"/>
          <w:lang w:val="en-US" w:eastAsia="zh-CN" w:bidi="ar"/>
        </w:rPr>
        <w:t>2辆、</w:t>
      </w:r>
      <w:r>
        <w:rPr>
          <w:rFonts w:hint="default" w:ascii="Times New Roman" w:hAnsi="Times New Roman" w:eastAsia="仿宋_GB2312" w:cs="Times New Roman"/>
          <w:kern w:val="0"/>
          <w:sz w:val="32"/>
          <w:szCs w:val="32"/>
          <w:shd w:val="clear" w:color="auto" w:fill="FFFFFF"/>
          <w:lang w:val="en-US" w:eastAsia="zh-CN" w:bidi="ar"/>
        </w:rPr>
        <w:t>其他车型</w:t>
      </w:r>
      <w:r>
        <w:rPr>
          <w:rFonts w:hint="eastAsia" w:ascii="Times New Roman" w:hAnsi="Times New Roman" w:eastAsia="仿宋_GB2312" w:cs="Times New Roman"/>
          <w:kern w:val="0"/>
          <w:sz w:val="32"/>
          <w:szCs w:val="32"/>
          <w:shd w:val="clear" w:color="auto" w:fill="FFFFFF"/>
          <w:lang w:val="en-US" w:eastAsia="zh-CN" w:bidi="ar"/>
        </w:rPr>
        <w:t>1辆、</w:t>
      </w:r>
      <w:r>
        <w:rPr>
          <w:rFonts w:hint="default" w:ascii="Times New Roman" w:hAnsi="Times New Roman" w:eastAsia="仿宋_GB2312" w:cs="Times New Roman"/>
          <w:kern w:val="0"/>
          <w:sz w:val="32"/>
          <w:szCs w:val="32"/>
          <w:shd w:val="clear" w:color="auto" w:fill="FFFFFF"/>
          <w:lang w:val="en-US" w:eastAsia="zh-CN" w:bidi="ar"/>
        </w:rPr>
        <w:t>城市越野车</w:t>
      </w:r>
      <w:r>
        <w:rPr>
          <w:rFonts w:hint="eastAsia" w:ascii="Times New Roman" w:hAnsi="Times New Roman" w:eastAsia="仿宋_GB2312" w:cs="Times New Roman"/>
          <w:kern w:val="0"/>
          <w:sz w:val="32"/>
          <w:szCs w:val="32"/>
          <w:shd w:val="clear" w:color="auto" w:fill="FFFFFF"/>
          <w:lang w:val="en-US" w:eastAsia="zh-CN" w:bidi="ar"/>
        </w:rPr>
        <w:t>2辆、</w:t>
      </w:r>
      <w:r>
        <w:rPr>
          <w:rFonts w:hint="default" w:ascii="Times New Roman" w:hAnsi="Times New Roman" w:eastAsia="仿宋_GB2312" w:cs="Times New Roman"/>
          <w:kern w:val="0"/>
          <w:sz w:val="32"/>
          <w:szCs w:val="32"/>
          <w:shd w:val="clear" w:color="auto" w:fill="FFFFFF"/>
          <w:lang w:val="en-US" w:eastAsia="zh-CN" w:bidi="ar"/>
        </w:rPr>
        <w:t>消防供水车</w:t>
      </w:r>
      <w:r>
        <w:rPr>
          <w:rFonts w:hint="eastAsia" w:ascii="Times New Roman" w:hAnsi="Times New Roman" w:eastAsia="仿宋_GB2312" w:cs="Times New Roman"/>
          <w:kern w:val="0"/>
          <w:sz w:val="32"/>
          <w:szCs w:val="32"/>
          <w:shd w:val="clear" w:color="auto" w:fill="FFFFFF"/>
          <w:lang w:val="en-US" w:eastAsia="zh-CN" w:bidi="ar"/>
        </w:rPr>
        <w:t>1</w:t>
      </w:r>
      <w:r>
        <w:rPr>
          <w:rFonts w:hint="default" w:ascii="Times New Roman" w:hAnsi="Times New Roman" w:eastAsia="仿宋_GB2312" w:cs="Times New Roman"/>
          <w:kern w:val="0"/>
          <w:sz w:val="32"/>
          <w:szCs w:val="32"/>
          <w:shd w:val="clear" w:color="auto" w:fill="FFFFFF"/>
          <w:lang w:val="en-US" w:eastAsia="zh-CN" w:bidi="ar"/>
        </w:rPr>
        <w:t>辆</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小型越野车</w:t>
      </w:r>
      <w:r>
        <w:rPr>
          <w:rFonts w:hint="eastAsia" w:ascii="Times New Roman" w:hAnsi="Times New Roman" w:eastAsia="仿宋_GB2312" w:cs="Times New Roman"/>
          <w:kern w:val="0"/>
          <w:sz w:val="32"/>
          <w:szCs w:val="32"/>
          <w:shd w:val="clear" w:color="auto" w:fill="FFFFFF"/>
          <w:lang w:val="en-US" w:eastAsia="zh-CN" w:bidi="ar"/>
        </w:rPr>
        <w:t>1</w:t>
      </w:r>
      <w:r>
        <w:rPr>
          <w:rFonts w:hint="default" w:ascii="Times New Roman" w:hAnsi="Times New Roman" w:eastAsia="仿宋_GB2312" w:cs="Times New Roman"/>
          <w:kern w:val="0"/>
          <w:sz w:val="32"/>
          <w:szCs w:val="32"/>
          <w:shd w:val="clear" w:color="auto" w:fill="FFFFFF"/>
          <w:lang w:val="en-US" w:eastAsia="zh-CN" w:bidi="ar"/>
        </w:rPr>
        <w:t>辆。</w:t>
      </w:r>
    </w:p>
    <w:p w14:paraId="6601953E">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公务用车运行维护费支出</w:t>
      </w:r>
      <w:r>
        <w:rPr>
          <w:rFonts w:hint="eastAsia" w:ascii="Times New Roman" w:hAnsi="Times New Roman" w:eastAsia="仿宋_GB2312" w:cs="Times New Roman"/>
          <w:kern w:val="0"/>
          <w:sz w:val="32"/>
          <w:szCs w:val="32"/>
          <w:shd w:val="clear" w:color="auto" w:fill="FFFFFF"/>
          <w:lang w:val="en-US" w:eastAsia="zh-CN" w:bidi="ar"/>
        </w:rPr>
        <w:t>8.81</w:t>
      </w:r>
      <w:r>
        <w:rPr>
          <w:rFonts w:hint="default" w:ascii="Times New Roman" w:hAnsi="Times New Roman" w:eastAsia="仿宋_GB2312" w:cs="Times New Roman"/>
          <w:kern w:val="0"/>
          <w:sz w:val="32"/>
          <w:szCs w:val="32"/>
          <w:shd w:val="clear" w:color="auto" w:fill="FFFFFF"/>
          <w:lang w:val="en-US" w:eastAsia="zh-CN" w:bidi="ar"/>
        </w:rPr>
        <w:t>万元。主要用于日常工作所需的公务用车燃料费、维修费、过路过桥费、保险费等支出。</w:t>
      </w:r>
    </w:p>
    <w:p w14:paraId="7F515D87">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公务接待费支出0.00万元，完成预算100%。公务接待费支出决算比2023年增加0.00万元，增长0.00%。</w:t>
      </w:r>
    </w:p>
    <w:p w14:paraId="30A6D5DF">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国内公务接待支出0.00万元。国内公务接待0批次，0人次（不包括陪同人员），共计支出0.00万元。</w:t>
      </w:r>
    </w:p>
    <w:p w14:paraId="02B3C85C">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外事接待支出0.00万元，外事接待0批次，0人，共计支出0.00万元。</w:t>
      </w:r>
    </w:p>
    <w:p w14:paraId="16E9B6E0">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黑体" w:hAnsi="黑体" w:eastAsia="黑体" w:cs="黑体"/>
          <w:kern w:val="0"/>
          <w:sz w:val="32"/>
          <w:szCs w:val="32"/>
          <w:shd w:val="clear" w:color="auto" w:fill="FFFFFF"/>
          <w:lang w:val="en-US" w:eastAsia="zh-CN" w:bidi="ar"/>
        </w:rPr>
      </w:pPr>
      <w:r>
        <w:rPr>
          <w:rFonts w:hint="default" w:ascii="黑体" w:hAnsi="黑体" w:eastAsia="黑体" w:cs="黑体"/>
          <w:kern w:val="0"/>
          <w:sz w:val="32"/>
          <w:szCs w:val="32"/>
          <w:shd w:val="clear" w:color="auto" w:fill="FFFFFF"/>
          <w:lang w:val="en-US" w:eastAsia="zh-CN" w:bidi="ar"/>
        </w:rPr>
        <w:t>八、政府性基金预算支出决算情况说明</w:t>
      </w:r>
    </w:p>
    <w:p w14:paraId="1B6085C6">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2024年度政府性基金预算财政拨款支出0.00万元。</w:t>
      </w:r>
    </w:p>
    <w:p w14:paraId="62A42606">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黑体" w:hAnsi="黑体" w:eastAsia="黑体" w:cs="黑体"/>
          <w:kern w:val="0"/>
          <w:sz w:val="32"/>
          <w:szCs w:val="32"/>
          <w:shd w:val="clear" w:color="auto" w:fill="FFFFFF"/>
          <w:lang w:val="en-US" w:eastAsia="zh-CN" w:bidi="ar"/>
        </w:rPr>
      </w:pPr>
      <w:r>
        <w:rPr>
          <w:rFonts w:hint="default" w:ascii="黑体" w:hAnsi="黑体" w:eastAsia="黑体" w:cs="黑体"/>
          <w:kern w:val="0"/>
          <w:sz w:val="32"/>
          <w:szCs w:val="32"/>
          <w:shd w:val="clear" w:color="auto" w:fill="FFFFFF"/>
          <w:lang w:val="en-US" w:eastAsia="zh-CN" w:bidi="ar"/>
        </w:rPr>
        <w:t>九、国有资本经营预算支出决算情况说明</w:t>
      </w:r>
    </w:p>
    <w:p w14:paraId="41E32E01">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2024年度国有资本经营预算财政拨款支出0.00万元。</w:t>
      </w:r>
    </w:p>
    <w:p w14:paraId="72280201">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黑体" w:hAnsi="黑体" w:eastAsia="黑体" w:cs="黑体"/>
          <w:kern w:val="0"/>
          <w:sz w:val="32"/>
          <w:szCs w:val="32"/>
          <w:shd w:val="clear" w:color="auto" w:fill="FFFFFF"/>
          <w:lang w:val="en-US" w:eastAsia="zh-CN" w:bidi="ar"/>
        </w:rPr>
      </w:pPr>
      <w:r>
        <w:rPr>
          <w:rFonts w:hint="default" w:ascii="黑体" w:hAnsi="黑体" w:eastAsia="黑体" w:cs="黑体"/>
          <w:kern w:val="0"/>
          <w:sz w:val="32"/>
          <w:szCs w:val="32"/>
          <w:shd w:val="clear" w:color="auto" w:fill="FFFFFF"/>
          <w:lang w:val="en-US" w:eastAsia="zh-CN" w:bidi="ar"/>
        </w:rPr>
        <w:t>十、其他重要事项的情况说明</w:t>
      </w:r>
    </w:p>
    <w:p w14:paraId="1F57EB46">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3" w:firstLineChars="200"/>
        <w:textAlignment w:val="baseline"/>
        <w:rPr>
          <w:rFonts w:hint="eastAsia" w:ascii="楷体_GB2312" w:hAnsi="楷体_GB2312" w:eastAsia="楷体_GB2312" w:cs="楷体_GB2312"/>
          <w:b/>
          <w:bCs/>
          <w:kern w:val="0"/>
          <w:sz w:val="32"/>
          <w:szCs w:val="32"/>
          <w:shd w:val="clear" w:color="auto" w:fill="FFFFFF"/>
          <w:lang w:val="en-US" w:eastAsia="zh-CN" w:bidi="ar"/>
        </w:rPr>
      </w:pPr>
      <w:r>
        <w:rPr>
          <w:rFonts w:hint="eastAsia" w:ascii="楷体_GB2312" w:hAnsi="楷体_GB2312" w:eastAsia="楷体_GB2312" w:cs="楷体_GB2312"/>
          <w:b/>
          <w:bCs/>
          <w:kern w:val="0"/>
          <w:sz w:val="32"/>
          <w:szCs w:val="32"/>
          <w:shd w:val="clear" w:color="auto" w:fill="FFFFFF"/>
          <w:lang w:val="en-US" w:eastAsia="zh-CN" w:bidi="ar"/>
        </w:rPr>
        <w:t>（一）机关运行经费支出情况</w:t>
      </w:r>
    </w:p>
    <w:p w14:paraId="6130F58F">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2024年，阿坝州松潘县</w:t>
      </w:r>
      <w:r>
        <w:rPr>
          <w:rFonts w:hint="eastAsia" w:ascii="Times New Roman" w:hAnsi="Times New Roman" w:eastAsia="仿宋_GB2312" w:cs="Times New Roman"/>
          <w:kern w:val="0"/>
          <w:sz w:val="32"/>
          <w:szCs w:val="32"/>
          <w:shd w:val="clear" w:color="auto" w:fill="FFFFFF"/>
          <w:lang w:val="en-US" w:eastAsia="zh-CN" w:bidi="ar"/>
        </w:rPr>
        <w:t>川主寺镇</w:t>
      </w:r>
      <w:r>
        <w:rPr>
          <w:rFonts w:hint="default" w:ascii="Times New Roman" w:hAnsi="Times New Roman" w:eastAsia="仿宋_GB2312" w:cs="Times New Roman"/>
          <w:kern w:val="0"/>
          <w:sz w:val="32"/>
          <w:szCs w:val="32"/>
          <w:shd w:val="clear" w:color="auto" w:fill="FFFFFF"/>
          <w:lang w:val="en-US" w:eastAsia="zh-CN" w:bidi="ar"/>
        </w:rPr>
        <w:t>人民政府机关运行经费支出</w:t>
      </w:r>
      <w:r>
        <w:rPr>
          <w:rFonts w:hint="eastAsia" w:ascii="Times New Roman" w:hAnsi="Times New Roman" w:eastAsia="仿宋_GB2312" w:cs="Times New Roman"/>
          <w:kern w:val="0"/>
          <w:sz w:val="32"/>
          <w:szCs w:val="32"/>
          <w:shd w:val="clear" w:color="auto" w:fill="FFFFFF"/>
          <w:lang w:val="en-US" w:eastAsia="zh-CN" w:bidi="ar"/>
        </w:rPr>
        <w:t>100</w:t>
      </w:r>
      <w:r>
        <w:rPr>
          <w:rFonts w:hint="default" w:ascii="Times New Roman" w:hAnsi="Times New Roman" w:eastAsia="仿宋_GB2312" w:cs="Times New Roman"/>
          <w:kern w:val="0"/>
          <w:sz w:val="32"/>
          <w:szCs w:val="32"/>
          <w:shd w:val="clear" w:color="auto" w:fill="FFFFFF"/>
          <w:lang w:val="en-US" w:eastAsia="zh-CN" w:bidi="ar"/>
        </w:rPr>
        <w:t>万元，比202</w:t>
      </w:r>
      <w:r>
        <w:rPr>
          <w:rFonts w:hint="eastAsia" w:ascii="Times New Roman" w:hAnsi="Times New Roman" w:eastAsia="仿宋_GB2312" w:cs="Times New Roman"/>
          <w:kern w:val="0"/>
          <w:sz w:val="32"/>
          <w:szCs w:val="32"/>
          <w:shd w:val="clear" w:color="auto" w:fill="FFFFFF"/>
          <w:lang w:val="en-US" w:eastAsia="zh-CN" w:bidi="ar"/>
        </w:rPr>
        <w:t>3</w:t>
      </w:r>
      <w:r>
        <w:rPr>
          <w:rFonts w:hint="default" w:ascii="Times New Roman" w:hAnsi="Times New Roman" w:eastAsia="仿宋_GB2312" w:cs="Times New Roman"/>
          <w:kern w:val="0"/>
          <w:sz w:val="32"/>
          <w:szCs w:val="32"/>
          <w:shd w:val="clear" w:color="auto" w:fill="FFFFFF"/>
          <w:lang w:val="en-US" w:eastAsia="zh-CN" w:bidi="ar"/>
        </w:rPr>
        <w:t>年增加</w:t>
      </w:r>
      <w:r>
        <w:rPr>
          <w:rFonts w:hint="eastAsia" w:ascii="Times New Roman" w:hAnsi="Times New Roman" w:eastAsia="仿宋_GB2312" w:cs="Times New Roman"/>
          <w:kern w:val="0"/>
          <w:sz w:val="32"/>
          <w:szCs w:val="32"/>
          <w:shd w:val="clear" w:color="auto" w:fill="FFFFFF"/>
          <w:lang w:val="en-US" w:eastAsia="zh-CN" w:bidi="ar"/>
        </w:rPr>
        <w:t>34.83</w:t>
      </w:r>
      <w:r>
        <w:rPr>
          <w:rFonts w:hint="default" w:ascii="Times New Roman" w:hAnsi="Times New Roman" w:eastAsia="仿宋_GB2312" w:cs="Times New Roman"/>
          <w:kern w:val="0"/>
          <w:sz w:val="32"/>
          <w:szCs w:val="32"/>
          <w:shd w:val="clear" w:color="auto" w:fill="FFFFFF"/>
          <w:lang w:val="en-US" w:eastAsia="zh-CN" w:bidi="ar"/>
        </w:rPr>
        <w:t>万元，增长</w:t>
      </w:r>
      <w:r>
        <w:rPr>
          <w:rFonts w:hint="eastAsia" w:ascii="Times New Roman" w:hAnsi="Times New Roman" w:eastAsia="仿宋_GB2312" w:cs="Times New Roman"/>
          <w:kern w:val="0"/>
          <w:sz w:val="32"/>
          <w:szCs w:val="32"/>
          <w:shd w:val="clear" w:color="auto" w:fill="FFFFFF"/>
          <w:lang w:val="en-US" w:eastAsia="zh-CN" w:bidi="ar"/>
        </w:rPr>
        <w:t>34.83</w:t>
      </w:r>
      <w:r>
        <w:rPr>
          <w:rFonts w:hint="default" w:ascii="Times New Roman" w:hAnsi="Times New Roman" w:eastAsia="仿宋_GB2312" w:cs="Times New Roman"/>
          <w:kern w:val="0"/>
          <w:sz w:val="32"/>
          <w:szCs w:val="32"/>
          <w:shd w:val="clear" w:color="auto" w:fill="FFFFFF"/>
          <w:lang w:val="en-US" w:eastAsia="zh-CN" w:bidi="ar"/>
        </w:rPr>
        <w:t>%。主要原因是维护费增加。</w:t>
      </w:r>
    </w:p>
    <w:p w14:paraId="2AED2B76">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3" w:firstLineChars="200"/>
        <w:textAlignment w:val="baseline"/>
        <w:rPr>
          <w:rFonts w:hint="default" w:ascii="楷体_GB2312" w:hAnsi="楷体_GB2312" w:eastAsia="楷体_GB2312" w:cs="楷体_GB2312"/>
          <w:b/>
          <w:bCs/>
          <w:kern w:val="0"/>
          <w:sz w:val="32"/>
          <w:szCs w:val="32"/>
          <w:shd w:val="clear" w:color="auto" w:fill="FFFFFF"/>
          <w:lang w:val="en-US" w:eastAsia="zh-CN" w:bidi="ar"/>
        </w:rPr>
      </w:pPr>
      <w:r>
        <w:rPr>
          <w:rFonts w:hint="default" w:ascii="楷体_GB2312" w:hAnsi="楷体_GB2312" w:eastAsia="楷体_GB2312" w:cs="楷体_GB2312"/>
          <w:b/>
          <w:bCs/>
          <w:kern w:val="0"/>
          <w:sz w:val="32"/>
          <w:szCs w:val="32"/>
          <w:shd w:val="clear" w:color="auto" w:fill="FFFFFF"/>
          <w:lang w:val="en-US" w:eastAsia="zh-CN" w:bidi="ar"/>
        </w:rPr>
        <w:t>（二）政府采购支出情况</w:t>
      </w:r>
    </w:p>
    <w:p w14:paraId="0FBA6AA8">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2024年，阿坝州松潘县川主寺镇人</w:t>
      </w:r>
      <w:bookmarkStart w:id="22" w:name="_GoBack"/>
      <w:r>
        <w:rPr>
          <w:rFonts w:hint="default" w:ascii="Times New Roman" w:hAnsi="Times New Roman" w:eastAsia="仿宋_GB2312" w:cs="Times New Roman"/>
          <w:kern w:val="0"/>
          <w:sz w:val="32"/>
          <w:szCs w:val="32"/>
          <w:shd w:val="clear" w:color="auto" w:fill="FFFFFF"/>
          <w:lang w:val="en-US" w:eastAsia="zh-CN" w:bidi="ar"/>
        </w:rPr>
        <w:t>民政府政府</w:t>
      </w:r>
      <w:bookmarkEnd w:id="22"/>
      <w:r>
        <w:rPr>
          <w:rFonts w:hint="default" w:ascii="Times New Roman" w:hAnsi="Times New Roman" w:eastAsia="仿宋_GB2312" w:cs="Times New Roman"/>
          <w:kern w:val="0"/>
          <w:sz w:val="32"/>
          <w:szCs w:val="32"/>
          <w:shd w:val="clear" w:color="auto" w:fill="FFFFFF"/>
          <w:lang w:val="en-US" w:eastAsia="zh-CN" w:bidi="ar"/>
        </w:rPr>
        <w:t>采购支出总额0.00万元，其中：政府采购货物支出0.00万元、政府采购工程支出0.00万元、政府采购服务支出0.00万元。授予中小企业合同金额0.00万元，占政府采购支出总额的0.00%，其中：授予小微企业合同金额0.00万元，占政府采购支出总额的0.00%。</w:t>
      </w:r>
    </w:p>
    <w:p w14:paraId="79C7AE79">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3" w:firstLineChars="200"/>
        <w:textAlignment w:val="baseline"/>
        <w:rPr>
          <w:rFonts w:hint="default" w:ascii="楷体_GB2312" w:hAnsi="楷体_GB2312" w:eastAsia="楷体_GB2312" w:cs="楷体_GB2312"/>
          <w:b/>
          <w:bCs/>
          <w:kern w:val="0"/>
          <w:sz w:val="32"/>
          <w:szCs w:val="32"/>
          <w:shd w:val="clear" w:color="auto" w:fill="FFFFFF"/>
          <w:lang w:val="en-US" w:eastAsia="zh-CN" w:bidi="ar"/>
        </w:rPr>
      </w:pPr>
      <w:r>
        <w:rPr>
          <w:rFonts w:hint="default" w:ascii="楷体_GB2312" w:hAnsi="楷体_GB2312" w:eastAsia="楷体_GB2312" w:cs="楷体_GB2312"/>
          <w:b/>
          <w:bCs/>
          <w:kern w:val="0"/>
          <w:sz w:val="32"/>
          <w:szCs w:val="32"/>
          <w:shd w:val="clear" w:color="auto" w:fill="FFFFFF"/>
          <w:lang w:val="en-US" w:eastAsia="zh-CN" w:bidi="ar"/>
        </w:rPr>
        <w:t>（三）国有资产占有使用情况</w:t>
      </w:r>
    </w:p>
    <w:p w14:paraId="1F132710">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截至2024年12月31日，阿坝州松潘县</w:t>
      </w:r>
      <w:r>
        <w:rPr>
          <w:rFonts w:hint="eastAsia" w:ascii="Times New Roman" w:hAnsi="Times New Roman" w:eastAsia="仿宋_GB2312" w:cs="Times New Roman"/>
          <w:kern w:val="0"/>
          <w:sz w:val="32"/>
          <w:szCs w:val="32"/>
          <w:shd w:val="clear" w:color="auto" w:fill="FFFFFF"/>
          <w:lang w:val="en-US" w:eastAsia="zh-CN" w:bidi="ar"/>
        </w:rPr>
        <w:t>川主寺镇</w:t>
      </w:r>
      <w:r>
        <w:rPr>
          <w:rFonts w:hint="default" w:ascii="Times New Roman" w:hAnsi="Times New Roman" w:eastAsia="仿宋_GB2312" w:cs="Times New Roman"/>
          <w:kern w:val="0"/>
          <w:sz w:val="32"/>
          <w:szCs w:val="32"/>
          <w:shd w:val="clear" w:color="auto" w:fill="FFFFFF"/>
          <w:lang w:val="en-US" w:eastAsia="zh-CN" w:bidi="ar"/>
        </w:rPr>
        <w:t>人民政府共有公务用车</w:t>
      </w:r>
      <w:r>
        <w:rPr>
          <w:rFonts w:hint="eastAsia" w:ascii="Times New Roman" w:hAnsi="Times New Roman" w:eastAsia="仿宋_GB2312" w:cs="Times New Roman"/>
          <w:kern w:val="0"/>
          <w:sz w:val="32"/>
          <w:szCs w:val="32"/>
          <w:shd w:val="clear" w:color="auto" w:fill="FFFFFF"/>
          <w:lang w:val="en-US" w:eastAsia="zh-CN" w:bidi="ar"/>
        </w:rPr>
        <w:t>8</w:t>
      </w:r>
      <w:r>
        <w:rPr>
          <w:rFonts w:hint="default" w:ascii="Times New Roman" w:hAnsi="Times New Roman" w:eastAsia="仿宋_GB2312" w:cs="Times New Roman"/>
          <w:kern w:val="0"/>
          <w:sz w:val="32"/>
          <w:szCs w:val="32"/>
          <w:shd w:val="clear" w:color="auto" w:fill="FFFFFF"/>
          <w:lang w:val="en-US" w:eastAsia="zh-CN" w:bidi="ar"/>
        </w:rPr>
        <w:t>辆</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市政用车</w:t>
      </w:r>
      <w:r>
        <w:rPr>
          <w:rFonts w:hint="eastAsia" w:ascii="Times New Roman" w:hAnsi="Times New Roman" w:eastAsia="仿宋_GB2312" w:cs="Times New Roman"/>
          <w:kern w:val="0"/>
          <w:sz w:val="32"/>
          <w:szCs w:val="32"/>
          <w:shd w:val="clear" w:color="auto" w:fill="FFFFFF"/>
          <w:lang w:val="en-US" w:eastAsia="zh-CN" w:bidi="ar"/>
        </w:rPr>
        <w:t>12</w:t>
      </w:r>
      <w:r>
        <w:rPr>
          <w:rFonts w:hint="default" w:ascii="Times New Roman" w:hAnsi="Times New Roman" w:eastAsia="仿宋_GB2312" w:cs="Times New Roman"/>
          <w:kern w:val="0"/>
          <w:sz w:val="32"/>
          <w:szCs w:val="32"/>
          <w:shd w:val="clear" w:color="auto" w:fill="FFFFFF"/>
          <w:lang w:val="en-US" w:eastAsia="zh-CN" w:bidi="ar"/>
        </w:rPr>
        <w:t>辆，其中：轿车</w:t>
      </w:r>
      <w:r>
        <w:rPr>
          <w:rFonts w:hint="eastAsia" w:ascii="Times New Roman" w:hAnsi="Times New Roman" w:eastAsia="仿宋_GB2312" w:cs="Times New Roman"/>
          <w:kern w:val="0"/>
          <w:sz w:val="32"/>
          <w:szCs w:val="32"/>
          <w:shd w:val="clear" w:color="auto" w:fill="FFFFFF"/>
          <w:lang w:val="en-US" w:eastAsia="zh-CN" w:bidi="ar"/>
        </w:rPr>
        <w:t>1</w:t>
      </w:r>
      <w:r>
        <w:rPr>
          <w:rFonts w:hint="default" w:ascii="Times New Roman" w:hAnsi="Times New Roman" w:eastAsia="仿宋_GB2312" w:cs="Times New Roman"/>
          <w:kern w:val="0"/>
          <w:sz w:val="32"/>
          <w:szCs w:val="32"/>
          <w:shd w:val="clear" w:color="auto" w:fill="FFFFFF"/>
          <w:lang w:val="en-US" w:eastAsia="zh-CN" w:bidi="ar"/>
        </w:rPr>
        <w:t>辆、皮卡车</w:t>
      </w:r>
      <w:r>
        <w:rPr>
          <w:rFonts w:hint="eastAsia" w:ascii="Times New Roman" w:hAnsi="Times New Roman" w:eastAsia="仿宋_GB2312" w:cs="Times New Roman"/>
          <w:kern w:val="0"/>
          <w:sz w:val="32"/>
          <w:szCs w:val="32"/>
          <w:shd w:val="clear" w:color="auto" w:fill="FFFFFF"/>
          <w:lang w:val="en-US" w:eastAsia="zh-CN" w:bidi="ar"/>
        </w:rPr>
        <w:t>2辆、</w:t>
      </w:r>
      <w:r>
        <w:rPr>
          <w:rFonts w:hint="default" w:ascii="Times New Roman" w:hAnsi="Times New Roman" w:eastAsia="仿宋_GB2312" w:cs="Times New Roman"/>
          <w:kern w:val="0"/>
          <w:sz w:val="32"/>
          <w:szCs w:val="32"/>
          <w:shd w:val="clear" w:color="auto" w:fill="FFFFFF"/>
          <w:lang w:val="en-US" w:eastAsia="zh-CN" w:bidi="ar"/>
        </w:rPr>
        <w:t>其他车型</w:t>
      </w:r>
      <w:r>
        <w:rPr>
          <w:rFonts w:hint="eastAsia" w:ascii="Times New Roman" w:hAnsi="Times New Roman" w:eastAsia="仿宋_GB2312" w:cs="Times New Roman"/>
          <w:kern w:val="0"/>
          <w:sz w:val="32"/>
          <w:szCs w:val="32"/>
          <w:shd w:val="clear" w:color="auto" w:fill="FFFFFF"/>
          <w:lang w:val="en-US" w:eastAsia="zh-CN" w:bidi="ar"/>
        </w:rPr>
        <w:t>1辆、</w:t>
      </w:r>
      <w:r>
        <w:rPr>
          <w:rFonts w:hint="default" w:ascii="Times New Roman" w:hAnsi="Times New Roman" w:eastAsia="仿宋_GB2312" w:cs="Times New Roman"/>
          <w:kern w:val="0"/>
          <w:sz w:val="32"/>
          <w:szCs w:val="32"/>
          <w:shd w:val="clear" w:color="auto" w:fill="FFFFFF"/>
          <w:lang w:val="en-US" w:eastAsia="zh-CN" w:bidi="ar"/>
        </w:rPr>
        <w:t>城市越野车</w:t>
      </w:r>
      <w:r>
        <w:rPr>
          <w:rFonts w:hint="eastAsia" w:ascii="Times New Roman" w:hAnsi="Times New Roman" w:eastAsia="仿宋_GB2312" w:cs="Times New Roman"/>
          <w:kern w:val="0"/>
          <w:sz w:val="32"/>
          <w:szCs w:val="32"/>
          <w:shd w:val="clear" w:color="auto" w:fill="FFFFFF"/>
          <w:lang w:val="en-US" w:eastAsia="zh-CN" w:bidi="ar"/>
        </w:rPr>
        <w:t>2辆、</w:t>
      </w:r>
      <w:r>
        <w:rPr>
          <w:rFonts w:hint="default" w:ascii="Times New Roman" w:hAnsi="Times New Roman" w:eastAsia="仿宋_GB2312" w:cs="Times New Roman"/>
          <w:kern w:val="0"/>
          <w:sz w:val="32"/>
          <w:szCs w:val="32"/>
          <w:shd w:val="clear" w:color="auto" w:fill="FFFFFF"/>
          <w:lang w:val="en-US" w:eastAsia="zh-CN" w:bidi="ar"/>
        </w:rPr>
        <w:t>消防供水车</w:t>
      </w:r>
      <w:r>
        <w:rPr>
          <w:rFonts w:hint="eastAsia" w:ascii="Times New Roman" w:hAnsi="Times New Roman" w:eastAsia="仿宋_GB2312" w:cs="Times New Roman"/>
          <w:kern w:val="0"/>
          <w:sz w:val="32"/>
          <w:szCs w:val="32"/>
          <w:shd w:val="clear" w:color="auto" w:fill="FFFFFF"/>
          <w:lang w:val="en-US" w:eastAsia="zh-CN" w:bidi="ar"/>
        </w:rPr>
        <w:t>1</w:t>
      </w:r>
      <w:r>
        <w:rPr>
          <w:rFonts w:hint="default" w:ascii="Times New Roman" w:hAnsi="Times New Roman" w:eastAsia="仿宋_GB2312" w:cs="Times New Roman"/>
          <w:kern w:val="0"/>
          <w:sz w:val="32"/>
          <w:szCs w:val="32"/>
          <w:shd w:val="clear" w:color="auto" w:fill="FFFFFF"/>
          <w:lang w:val="en-US" w:eastAsia="zh-CN" w:bidi="ar"/>
        </w:rPr>
        <w:t>辆</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小型越野车</w:t>
      </w:r>
      <w:r>
        <w:rPr>
          <w:rFonts w:hint="eastAsia" w:ascii="Times New Roman" w:hAnsi="Times New Roman" w:eastAsia="仿宋_GB2312" w:cs="Times New Roman"/>
          <w:kern w:val="0"/>
          <w:sz w:val="32"/>
          <w:szCs w:val="32"/>
          <w:shd w:val="clear" w:color="auto" w:fill="FFFFFF"/>
          <w:lang w:val="en-US" w:eastAsia="zh-CN" w:bidi="ar"/>
        </w:rPr>
        <w:t>1</w:t>
      </w:r>
      <w:r>
        <w:rPr>
          <w:rFonts w:hint="default" w:ascii="Times New Roman" w:hAnsi="Times New Roman" w:eastAsia="仿宋_GB2312" w:cs="Times New Roman"/>
          <w:kern w:val="0"/>
          <w:sz w:val="32"/>
          <w:szCs w:val="32"/>
          <w:shd w:val="clear" w:color="auto" w:fill="FFFFFF"/>
          <w:lang w:val="en-US" w:eastAsia="zh-CN" w:bidi="ar"/>
        </w:rPr>
        <w:t>辆</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面包车</w:t>
      </w:r>
      <w:r>
        <w:rPr>
          <w:rFonts w:hint="eastAsia" w:ascii="Times New Roman" w:hAnsi="Times New Roman" w:eastAsia="仿宋_GB2312" w:cs="Times New Roman"/>
          <w:kern w:val="0"/>
          <w:sz w:val="32"/>
          <w:szCs w:val="32"/>
          <w:shd w:val="clear" w:color="auto" w:fill="FFFFFF"/>
          <w:lang w:val="en-US" w:eastAsia="zh-CN" w:bidi="ar"/>
        </w:rPr>
        <w:t>3辆、</w:t>
      </w:r>
      <w:r>
        <w:rPr>
          <w:rFonts w:hint="default" w:ascii="Times New Roman" w:hAnsi="Times New Roman" w:eastAsia="仿宋_GB2312" w:cs="Times New Roman"/>
          <w:kern w:val="0"/>
          <w:sz w:val="32"/>
          <w:szCs w:val="32"/>
          <w:shd w:val="clear" w:color="auto" w:fill="FFFFFF"/>
          <w:lang w:val="en-US" w:eastAsia="zh-CN" w:bidi="ar"/>
        </w:rPr>
        <w:t>拖板车</w:t>
      </w:r>
      <w:r>
        <w:rPr>
          <w:rFonts w:hint="eastAsia" w:ascii="Times New Roman" w:hAnsi="Times New Roman" w:eastAsia="仿宋_GB2312" w:cs="Times New Roman"/>
          <w:kern w:val="0"/>
          <w:sz w:val="32"/>
          <w:szCs w:val="32"/>
          <w:shd w:val="clear" w:color="auto" w:fill="FFFFFF"/>
          <w:lang w:val="en-US" w:eastAsia="zh-CN" w:bidi="ar"/>
        </w:rPr>
        <w:t>1辆、</w:t>
      </w:r>
      <w:r>
        <w:rPr>
          <w:rFonts w:hint="default" w:ascii="Times New Roman" w:hAnsi="Times New Roman" w:eastAsia="仿宋_GB2312" w:cs="Times New Roman"/>
          <w:kern w:val="0"/>
          <w:sz w:val="32"/>
          <w:szCs w:val="32"/>
          <w:shd w:val="clear" w:color="auto" w:fill="FFFFFF"/>
          <w:lang w:val="en-US" w:eastAsia="zh-CN" w:bidi="ar"/>
        </w:rPr>
        <w:t>洒水车</w:t>
      </w:r>
      <w:r>
        <w:rPr>
          <w:rFonts w:hint="eastAsia" w:ascii="Times New Roman" w:hAnsi="Times New Roman" w:eastAsia="仿宋_GB2312" w:cs="Times New Roman"/>
          <w:kern w:val="0"/>
          <w:sz w:val="32"/>
          <w:szCs w:val="32"/>
          <w:shd w:val="clear" w:color="auto" w:fill="FFFFFF"/>
          <w:lang w:val="en-US" w:eastAsia="zh-CN" w:bidi="ar"/>
        </w:rPr>
        <w:t>3辆、</w:t>
      </w:r>
      <w:r>
        <w:rPr>
          <w:rFonts w:hint="default" w:ascii="Times New Roman" w:hAnsi="Times New Roman" w:eastAsia="仿宋_GB2312" w:cs="Times New Roman"/>
          <w:kern w:val="0"/>
          <w:sz w:val="32"/>
          <w:szCs w:val="32"/>
          <w:shd w:val="clear" w:color="auto" w:fill="FFFFFF"/>
          <w:lang w:val="en-US" w:eastAsia="zh-CN" w:bidi="ar"/>
        </w:rPr>
        <w:t>垃圾车</w:t>
      </w:r>
      <w:r>
        <w:rPr>
          <w:rFonts w:hint="eastAsia" w:ascii="Times New Roman" w:hAnsi="Times New Roman" w:eastAsia="仿宋_GB2312" w:cs="Times New Roman"/>
          <w:kern w:val="0"/>
          <w:sz w:val="32"/>
          <w:szCs w:val="32"/>
          <w:shd w:val="clear" w:color="auto" w:fill="FFFFFF"/>
          <w:lang w:val="en-US" w:eastAsia="zh-CN" w:bidi="ar"/>
        </w:rPr>
        <w:t>3辆、</w:t>
      </w:r>
      <w:r>
        <w:rPr>
          <w:rFonts w:hint="default" w:ascii="Times New Roman" w:hAnsi="Times New Roman" w:eastAsia="仿宋_GB2312" w:cs="Times New Roman"/>
          <w:kern w:val="0"/>
          <w:sz w:val="32"/>
          <w:szCs w:val="32"/>
          <w:shd w:val="clear" w:color="auto" w:fill="FFFFFF"/>
          <w:lang w:val="en-US" w:eastAsia="zh-CN" w:bidi="ar"/>
        </w:rPr>
        <w:t>扫地车</w:t>
      </w:r>
      <w:r>
        <w:rPr>
          <w:rFonts w:hint="eastAsia" w:ascii="Times New Roman" w:hAnsi="Times New Roman" w:eastAsia="仿宋_GB2312" w:cs="Times New Roman"/>
          <w:kern w:val="0"/>
          <w:sz w:val="32"/>
          <w:szCs w:val="32"/>
          <w:shd w:val="clear" w:color="auto" w:fill="FFFFFF"/>
          <w:lang w:val="en-US" w:eastAsia="zh-CN" w:bidi="ar"/>
        </w:rPr>
        <w:t>1辆、</w:t>
      </w:r>
      <w:r>
        <w:rPr>
          <w:rFonts w:hint="default" w:ascii="Times New Roman" w:hAnsi="Times New Roman" w:eastAsia="仿宋_GB2312" w:cs="Times New Roman"/>
          <w:kern w:val="0"/>
          <w:sz w:val="32"/>
          <w:szCs w:val="32"/>
          <w:shd w:val="clear" w:color="auto" w:fill="FFFFFF"/>
          <w:lang w:val="en-US" w:eastAsia="zh-CN" w:bidi="ar"/>
        </w:rPr>
        <w:t>吊车</w:t>
      </w:r>
      <w:r>
        <w:rPr>
          <w:rFonts w:hint="eastAsia" w:ascii="Times New Roman" w:hAnsi="Times New Roman" w:eastAsia="仿宋_GB2312" w:cs="Times New Roman"/>
          <w:kern w:val="0"/>
          <w:sz w:val="32"/>
          <w:szCs w:val="32"/>
          <w:shd w:val="clear" w:color="auto" w:fill="FFFFFF"/>
          <w:lang w:val="en-US" w:eastAsia="zh-CN" w:bidi="ar"/>
        </w:rPr>
        <w:t>1辆</w:t>
      </w:r>
      <w:r>
        <w:rPr>
          <w:rFonts w:hint="default" w:ascii="Times New Roman" w:hAnsi="Times New Roman" w:eastAsia="仿宋_GB2312" w:cs="Times New Roman"/>
          <w:kern w:val="0"/>
          <w:sz w:val="32"/>
          <w:szCs w:val="32"/>
          <w:shd w:val="clear" w:color="auto" w:fill="FFFFFF"/>
          <w:lang w:val="en-US" w:eastAsia="zh-CN" w:bidi="ar"/>
        </w:rPr>
        <w:t>，其他用车主要是用于日常工作所需；单价100万元（含）以上设备（不含车辆）0台（套）。</w:t>
      </w:r>
    </w:p>
    <w:p w14:paraId="6237786C">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3" w:firstLineChars="200"/>
        <w:textAlignment w:val="baseline"/>
        <w:rPr>
          <w:rFonts w:hint="default" w:ascii="楷体_GB2312" w:hAnsi="楷体_GB2312" w:eastAsia="楷体_GB2312" w:cs="楷体_GB2312"/>
          <w:b/>
          <w:bCs/>
          <w:kern w:val="0"/>
          <w:sz w:val="32"/>
          <w:szCs w:val="32"/>
          <w:shd w:val="clear" w:color="auto" w:fill="FFFFFF"/>
          <w:lang w:val="en-US" w:eastAsia="zh-CN" w:bidi="ar"/>
        </w:rPr>
      </w:pPr>
      <w:r>
        <w:rPr>
          <w:rFonts w:hint="default" w:ascii="楷体_GB2312" w:hAnsi="楷体_GB2312" w:eastAsia="楷体_GB2312" w:cs="楷体_GB2312"/>
          <w:b/>
          <w:bCs/>
          <w:kern w:val="0"/>
          <w:sz w:val="32"/>
          <w:szCs w:val="32"/>
          <w:shd w:val="clear" w:color="auto" w:fill="FFFFFF"/>
          <w:lang w:val="en-US" w:eastAsia="zh-CN" w:bidi="ar"/>
        </w:rPr>
        <w:t>（四）预算绩效管理情况</w:t>
      </w:r>
    </w:p>
    <w:p w14:paraId="3226B4B3">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highlight w:val="none"/>
          <w:shd w:val="clear" w:color="auto" w:fill="FFFFFF"/>
          <w:lang w:val="en-US" w:eastAsia="zh-CN" w:bidi="ar"/>
        </w:rPr>
      </w:pPr>
      <w:r>
        <w:rPr>
          <w:rFonts w:hint="default" w:ascii="Times New Roman" w:hAnsi="Times New Roman" w:eastAsia="仿宋_GB2312" w:cs="Times New Roman"/>
          <w:kern w:val="0"/>
          <w:sz w:val="32"/>
          <w:szCs w:val="32"/>
          <w:highlight w:val="none"/>
          <w:shd w:val="clear" w:color="auto" w:fill="FFFFFF"/>
          <w:lang w:val="en-US" w:eastAsia="zh-CN" w:bidi="ar"/>
        </w:rPr>
        <w:t>根据预算绩效管理要求，本部门在2024年度预算编制阶段，组织对0个项目（项目名称）等0个项目开展了预算事前绩效评估，对0个项目编制了绩效目标，在预算执行过程中，选取0个项目开展绩效监控，组织对0个项目开展绩效自评。</w:t>
      </w:r>
    </w:p>
    <w:p w14:paraId="766665DC">
      <w:pPr>
        <w:rPr>
          <w:rFonts w:hint="default" w:ascii="Times New Roman" w:hAnsi="Times New Roman" w:eastAsia="仿宋_GB2312" w:cs="Times New Roman"/>
          <w:kern w:val="0"/>
          <w:sz w:val="32"/>
          <w:szCs w:val="32"/>
          <w:highlight w:val="yellow"/>
          <w:shd w:val="clear" w:color="auto" w:fill="FFFFFF"/>
          <w:lang w:val="en-US" w:eastAsia="zh-CN" w:bidi="ar"/>
        </w:rPr>
      </w:pPr>
      <w:r>
        <w:rPr>
          <w:rFonts w:hint="default" w:ascii="Times New Roman" w:hAnsi="Times New Roman" w:eastAsia="仿宋_GB2312" w:cs="Times New Roman"/>
          <w:kern w:val="0"/>
          <w:sz w:val="32"/>
          <w:szCs w:val="32"/>
          <w:highlight w:val="yellow"/>
          <w:shd w:val="clear" w:color="auto" w:fill="FFFFFF"/>
          <w:lang w:val="en-US" w:eastAsia="zh-CN" w:bidi="ar"/>
        </w:rPr>
        <w:br w:type="page"/>
      </w:r>
    </w:p>
    <w:p w14:paraId="26C57F64">
      <w:pPr>
        <w:pStyle w:val="16"/>
        <w:keepNext w:val="0"/>
        <w:keepLines w:val="0"/>
        <w:pageBreakBefore w:val="0"/>
        <w:widowControl w:val="0"/>
        <w:kinsoku/>
        <w:wordWrap/>
        <w:overflowPunct/>
        <w:topLinePunct w:val="0"/>
        <w:autoSpaceDE/>
        <w:autoSpaceDN/>
        <w:bidi w:val="0"/>
        <w:adjustRightInd/>
        <w:snapToGrid/>
        <w:spacing w:afterAutospacing="0" w:line="578" w:lineRule="exact"/>
        <w:jc w:val="center"/>
        <w:textAlignment w:val="baseline"/>
        <w:rPr>
          <w:rFonts w:hint="eastAsia" w:ascii="方正小标宋简体" w:hAnsi="方正小标宋简体" w:eastAsia="方正小标宋简体" w:cs="方正小标宋简体"/>
          <w:kern w:val="0"/>
          <w:sz w:val="44"/>
          <w:szCs w:val="44"/>
          <w:shd w:val="clear" w:color="auto" w:fill="FFFFFF"/>
          <w:lang w:val="en-US" w:eastAsia="zh-CN" w:bidi="ar"/>
        </w:rPr>
      </w:pPr>
      <w:r>
        <w:rPr>
          <w:rFonts w:hint="eastAsia" w:ascii="方正小标宋简体" w:hAnsi="方正小标宋简体" w:eastAsia="方正小标宋简体" w:cs="方正小标宋简体"/>
          <w:kern w:val="0"/>
          <w:sz w:val="44"/>
          <w:szCs w:val="44"/>
          <w:shd w:val="clear" w:color="auto" w:fill="FFFFFF"/>
          <w:lang w:val="en-US" w:eastAsia="zh-CN" w:bidi="ar"/>
        </w:rPr>
        <w:t>第三部分 名词解释</w:t>
      </w:r>
    </w:p>
    <w:p w14:paraId="4F41D7FE">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p>
    <w:p w14:paraId="3A396F8F">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1.财政拨款收入：指单位从同级财政部门取得的财政预算资金。</w:t>
      </w:r>
    </w:p>
    <w:p w14:paraId="42CF8758">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2.事业收入：指事业单位开展专业业务活动及辅助活动取得的收入。</w:t>
      </w:r>
    </w:p>
    <w:p w14:paraId="26A9782E">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3.经营收入：指事业单位在专业业务活动及其辅助活动之外开展非独立核算经营活动取得的收入。</w:t>
      </w:r>
    </w:p>
    <w:p w14:paraId="615955C3">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4.其他收入：指单位取得的除上述收入以外的各项收入。</w:t>
      </w:r>
    </w:p>
    <w:p w14:paraId="23FEEE7A">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5.使用非财政拨款结余：指事业单位使用以前年度积累的非财政拨款结余弥补当年收支差额的金额。</w:t>
      </w:r>
    </w:p>
    <w:p w14:paraId="00472E9D">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6.年初结转和结余：指以前年度尚未完成、结转到本年按有关规定继续使用的资金。</w:t>
      </w:r>
    </w:p>
    <w:p w14:paraId="24FB9025">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7.结余分配：指事业单位按照会计制度规定缴纳的所得税、提取的专用结余以及转入非财政拨款结余的金额等。</w:t>
      </w:r>
    </w:p>
    <w:p w14:paraId="34310EA0">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8.年末结转和结余：指单位按有关规定结转到下年或以后年度继续使用的资金。</w:t>
      </w:r>
    </w:p>
    <w:p w14:paraId="4F32149E">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9.一般公共服务支出（201）：指政府提供一般公共服务支出。</w:t>
      </w:r>
    </w:p>
    <w:p w14:paraId="7C29E5B5">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10.政府办公厅（室）及相关机构事务（20103）：指各级政府办公厅（室）及相关机构的支出。</w:t>
      </w:r>
    </w:p>
    <w:p w14:paraId="468793CF">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11.行政运行（2010301）：指行政单位（包括实行公务员管理的事业单位）的基本支出。</w:t>
      </w:r>
    </w:p>
    <w:p w14:paraId="304FB12A">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12.社会保障和就业支出（208）：指政府在社会保障与就业方面的支出。</w:t>
      </w:r>
    </w:p>
    <w:p w14:paraId="7FDCFCE9">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13.行政事业单位养老支出（20805）：指用于行政事业单位养老方面的支出。</w:t>
      </w:r>
    </w:p>
    <w:p w14:paraId="32FE27ED">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14.机关事业单位基本养老保险缴费支出（2080505）：指机关事业单位实施养老保险制度由单位缴纳的基本养老保险费支出。</w:t>
      </w:r>
    </w:p>
    <w:p w14:paraId="7B8AA51B">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15.机关事业单位职业年金缴费支出（2080506）：指机关事业单位实施养老保险制度由单位实际缴纳的职业年金支出。</w:t>
      </w:r>
    </w:p>
    <w:p w14:paraId="03680D6A">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16.卫生健康支出（210）： 指政府卫生健康方面的支出。</w:t>
      </w:r>
    </w:p>
    <w:p w14:paraId="1A659E36">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17.行政事业单位医疗（21011）：指行政事业单位医疗方面的支出。</w:t>
      </w:r>
    </w:p>
    <w:p w14:paraId="005782D6">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18.行政单位医疗（2101101）：指财政部门安排的行政单位（包括实行公务员管理的事业单位）基本医疗保险缴费经费，未参加医疗保险的行政单位的公费医疗经费，按国家规定享受离休人员、红军老战士待遇人员的医疗经费。</w:t>
      </w:r>
    </w:p>
    <w:p w14:paraId="500E4D9F">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19.公务员医疗补助（2101103）：指财政部门安排的公务员医疗补助经费</w:t>
      </w:r>
    </w:p>
    <w:p w14:paraId="098FD7DF">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20.农林水（213）：指政府农林水事务支出。</w:t>
      </w:r>
    </w:p>
    <w:p w14:paraId="3A200C4E">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21.巩固脱贫衔接乡村振兴（21305）：指用于农村（包括国有农场、国有林场）巩固拓展脱贫攻坚成果同乡村振兴有效衔接等方面的支出。</w:t>
      </w:r>
    </w:p>
    <w:p w14:paraId="6246A850">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22.其他巩固脱贫衔接乡村振兴支出（2130599）：指除上述项目以外其他用于巩固拓展脱贫攻坚成果同乡村振兴有效衔接等方面的支出。</w:t>
      </w:r>
    </w:p>
    <w:p w14:paraId="693DC968">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23.农村综合改革（21307）：指农村综合改革方面的支出。</w:t>
      </w:r>
    </w:p>
    <w:p w14:paraId="072F4B2C">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24.对村民委员会和村党支部的补助（2130705）：指各级财政对村民委员会和村党支部的补助支出，以及支持建立县级基本财力保障机制安排的村级组织运转奖补资金。</w:t>
      </w:r>
    </w:p>
    <w:p w14:paraId="562DD325">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25.住房保障支出（221）：指集中反映政府用于住房方面的支出。</w:t>
      </w:r>
    </w:p>
    <w:p w14:paraId="01C2C64D">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26.住房改革支出（22102）：指行政事业单位使用财政拨款资金和其他资金等安排的住房改革支出。</w:t>
      </w:r>
    </w:p>
    <w:p w14:paraId="42407FDA">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27.住房公积金（2210201）：指行政事业单位按人力资源和社会保障部、财政部规定的基本工资和津贴补贴以及规定比例为职工缴纳的住房公积金。</w:t>
      </w:r>
    </w:p>
    <w:p w14:paraId="7489EA45">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28.基本支出：指为保障机构正常运转、完成日常工作任务而发生的人员支出和公用支出。</w:t>
      </w:r>
    </w:p>
    <w:p w14:paraId="3CDD99E9">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29.项目支出：指在基本支出之外为完成特定行政任务和事业发展目标所发生的支出。</w:t>
      </w:r>
    </w:p>
    <w:p w14:paraId="49CEFFC7">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30.经营支出：指事业单位在专业业务活动及其辅助活动之外开展非独立核算经营活动发生的支出。</w:t>
      </w:r>
    </w:p>
    <w:p w14:paraId="3B432298">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31.“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5B9C954D">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32.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5AEA6C56">
      <w:pPr>
        <w:keepNext w:val="0"/>
        <w:keepLines w:val="0"/>
        <w:pageBreakBefore w:val="0"/>
        <w:kinsoku/>
        <w:wordWrap/>
        <w:overflowPunct/>
        <w:topLinePunct w:val="0"/>
        <w:autoSpaceDE/>
        <w:autoSpaceDN/>
        <w:bidi w:val="0"/>
        <w:adjustRightInd/>
        <w:snapToGrid/>
        <w:spacing w:line="578" w:lineRule="exact"/>
        <w:ind w:firstLine="640" w:firstLineChars="200"/>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br w:type="page"/>
      </w:r>
    </w:p>
    <w:p w14:paraId="753BE53F">
      <w:pPr>
        <w:pStyle w:val="16"/>
        <w:keepNext w:val="0"/>
        <w:keepLines w:val="0"/>
        <w:pageBreakBefore w:val="0"/>
        <w:widowControl w:val="0"/>
        <w:kinsoku/>
        <w:wordWrap/>
        <w:overflowPunct/>
        <w:topLinePunct w:val="0"/>
        <w:autoSpaceDE/>
        <w:autoSpaceDN/>
        <w:bidi w:val="0"/>
        <w:adjustRightInd/>
        <w:snapToGrid/>
        <w:spacing w:afterAutospacing="0" w:line="578" w:lineRule="exact"/>
        <w:jc w:val="center"/>
        <w:textAlignment w:val="baseline"/>
        <w:rPr>
          <w:rFonts w:hint="eastAsia" w:ascii="方正小标宋简体" w:hAnsi="方正小标宋简体" w:eastAsia="方正小标宋简体" w:cs="方正小标宋简体"/>
          <w:kern w:val="0"/>
          <w:sz w:val="44"/>
          <w:szCs w:val="44"/>
          <w:shd w:val="clear" w:color="auto" w:fill="FFFFFF"/>
          <w:lang w:val="en-US" w:eastAsia="zh-CN" w:bidi="ar"/>
        </w:rPr>
      </w:pPr>
      <w:r>
        <w:rPr>
          <w:rFonts w:hint="eastAsia" w:ascii="方正小标宋简体" w:hAnsi="方正小标宋简体" w:eastAsia="方正小标宋简体" w:cs="方正小标宋简体"/>
          <w:kern w:val="0"/>
          <w:sz w:val="44"/>
          <w:szCs w:val="44"/>
          <w:shd w:val="clear" w:color="auto" w:fill="FFFFFF"/>
          <w:lang w:val="en-US" w:eastAsia="zh-CN" w:bidi="ar"/>
        </w:rPr>
        <w:t>第四部分 附表</w:t>
      </w:r>
    </w:p>
    <w:p w14:paraId="121CF8A9">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p>
    <w:p w14:paraId="2B0B42F2">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一、收入支出决算总表</w:t>
      </w:r>
    </w:p>
    <w:p w14:paraId="694AD6D6">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二、收入决算表</w:t>
      </w:r>
    </w:p>
    <w:p w14:paraId="247C567A">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三、支出决算表</w:t>
      </w:r>
    </w:p>
    <w:p w14:paraId="4B13B129">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四、财政拨款收入支出决算总表</w:t>
      </w:r>
    </w:p>
    <w:p w14:paraId="54ABCFC8">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五、财政拨款支出决算明细表</w:t>
      </w:r>
    </w:p>
    <w:p w14:paraId="6E212810">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六、一般公共预算财政拨款支出决算表</w:t>
      </w:r>
    </w:p>
    <w:p w14:paraId="273F3CA8">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七、一般公共预算财政拨款支出决算明细表</w:t>
      </w:r>
    </w:p>
    <w:p w14:paraId="2469CEA3">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八、一般公共预算财政拨款基本支出决算表</w:t>
      </w:r>
    </w:p>
    <w:p w14:paraId="3B64EEFC">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九、一般公共预算财政拨款项目支出决算表</w:t>
      </w:r>
    </w:p>
    <w:p w14:paraId="3C5B50F0">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十、政府性基金预算财政拨款收入支出决算表</w:t>
      </w:r>
    </w:p>
    <w:p w14:paraId="6D80E211">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十一、国有资本经营预算财政拨款收入支出决算表</w:t>
      </w:r>
    </w:p>
    <w:p w14:paraId="397BE279">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十二、国有资本经营预算财政拨款支出决算表</w:t>
      </w:r>
    </w:p>
    <w:p w14:paraId="263B11EB">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十三、财政拨款“三公”经费支出决算</w:t>
      </w:r>
    </w:p>
    <w:sectPr>
      <w:footerReference r:id="rId5" w:type="default"/>
      <w:pgSz w:w="11906" w:h="16838"/>
      <w:pgMar w:top="2098" w:right="1474" w:bottom="1984" w:left="1587" w:header="851" w:footer="1474"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F8AFF88-F03A-440E-A8F3-AB5653B9C37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方正小标宋简体">
    <w:panose1 w:val="02010600010101010101"/>
    <w:charset w:val="86"/>
    <w:family w:val="auto"/>
    <w:pitch w:val="default"/>
    <w:sig w:usb0="00000001" w:usb1="080E0000" w:usb2="00000000" w:usb3="00000000" w:csb0="00040000" w:csb1="00000000"/>
    <w:embedRegular r:id="rId2" w:fontKey="{56F6C359-9E81-49C2-8CDA-99FC62077F47}"/>
  </w:font>
  <w:font w:name="仿宋_GB2312">
    <w:panose1 w:val="02010609030101010101"/>
    <w:charset w:val="86"/>
    <w:family w:val="auto"/>
    <w:pitch w:val="default"/>
    <w:sig w:usb0="00000001" w:usb1="080E0000" w:usb2="00000000" w:usb3="00000000" w:csb0="00040000" w:csb1="00000000"/>
    <w:embedRegular r:id="rId3" w:fontKey="{F080E45C-9652-417D-8CD0-3B2E39F8F69C}"/>
  </w:font>
  <w:font w:name="楷体_GB2312">
    <w:panose1 w:val="02010609030101010101"/>
    <w:charset w:val="86"/>
    <w:family w:val="modern"/>
    <w:pitch w:val="default"/>
    <w:sig w:usb0="00000001" w:usb1="080E0000" w:usb2="00000000" w:usb3="00000000" w:csb0="00040000" w:csb1="00000000"/>
    <w:embedRegular r:id="rId4" w:fontKey="{0AB1E9BB-381F-42CD-ACD2-B3D4FF547C6C}"/>
  </w:font>
  <w:font w:name="楷体">
    <w:panose1 w:val="02010609060101010101"/>
    <w:charset w:val="86"/>
    <w:family w:val="modern"/>
    <w:pitch w:val="default"/>
    <w:sig w:usb0="800002BF" w:usb1="38CF7CFA" w:usb2="00000016" w:usb3="00000000" w:csb0="00040001" w:csb1="00000000"/>
    <w:embedRegular r:id="rId5" w:fontKey="{574A2C5A-402B-4375-9AA3-E98A21A3AD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FD816F">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899B0">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6C478">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7C790B">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4D7C790B">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EF80227"/>
    <w:rsid w:val="0A1D0B03"/>
    <w:rsid w:val="1F8E3028"/>
    <w:rsid w:val="2990496D"/>
    <w:rsid w:val="2BFC4274"/>
    <w:rsid w:val="4B352683"/>
    <w:rsid w:val="4EF80227"/>
    <w:rsid w:val="5E7050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left"/>
    </w:pPr>
    <w:rPr>
      <w:rFonts w:ascii="宋体" w:hAnsi="宋体" w:eastAsia="宋体" w:cs="宋体"/>
      <w:kern w:val="0"/>
      <w:sz w:val="24"/>
      <w:szCs w:val="24"/>
      <w:lang w:val="en-US" w:eastAsia="zh-CN" w:bidi="ar"/>
    </w:rPr>
  </w:style>
  <w:style w:type="paragraph" w:styleId="2">
    <w:name w:val="heading 2"/>
    <w:basedOn w:val="1"/>
    <w:next w:val="1"/>
    <w:link w:val="17"/>
    <w:unhideWhenUsed/>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3">
    <w:name w:val="Normal Indent"/>
    <w:basedOn w:val="1"/>
    <w:qFormat/>
    <w:uiPriority w:val="99"/>
    <w:pPr>
      <w:ind w:firstLine="420"/>
    </w:pPr>
    <w:rPr>
      <w:rFonts w:eastAsia="仿宋"/>
    </w:rPr>
  </w:style>
  <w:style w:type="paragraph" w:styleId="4">
    <w:name w:val="Body Text Indent"/>
    <w:basedOn w:val="1"/>
    <w:next w:val="5"/>
    <w:qFormat/>
    <w:uiPriority w:val="0"/>
    <w:pPr>
      <w:spacing w:after="120"/>
      <w:ind w:left="420" w:leftChars="200"/>
    </w:pPr>
  </w:style>
  <w:style w:type="paragraph" w:styleId="5">
    <w:name w:val="Body Text First Indent 2"/>
    <w:basedOn w:val="4"/>
    <w:next w:val="1"/>
    <w:qFormat/>
    <w:uiPriority w:val="0"/>
    <w:pPr>
      <w:ind w:firstLine="420" w:firstLineChars="200"/>
    </w:pPr>
  </w:style>
  <w:style w:type="paragraph" w:styleId="6">
    <w:name w:val="footer"/>
    <w:basedOn w:val="1"/>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9">
    <w:name w:val="toc 2"/>
    <w:basedOn w:val="1"/>
    <w:next w:val="1"/>
    <w:unhideWhenUsed/>
    <w:qFormat/>
    <w:uiPriority w:val="39"/>
    <w:pPr>
      <w:tabs>
        <w:tab w:val="right" w:leader="dot" w:pos="8296"/>
      </w:tabs>
      <w:ind w:left="420" w:leftChars="200"/>
    </w:pPr>
  </w:style>
  <w:style w:type="paragraph" w:styleId="10">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13">
    <w:name w:val="Strong"/>
    <w:basedOn w:val="12"/>
    <w:qFormat/>
    <w:uiPriority w:val="0"/>
    <w:rPr>
      <w:b/>
    </w:rPr>
  </w:style>
  <w:style w:type="paragraph" w:customStyle="1" w:styleId="14">
    <w:name w:val="标题 5（有编号）（绿盟科技）"/>
    <w:next w:val="1"/>
    <w:qFormat/>
    <w:uiPriority w:val="99"/>
    <w:pPr>
      <w:keepNext/>
      <w:keepLines/>
      <w:widowControl w:val="0"/>
      <w:spacing w:before="280" w:after="156" w:line="377" w:lineRule="auto"/>
      <w:jc w:val="left"/>
      <w:outlineLvl w:val="4"/>
    </w:pPr>
    <w:rPr>
      <w:rFonts w:ascii="Arial" w:hAnsi="Arial" w:eastAsia="黑体" w:cs="Times New Roman"/>
      <w:b/>
      <w:kern w:val="2"/>
      <w:sz w:val="24"/>
      <w:szCs w:val="28"/>
      <w:lang w:val="en-US" w:eastAsia="zh-CN" w:bidi="ar-SA"/>
    </w:rPr>
  </w:style>
  <w:style w:type="paragraph" w:customStyle="1" w:styleId="15">
    <w:name w:val="普通(网站) Char"/>
    <w:basedOn w:val="1"/>
    <w:qFormat/>
    <w:uiPriority w:val="0"/>
    <w:pPr>
      <w:spacing w:before="100" w:beforeAutospacing="1" w:after="100" w:afterAutospacing="1"/>
      <w:ind w:left="0" w:right="0"/>
      <w:jc w:val="left"/>
    </w:pPr>
    <w:rPr>
      <w:rFonts w:hint="eastAsia" w:ascii="宋体" w:hAnsi="宋体" w:eastAsia="宋体" w:cs="宋体"/>
      <w:kern w:val="0"/>
      <w:sz w:val="24"/>
      <w:szCs w:val="24"/>
      <w:lang w:val="en-US" w:eastAsia="zh-CN" w:bidi="ar"/>
    </w:rPr>
  </w:style>
  <w:style w:type="paragraph" w:customStyle="1" w:styleId="16">
    <w:name w:val="PlainText"/>
    <w:basedOn w:val="1"/>
    <w:qFormat/>
    <w:uiPriority w:val="0"/>
    <w:pPr>
      <w:textAlignment w:val="baseline"/>
    </w:pPr>
    <w:rPr>
      <w:rFonts w:ascii="宋体" w:hAnsi="Courier New"/>
      <w:szCs w:val="21"/>
    </w:rPr>
  </w:style>
  <w:style w:type="character" w:customStyle="1" w:styleId="17">
    <w:name w:val="标题 2 字符"/>
    <w:basedOn w:val="12"/>
    <w:link w:val="2"/>
    <w:qFormat/>
    <w:locked/>
    <w:uiPriority w:val="9"/>
    <w:rPr>
      <w:rFonts w:hint="eastAsia" w:ascii="宋体" w:hAnsi="宋体" w:eastAsia="宋体" w:cs="宋体"/>
      <w:b/>
      <w:bCs/>
      <w:kern w:val="0"/>
      <w:sz w:val="36"/>
      <w:szCs w:val="36"/>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12080</Words>
  <Characters>13416</Characters>
  <Lines>0</Lines>
  <Paragraphs>0</Paragraphs>
  <TotalTime>8</TotalTime>
  <ScaleCrop>false</ScaleCrop>
  <LinksUpToDate>false</LinksUpToDate>
  <CharactersWithSpaces>13462</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2025-10-15T06:55:00Z</dcterms:created>
  <dc:creator>渡不过旳奈何桥╮</dc:creator>
  <cp:lastModifiedBy>奕夕^_^</cp:lastModifiedBy>
  <dcterms:modified xsi:type="dcterms:W3CDTF">2025-10-20T11:14:23Z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67D95570D91648D7A2611346A7D5C909_11</vt:lpwstr>
  </property>
  <property fmtid="{D5CDD505-2E9C-101B-9397-08002B2CF9AE}" pid="4" name="KSOTemplateDocerSaveRecord">
    <vt:lpwstr>eyJoZGlkIjoiNTU1MWNhN2ZmY2ZhZmY3ODhlYTg0MWU5OGMyY2QwZmUiLCJ1c2VySWQiOiI0MzQ2NTM0NzEifQ==</vt:lpwstr>
  </property>
</Properties>
</file>