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0D9BC">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475"/>
      <w:bookmarkStart w:id="2" w:name="_Toc15377193"/>
      <w:bookmarkStart w:id="3" w:name="_Toc15396597"/>
      <w:bookmarkStart w:id="4" w:name="_Toc15378441"/>
      <w:bookmarkStart w:id="5" w:name="_Toc15306267"/>
    </w:p>
    <w:p w14:paraId="22F45B30">
      <w:pPr>
        <w:pStyle w:val="6"/>
        <w:rPr>
          <w:rFonts w:hint="eastAsia" w:ascii="Times New Roman" w:hAnsi="Times New Roman" w:eastAsia="方正小标宋简体" w:cs="Times New Roman"/>
          <w:color w:val="auto"/>
          <w:kern w:val="2"/>
          <w:sz w:val="72"/>
          <w:szCs w:val="72"/>
          <w:highlight w:val="none"/>
          <w:lang w:val="en-US" w:eastAsia="zh-CN" w:bidi="ar-SA"/>
        </w:rPr>
      </w:pPr>
    </w:p>
    <w:p w14:paraId="4EA004FA">
      <w:pPr>
        <w:pStyle w:val="6"/>
        <w:rPr>
          <w:rFonts w:hint="eastAsia" w:ascii="Times New Roman" w:hAnsi="Times New Roman" w:eastAsia="方正小标宋简体" w:cs="Times New Roman"/>
          <w:color w:val="auto"/>
          <w:kern w:val="2"/>
          <w:sz w:val="72"/>
          <w:szCs w:val="72"/>
          <w:highlight w:val="none"/>
          <w:lang w:val="en-US" w:eastAsia="zh-CN" w:bidi="ar-SA"/>
        </w:rPr>
      </w:pPr>
    </w:p>
    <w:p w14:paraId="2A4FB5A4">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2024年度部门决算</w:t>
      </w:r>
    </w:p>
    <w:p w14:paraId="2959238A">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w:t>
      </w:r>
    </w:p>
    <w:p w14:paraId="15D1093B">
      <w:pPr>
        <w:spacing w:line="600" w:lineRule="exact"/>
        <w:jc w:val="center"/>
        <w:outlineLvl w:val="0"/>
        <w:rPr>
          <w:rFonts w:ascii="Times New Roman" w:hAnsi="Times New Roman" w:eastAsia="方正小标宋简体"/>
          <w:color w:val="auto"/>
          <w:sz w:val="72"/>
          <w:szCs w:val="72"/>
          <w:highlight w:val="none"/>
        </w:rPr>
      </w:pPr>
    </w:p>
    <w:p w14:paraId="53A1217C">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7D8C80F">
      <w:pPr>
        <w:rPr>
          <w:rFonts w:ascii="Times New Roman" w:hAnsi="Times New Roman"/>
        </w:rPr>
      </w:pPr>
    </w:p>
    <w:p w14:paraId="66E254AD">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510F0487">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5424C661">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4307AF1E">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02699B7">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78442"/>
      <w:bookmarkStart w:id="8" w:name="_Toc15396476"/>
      <w:bookmarkStart w:id="9" w:name="_Toc15377194"/>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松潘县医疗保障局（本级）</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03B3847D">
      <w:pPr>
        <w:pStyle w:val="15"/>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color w:val="auto"/>
          <w:sz w:val="32"/>
          <w:szCs w:val="32"/>
          <w:highlight w:val="none"/>
          <w:lang w:val="en-US" w:eastAsia="zh-CN"/>
        </w:rPr>
      </w:pPr>
    </w:p>
    <w:p w14:paraId="47D26DD0">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429B91CF">
      <w:pPr>
        <w:widowControl/>
        <w:jc w:val="center"/>
        <w:rPr>
          <w:rFonts w:ascii="Times New Roman" w:hAnsi="Times New Roman" w:eastAsia="黑体" w:cstheme="minorBidi"/>
          <w:color w:val="auto"/>
          <w:sz w:val="28"/>
          <w:szCs w:val="28"/>
          <w:highlight w:val="none"/>
        </w:rPr>
      </w:pPr>
    </w:p>
    <w:p w14:paraId="748D2AC4">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17 </w:t>
      </w:r>
      <w:r>
        <w:rPr>
          <w:rFonts w:hint="eastAsia" w:ascii="Times New Roman" w:hAnsi="Times New Roman" w:eastAsia="仿宋_GB2312" w:cs="仿宋_GB2312"/>
          <w:color w:val="auto"/>
          <w:sz w:val="32"/>
          <w:szCs w:val="32"/>
          <w:highlight w:val="none"/>
        </w:rPr>
        <w:t>日</w:t>
      </w:r>
    </w:p>
    <w:p w14:paraId="49A826F8">
      <w:pPr>
        <w:rPr>
          <w:rFonts w:ascii="Times New Roman" w:hAnsi="Times New Roman"/>
          <w:color w:val="auto"/>
          <w:highlight w:val="none"/>
        </w:rPr>
      </w:pPr>
    </w:p>
    <w:p w14:paraId="1442E36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4EFF894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732035F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594092DC">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0E3B68F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6D6BF6D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18312DB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772CAC8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33DE656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59DB850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20DB5F9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63D9FCA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63A6B7D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595EF66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1F5B251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1BA563A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50A1AA9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79CFE0C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5CCFD95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76C98BC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45659F5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21583EC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1BA7D90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7909EF7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3702DFA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71B71EA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320FD04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02364B7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7119D89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27249AE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141A02C6">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58598F0F">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p>
    <w:p w14:paraId="153ACDF4">
      <w:pPr>
        <w:widowControl/>
        <w:jc w:val="left"/>
        <w:rPr>
          <w:rFonts w:ascii="Times New Roman" w:hAnsi="Times New Roman" w:eastAsia="黑体"/>
          <w:color w:val="auto"/>
          <w:sz w:val="32"/>
          <w:szCs w:val="32"/>
          <w:highlight w:val="none"/>
        </w:rPr>
      </w:pPr>
    </w:p>
    <w:p w14:paraId="066AA0B7">
      <w:pPr>
        <w:pStyle w:val="4"/>
        <w:numPr>
          <w:ilvl w:val="0"/>
          <w:numId w:val="1"/>
        </w:numPr>
        <w:rPr>
          <w:rFonts w:hint="eastAsia" w:ascii="楷体_GB2312" w:hAnsi="楷体_GB2312" w:eastAsia="楷体_GB2312" w:cs="楷体_GB2312"/>
          <w:b/>
          <w:bCs/>
          <w:color w:val="auto"/>
          <w:sz w:val="32"/>
          <w:szCs w:val="32"/>
          <w:shd w:val="clear" w:color="auto" w:fill="FFFFFF"/>
        </w:rPr>
      </w:pPr>
      <w:r>
        <w:rPr>
          <w:rFonts w:hint="eastAsia" w:ascii="Times New Roman" w:hAnsi="Times New Roman" w:eastAsia="黑体"/>
          <w:b w:val="0"/>
          <w:color w:val="auto"/>
          <w:highlight w:val="none"/>
          <w:lang w:eastAsia="zh-CN"/>
        </w:rPr>
        <w:t>部门职责</w:t>
      </w:r>
    </w:p>
    <w:p w14:paraId="5F912324">
      <w:pPr>
        <w:pStyle w:val="4"/>
        <w:numPr>
          <w:ilvl w:val="0"/>
          <w:numId w:val="0"/>
        </w:numPr>
        <w:rPr>
          <w:rFonts w:hint="eastAsia" w:ascii="楷体_GB2312" w:hAnsi="楷体_GB2312" w:eastAsia="楷体_GB2312" w:cs="楷体_GB2312"/>
          <w:b/>
          <w:bCs/>
          <w:color w:val="auto"/>
          <w:sz w:val="32"/>
          <w:szCs w:val="32"/>
          <w:shd w:val="clear" w:color="auto" w:fill="FFFFFF"/>
        </w:rPr>
      </w:pPr>
      <w:r>
        <w:rPr>
          <w:rFonts w:hint="eastAsia" w:ascii="楷体_GB2312" w:hAnsi="楷体_GB2312" w:eastAsia="楷体_GB2312" w:cs="楷体_GB2312"/>
          <w:b/>
          <w:bCs/>
          <w:color w:val="auto"/>
          <w:sz w:val="32"/>
          <w:szCs w:val="32"/>
          <w:shd w:val="clear" w:color="auto" w:fill="FFFFFF"/>
        </w:rPr>
        <w:t>（一）主要职能。</w:t>
      </w:r>
    </w:p>
    <w:p w14:paraId="41B32333">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（1）负责贯彻落实国家、省、市州政府有关医疗保险的方针、政策；</w:t>
      </w:r>
    </w:p>
    <w:p w14:paraId="671BC3B0">
      <w:pPr>
        <w:keepNext w:val="0"/>
        <w:keepLines w:val="0"/>
        <w:pageBreakBefore w:val="0"/>
        <w:widowControl w:val="0"/>
        <w:kinsoku/>
        <w:wordWrap/>
        <w:overflowPunct/>
        <w:topLinePunct w:val="0"/>
        <w:bidi w:val="0"/>
        <w:spacing w:afterAutospacing="0" w:line="578"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（2）负责县级机关事业单位、企业和个体、农民工及</w:t>
      </w:r>
      <w:r>
        <w:rPr>
          <w:rFonts w:hint="eastAsia" w:ascii="仿宋_GB2312" w:hAnsi="仿宋_GB2312" w:eastAsia="仿宋_GB2312" w:cs="仿宋_GB2312"/>
          <w:color w:val="auto"/>
          <w:sz w:val="32"/>
          <w:szCs w:val="32"/>
          <w:lang w:eastAsia="zh-CN"/>
        </w:rPr>
        <w:t>城乡居民医保</w:t>
      </w:r>
      <w:r>
        <w:rPr>
          <w:rFonts w:hint="eastAsia" w:ascii="仿宋_GB2312" w:hAnsi="仿宋_GB2312" w:eastAsia="仿宋_GB2312" w:cs="仿宋_GB2312"/>
          <w:color w:val="auto"/>
          <w:sz w:val="32"/>
          <w:szCs w:val="32"/>
        </w:rPr>
        <w:t>手续的办理；</w:t>
      </w:r>
    </w:p>
    <w:p w14:paraId="01810BD0">
      <w:pPr>
        <w:keepNext w:val="0"/>
        <w:keepLines w:val="0"/>
        <w:pageBreakBefore w:val="0"/>
        <w:widowControl w:val="0"/>
        <w:kinsoku/>
        <w:wordWrap/>
        <w:overflowPunct/>
        <w:topLinePunct w:val="0"/>
        <w:bidi w:val="0"/>
        <w:spacing w:afterAutospacing="0" w:line="578"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（3）负责县级基本医疗保险基金的征缴、管理与支付；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（4）负责县级公务员医疗保险基金、补充医疗保险金的征收、管理与支付；</w:t>
      </w:r>
    </w:p>
    <w:p w14:paraId="1145BA93">
      <w:pPr>
        <w:keepNext w:val="0"/>
        <w:keepLines w:val="0"/>
        <w:pageBreakBefore w:val="0"/>
        <w:widowControl w:val="0"/>
        <w:kinsoku/>
        <w:wordWrap/>
        <w:overflowPunct/>
        <w:topLinePunct w:val="0"/>
        <w:bidi w:val="0"/>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（5）负责县级参保居民医疗保险基金的征收和参保人员费用的审核支付；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（6）负责企业离休干部、二等乙级伤残军人医疗费的管理、支付；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（7）负责定点医院、定点药店的服务协议签订，并对协议执行情况进行管理、监督、指导；</w:t>
      </w:r>
    </w:p>
    <w:p w14:paraId="57DD966A">
      <w:pPr>
        <w:keepNext w:val="0"/>
        <w:keepLines w:val="0"/>
        <w:pageBreakBefore w:val="0"/>
        <w:widowControl w:val="0"/>
        <w:kinsoku/>
        <w:wordWrap/>
        <w:overflowPunct/>
        <w:topLinePunct w:val="0"/>
        <w:bidi w:val="0"/>
        <w:spacing w:afterAutospacing="0" w:line="578" w:lineRule="exact"/>
        <w:ind w:left="0" w:leftChars="0" w:right="0" w:firstLine="64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8</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负责全县财政供养人员的体检费用的审核与报销。</w:t>
      </w:r>
    </w:p>
    <w:p w14:paraId="371BE24A">
      <w:pPr>
        <w:keepNext w:val="0"/>
        <w:keepLines w:val="0"/>
        <w:pageBreakBefore w:val="0"/>
        <w:widowControl w:val="0"/>
        <w:kinsoku/>
        <w:wordWrap/>
        <w:overflowPunct/>
        <w:topLinePunct w:val="0"/>
        <w:bidi w:val="0"/>
        <w:spacing w:afterAutospacing="0" w:line="578" w:lineRule="exact"/>
        <w:ind w:right="0"/>
        <w:textAlignment w:val="auto"/>
        <w:rPr>
          <w:rFonts w:hint="eastAsia" w:ascii="楷体_GB2312" w:hAnsi="楷体_GB2312" w:eastAsia="楷体_GB2312" w:cs="楷体_GB2312"/>
          <w:b/>
          <w:bCs/>
          <w:color w:val="auto"/>
          <w:sz w:val="32"/>
          <w:szCs w:val="32"/>
          <w:shd w:val="clear" w:color="auto" w:fill="FFFFFF"/>
        </w:rPr>
      </w:pPr>
      <w:r>
        <w:rPr>
          <w:rFonts w:hint="eastAsia" w:ascii="楷体_GB2312" w:hAnsi="楷体_GB2312" w:eastAsia="楷体_GB2312" w:cs="楷体_GB2312"/>
          <w:b/>
          <w:bCs/>
          <w:color w:val="auto"/>
          <w:sz w:val="32"/>
          <w:szCs w:val="32"/>
          <w:shd w:val="clear" w:color="auto" w:fill="FFFFFF"/>
        </w:rPr>
        <w:t>（二）202</w:t>
      </w:r>
      <w:r>
        <w:rPr>
          <w:rFonts w:hint="eastAsia" w:ascii="楷体_GB2312" w:hAnsi="楷体_GB2312" w:eastAsia="楷体_GB2312" w:cs="楷体_GB2312"/>
          <w:b/>
          <w:bCs/>
          <w:color w:val="auto"/>
          <w:sz w:val="32"/>
          <w:szCs w:val="32"/>
          <w:shd w:val="clear" w:color="auto" w:fill="FFFFFF"/>
          <w:lang w:val="en-US" w:eastAsia="zh-CN"/>
        </w:rPr>
        <w:t>4</w:t>
      </w:r>
      <w:r>
        <w:rPr>
          <w:rFonts w:hint="eastAsia" w:ascii="楷体_GB2312" w:hAnsi="楷体_GB2312" w:eastAsia="楷体_GB2312" w:cs="楷体_GB2312"/>
          <w:b/>
          <w:bCs/>
          <w:color w:val="auto"/>
          <w:sz w:val="32"/>
          <w:szCs w:val="32"/>
          <w:shd w:val="clear" w:color="auto" w:fill="FFFFFF"/>
        </w:rPr>
        <w:t>年重点工作完成情况。</w:t>
      </w:r>
    </w:p>
    <w:p w14:paraId="7C218F4D">
      <w:pPr>
        <w:numPr>
          <w:ilvl w:val="0"/>
          <w:numId w:val="0"/>
        </w:numPr>
        <w:ind w:firstLine="960" w:firstLineChars="300"/>
        <w:rPr>
          <w:rFonts w:hint="default"/>
          <w:lang w:val="en-US" w:eastAsia="zh-CN"/>
        </w:rPr>
      </w:pPr>
      <w:r>
        <w:rPr>
          <w:rFonts w:hint="eastAsia" w:ascii="仿宋_GB2312" w:hAnsi="仿宋_GB2312" w:eastAsia="仿宋_GB2312" w:cs="仿宋_GB2312"/>
          <w:color w:val="auto"/>
          <w:sz w:val="32"/>
          <w:szCs w:val="32"/>
          <w:shd w:val="clear" w:color="auto" w:fill="FFFFFF"/>
          <w:lang w:val="en-US" w:eastAsia="zh-CN"/>
        </w:rPr>
        <w:t>完成了州、县下达的各项目标任务。</w:t>
      </w:r>
    </w:p>
    <w:p w14:paraId="435B3910">
      <w:pPr>
        <w:pStyle w:val="4"/>
        <w:rPr>
          <w:rStyle w:val="31"/>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4"/>
      <w:bookmarkEnd w:id="15"/>
    </w:p>
    <w:p w14:paraId="099BD0E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松潘县医疗保障局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r>
        <w:rPr>
          <w:rFonts w:hint="eastAsia" w:eastAsia="仿宋_GB2312" w:cs="仿宋_GB2312"/>
          <w:color w:val="auto"/>
          <w:sz w:val="32"/>
          <w:szCs w:val="32"/>
          <w:highlight w:val="none"/>
          <w:lang w:eastAsia="zh-CN"/>
        </w:rPr>
        <w:t>。</w:t>
      </w:r>
    </w:p>
    <w:p w14:paraId="0D173932">
      <w:pPr>
        <w:pStyle w:val="6"/>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松潘县医疗保障局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36EEB528">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cs="仿宋_GB2312"/>
          <w:color w:val="auto"/>
          <w:sz w:val="32"/>
          <w:szCs w:val="32"/>
          <w:highlight w:val="none"/>
          <w:lang w:val="en-US" w:eastAsia="zh-CN"/>
        </w:rPr>
        <w:t>松潘县医疗保障局</w:t>
      </w:r>
    </w:p>
    <w:p w14:paraId="2C005600">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cs="仿宋_GB2312"/>
          <w:color w:val="auto"/>
          <w:sz w:val="32"/>
          <w:szCs w:val="32"/>
          <w:highlight w:val="none"/>
          <w:lang w:val="en-US" w:eastAsia="zh-CN"/>
        </w:rPr>
        <w:t>松潘县城乡居民基本医疗保险服务中心</w:t>
      </w:r>
    </w:p>
    <w:p w14:paraId="686ED543">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729DBA7">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6F1A6E48">
      <w:pPr>
        <w:rPr>
          <w:rFonts w:ascii="Times New Roman" w:hAnsi="Times New Roman"/>
          <w:color w:val="auto"/>
          <w:highlight w:val="none"/>
        </w:rPr>
      </w:pPr>
    </w:p>
    <w:p w14:paraId="2460F71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8"/>
      <w:bookmarkEnd w:id="19"/>
    </w:p>
    <w:p w14:paraId="1B1AACD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1223.51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157.08</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14.72%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项目增加，人员变动。</w:t>
      </w:r>
    </w:p>
    <w:p w14:paraId="0DFC52E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702C527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1223.51万元，其中：一般公共预算财政拨款收入1223.51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3FEE8A0A">
      <w:pPr>
        <w:ind w:firstLine="800" w:firstLineChars="250"/>
        <w:rPr>
          <w:rFonts w:hint="eastAsia" w:ascii="Times New Roman" w:hAnsi="Times New Roman" w:eastAsia="仿宋_GB2312" w:cs="仿宋_GB2312"/>
          <w:color w:val="auto"/>
          <w:sz w:val="32"/>
          <w:szCs w:val="32"/>
          <w:highlight w:val="none"/>
          <w:lang w:eastAsia="zh-CN"/>
        </w:rPr>
      </w:pPr>
    </w:p>
    <w:p w14:paraId="2941723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2"/>
      <w:bookmarkEnd w:id="23"/>
    </w:p>
    <w:p w14:paraId="4762A4BE">
      <w:pPr>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1223.51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495.85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40.52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727.65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59.47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bookmarkStart w:id="24" w:name="_Toc15396606"/>
      <w:bookmarkStart w:id="25" w:name="_Toc15377208"/>
    </w:p>
    <w:p w14:paraId="5C9183F6">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4"/>
      <w:bookmarkEnd w:id="25"/>
    </w:p>
    <w:p w14:paraId="2F2031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1223.51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157.08</w:t>
      </w:r>
      <w:r>
        <w:rPr>
          <w:rFonts w:hint="eastAsia" w:ascii="Times New Roman" w:hAnsi="Times New Roman" w:eastAsia="仿宋_GB2312" w:cs="仿宋_GB2312"/>
          <w:color w:val="auto"/>
          <w:kern w:val="2"/>
          <w:sz w:val="32"/>
          <w:szCs w:val="32"/>
          <w:highlight w:val="none"/>
          <w:lang w:val="en-US" w:eastAsia="zh-CN" w:bidi="ar-SA"/>
        </w:rPr>
        <w:t>万元。主要变动原因</w:t>
      </w:r>
      <w:r>
        <w:rPr>
          <w:rFonts w:hint="eastAsia" w:eastAsia="仿宋_GB2312" w:cs="仿宋_GB2312"/>
          <w:color w:val="auto"/>
          <w:kern w:val="2"/>
          <w:sz w:val="32"/>
          <w:szCs w:val="32"/>
          <w:highlight w:val="none"/>
          <w:lang w:val="en-US" w:eastAsia="zh-CN" w:bidi="ar-SA"/>
        </w:rPr>
        <w:t>是项目增加、人员变动。</w:t>
      </w:r>
    </w:p>
    <w:p w14:paraId="403E6F1D">
      <w:pPr>
        <w:spacing w:line="600" w:lineRule="exact"/>
        <w:ind w:firstLine="640" w:firstLineChars="200"/>
        <w:outlineLvl w:val="1"/>
        <w:rPr>
          <w:rStyle w:val="31"/>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6"/>
      <w:bookmarkEnd w:id="27"/>
    </w:p>
    <w:p w14:paraId="2364E5C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4D4C4A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1223.51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kern w:val="2"/>
          <w:sz w:val="32"/>
          <w:szCs w:val="32"/>
          <w:highlight w:val="none"/>
          <w:lang w:val="en-US" w:eastAsia="zh-CN" w:bidi="ar-SA"/>
        </w:rPr>
        <w:t>157.08</w:t>
      </w:r>
      <w:r>
        <w:rPr>
          <w:rFonts w:hint="eastAsia" w:ascii="仿宋_GB2312" w:hAnsi="仿宋_GB2312" w:eastAsia="仿宋_GB2312" w:cs="仿宋_GB2312"/>
          <w:color w:val="auto"/>
          <w:kern w:val="2"/>
          <w:sz w:val="32"/>
          <w:szCs w:val="32"/>
          <w:highlight w:val="none"/>
          <w:lang w:val="en-US" w:eastAsia="zh-CN" w:bidi="ar-SA"/>
        </w:rPr>
        <w:t>万元，增长14.72%。主要变动原因是</w:t>
      </w:r>
      <w:r>
        <w:rPr>
          <w:rFonts w:hint="eastAsia" w:eastAsia="仿宋_GB2312" w:cs="仿宋_GB2312"/>
          <w:color w:val="auto"/>
          <w:kern w:val="2"/>
          <w:sz w:val="32"/>
          <w:szCs w:val="32"/>
          <w:highlight w:val="none"/>
          <w:lang w:val="en-US" w:eastAsia="zh-CN" w:bidi="ar-SA"/>
        </w:rPr>
        <w:t>项目增加、人员变动。</w:t>
      </w:r>
    </w:p>
    <w:p w14:paraId="1A26A8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72913605">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1223.51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77.96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6.37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1108.23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90.58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37.32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3.05</w:t>
      </w:r>
      <w:r>
        <w:rPr>
          <w:rFonts w:hint="eastAsia" w:ascii="Times New Roman" w:hAnsi="Times New Roman" w:eastAsia="仿宋_GB2312" w:cs="仿宋_GB2312"/>
          <w:color w:val="auto"/>
          <w:kern w:val="2"/>
          <w:sz w:val="32"/>
          <w:szCs w:val="32"/>
          <w:highlight w:val="none"/>
          <w:lang w:val="en-US" w:eastAsia="zh-CN" w:bidi="ar-SA"/>
        </w:rPr>
        <w:t>%；</w:t>
      </w:r>
      <w:bookmarkStart w:id="30" w:name="_Toc15377212"/>
    </w:p>
    <w:p w14:paraId="19C948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5503F5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8460"/>
      <w:bookmarkStart w:id="33"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1223.51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35732540">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77.96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14:paraId="791CE1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1108.23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4015761">
      <w:pPr>
        <w:tabs>
          <w:tab w:val="right" w:pos="8306"/>
        </w:tabs>
        <w:spacing w:line="600" w:lineRule="exact"/>
        <w:ind w:firstLine="640"/>
        <w:outlineLvl w:val="1"/>
        <w:rPr>
          <w:rStyle w:val="31"/>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4"/>
      <w:bookmarkEnd w:id="35"/>
      <w:r>
        <w:rPr>
          <w:rStyle w:val="31"/>
          <w:rFonts w:ascii="Times New Roman" w:hAnsi="Times New Roman" w:eastAsia="黑体"/>
          <w:b w:val="0"/>
          <w:color w:val="auto"/>
          <w:highlight w:val="none"/>
        </w:rPr>
        <w:tab/>
      </w:r>
    </w:p>
    <w:p w14:paraId="1DA23B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495.85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CF036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475.49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20.36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D0392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A7BA93">
      <w:pPr>
        <w:spacing w:line="600" w:lineRule="exact"/>
        <w:ind w:firstLine="640"/>
        <w:outlineLvl w:val="1"/>
        <w:rPr>
          <w:rStyle w:val="31"/>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6"/>
      <w:bookmarkEnd w:id="37"/>
    </w:p>
    <w:p w14:paraId="1AD4595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47FE9D5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1.75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6B3AB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4E5406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1.75</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1D6A3566">
      <w:pPr>
        <w:numPr>
          <w:ilvl w:val="0"/>
          <w:numId w:val="3"/>
        </w:num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14:paraId="308E47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7B4DE88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1.75万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20285B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14:paraId="7D087F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1.75</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789B0C26">
      <w:pPr>
        <w:numPr>
          <w:ilvl w:val="0"/>
          <w:numId w:val="3"/>
        </w:numPr>
        <w:spacing w:line="600" w:lineRule="exact"/>
        <w:ind w:left="0" w:leftChars="0" w:firstLine="640" w:firstLineChars="0"/>
        <w:outlineLvl w:val="1"/>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bookmarkStart w:id="40" w:name="_Toc15377218"/>
      <w:bookmarkStart w:id="41" w:name="_Toc15396610"/>
    </w:p>
    <w:p w14:paraId="71B5357E">
      <w:pPr>
        <w:numPr>
          <w:ilvl w:val="0"/>
          <w:numId w:val="0"/>
        </w:numPr>
        <w:spacing w:line="600" w:lineRule="exact"/>
        <w:ind w:firstLine="640" w:firstLineChars="20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0"/>
      <w:bookmarkEnd w:id="41"/>
    </w:p>
    <w:p w14:paraId="166B090E">
      <w:pPr>
        <w:numPr>
          <w:ilvl w:val="0"/>
          <w:numId w:val="0"/>
        </w:numPr>
        <w:spacing w:line="600" w:lineRule="exact"/>
        <w:ind w:left="630" w:leftChars="0"/>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42" w:name="_Toc15377219"/>
      <w:bookmarkStart w:id="43" w:name="_Toc15396611"/>
    </w:p>
    <w:p w14:paraId="6F48B0B6">
      <w:pPr>
        <w:numPr>
          <w:ilvl w:val="0"/>
          <w:numId w:val="0"/>
        </w:numPr>
        <w:spacing w:line="600" w:lineRule="exact"/>
        <w:ind w:left="630" w:leftChars="0"/>
        <w:outlineLvl w:val="1"/>
        <w:rPr>
          <w:rStyle w:val="31"/>
          <w:rFonts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2"/>
      <w:bookmarkEnd w:id="43"/>
    </w:p>
    <w:p w14:paraId="2BF3698F">
      <w:pPr>
        <w:numPr>
          <w:ilvl w:val="0"/>
          <w:numId w:val="0"/>
        </w:numPr>
        <w:spacing w:line="600" w:lineRule="exact"/>
        <w:ind w:left="630" w:leftChars="0"/>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44" w:name="_Toc15377221"/>
      <w:bookmarkStart w:id="45" w:name="_Toc15396612"/>
    </w:p>
    <w:p w14:paraId="7A60D46E">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4"/>
      <w:bookmarkEnd w:id="45"/>
    </w:p>
    <w:p w14:paraId="399A1A9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603670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松潘县医疗保障局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12.26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9.05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42.46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人员变动。</w:t>
      </w:r>
    </w:p>
    <w:p w14:paraId="2AE136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68E467B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松潘县医疗保障局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8.17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8.17</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万元。主要用于办公设备购置。授予中小企业合同金额</w:t>
      </w:r>
      <w:r>
        <w:rPr>
          <w:rFonts w:hint="eastAsia" w:ascii="仿宋_GB2312" w:hAnsi="仿宋_GB2312" w:eastAsia="仿宋_GB2312" w:cs="仿宋_GB2312"/>
          <w:sz w:val="32"/>
          <w:szCs w:val="32"/>
        </w:rPr>
        <w:t>8.17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8.17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6E9108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3EC98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7F64A6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松潘县医疗保障局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辆，其他用车主要用于</w:t>
      </w:r>
      <w:r>
        <w:rPr>
          <w:rFonts w:hint="eastAsia" w:ascii="仿宋_GB2312" w:hAnsi="仿宋_GB2312" w:eastAsia="仿宋_GB2312" w:cs="仿宋_GB2312"/>
          <w:color w:val="auto"/>
          <w:sz w:val="32"/>
          <w:szCs w:val="32"/>
          <w:shd w:val="clear" w:color="auto" w:fill="FFFFFF"/>
          <w:lang w:eastAsia="zh-CN"/>
        </w:rPr>
        <w:t>办公，下乡宣传政策，检查医疗机构等</w:t>
      </w:r>
      <w:r>
        <w:rPr>
          <w:rFonts w:hint="eastAsia" w:ascii="仿宋_GB2312" w:hAnsi="仿宋_GB2312" w:eastAsia="仿宋_GB2312" w:cs="仿宋_GB2312"/>
          <w:color w:val="auto"/>
          <w:sz w:val="32"/>
          <w:szCs w:val="32"/>
          <w:shd w:val="clear" w:color="auto" w:fill="FFFFFF"/>
          <w:lang w:val="en-US" w:eastAsia="zh-CN"/>
        </w:rPr>
        <w:t>公务</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1CE3C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D519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150ACAD">
      <w:pPr>
        <w:pStyle w:val="2"/>
        <w:rPr>
          <w:rFonts w:hint="eastAsia" w:ascii="Times New Roman" w:hAnsi="Times New Roman" w:eastAsia="仿宋_GB2312" w:cs="仿宋_GB2312"/>
          <w:color w:val="auto"/>
          <w:kern w:val="2"/>
          <w:sz w:val="32"/>
          <w:szCs w:val="32"/>
          <w:highlight w:val="none"/>
          <w:lang w:val="en-US" w:eastAsia="zh-CN" w:bidi="ar-SA"/>
        </w:rPr>
      </w:pPr>
    </w:p>
    <w:p w14:paraId="250E80D0">
      <w:pPr>
        <w:rPr>
          <w:rFonts w:hint="eastAsia" w:ascii="Times New Roman" w:hAnsi="Times New Roman" w:eastAsia="仿宋_GB2312" w:cs="仿宋_GB2312"/>
          <w:color w:val="auto"/>
          <w:kern w:val="2"/>
          <w:sz w:val="32"/>
          <w:szCs w:val="32"/>
          <w:highlight w:val="none"/>
          <w:lang w:val="en-US" w:eastAsia="zh-CN" w:bidi="ar-SA"/>
        </w:rPr>
      </w:pPr>
    </w:p>
    <w:p w14:paraId="49E0FB82">
      <w:pPr>
        <w:pStyle w:val="2"/>
        <w:rPr>
          <w:rFonts w:hint="eastAsia" w:ascii="Times New Roman" w:hAnsi="Times New Roman" w:eastAsia="仿宋_GB2312" w:cs="仿宋_GB2312"/>
          <w:color w:val="auto"/>
          <w:kern w:val="2"/>
          <w:sz w:val="32"/>
          <w:szCs w:val="32"/>
          <w:highlight w:val="none"/>
          <w:lang w:val="en-US" w:eastAsia="zh-CN" w:bidi="ar-SA"/>
        </w:rPr>
      </w:pPr>
    </w:p>
    <w:p w14:paraId="7F66ADD8">
      <w:pPr>
        <w:rPr>
          <w:rFonts w:hint="eastAsia" w:ascii="Times New Roman" w:hAnsi="Times New Roman" w:eastAsia="仿宋_GB2312" w:cs="仿宋_GB2312"/>
          <w:color w:val="auto"/>
          <w:kern w:val="2"/>
          <w:sz w:val="32"/>
          <w:szCs w:val="32"/>
          <w:highlight w:val="none"/>
          <w:lang w:val="en-US" w:eastAsia="zh-CN" w:bidi="ar-SA"/>
        </w:rPr>
      </w:pPr>
    </w:p>
    <w:p w14:paraId="33C38376">
      <w:pPr>
        <w:pStyle w:val="2"/>
        <w:rPr>
          <w:rFonts w:hint="eastAsia" w:ascii="Times New Roman" w:hAnsi="Times New Roman" w:eastAsia="仿宋_GB2312" w:cs="仿宋_GB2312"/>
          <w:color w:val="auto"/>
          <w:kern w:val="2"/>
          <w:sz w:val="32"/>
          <w:szCs w:val="32"/>
          <w:highlight w:val="none"/>
          <w:lang w:val="en-US" w:eastAsia="zh-CN" w:bidi="ar-SA"/>
        </w:rPr>
      </w:pPr>
    </w:p>
    <w:p w14:paraId="232BF9EE">
      <w:pPr>
        <w:rPr>
          <w:rFonts w:hint="eastAsia" w:ascii="Times New Roman" w:hAnsi="Times New Roman" w:eastAsia="仿宋_GB2312" w:cs="仿宋_GB2312"/>
          <w:color w:val="auto"/>
          <w:kern w:val="2"/>
          <w:sz w:val="32"/>
          <w:szCs w:val="32"/>
          <w:highlight w:val="none"/>
          <w:lang w:val="en-US" w:eastAsia="zh-CN" w:bidi="ar-SA"/>
        </w:rPr>
      </w:pPr>
    </w:p>
    <w:p w14:paraId="54B4BBDD">
      <w:pPr>
        <w:pStyle w:val="2"/>
        <w:rPr>
          <w:rFonts w:hint="eastAsia" w:ascii="Times New Roman" w:hAnsi="Times New Roman" w:eastAsia="仿宋_GB2312" w:cs="仿宋_GB2312"/>
          <w:color w:val="auto"/>
          <w:kern w:val="2"/>
          <w:sz w:val="32"/>
          <w:szCs w:val="32"/>
          <w:highlight w:val="none"/>
          <w:lang w:val="en-US" w:eastAsia="zh-CN" w:bidi="ar-SA"/>
        </w:rPr>
      </w:pPr>
    </w:p>
    <w:p w14:paraId="7D59C2DE">
      <w:pPr>
        <w:rPr>
          <w:rFonts w:hint="eastAsia" w:ascii="Times New Roman" w:hAnsi="Times New Roman" w:eastAsia="仿宋_GB2312" w:cs="仿宋_GB2312"/>
          <w:color w:val="auto"/>
          <w:kern w:val="2"/>
          <w:sz w:val="32"/>
          <w:szCs w:val="32"/>
          <w:highlight w:val="none"/>
          <w:lang w:val="en-US" w:eastAsia="zh-CN" w:bidi="ar-SA"/>
        </w:rPr>
      </w:pPr>
    </w:p>
    <w:p w14:paraId="7BF6DE02">
      <w:pPr>
        <w:pStyle w:val="2"/>
        <w:rPr>
          <w:rFonts w:hint="eastAsia"/>
          <w:lang w:val="en-US" w:eastAsia="zh-CN"/>
        </w:rPr>
      </w:pPr>
    </w:p>
    <w:p w14:paraId="5D0A4E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C1E425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2689DFA8">
      <w:pPr>
        <w:spacing w:line="600" w:lineRule="exact"/>
        <w:jc w:val="left"/>
        <w:rPr>
          <w:rFonts w:ascii="Times New Roman" w:hAnsi="Times New Roman"/>
          <w:b/>
          <w:color w:val="auto"/>
          <w:sz w:val="44"/>
          <w:szCs w:val="44"/>
          <w:highlight w:val="none"/>
        </w:rPr>
      </w:pPr>
    </w:p>
    <w:p w14:paraId="141AF4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41E7FC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331660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431962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01D494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0C264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BF993A8">
      <w:pPr>
        <w:spacing w:line="600" w:lineRule="exact"/>
        <w:ind w:firstLine="640"/>
        <w:rPr>
          <w:rFonts w:hint="eastAsia" w:ascii="仿宋_GB2312" w:hAnsi="仿宋_GB2312"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555AC5B8">
      <w:pPr>
        <w:pStyle w:val="16"/>
        <w:keepNext w:val="0"/>
        <w:keepLines w:val="0"/>
        <w:pageBreakBefore w:val="0"/>
        <w:widowControl w:val="0"/>
        <w:suppressLineNumbers w:val="0"/>
        <w:kinsoku/>
        <w:wordWrap/>
        <w:overflowPunct/>
        <w:topLinePunct w:val="0"/>
        <w:bidi w:val="0"/>
        <w:spacing w:before="0" w:beforeAutospacing="0" w:after="0" w:afterAutospacing="0" w:line="578"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8</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年末结转和结余：指单位按有关规定结转到下年或以后年度继续使用的资金。</w:t>
      </w:r>
    </w:p>
    <w:p w14:paraId="3BAEE349">
      <w:pPr>
        <w:keepNext w:val="0"/>
        <w:keepLines w:val="0"/>
        <w:pageBreakBefore w:val="0"/>
        <w:widowControl w:val="0"/>
        <w:shd w:val="clear" w:color="auto" w:fill="FBFBFB"/>
        <w:kinsoku/>
        <w:wordWrap/>
        <w:overflowPunct/>
        <w:topLinePunct w:val="0"/>
        <w:bidi w:val="0"/>
        <w:spacing w:afterAutospacing="0" w:line="578" w:lineRule="exact"/>
        <w:ind w:left="0" w:leftChars="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shd w:val="clear" w:color="auto" w:fill="FFFFFF"/>
        </w:rPr>
        <w:t>9.</w:t>
      </w:r>
      <w:r>
        <w:rPr>
          <w:rFonts w:hint="eastAsia" w:ascii="仿宋_GB2312" w:hAnsi="仿宋_GB2312" w:eastAsia="仿宋_GB2312" w:cs="仿宋_GB2312"/>
          <w:color w:val="auto"/>
          <w:kern w:val="0"/>
          <w:sz w:val="32"/>
          <w:szCs w:val="32"/>
        </w:rPr>
        <w:t>住房保障支出：指职工的住房公积金。</w:t>
      </w:r>
    </w:p>
    <w:p w14:paraId="065B9484">
      <w:pPr>
        <w:keepNext w:val="0"/>
        <w:keepLines w:val="0"/>
        <w:pageBreakBefore w:val="0"/>
        <w:widowControl w:val="0"/>
        <w:shd w:val="clear" w:color="auto" w:fill="FBFBFB"/>
        <w:kinsoku/>
        <w:wordWrap/>
        <w:overflowPunct/>
        <w:topLinePunct w:val="0"/>
        <w:bidi w:val="0"/>
        <w:spacing w:afterAutospacing="0" w:line="578" w:lineRule="exact"/>
        <w:ind w:left="0" w:leftChars="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10.结余分配：指事业单位按规定提取的职工福利基金、事业基金和缴纳的所得税，以及建设单位按规定应</w:t>
      </w:r>
      <w:r>
        <w:rPr>
          <w:rFonts w:hint="eastAsia" w:ascii="仿宋_GB2312" w:hAnsi="仿宋_GB2312" w:eastAsia="仿宋_GB2312" w:cs="仿宋_GB2312"/>
          <w:color w:val="auto"/>
          <w:kern w:val="0"/>
          <w:sz w:val="32"/>
          <w:szCs w:val="32"/>
          <w:lang w:eastAsia="zh-CN"/>
        </w:rPr>
        <w:t>缴回</w:t>
      </w:r>
      <w:r>
        <w:rPr>
          <w:rFonts w:hint="eastAsia" w:ascii="仿宋_GB2312" w:hAnsi="仿宋_GB2312" w:eastAsia="仿宋_GB2312" w:cs="仿宋_GB2312"/>
          <w:color w:val="auto"/>
          <w:kern w:val="0"/>
          <w:sz w:val="32"/>
          <w:szCs w:val="32"/>
        </w:rPr>
        <w:t>的基本建设竣工项目结余资金。</w:t>
      </w:r>
    </w:p>
    <w:p w14:paraId="52E5558A">
      <w:pPr>
        <w:keepNext w:val="0"/>
        <w:keepLines w:val="0"/>
        <w:pageBreakBefore w:val="0"/>
        <w:widowControl w:val="0"/>
        <w:shd w:val="clear" w:color="auto" w:fill="FBFBFB"/>
        <w:kinsoku/>
        <w:wordWrap/>
        <w:overflowPunct/>
        <w:topLinePunct w:val="0"/>
        <w:bidi w:val="0"/>
        <w:spacing w:afterAutospacing="0" w:line="578" w:lineRule="exact"/>
        <w:ind w:left="0" w:leftChars="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11.年末结转和结余：指本年度或以前年度预算安排、因客观条件发生变化无法按原计划实施，需延迟到以后年度按有关规定继续使用的资金。</w:t>
      </w:r>
    </w:p>
    <w:p w14:paraId="67B353A0">
      <w:pPr>
        <w:keepNext w:val="0"/>
        <w:keepLines w:val="0"/>
        <w:pageBreakBefore w:val="0"/>
        <w:widowControl w:val="0"/>
        <w:shd w:val="clear" w:color="auto" w:fill="FBFBFB"/>
        <w:kinsoku/>
        <w:wordWrap/>
        <w:overflowPunct/>
        <w:topLinePunct w:val="0"/>
        <w:bidi w:val="0"/>
        <w:spacing w:afterAutospacing="0" w:line="578" w:lineRule="exact"/>
        <w:ind w:left="0" w:leftChars="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12.基本支出：指为保障机构正常运转、完成日常工作任务而发生的人员支出和公用支出。</w:t>
      </w:r>
    </w:p>
    <w:p w14:paraId="0E6E2E8B">
      <w:pPr>
        <w:keepNext w:val="0"/>
        <w:keepLines w:val="0"/>
        <w:pageBreakBefore w:val="0"/>
        <w:widowControl w:val="0"/>
        <w:shd w:val="clear" w:color="auto" w:fill="FBFBFB"/>
        <w:kinsoku/>
        <w:wordWrap/>
        <w:overflowPunct/>
        <w:topLinePunct w:val="0"/>
        <w:bidi w:val="0"/>
        <w:spacing w:afterAutospacing="0" w:line="578" w:lineRule="exact"/>
        <w:ind w:left="0" w:leftChars="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13.项目支出：指在基本支出之外为完成特定行政任务和事业发展目标所发生的支出。</w:t>
      </w:r>
    </w:p>
    <w:p w14:paraId="0B6CFA46">
      <w:pPr>
        <w:keepNext w:val="0"/>
        <w:keepLines w:val="0"/>
        <w:pageBreakBefore w:val="0"/>
        <w:widowControl w:val="0"/>
        <w:shd w:val="clear" w:color="auto" w:fill="FBFBFB"/>
        <w:kinsoku/>
        <w:wordWrap/>
        <w:overflowPunct/>
        <w:topLinePunct w:val="0"/>
        <w:bidi w:val="0"/>
        <w:spacing w:afterAutospacing="0" w:line="578" w:lineRule="exact"/>
        <w:ind w:left="0" w:leftChars="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14.经营支出：指事业单位在专业业务活动及其辅助活动之外开展非独立核算经营活动发生的支出。</w:t>
      </w:r>
    </w:p>
    <w:p w14:paraId="3677326E">
      <w:pPr>
        <w:keepNext w:val="0"/>
        <w:keepLines w:val="0"/>
        <w:pageBreakBefore w:val="0"/>
        <w:widowControl w:val="0"/>
        <w:shd w:val="clear" w:color="auto" w:fill="FBFBFB"/>
        <w:kinsoku/>
        <w:wordWrap/>
        <w:overflowPunct/>
        <w:topLinePunct w:val="0"/>
        <w:bidi w:val="0"/>
        <w:spacing w:afterAutospacing="0" w:line="578" w:lineRule="exact"/>
        <w:ind w:left="0" w:leftChars="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E9542F1">
      <w:pPr>
        <w:keepNext w:val="0"/>
        <w:keepLines w:val="0"/>
        <w:pageBreakBefore w:val="0"/>
        <w:widowControl w:val="0"/>
        <w:shd w:val="clear" w:color="auto" w:fill="FBFBFB"/>
        <w:kinsoku/>
        <w:wordWrap/>
        <w:overflowPunct/>
        <w:topLinePunct w:val="0"/>
        <w:bidi w:val="0"/>
        <w:spacing w:afterAutospacing="0" w:line="578" w:lineRule="exact"/>
        <w:ind w:left="0" w:leftChars="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C70175">
      <w:pPr>
        <w:keepNext w:val="0"/>
        <w:keepLines w:val="0"/>
        <w:pageBreakBefore w:val="0"/>
        <w:widowControl w:val="0"/>
        <w:shd w:val="clear" w:color="auto" w:fill="FFFFFF"/>
        <w:kinsoku/>
        <w:wordWrap/>
        <w:overflowPunct/>
        <w:topLinePunct w:val="0"/>
        <w:bidi w:val="0"/>
        <w:spacing w:afterAutospacing="0" w:line="578" w:lineRule="exact"/>
        <w:ind w:left="0" w:leftChars="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17.基本支出：指为保障机构正常运转、完成日常工作任务而发生的人员支出和公用支出。</w:t>
      </w:r>
    </w:p>
    <w:p w14:paraId="06CBB139">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18.项目支出：指在基本支出之外为完成特定行政任务和事业发展目标所发生的支出。 </w:t>
      </w:r>
    </w:p>
    <w:p w14:paraId="270F00E4">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19.经营支出：指事业单位在专业业务活动及其辅助活动之外开展非独立核算经营活动发生的支出。</w:t>
      </w:r>
    </w:p>
    <w:p w14:paraId="533CBF35">
      <w:pPr>
        <w:pStyle w:val="16"/>
        <w:keepNext w:val="0"/>
        <w:keepLines w:val="0"/>
        <w:pageBreakBefore w:val="0"/>
        <w:widowControl w:val="0"/>
        <w:suppressLineNumbers w:val="0"/>
        <w:kinsoku/>
        <w:wordWrap/>
        <w:overflowPunct/>
        <w:topLinePunct w:val="0"/>
        <w:bidi w:val="0"/>
        <w:spacing w:before="0" w:beforeAutospacing="0" w:after="0" w:afterAutospacing="0" w:line="578"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94679B">
      <w:pPr>
        <w:pStyle w:val="16"/>
        <w:keepNext w:val="0"/>
        <w:keepLines w:val="0"/>
        <w:pageBreakBefore w:val="0"/>
        <w:widowControl w:val="0"/>
        <w:suppressLineNumbers w:val="0"/>
        <w:kinsoku/>
        <w:wordWrap/>
        <w:overflowPunct/>
        <w:topLinePunct w:val="0"/>
        <w:bidi w:val="0"/>
        <w:spacing w:before="0" w:beforeAutospacing="0" w:after="0" w:afterAutospacing="0" w:line="578"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.基本支出：指为保障机构正常运转、完成日常工作任务而发生的人员支出和公用支出。</w:t>
      </w:r>
    </w:p>
    <w:p w14:paraId="3A6DDA8D">
      <w:pPr>
        <w:pStyle w:val="16"/>
        <w:keepNext w:val="0"/>
        <w:keepLines w:val="0"/>
        <w:pageBreakBefore w:val="0"/>
        <w:widowControl w:val="0"/>
        <w:suppressLineNumbers w:val="0"/>
        <w:kinsoku/>
        <w:wordWrap/>
        <w:overflowPunct/>
        <w:topLinePunct w:val="0"/>
        <w:bidi w:val="0"/>
        <w:spacing w:before="0" w:beforeAutospacing="0" w:after="0" w:afterAutospacing="0" w:line="578"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.项目支出：指在基本支出之外为完成特定行政任务和事业发展目标所发生的支出。</w:t>
      </w:r>
    </w:p>
    <w:p w14:paraId="3B9ACD28">
      <w:pPr>
        <w:pStyle w:val="16"/>
        <w:keepNext w:val="0"/>
        <w:keepLines w:val="0"/>
        <w:pageBreakBefore w:val="0"/>
        <w:widowControl w:val="0"/>
        <w:suppressLineNumbers w:val="0"/>
        <w:kinsoku/>
        <w:wordWrap/>
        <w:overflowPunct/>
        <w:topLinePunct w:val="0"/>
        <w:bidi w:val="0"/>
        <w:spacing w:before="0" w:beforeAutospacing="0" w:after="0" w:afterAutospacing="0" w:line="578"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.经营支出：指事业单位在专业业务活动及其辅助活动之外开展非独立核算经营活动发生的支出。</w:t>
      </w:r>
    </w:p>
    <w:p w14:paraId="3BB54330">
      <w:pPr>
        <w:pStyle w:val="16"/>
        <w:keepNext w:val="0"/>
        <w:keepLines w:val="0"/>
        <w:pageBreakBefore w:val="0"/>
        <w:widowControl w:val="0"/>
        <w:suppressLineNumbers w:val="0"/>
        <w:kinsoku/>
        <w:wordWrap/>
        <w:overflowPunct/>
        <w:topLinePunct w:val="0"/>
        <w:bidi w:val="0"/>
        <w:spacing w:before="0" w:beforeAutospacing="0" w:after="0" w:afterAutospacing="0" w:line="578"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24</w:t>
      </w:r>
      <w:r>
        <w:rPr>
          <w:rFonts w:hint="eastAsia" w:ascii="仿宋_GB2312" w:hAnsi="仿宋_GB2312" w:eastAsia="仿宋_GB2312" w:cs="仿宋_GB2312"/>
          <w:color w:val="auto"/>
          <w:sz w:val="32"/>
          <w:szCs w:val="32"/>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3220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shd w:val="clear" w:color="auto" w:fill="FFFFFF"/>
          <w:lang w:val="en-US" w:eastAsia="zh-CN"/>
        </w:rPr>
        <w:t>25</w:t>
      </w:r>
      <w:r>
        <w:rPr>
          <w:rFonts w:hint="eastAsia" w:ascii="仿宋_GB2312" w:hAnsi="仿宋_GB2312" w:eastAsia="仿宋_GB2312" w:cs="仿宋_GB2312"/>
          <w:color w:val="auto"/>
          <w:sz w:val="32"/>
          <w:szCs w:val="32"/>
          <w:shd w:val="clear" w:color="auto" w:fill="FFFFFF"/>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036F3760">
      <w:pPr>
        <w:spacing w:line="600" w:lineRule="exact"/>
        <w:jc w:val="center"/>
        <w:rPr>
          <w:rStyle w:val="30"/>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2D3AB96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539E50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42AD72A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68B86F5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321A0A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5E0DC351">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color w:val="auto"/>
          <w:sz w:val="32"/>
          <w:szCs w:val="32"/>
          <w:lang w:val="en-US" w:eastAsia="zh-CN"/>
        </w:rPr>
        <w:t>松潘县医疗保障局成立于2019年，现有在编在岗人员24人，其中公务员9人</w:t>
      </w:r>
      <w:r>
        <w:rPr>
          <w:rFonts w:hint="eastAsia" w:ascii="仿宋_GB2312" w:hAnsi="仿宋_GB2312" w:eastAsia="仿宋_GB2312" w:cs="仿宋_GB2312"/>
          <w:color w:val="auto"/>
          <w:sz w:val="32"/>
          <w:szCs w:val="32"/>
        </w:rPr>
        <w:t>，事业编制</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个，行政编制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退休2人。局内设有办公室、审核结算股、基金管理股、统筹股。</w:t>
      </w:r>
    </w:p>
    <w:p w14:paraId="332D36E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4C3B299F">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贯彻落实医疗保险、生育保险。医疗救助等生育保障法律法规。拟定全县医疗保障规范性文件草案。拟订全县医疗保障事业发展规划、政策和标准。并组织实施和监督检查。</w:t>
      </w:r>
    </w:p>
    <w:p w14:paraId="7BE282D1">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lang w:eastAsia="zh-CN"/>
        </w:rPr>
        <w:t>拟订</w:t>
      </w:r>
      <w:r>
        <w:rPr>
          <w:rFonts w:hint="eastAsia" w:ascii="仿宋_GB2312" w:hAnsi="仿宋_GB2312" w:eastAsia="仿宋_GB2312" w:cs="仿宋_GB2312"/>
          <w:color w:val="auto"/>
          <w:sz w:val="32"/>
          <w:szCs w:val="32"/>
        </w:rPr>
        <w:t>并实施医疗保障基金监督管理制度。建立健全医疗保障基金安全防控机制。监督强化全县医疗保障基金运行管理。</w:t>
      </w:r>
    </w:p>
    <w:p w14:paraId="56B4A0D1">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承担医疗保障筹资和待遇支付政策落实的责任。</w:t>
      </w:r>
    </w:p>
    <w:p w14:paraId="47BA190E">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负责落实全县城乡统一的药品、医用耗材、医疗服务项目，医疗服务设施等医疗保障目录和支付标</w:t>
      </w:r>
      <w:r>
        <w:rPr>
          <w:rFonts w:hint="eastAsia" w:ascii="仿宋_GB2312" w:hAnsi="仿宋_GB2312" w:eastAsia="仿宋_GB2312" w:cs="仿宋_GB2312"/>
          <w:color w:val="auto"/>
          <w:sz w:val="32"/>
          <w:szCs w:val="32"/>
          <w:lang w:eastAsia="zh-CN"/>
        </w:rPr>
        <w:t>准</w:t>
      </w:r>
      <w:r>
        <w:rPr>
          <w:rFonts w:hint="eastAsia" w:ascii="仿宋_GB2312" w:hAnsi="仿宋_GB2312" w:eastAsia="仿宋_GB2312" w:cs="仿宋_GB2312"/>
          <w:color w:val="auto"/>
          <w:sz w:val="32"/>
          <w:szCs w:val="32"/>
        </w:rPr>
        <w:t>并监督管理。监督管理全县特殊医用材料、特殊检查和治疗、医院制剂等相关目录和支付标准并实施</w:t>
      </w:r>
    </w:p>
    <w:p w14:paraId="7977DC3A">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负责药品、医用耗材、医疗服务项目、医疗服务设施收费等政策监督管理，建立医保支付医药服务价格动态调整机制，推动建立市场主导的社会医药服务价格形成机制，建立价格信息监测和信息公开制度。</w:t>
      </w:r>
    </w:p>
    <w:p w14:paraId="2F1FC548">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贯彻落实药品医用耗材的招标采购政策并监督管理。</w:t>
      </w:r>
    </w:p>
    <w:p w14:paraId="06889167">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拟定全县定点医药机构协议和支付管理办法并组织实施、推进医疗保障基金支付方式改革，监督管理全县医疗保障定点医药机构，建立健全医疗保障信用评价体系和信息技术制度。监督管理定点医药机构医疗服务行为和医疗费用，依法查处医疗保障领域违法违规行为。承担全县医疗保障经办服务管理。并组织实施异地就医管理和费用结算，负责全县医疗保障关系转移接续经办管理。</w:t>
      </w:r>
    </w:p>
    <w:p w14:paraId="4BFCA9C7">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负责规划并</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全县医疗保障信息化建设、组织开展医疗保障大数据管理和应用。</w:t>
      </w:r>
    </w:p>
    <w:p w14:paraId="6DA6EB2D">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负责职责范围内的安全生产、职业健康、生态环境保护和审批服务便民化工作。</w:t>
      </w:r>
    </w:p>
    <w:p w14:paraId="33D5B701">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完成县委、县政府交办的其他</w:t>
      </w:r>
      <w:r>
        <w:rPr>
          <w:rFonts w:hint="eastAsia" w:ascii="仿宋_GB2312" w:hAnsi="仿宋_GB2312" w:eastAsia="仿宋_GB2312" w:cs="仿宋_GB2312"/>
          <w:color w:val="auto"/>
          <w:sz w:val="32"/>
          <w:szCs w:val="32"/>
          <w:lang w:eastAsia="zh-CN"/>
        </w:rPr>
        <w:t>任</w:t>
      </w:r>
      <w:r>
        <w:rPr>
          <w:rFonts w:hint="eastAsia" w:ascii="仿宋_GB2312" w:hAnsi="仿宋_GB2312" w:eastAsia="仿宋_GB2312" w:cs="仿宋_GB2312"/>
          <w:color w:val="auto"/>
          <w:sz w:val="32"/>
          <w:szCs w:val="32"/>
        </w:rPr>
        <w:t>务。</w:t>
      </w:r>
    </w:p>
    <w:p w14:paraId="02E9FE5D">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职能转变。完善统一的城乡居民基本医疗保险和大病保险制度，不断提高医疗保障水平。建立健全覆盖全民、城乡统筹的多层次医疗保障体系，确保医疗保障资金合理使用、安全可控，推进医疗、医保，医药“三医联动”改革，更好地保障人民群众就医需求，减轻医药费用负担。</w:t>
      </w:r>
    </w:p>
    <w:p w14:paraId="531A6599">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与县卫健局的有关职责分工，与县卫健局在医疗、医保、医药等方面加强制度、政策</w:t>
      </w:r>
      <w:r>
        <w:rPr>
          <w:rFonts w:hint="eastAsia" w:ascii="仿宋_GB2312" w:hAnsi="仿宋_GB2312" w:eastAsia="仿宋_GB2312" w:cs="仿宋_GB2312"/>
          <w:color w:val="auto"/>
          <w:sz w:val="32"/>
          <w:szCs w:val="32"/>
          <w:lang w:eastAsia="zh-CN"/>
        </w:rPr>
        <w:t>衔接</w:t>
      </w:r>
      <w:r>
        <w:rPr>
          <w:rFonts w:hint="eastAsia" w:ascii="仿宋_GB2312" w:hAnsi="仿宋_GB2312" w:eastAsia="仿宋_GB2312" w:cs="仿宋_GB2312"/>
          <w:color w:val="auto"/>
          <w:sz w:val="32"/>
          <w:szCs w:val="32"/>
        </w:rPr>
        <w:t>，建立沟通协商机制，协调推进改革，提高医疗资源使用效率和医疗保障水平。</w:t>
      </w:r>
    </w:p>
    <w:p w14:paraId="1358ECBC">
      <w:pPr>
        <w:pStyle w:val="2"/>
        <w:rPr>
          <w:rFonts w:hint="default"/>
          <w:lang w:val="zh-CN"/>
        </w:rPr>
      </w:pPr>
    </w:p>
    <w:p w14:paraId="6D5A026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sz w:val="32"/>
          <w:szCs w:val="32"/>
          <w:lang w:val="en-US" w:eastAsia="zh-CN"/>
        </w:rPr>
        <w:t>现有在编在岗人员24人，其中公务员9人</w:t>
      </w:r>
      <w:r>
        <w:rPr>
          <w:rFonts w:hint="eastAsia" w:ascii="仿宋_GB2312" w:hAnsi="仿宋_GB2312" w:eastAsia="仿宋_GB2312" w:cs="仿宋_GB2312"/>
          <w:color w:val="auto"/>
          <w:sz w:val="32"/>
          <w:szCs w:val="32"/>
        </w:rPr>
        <w:t>，事业编制</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个，行政编制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退休2人。</w:t>
      </w:r>
    </w:p>
    <w:p w14:paraId="092A435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1644DAB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1223.51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157.08</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14.72%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项目增加，人员变动。</w:t>
      </w:r>
    </w:p>
    <w:p w14:paraId="348B29EA">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1223.51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kern w:val="2"/>
          <w:sz w:val="32"/>
          <w:szCs w:val="32"/>
          <w:highlight w:val="none"/>
          <w:lang w:val="en-US" w:eastAsia="zh-CN" w:bidi="ar-SA"/>
        </w:rPr>
        <w:t>157.08</w:t>
      </w:r>
      <w:r>
        <w:rPr>
          <w:rFonts w:hint="eastAsia" w:ascii="仿宋_GB2312" w:hAnsi="仿宋_GB2312" w:eastAsia="仿宋_GB2312" w:cs="仿宋_GB2312"/>
          <w:color w:val="auto"/>
          <w:kern w:val="2"/>
          <w:sz w:val="32"/>
          <w:szCs w:val="32"/>
          <w:highlight w:val="none"/>
          <w:lang w:val="en-US" w:eastAsia="zh-CN" w:bidi="ar-SA"/>
        </w:rPr>
        <w:t>万元，增长14.72%。主要变动原因是</w:t>
      </w:r>
      <w:r>
        <w:rPr>
          <w:rFonts w:hint="eastAsia" w:eastAsia="仿宋_GB2312" w:cs="仿宋_GB2312"/>
          <w:color w:val="auto"/>
          <w:kern w:val="2"/>
          <w:sz w:val="32"/>
          <w:szCs w:val="32"/>
          <w:highlight w:val="none"/>
          <w:lang w:val="en-US" w:eastAsia="zh-CN" w:bidi="ar-SA"/>
        </w:rPr>
        <w:t>项目增加、人员变动。</w:t>
      </w:r>
    </w:p>
    <w:p w14:paraId="3B23FA4C">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基本支出，是用于保障社会保险事业管理局行政机构、事业机构的正常运转的日常支出，包括基本工资、津贴补贴等人员经费以及办公费、印刷费、水电费等日常公用经费。202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年部门预算基本支出预算</w:t>
      </w:r>
      <w:r>
        <w:rPr>
          <w:rFonts w:hint="eastAsia" w:ascii="仿宋_GB2312" w:hAnsi="仿宋_GB2312" w:eastAsia="仿宋_GB2312" w:cs="仿宋_GB2312"/>
          <w:color w:val="auto"/>
          <w:sz w:val="32"/>
          <w:szCs w:val="32"/>
          <w:lang w:eastAsia="zh-CN"/>
        </w:rPr>
        <w:t>收入</w:t>
      </w:r>
      <w:r>
        <w:rPr>
          <w:rFonts w:hint="eastAsia" w:ascii="仿宋_GB2312" w:hAnsi="仿宋_GB2312" w:eastAsia="仿宋_GB2312" w:cs="仿宋_GB2312"/>
          <w:color w:val="auto"/>
          <w:sz w:val="32"/>
          <w:szCs w:val="32"/>
        </w:rPr>
        <w:t>总数</w:t>
      </w:r>
      <w:r>
        <w:rPr>
          <w:rFonts w:hint="eastAsia" w:ascii="仿宋_GB2312" w:hAnsi="仿宋_GB2312" w:eastAsia="仿宋_GB2312" w:cs="仿宋_GB2312"/>
          <w:color w:val="auto"/>
          <w:sz w:val="32"/>
          <w:szCs w:val="32"/>
          <w:lang w:val="en-US" w:eastAsia="zh-CN"/>
        </w:rPr>
        <w:t>495.85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，支出总数</w:t>
      </w:r>
      <w:r>
        <w:rPr>
          <w:rFonts w:hint="eastAsia" w:ascii="仿宋_GB2312" w:hAnsi="仿宋_GB2312" w:eastAsia="仿宋_GB2312" w:cs="仿宋_GB2312"/>
          <w:color w:val="auto"/>
          <w:sz w:val="32"/>
          <w:szCs w:val="32"/>
          <w:lang w:val="en-US" w:eastAsia="zh-CN"/>
        </w:rPr>
        <w:t>495.85</w:t>
      </w:r>
      <w:r>
        <w:rPr>
          <w:rFonts w:hint="eastAsia" w:ascii="仿宋_GB2312" w:hAnsi="仿宋_GB2312" w:eastAsia="仿宋_GB2312" w:cs="仿宋_GB2312"/>
          <w:color w:val="auto"/>
          <w:sz w:val="32"/>
          <w:szCs w:val="32"/>
        </w:rPr>
        <w:t>万元。</w:t>
      </w:r>
    </w:p>
    <w:p w14:paraId="4E2A2303">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项目支出，用于专项业务工作的经费支出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项目包括全县职工体检专项资金，武装部遗属门诊补贴费用，城乡居民基本医疗保险专项业务经费，离退休及二乙伤残医疗补助费用，医保网络费用，业务提升专项工作经费</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年部门预算项目支出预算</w:t>
      </w:r>
      <w:r>
        <w:rPr>
          <w:rFonts w:hint="eastAsia" w:ascii="仿宋_GB2312" w:hAnsi="仿宋_GB2312" w:eastAsia="仿宋_GB2312" w:cs="仿宋_GB2312"/>
          <w:color w:val="auto"/>
          <w:sz w:val="32"/>
          <w:szCs w:val="32"/>
          <w:lang w:eastAsia="zh-CN"/>
        </w:rPr>
        <w:t>收入</w:t>
      </w:r>
      <w:r>
        <w:rPr>
          <w:rFonts w:hint="eastAsia" w:ascii="仿宋_GB2312" w:hAnsi="仿宋_GB2312" w:eastAsia="仿宋_GB2312" w:cs="仿宋_GB2312"/>
          <w:color w:val="auto"/>
          <w:sz w:val="32"/>
          <w:szCs w:val="32"/>
        </w:rPr>
        <w:t>总数</w:t>
      </w:r>
      <w:r>
        <w:rPr>
          <w:rFonts w:hint="eastAsia" w:ascii="仿宋_GB2312" w:hAnsi="仿宋_GB2312" w:eastAsia="仿宋_GB2312" w:cs="仿宋_GB2312"/>
          <w:color w:val="auto"/>
          <w:sz w:val="32"/>
          <w:szCs w:val="32"/>
          <w:lang w:val="en-US" w:eastAsia="zh-CN"/>
        </w:rPr>
        <w:t>727.65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，支出总数为</w:t>
      </w:r>
      <w:r>
        <w:rPr>
          <w:rFonts w:hint="eastAsia" w:ascii="仿宋_GB2312" w:hAnsi="仿宋_GB2312" w:eastAsia="仿宋_GB2312" w:cs="仿宋_GB2312"/>
          <w:color w:val="auto"/>
          <w:sz w:val="32"/>
          <w:szCs w:val="32"/>
          <w:lang w:val="en-US" w:eastAsia="zh-CN"/>
        </w:rPr>
        <w:t>727.65万元</w:t>
      </w:r>
      <w:r>
        <w:rPr>
          <w:rFonts w:hint="eastAsia" w:ascii="仿宋_GB2312" w:hAnsi="仿宋_GB2312" w:eastAsia="仿宋_GB2312" w:cs="仿宋_GB2312"/>
          <w:color w:val="auto"/>
          <w:sz w:val="32"/>
          <w:szCs w:val="32"/>
        </w:rPr>
        <w:t>。</w:t>
      </w:r>
    </w:p>
    <w:p w14:paraId="46BC3227">
      <w:pPr>
        <w:pStyle w:val="2"/>
        <w:ind w:left="0" w:leftChars="0" w:firstLine="0" w:firstLineChars="0"/>
        <w:rPr>
          <w:rFonts w:hint="eastAsia"/>
          <w:lang w:val="en-US" w:eastAsia="zh-CN"/>
        </w:rPr>
      </w:pPr>
    </w:p>
    <w:p w14:paraId="64920AC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FBACC0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11DF610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60438E7">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楷体_GB2312" w:hAnsi="楷体_GB2312" w:eastAsia="楷体_GB2312" w:cs="楷体_GB2312"/>
          <w:color w:val="auto"/>
          <w:sz w:val="32"/>
          <w:szCs w:val="32"/>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0D704FAD">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1.人员类项目绩效分析</w:t>
      </w:r>
    </w:p>
    <w:p w14:paraId="227A9514">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2024年度本单位无此项。</w:t>
      </w:r>
    </w:p>
    <w:p w14:paraId="76F6AD89">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2.运转类项目绩效分析</w:t>
      </w:r>
    </w:p>
    <w:p w14:paraId="4F87A10A">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2024年度本单位无此项。</w:t>
      </w:r>
    </w:p>
    <w:p w14:paraId="5DDDCBB5">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3.特定目标类项目绩效分析</w:t>
      </w:r>
    </w:p>
    <w:p w14:paraId="1FFCBF58">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2024年特定目标类主要包含全县职工体检费，武装部遗属门诊补贴费用，城乡居民基本医疗保险专项业务经费，医保网络费用，4个项目。</w:t>
      </w:r>
    </w:p>
    <w:p w14:paraId="3CBF768C">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全县职工体检费是用于确保完善建立干部职工健康体检医疗保障机制，让每一位干部职工及时掌握自身健康状况，做到有病早发现早治疗早预防，有针对性地开展健康教育、健康促进活动的工作。</w:t>
      </w:r>
    </w:p>
    <w:p w14:paraId="72E6B53B">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武装部遗属门诊补贴费用是用于对武装部遗属门诊医疗费用补助的工作。</w:t>
      </w:r>
    </w:p>
    <w:p w14:paraId="72E9A643">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城乡居民基本医疗保险专项业务经费是用于确保建立完善城乡居民和城镇职工基本医疗保险服务体系，为全面推动日常工作开展，提高医疗等服务性工作效率。</w:t>
      </w:r>
    </w:p>
    <w:p w14:paraId="467AFD7F">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医保网络费用是用于保障乡镇服务中心医保专网正常使用。</w:t>
      </w:r>
    </w:p>
    <w:p w14:paraId="59C41993">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楷体_GB2312" w:hAnsi="楷体_GB2312" w:eastAsia="楷体_GB2312" w:cs="楷体_GB2312"/>
          <w:color w:val="auto"/>
          <w:sz w:val="32"/>
          <w:szCs w:val="32"/>
          <w:lang w:val="zh-CN"/>
        </w:rPr>
      </w:pP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val="zh-CN"/>
        </w:rPr>
        <w:t>履职效能。</w:t>
      </w:r>
    </w:p>
    <w:p w14:paraId="72B9072B">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办公室</w:t>
      </w:r>
    </w:p>
    <w:p w14:paraId="4836B3EF">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负责医保局的行政日常工作，负责会议室的管理工作，</w:t>
      </w:r>
      <w:r>
        <w:rPr>
          <w:rFonts w:hint="eastAsia" w:ascii="仿宋_GB2312" w:hAnsi="仿宋_GB2312" w:eastAsia="仿宋_GB2312" w:cs="仿宋_GB2312"/>
          <w:color w:val="auto"/>
          <w:kern w:val="0"/>
          <w:sz w:val="32"/>
          <w:szCs w:val="32"/>
          <w:lang w:eastAsia="zh-CN"/>
        </w:rPr>
        <w:t>建立健全</w:t>
      </w:r>
      <w:r>
        <w:rPr>
          <w:rFonts w:hint="eastAsia" w:ascii="仿宋_GB2312" w:hAnsi="仿宋_GB2312" w:eastAsia="仿宋_GB2312" w:cs="仿宋_GB2312"/>
          <w:color w:val="auto"/>
          <w:kern w:val="0"/>
          <w:sz w:val="32"/>
          <w:szCs w:val="32"/>
        </w:rPr>
        <w:t>本局的各项规章制度，撰写分析报告。</w:t>
      </w:r>
    </w:p>
    <w:p w14:paraId="06069273">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负责局文件、报告、会议资料、工作总结等有关文字材料的拟稿、打印、装订，并进行发文的登记管理；</w:t>
      </w:r>
    </w:p>
    <w:p w14:paraId="561093C8">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负责公文收发、传递，根据领导的批示要求催办、督促文件的办理执行情况；</w:t>
      </w:r>
    </w:p>
    <w:p w14:paraId="78E12DA0">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负责整理、建立健全档案管理制度，保管好文书档案；负责有关会议记录，并及时整理会议的有关材料（包括会议纪要、简报等）；</w:t>
      </w:r>
    </w:p>
    <w:p w14:paraId="39F97EC6">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负责依照国家相关规定做好公章、法人印章、局介绍信的保管和使用工作，对各种更换的印章负责登记、保管；</w:t>
      </w:r>
    </w:p>
    <w:p w14:paraId="6A0FBCF8">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认真做好综合信息的收集、分析、整理并及时、准确向领导汇报；协助领导做好内部管理和服务工作；</w:t>
      </w:r>
    </w:p>
    <w:p w14:paraId="326FD705">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完成领导交办的其他工作。</w:t>
      </w:r>
    </w:p>
    <w:p w14:paraId="4C42DA06">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rPr>
        <w:t>审核结算股</w:t>
      </w:r>
    </w:p>
    <w:p w14:paraId="65906B73">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负责医疗费用票据报销的审核，认真贯彻执行各种与审核制度有关的</w:t>
      </w:r>
      <w:r>
        <w:rPr>
          <w:rFonts w:hint="eastAsia" w:ascii="仿宋_GB2312" w:hAnsi="仿宋_GB2312" w:eastAsia="仿宋_GB2312" w:cs="仿宋_GB2312"/>
          <w:color w:val="auto"/>
          <w:kern w:val="0"/>
          <w:sz w:val="32"/>
          <w:szCs w:val="32"/>
          <w:lang w:eastAsia="zh-CN"/>
        </w:rPr>
        <w:t>法律法规</w:t>
      </w:r>
      <w:r>
        <w:rPr>
          <w:rFonts w:hint="eastAsia" w:ascii="仿宋_GB2312" w:hAnsi="仿宋_GB2312" w:eastAsia="仿宋_GB2312" w:cs="仿宋_GB2312"/>
          <w:color w:val="auto"/>
          <w:kern w:val="0"/>
          <w:sz w:val="32"/>
          <w:szCs w:val="32"/>
        </w:rPr>
        <w:t>，树立良好的职业道</w:t>
      </w:r>
      <w:r>
        <w:rPr>
          <w:rFonts w:hint="eastAsia" w:ascii="仿宋_GB2312" w:hAnsi="仿宋_GB2312" w:eastAsia="仿宋_GB2312" w:cs="仿宋_GB2312"/>
          <w:color w:val="auto"/>
          <w:kern w:val="0"/>
          <w:sz w:val="32"/>
          <w:szCs w:val="32"/>
          <w:lang w:eastAsia="zh-CN"/>
        </w:rPr>
        <w:t>德和</w:t>
      </w:r>
      <w:r>
        <w:rPr>
          <w:rFonts w:hint="eastAsia" w:ascii="仿宋_GB2312" w:hAnsi="仿宋_GB2312" w:eastAsia="仿宋_GB2312" w:cs="仿宋_GB2312"/>
          <w:color w:val="auto"/>
          <w:kern w:val="0"/>
          <w:sz w:val="32"/>
          <w:szCs w:val="32"/>
        </w:rPr>
        <w:t>坚持原则，秉公办事。</w:t>
      </w:r>
    </w:p>
    <w:p w14:paraId="60279568">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认真执行国家、省有关医疗保险政策、法规，严格掌握审核标准，杜绝一切不合理医疗消费；</w:t>
      </w:r>
    </w:p>
    <w:p w14:paraId="5A96BE14">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负责医疗费用凭据的初审，核定参保人应付金额和应报销金额；</w:t>
      </w:r>
    </w:p>
    <w:p w14:paraId="57638953">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负责初审后医疗费用凭据、个人自付金额和应报销金额的复核，并将复核意见和全部复核凭证交财务科；</w:t>
      </w:r>
    </w:p>
    <w:p w14:paraId="5B4376B0">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严格按省医疗保险管理条例和细则要求，办理特殊用药和特殊检查申请的审核和审批手续；</w:t>
      </w:r>
    </w:p>
    <w:p w14:paraId="23F03EEC">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完成领导交办的其他工作任务。</w:t>
      </w:r>
    </w:p>
    <w:p w14:paraId="0B45F66A">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3.</w:t>
      </w:r>
      <w:r>
        <w:rPr>
          <w:rFonts w:hint="eastAsia" w:ascii="仿宋_GB2312" w:hAnsi="仿宋_GB2312" w:eastAsia="仿宋_GB2312" w:cs="仿宋_GB2312"/>
          <w:b/>
          <w:bCs/>
          <w:color w:val="auto"/>
          <w:kern w:val="0"/>
          <w:sz w:val="32"/>
          <w:szCs w:val="32"/>
        </w:rPr>
        <w:t>基金管理股</w:t>
      </w:r>
    </w:p>
    <w:p w14:paraId="12E00A84">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按照收支两条线，严格遵守《社会保险基金财务制度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社会保险基金会计制度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事业单位财务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事业单位会计制度》执行，定期与银行</w:t>
      </w:r>
      <w:r>
        <w:rPr>
          <w:rFonts w:hint="eastAsia" w:ascii="仿宋_GB2312" w:hAnsi="仿宋_GB2312" w:eastAsia="仿宋_GB2312" w:cs="仿宋_GB2312"/>
          <w:color w:val="auto"/>
          <w:kern w:val="0"/>
          <w:sz w:val="32"/>
          <w:szCs w:val="32"/>
          <w:lang w:eastAsia="zh-CN"/>
        </w:rPr>
        <w:t>进行对账</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确保账</w:t>
      </w:r>
      <w:r>
        <w:rPr>
          <w:rFonts w:hint="eastAsia" w:ascii="仿宋_GB2312" w:hAnsi="仿宋_GB2312" w:eastAsia="仿宋_GB2312" w:cs="仿宋_GB2312"/>
          <w:color w:val="auto"/>
          <w:kern w:val="0"/>
          <w:sz w:val="32"/>
          <w:szCs w:val="32"/>
        </w:rPr>
        <w:t>款相符，保管好空白支票，根据相关政策做好稽核工作。</w:t>
      </w:r>
    </w:p>
    <w:p w14:paraId="3277C9A2">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认真执行国家财经制度、严格掌握经费开支标准、杜绝一切不合理开支。根据经费实际需要，编制年度收支预算，定期分析预算的执行情况。</w:t>
      </w:r>
    </w:p>
    <w:p w14:paraId="108923C3">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负责经费</w:t>
      </w:r>
      <w:r>
        <w:rPr>
          <w:rFonts w:hint="eastAsia" w:ascii="仿宋_GB2312" w:hAnsi="仿宋_GB2312" w:eastAsia="仿宋_GB2312" w:cs="仿宋_GB2312"/>
          <w:color w:val="auto"/>
          <w:kern w:val="0"/>
          <w:sz w:val="32"/>
          <w:szCs w:val="32"/>
          <w:lang w:eastAsia="zh-CN"/>
        </w:rPr>
        <w:t>总账</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明细分类账</w:t>
      </w:r>
      <w:r>
        <w:rPr>
          <w:rFonts w:hint="eastAsia" w:ascii="仿宋_GB2312" w:hAnsi="仿宋_GB2312" w:eastAsia="仿宋_GB2312" w:cs="仿宋_GB2312"/>
          <w:color w:val="auto"/>
          <w:kern w:val="0"/>
          <w:sz w:val="32"/>
          <w:szCs w:val="32"/>
        </w:rPr>
        <w:t>的设置和登记，及时清理往来款项，按期</w:t>
      </w:r>
      <w:r>
        <w:rPr>
          <w:rFonts w:hint="eastAsia" w:ascii="仿宋_GB2312" w:hAnsi="仿宋_GB2312" w:eastAsia="仿宋_GB2312" w:cs="仿宋_GB2312"/>
          <w:color w:val="auto"/>
          <w:kern w:val="0"/>
          <w:sz w:val="32"/>
          <w:szCs w:val="32"/>
          <w:lang w:eastAsia="zh-CN"/>
        </w:rPr>
        <w:t>核对账目</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做到账账账相符</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账表相符</w:t>
      </w:r>
      <w:r>
        <w:rPr>
          <w:rFonts w:hint="eastAsia" w:ascii="仿宋_GB2312" w:hAnsi="仿宋_GB2312" w:eastAsia="仿宋_GB2312" w:cs="仿宋_GB2312"/>
          <w:color w:val="auto"/>
          <w:kern w:val="0"/>
          <w:sz w:val="32"/>
          <w:szCs w:val="32"/>
        </w:rPr>
        <w:t>。</w:t>
      </w:r>
    </w:p>
    <w:p w14:paraId="48B8759C">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负责编制经费</w:t>
      </w:r>
      <w:r>
        <w:rPr>
          <w:rFonts w:hint="eastAsia" w:ascii="仿宋_GB2312" w:hAnsi="仿宋_GB2312" w:eastAsia="仿宋_GB2312" w:cs="仿宋_GB2312"/>
          <w:color w:val="auto"/>
          <w:kern w:val="0"/>
          <w:sz w:val="32"/>
          <w:szCs w:val="32"/>
          <w:lang w:eastAsia="zh-CN"/>
        </w:rPr>
        <w:t>记账</w:t>
      </w:r>
      <w:r>
        <w:rPr>
          <w:rFonts w:hint="eastAsia" w:ascii="仿宋_GB2312" w:hAnsi="仿宋_GB2312" w:eastAsia="仿宋_GB2312" w:cs="仿宋_GB2312"/>
          <w:color w:val="auto"/>
          <w:kern w:val="0"/>
          <w:sz w:val="32"/>
          <w:szCs w:val="32"/>
        </w:rPr>
        <w:t>凭证和科目汇总表，按制度规定正确使用会计科目。</w:t>
      </w:r>
    </w:p>
    <w:p w14:paraId="7089E33A">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严格执行经费开支审批报销制度，对超计划和手续不完备，无分管主任签字的开支有权拒绝报销。</w:t>
      </w:r>
    </w:p>
    <w:p w14:paraId="1573DB43">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熟悉和掌握国家财经法规、银行结算纪律、</w:t>
      </w:r>
      <w:bookmarkStart w:id="67" w:name="_GoBack"/>
      <w:r>
        <w:rPr>
          <w:rFonts w:hint="eastAsia" w:ascii="仿宋_GB2312" w:hAnsi="仿宋_GB2312" w:eastAsia="仿宋_GB2312" w:cs="仿宋_GB2312"/>
          <w:color w:val="auto"/>
          <w:kern w:val="0"/>
          <w:sz w:val="32"/>
          <w:szCs w:val="32"/>
          <w:lang w:eastAsia="zh-CN"/>
        </w:rPr>
        <w:t>现金管理暂行条例</w:t>
      </w:r>
      <w:bookmarkEnd w:id="67"/>
      <w:r>
        <w:rPr>
          <w:rFonts w:hint="eastAsia" w:ascii="仿宋_GB2312" w:hAnsi="仿宋_GB2312" w:eastAsia="仿宋_GB2312" w:cs="仿宋_GB2312"/>
          <w:color w:val="auto"/>
          <w:kern w:val="0"/>
          <w:sz w:val="32"/>
          <w:szCs w:val="32"/>
        </w:rPr>
        <w:t>及有关规章制度。</w:t>
      </w:r>
    </w:p>
    <w:p w14:paraId="4A63AB11">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严格执行基金“收支两条线”管理规定，做好银行收支</w:t>
      </w:r>
      <w:r>
        <w:rPr>
          <w:rFonts w:hint="eastAsia" w:ascii="仿宋_GB2312" w:hAnsi="仿宋_GB2312" w:eastAsia="仿宋_GB2312" w:cs="仿宋_GB2312"/>
          <w:color w:val="auto"/>
          <w:kern w:val="0"/>
          <w:sz w:val="32"/>
          <w:szCs w:val="32"/>
          <w:lang w:eastAsia="zh-CN"/>
        </w:rPr>
        <w:t>账户及其他账户的</w:t>
      </w:r>
      <w:r>
        <w:rPr>
          <w:rFonts w:hint="eastAsia" w:ascii="仿宋_GB2312" w:hAnsi="仿宋_GB2312" w:eastAsia="仿宋_GB2312" w:cs="仿宋_GB2312"/>
          <w:color w:val="auto"/>
          <w:kern w:val="0"/>
          <w:sz w:val="32"/>
          <w:szCs w:val="32"/>
        </w:rPr>
        <w:t>日常结算，掌握银行余额的变化情况。</w:t>
      </w:r>
    </w:p>
    <w:p w14:paraId="54E9FAF6">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w:t>
      </w:r>
      <w:r>
        <w:rPr>
          <w:rFonts w:hint="eastAsia" w:ascii="仿宋_GB2312" w:hAnsi="仿宋_GB2312" w:eastAsia="仿宋_GB2312" w:cs="仿宋_GB2312"/>
          <w:color w:val="auto"/>
          <w:kern w:val="0"/>
          <w:sz w:val="32"/>
          <w:szCs w:val="32"/>
          <w:lang w:eastAsia="zh-CN"/>
        </w:rPr>
        <w:t>现金日记账</w:t>
      </w:r>
      <w:r>
        <w:rPr>
          <w:rFonts w:hint="eastAsia" w:ascii="仿宋_GB2312" w:hAnsi="仿宋_GB2312" w:eastAsia="仿宋_GB2312" w:cs="仿宋_GB2312"/>
          <w:color w:val="auto"/>
          <w:kern w:val="0"/>
          <w:sz w:val="32"/>
          <w:szCs w:val="32"/>
        </w:rPr>
        <w:t>、银行存款</w:t>
      </w:r>
      <w:r>
        <w:rPr>
          <w:rFonts w:hint="eastAsia" w:ascii="仿宋_GB2312" w:hAnsi="仿宋_GB2312" w:eastAsia="仿宋_GB2312" w:cs="仿宋_GB2312"/>
          <w:color w:val="auto"/>
          <w:kern w:val="0"/>
          <w:sz w:val="32"/>
          <w:szCs w:val="32"/>
          <w:lang w:eastAsia="zh-CN"/>
        </w:rPr>
        <w:t>日记账的记账</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算账</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对账</w:t>
      </w:r>
      <w:r>
        <w:rPr>
          <w:rFonts w:hint="eastAsia" w:ascii="仿宋_GB2312" w:hAnsi="仿宋_GB2312" w:eastAsia="仿宋_GB2312" w:cs="仿宋_GB2312"/>
          <w:color w:val="auto"/>
          <w:kern w:val="0"/>
          <w:sz w:val="32"/>
          <w:szCs w:val="32"/>
        </w:rPr>
        <w:t>工作，做到日清月结、</w:t>
      </w:r>
      <w:r>
        <w:rPr>
          <w:rFonts w:hint="eastAsia" w:ascii="仿宋_GB2312" w:hAnsi="仿宋_GB2312" w:eastAsia="仿宋_GB2312" w:cs="仿宋_GB2312"/>
          <w:color w:val="auto"/>
          <w:kern w:val="0"/>
          <w:sz w:val="32"/>
          <w:szCs w:val="32"/>
          <w:lang w:eastAsia="zh-CN"/>
        </w:rPr>
        <w:t>账账相符</w:t>
      </w:r>
      <w:r>
        <w:rPr>
          <w:rFonts w:hint="eastAsia" w:ascii="仿宋_GB2312" w:hAnsi="仿宋_GB2312" w:eastAsia="仿宋_GB2312" w:cs="仿宋_GB2312"/>
          <w:color w:val="auto"/>
          <w:kern w:val="0"/>
          <w:sz w:val="32"/>
          <w:szCs w:val="32"/>
        </w:rPr>
        <w:t>。</w:t>
      </w:r>
    </w:p>
    <w:p w14:paraId="7C0D0B71">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严格按现金管理规定，做好现金收支结算。不超库存限额、不坐支，不以白条顶替现金，每日核对库存余额，保证</w:t>
      </w:r>
      <w:r>
        <w:rPr>
          <w:rFonts w:hint="eastAsia" w:ascii="仿宋_GB2312" w:hAnsi="仿宋_GB2312" w:eastAsia="仿宋_GB2312" w:cs="仿宋_GB2312"/>
          <w:color w:val="auto"/>
          <w:kern w:val="0"/>
          <w:sz w:val="32"/>
          <w:szCs w:val="32"/>
          <w:lang w:eastAsia="zh-CN"/>
        </w:rPr>
        <w:t>账款</w:t>
      </w:r>
      <w:r>
        <w:rPr>
          <w:rFonts w:hint="eastAsia" w:ascii="仿宋_GB2312" w:hAnsi="仿宋_GB2312" w:eastAsia="仿宋_GB2312" w:cs="仿宋_GB2312"/>
          <w:color w:val="auto"/>
          <w:kern w:val="0"/>
          <w:sz w:val="32"/>
          <w:szCs w:val="32"/>
        </w:rPr>
        <w:t>相符。</w:t>
      </w:r>
    </w:p>
    <w:p w14:paraId="7377ABCF">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严格审核原始凭证，对内容不全、字迹不清、责任不明确、涂改、金额不符的原始凭证有权拒绝付款。</w:t>
      </w:r>
    </w:p>
    <w:p w14:paraId="630F9A67">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按月编制银行存款余额调节表，发现问题立即查询，及时清理</w:t>
      </w:r>
      <w:r>
        <w:rPr>
          <w:rFonts w:hint="eastAsia" w:ascii="仿宋_GB2312" w:hAnsi="仿宋_GB2312" w:eastAsia="仿宋_GB2312" w:cs="仿宋_GB2312"/>
          <w:color w:val="auto"/>
          <w:kern w:val="0"/>
          <w:sz w:val="32"/>
          <w:szCs w:val="32"/>
          <w:lang w:eastAsia="zh-CN"/>
        </w:rPr>
        <w:t>未达账项</w:t>
      </w:r>
      <w:r>
        <w:rPr>
          <w:rFonts w:hint="eastAsia" w:ascii="仿宋_GB2312" w:hAnsi="仿宋_GB2312" w:eastAsia="仿宋_GB2312" w:cs="仿宋_GB2312"/>
          <w:color w:val="auto"/>
          <w:kern w:val="0"/>
          <w:sz w:val="32"/>
          <w:szCs w:val="32"/>
        </w:rPr>
        <w:t>。</w:t>
      </w:r>
    </w:p>
    <w:p w14:paraId="1D0AB81C">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负责保管空白支票、空白收据及各种有关证件。建立支票、收据领用登记本，签发支票时内容填写完整，保证银行存款不空头。对因管理不严而造成支票丢失的，要承担相应责任。</w:t>
      </w:r>
    </w:p>
    <w:p w14:paraId="6CCA91E7">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完成领导交办的其他工作。</w:t>
      </w:r>
    </w:p>
    <w:p w14:paraId="058013CF">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4.</w:t>
      </w:r>
      <w:r>
        <w:rPr>
          <w:rFonts w:hint="eastAsia" w:ascii="仿宋_GB2312" w:hAnsi="仿宋_GB2312" w:eastAsia="仿宋_GB2312" w:cs="仿宋_GB2312"/>
          <w:b/>
          <w:bCs/>
          <w:color w:val="auto"/>
          <w:kern w:val="0"/>
          <w:sz w:val="32"/>
          <w:szCs w:val="32"/>
        </w:rPr>
        <w:t>筹股</w:t>
      </w:r>
    </w:p>
    <w:p w14:paraId="1228602E">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负责管理好全县参保职工的个人台账，负责制定本部门的发展规划，完成好本部门的工作计划，为确保工作顺利完成，制定出相应的对策，做好稽核工作。负责本</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各种数据的分析和整理，制定与自己工作范围相适应的各种工作计划和规划，对平时自己的工作进行总结、分析，解决统计工作中的实际困难与问题。撰写调查报告和工作总结。</w:t>
      </w:r>
    </w:p>
    <w:p w14:paraId="752F2A2F">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认真贯彻执行《</w:t>
      </w:r>
      <w:r>
        <w:rPr>
          <w:rFonts w:hint="eastAsia" w:ascii="仿宋_GB2312" w:hAnsi="仿宋_GB2312" w:eastAsia="仿宋_GB2312" w:cs="仿宋_GB2312"/>
          <w:color w:val="auto"/>
          <w:kern w:val="0"/>
          <w:sz w:val="32"/>
          <w:szCs w:val="32"/>
          <w:lang w:eastAsia="zh-CN"/>
        </w:rPr>
        <w:t>中华人民共和国统计法</w:t>
      </w:r>
      <w:r>
        <w:rPr>
          <w:rFonts w:hint="eastAsia" w:ascii="仿宋_GB2312" w:hAnsi="仿宋_GB2312" w:eastAsia="仿宋_GB2312" w:cs="仿宋_GB2312"/>
          <w:color w:val="auto"/>
          <w:kern w:val="0"/>
          <w:sz w:val="32"/>
          <w:szCs w:val="32"/>
        </w:rPr>
        <w:t>》和国家、省劳动和社会保障厅有关规定。</w:t>
      </w:r>
    </w:p>
    <w:p w14:paraId="39220439">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结合局医疗保险基金业务运行特点，建立和完善统计数据库，监督和定期检查统计信息质量及管理工作。</w:t>
      </w:r>
    </w:p>
    <w:p w14:paraId="58100200">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负责编制月、季、年统计报表和综合分析报告，做到内容完整，数据准确。</w:t>
      </w:r>
    </w:p>
    <w:p w14:paraId="4E66866B">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负责统计资料的收集、整理，汇编统计年鉴，按时向领导提供完整、准确的统计信息。</w:t>
      </w:r>
    </w:p>
    <w:p w14:paraId="786DA88B">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定期深入调查研究，针对统计信息工作中存在的问题提出改进措施建议。</w:t>
      </w:r>
    </w:p>
    <w:p w14:paraId="34500794">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加强业务知识和计算机管理程序的学习，提高自身业务素质。</w:t>
      </w:r>
    </w:p>
    <w:p w14:paraId="106CC3F5">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对参保单位及人员进行保险登记。</w:t>
      </w:r>
    </w:p>
    <w:p w14:paraId="566137CE">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核定缴费基数，并按核定的缴费基数编制征集计划。</w:t>
      </w:r>
    </w:p>
    <w:p w14:paraId="3E9EC110">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依据核定的缴费基数，开具征缴通知书，通过“收入户”征集。</w:t>
      </w:r>
    </w:p>
    <w:p w14:paraId="02C1B9DF">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整理汇总保险费收缴情况，对已办理登记但未及时、足额缴纳的单位，及时向其发出《催缴通知书》，对拒不</w:t>
      </w:r>
      <w:r>
        <w:rPr>
          <w:rFonts w:hint="eastAsia" w:ascii="仿宋_GB2312" w:hAnsi="仿宋_GB2312" w:eastAsia="仿宋_GB2312" w:cs="仿宋_GB2312"/>
          <w:color w:val="auto"/>
          <w:kern w:val="0"/>
          <w:sz w:val="32"/>
          <w:szCs w:val="32"/>
          <w:lang w:eastAsia="zh-CN"/>
        </w:rPr>
        <w:t>缴纳</w:t>
      </w:r>
      <w:r>
        <w:rPr>
          <w:rFonts w:hint="eastAsia" w:ascii="仿宋_GB2312" w:hAnsi="仿宋_GB2312" w:eastAsia="仿宋_GB2312" w:cs="仿宋_GB2312"/>
          <w:color w:val="auto"/>
          <w:kern w:val="0"/>
          <w:sz w:val="32"/>
          <w:szCs w:val="32"/>
        </w:rPr>
        <w:t>者，按有关规定执行。</w:t>
      </w:r>
    </w:p>
    <w:p w14:paraId="7167D875">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审核办理机关事业单位医疗保险的人员增减、转移、终止变更工作。</w:t>
      </w:r>
    </w:p>
    <w:p w14:paraId="08E4F32D">
      <w:pPr>
        <w:keepNext w:val="0"/>
        <w:keepLines w:val="0"/>
        <w:pageBreakBefore w:val="0"/>
        <w:widowControl w:val="0"/>
        <w:kinsoku/>
        <w:wordWrap/>
        <w:overflowPunct/>
        <w:topLinePunct w:val="0"/>
        <w:autoSpaceDE w:val="0"/>
        <w:autoSpaceDN w:val="0"/>
        <w:bidi w:val="0"/>
        <w:adjustRightInd w:val="0"/>
        <w:spacing w:afterAutospacing="0" w:line="578" w:lineRule="exact"/>
        <w:ind w:left="0" w:leftChars="0" w:right="0"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按单位上报情况，定期核定职工</w:t>
      </w:r>
      <w:r>
        <w:rPr>
          <w:rFonts w:hint="eastAsia" w:ascii="仿宋_GB2312" w:hAnsi="仿宋_GB2312" w:eastAsia="仿宋_GB2312" w:cs="仿宋_GB2312"/>
          <w:color w:val="auto"/>
          <w:kern w:val="0"/>
          <w:sz w:val="32"/>
          <w:szCs w:val="32"/>
          <w:lang w:eastAsia="zh-CN"/>
        </w:rPr>
        <w:t>人数</w:t>
      </w:r>
      <w:r>
        <w:rPr>
          <w:rFonts w:hint="eastAsia" w:ascii="仿宋_GB2312" w:hAnsi="仿宋_GB2312" w:eastAsia="仿宋_GB2312" w:cs="仿宋_GB2312"/>
          <w:color w:val="auto"/>
          <w:kern w:val="0"/>
          <w:sz w:val="32"/>
          <w:szCs w:val="32"/>
        </w:rPr>
        <w:t>进行基数调整。</w:t>
      </w:r>
    </w:p>
    <w:p w14:paraId="1FA3BA4E">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完成领导交办的其他工作。</w:t>
      </w:r>
    </w:p>
    <w:p w14:paraId="2C31F505">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楷体_GB2312" w:hAnsi="楷体_GB2312" w:eastAsia="楷体_GB2312" w:cs="楷体_GB2312"/>
          <w:b/>
          <w:bCs/>
          <w:color w:val="auto"/>
          <w:sz w:val="32"/>
          <w:szCs w:val="32"/>
          <w:lang w:val="zh-CN"/>
        </w:rPr>
      </w:pP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val="zh-CN"/>
        </w:rPr>
        <w:t>预算管理。</w:t>
      </w:r>
    </w:p>
    <w:p w14:paraId="3153D74A">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加强预算管理，推进厉行节约、规范财务行为，2024年松潘县医疗保障局修订完善了《松潘县医疗保障局预算管理规定》，对预算编制、预算编制责任分工、预算执行及分析、预算调整、决算编制、预算绩效管理等内容作出了明确规定，预算管理制度健全。由党组会确定预算年度重点工作任务，并将任务分解到各股室，业务根据下达的工作任务提出预算项目经费需求，财务汇总预算数据，报局党组会审议后，形成当年部门预算。</w:t>
      </w:r>
    </w:p>
    <w:p w14:paraId="6649A93D">
      <w:pPr>
        <w:keepNext w:val="0"/>
        <w:keepLines w:val="0"/>
        <w:pageBreakBefore w:val="0"/>
        <w:widowControl w:val="0"/>
        <w:kinsoku/>
        <w:wordWrap/>
        <w:overflowPunct/>
        <w:topLinePunct w:val="0"/>
        <w:bidi w:val="0"/>
        <w:spacing w:afterAutospacing="0" w:line="578" w:lineRule="exact"/>
        <w:ind w:left="0" w:leftChars="0" w:right="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在预算编制时基本按照相关预算编制文件要求编制单位2024年部门预算，落实了人员经费支出定员定额管理控制的要求，亦编制了部门整体支出绩效目标和部门项目绩效目标。</w:t>
      </w:r>
    </w:p>
    <w:p w14:paraId="29EF2AE6">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阅预算编制相关资料，部门按当年重点工作任务对预算资金进行分解安排，但在预算测算过程中还不够细化，只按分项罗列了预算金额，未具体测算到数量、单价等明细内容；在预算执行方面，预算执行监控到位，发现预算执行存在困难，及时进行了预算调整，年度预算执行进度较好。总体来看松潘县公共就业和人才交流服务中心在预算编制、预算执行、项目库管理等方面比较规范。</w:t>
      </w:r>
    </w:p>
    <w:p w14:paraId="147E5100">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楷体_GB2312" w:hAnsi="楷体_GB2312" w:eastAsia="楷体_GB2312" w:cs="楷体_GB2312"/>
          <w:color w:val="auto"/>
          <w:sz w:val="32"/>
          <w:szCs w:val="32"/>
          <w:lang w:val="zh-CN"/>
        </w:rPr>
      </w:pP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val="zh-CN"/>
        </w:rPr>
        <w:t>财务管理。</w:t>
      </w:r>
    </w:p>
    <w:p w14:paraId="2B9439C5">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松潘县</w:t>
      </w:r>
      <w:r>
        <w:rPr>
          <w:rFonts w:hint="eastAsia" w:ascii="仿宋_GB2312" w:hAnsi="仿宋_GB2312" w:eastAsia="仿宋_GB2312" w:cs="仿宋_GB2312"/>
          <w:color w:val="auto"/>
          <w:sz w:val="32"/>
          <w:szCs w:val="32"/>
          <w:lang w:val="en-US" w:eastAsia="zh-CN"/>
        </w:rPr>
        <w:t>医疗保障局</w:t>
      </w:r>
      <w:r>
        <w:rPr>
          <w:rFonts w:hint="eastAsia" w:ascii="仿宋_GB2312" w:hAnsi="仿宋_GB2312" w:eastAsia="仿宋_GB2312" w:cs="仿宋_GB2312"/>
          <w:color w:val="auto"/>
          <w:sz w:val="32"/>
          <w:szCs w:val="32"/>
          <w:lang w:val="zh-CN"/>
        </w:rPr>
        <w:t>2023年修订了《制度汇编》，对“三重一大”事项决策、预算管理、收入管理、支出管理、报销管理、会计档案管理、“三公”经费支出、合同管理等方面的管理程序进行了明确。各科室根据下年度业务工作计划安排，结合编制口径要求，会同财务科平衡汇总后完成预算的具体编制，由单位负责人审定后报松潘县财政处归口编制。专项资金年度支出编制：松潘县</w:t>
      </w:r>
      <w:r>
        <w:rPr>
          <w:rFonts w:hint="eastAsia" w:ascii="仿宋_GB2312" w:hAnsi="仿宋_GB2312" w:eastAsia="仿宋_GB2312" w:cs="仿宋_GB2312"/>
          <w:color w:val="auto"/>
          <w:sz w:val="32"/>
          <w:szCs w:val="32"/>
          <w:lang w:val="en-US" w:eastAsia="zh-CN"/>
        </w:rPr>
        <w:t>医疗保障局</w:t>
      </w:r>
      <w:r>
        <w:rPr>
          <w:rFonts w:hint="eastAsia" w:ascii="仿宋_GB2312" w:hAnsi="仿宋_GB2312" w:eastAsia="仿宋_GB2312" w:cs="仿宋_GB2312"/>
          <w:color w:val="auto"/>
          <w:sz w:val="32"/>
          <w:szCs w:val="32"/>
          <w:lang w:val="zh-CN"/>
        </w:rPr>
        <w:t>在取得财政经费预算批复通知后，在额度范围内编制。追加预算编制的审定：涉及单位追加预算的项目，由归口部门会同松潘县公共就业和人才交流服务中心拟制预算报告，报单位负责人审定后，按相关程序向松潘县财政局或经费对口部门报批。</w:t>
      </w:r>
    </w:p>
    <w:p w14:paraId="2270E29B">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楷体_GB2312" w:hAnsi="楷体_GB2312" w:eastAsia="楷体_GB2312" w:cs="楷体_GB2312"/>
          <w:color w:val="auto"/>
          <w:sz w:val="32"/>
          <w:szCs w:val="32"/>
          <w:lang w:val="zh-CN"/>
        </w:rPr>
      </w:pP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lang w:val="zh-CN"/>
        </w:rPr>
        <w:t>资产管理。</w:t>
      </w:r>
    </w:p>
    <w:p w14:paraId="1F838E21">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制定了《资产管理制度》，对单位资产配置管理、资产使用管理、资产处置管理、资产财务管理等方面进行了规定，但未制定无形资产管理制度及资产维修维护管理规定。松潘县公共就业和人才交流服务中心基本按照上述管理制度实施了资产采购和日常管理。</w:t>
      </w:r>
    </w:p>
    <w:p w14:paraId="275DD0AB">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楷体_GB2312" w:hAnsi="楷体_GB2312" w:eastAsia="楷体_GB2312" w:cs="楷体_GB2312"/>
          <w:b/>
          <w:bCs/>
          <w:color w:val="auto"/>
          <w:sz w:val="32"/>
          <w:szCs w:val="32"/>
          <w:lang w:val="zh-CN"/>
        </w:rPr>
      </w:pPr>
      <w:r>
        <w:rPr>
          <w:rFonts w:hint="eastAsia" w:ascii="楷体_GB2312" w:hAnsi="楷体_GB2312" w:eastAsia="楷体_GB2312" w:cs="楷体_GB2312"/>
          <w:b/>
          <w:bCs/>
          <w:color w:val="auto"/>
          <w:sz w:val="32"/>
          <w:szCs w:val="32"/>
          <w:lang w:val="en-US" w:eastAsia="zh-CN"/>
        </w:rPr>
        <w:t>（六）</w:t>
      </w:r>
      <w:r>
        <w:rPr>
          <w:rFonts w:hint="eastAsia" w:ascii="楷体_GB2312" w:hAnsi="楷体_GB2312" w:eastAsia="楷体_GB2312" w:cs="楷体_GB2312"/>
          <w:b/>
          <w:bCs/>
          <w:color w:val="auto"/>
          <w:sz w:val="32"/>
          <w:szCs w:val="32"/>
          <w:lang w:val="zh-CN"/>
        </w:rPr>
        <w:t>采购管理。</w:t>
      </w:r>
    </w:p>
    <w:p w14:paraId="64EF6886">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2023年修订完善了《</w:t>
      </w:r>
      <w:r>
        <w:rPr>
          <w:rFonts w:hint="eastAsia" w:ascii="仿宋_GB2312" w:hAnsi="仿宋_GB2312" w:eastAsia="仿宋_GB2312" w:cs="仿宋_GB2312"/>
          <w:color w:val="auto"/>
          <w:sz w:val="32"/>
          <w:szCs w:val="32"/>
          <w:lang w:val="zh-CN" w:eastAsia="zh-CN"/>
        </w:rPr>
        <w:t>松潘县</w:t>
      </w:r>
      <w:r>
        <w:rPr>
          <w:rFonts w:hint="eastAsia" w:ascii="仿宋_GB2312" w:hAnsi="仿宋_GB2312" w:eastAsia="仿宋_GB2312" w:cs="仿宋_GB2312"/>
          <w:color w:val="auto"/>
          <w:sz w:val="32"/>
          <w:szCs w:val="32"/>
          <w:lang w:val="en-US" w:eastAsia="zh-CN"/>
        </w:rPr>
        <w:t>医疗保障局</w:t>
      </w:r>
      <w:r>
        <w:rPr>
          <w:rFonts w:hint="eastAsia" w:ascii="仿宋_GB2312" w:hAnsi="仿宋_GB2312" w:eastAsia="仿宋_GB2312" w:cs="仿宋_GB2312"/>
          <w:color w:val="auto"/>
          <w:sz w:val="32"/>
          <w:szCs w:val="32"/>
          <w:lang w:val="zh-CN"/>
        </w:rPr>
        <w:t>政府采购内部控制管理办法》，对管理机构与职责、工作岗位设置、政府采购组织形式及方式、政府采购程序、政府采购档案管理及监督检查进行了规定，管理制度较健全。202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年政府采购支出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zh-CN"/>
        </w:rPr>
        <w:t>万元。</w:t>
      </w:r>
    </w:p>
    <w:p w14:paraId="03480298">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val="zh-CN"/>
        </w:rPr>
        <w:t>部门预算项目绩效分析。</w:t>
      </w:r>
    </w:p>
    <w:p w14:paraId="5D4C8906">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2024年特定目标类主要包含全县职工体检费，武装部遗属门诊补贴费用，城乡居民基本医疗保险专项业务经费，医保网络费用，4个项目。年底总支出为727.65万元。</w:t>
      </w:r>
    </w:p>
    <w:p w14:paraId="266089BB">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本年度全县职工体检费是用于确保完善建立干部职工健康体检医疗保障机制，让每一位干部职工及时掌握自身健康状况，做到有病早发现早治疗早预防，有针对性地开展健康教育、健康促进活动的工作。</w:t>
      </w:r>
    </w:p>
    <w:p w14:paraId="5BC6CBEA">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武装部遗属门诊补贴费用是用于对武装部遗属门诊医疗费用补助的工作。</w:t>
      </w:r>
    </w:p>
    <w:p w14:paraId="70FF9DF9">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城乡居民基本医疗保险专项业务经费是用于确保建立完善城乡居民和城镇职工基本医疗保险服务体系，为全面推动日常工作开展，提高医疗等服务性工作效率。</w:t>
      </w:r>
    </w:p>
    <w:p w14:paraId="5A65B763">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医保网络费用是用于保障乡镇服务中心医保专网正常使用。</w:t>
      </w:r>
    </w:p>
    <w:p w14:paraId="23BA960C">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zh-CN"/>
        </w:rPr>
        <w:t>项目决策。</w:t>
      </w:r>
    </w:p>
    <w:p w14:paraId="400DD52E">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2024年我单位整体绩效自评</w:t>
      </w:r>
      <w:r>
        <w:rPr>
          <w:rFonts w:hint="eastAsia" w:ascii="仿宋_GB2312" w:hAnsi="仿宋_GB2312" w:eastAsia="仿宋_GB2312" w:cs="仿宋_GB2312"/>
          <w:color w:val="auto"/>
          <w:sz w:val="32"/>
          <w:szCs w:val="32"/>
          <w:lang w:eastAsia="zh-CN"/>
        </w:rPr>
        <w:t>决策程序严密，项目绩效目标设置科学合理。项目资金与项目总体规划、相关行业事业发展相匹配，聚焦重大任务、重点领域、重点环节和重点项目。项目制度办法体系健全、要素完备。</w:t>
      </w:r>
    </w:p>
    <w:p w14:paraId="0900FAD2">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en-US" w:eastAsia="zh-CN"/>
        </w:rPr>
        <w:t>2.项目执行</w:t>
      </w:r>
      <w:r>
        <w:rPr>
          <w:rFonts w:hint="eastAsia" w:ascii="仿宋_GB2312" w:hAnsi="仿宋_GB2312" w:eastAsia="仿宋_GB2312" w:cs="仿宋_GB2312"/>
          <w:b/>
          <w:bCs/>
          <w:color w:val="auto"/>
          <w:sz w:val="32"/>
          <w:szCs w:val="32"/>
          <w:lang w:val="zh-CN"/>
        </w:rPr>
        <w:t>。</w:t>
      </w:r>
    </w:p>
    <w:p w14:paraId="3D92B509">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2024年我单位</w:t>
      </w:r>
      <w:r>
        <w:rPr>
          <w:rFonts w:hint="eastAsia" w:ascii="仿宋_GB2312" w:hAnsi="仿宋_GB2312" w:eastAsia="仿宋_GB2312" w:cs="仿宋_GB2312"/>
          <w:color w:val="auto"/>
          <w:sz w:val="32"/>
          <w:szCs w:val="32"/>
          <w:lang w:val="zh-CN"/>
        </w:rPr>
        <w:t>项目资金分配因素选取、权重设置、区域分布，项目管理、审批符合管理要求，管资金、管项目、管政策、管绩效，项目绩效监管按要求开展，对下指导有力有效。</w:t>
      </w:r>
    </w:p>
    <w:p w14:paraId="5EB78F76">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val="zh-CN"/>
        </w:rPr>
        <w:t>目标实现。</w:t>
      </w:r>
    </w:p>
    <w:p w14:paraId="52ECF80F">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2024我单位</w:t>
      </w:r>
      <w:r>
        <w:rPr>
          <w:rFonts w:hint="eastAsia" w:ascii="仿宋_GB2312" w:hAnsi="仿宋_GB2312" w:eastAsia="仿宋_GB2312" w:cs="仿宋_GB2312"/>
          <w:color w:val="auto"/>
          <w:sz w:val="32"/>
          <w:szCs w:val="32"/>
          <w:lang w:eastAsia="zh-CN"/>
        </w:rPr>
        <w:t>项目完成预期目标，实施结果与绩效目标相匹配，反映目标实现程度。</w:t>
      </w:r>
    </w:p>
    <w:p w14:paraId="45A5B378">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val="zh-CN" w:eastAsia="zh-CN"/>
        </w:rPr>
        <w:t>重点领域</w:t>
      </w:r>
      <w:r>
        <w:rPr>
          <w:rFonts w:hint="eastAsia" w:ascii="黑体" w:hAnsi="黑体" w:eastAsia="黑体" w:cs="黑体"/>
          <w:color w:val="auto"/>
          <w:sz w:val="32"/>
          <w:szCs w:val="32"/>
          <w:lang w:val="zh-CN"/>
        </w:rPr>
        <w:t>绩效分析</w:t>
      </w:r>
      <w:r>
        <w:rPr>
          <w:rFonts w:hint="eastAsia" w:ascii="黑体" w:hAnsi="黑体" w:eastAsia="黑体" w:cs="黑体"/>
          <w:color w:val="auto"/>
          <w:sz w:val="32"/>
          <w:szCs w:val="32"/>
          <w:lang w:val="zh-CN" w:eastAsia="zh-CN"/>
        </w:rPr>
        <w:t>。</w:t>
      </w:r>
    </w:p>
    <w:p w14:paraId="346B793F">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本单位无此项。</w:t>
      </w:r>
    </w:p>
    <w:p w14:paraId="4234470D">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val="zh-CN" w:eastAsia="zh-CN"/>
        </w:rPr>
        <w:t>绩效结果应用情况。</w:t>
      </w:r>
    </w:p>
    <w:p w14:paraId="4B74CC49">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年预算绩效管理工作，均按要求完成了预算项目事前绩效目标填报、事中绩效监控、事后绩效评价等绩效管理的全过程工作。</w:t>
      </w:r>
    </w:p>
    <w:p w14:paraId="2201C315">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2023年单位共有特定目标类项目4个，均按要求完成了项目绩效目标填报、事中绩效目标监控、事后绩效目标自评，在评价过程中医保局按要求提供了部门整体绩效自评报告，报告格式规范、内容完整</w:t>
      </w:r>
      <w:r>
        <w:rPr>
          <w:rFonts w:hint="eastAsia" w:ascii="仿宋_GB2312" w:hAnsi="仿宋_GB2312" w:eastAsia="仿宋_GB2312" w:cs="仿宋_GB2312"/>
          <w:color w:val="auto"/>
          <w:sz w:val="32"/>
          <w:szCs w:val="32"/>
          <w:lang w:val="zh-CN" w:eastAsia="zh-CN"/>
        </w:rPr>
        <w:t>。</w:t>
      </w:r>
    </w:p>
    <w:p w14:paraId="14DC8954">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评价结论及建议</w:t>
      </w:r>
    </w:p>
    <w:p w14:paraId="17F0260B">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楷体_GB2312" w:hAnsi="楷体_GB2312" w:eastAsia="楷体_GB2312" w:cs="楷体_GB2312"/>
          <w:b/>
          <w:bCs/>
          <w:color w:val="auto"/>
          <w:sz w:val="32"/>
          <w:szCs w:val="32"/>
          <w:lang w:val="zh-CN"/>
        </w:rPr>
      </w:pPr>
      <w:r>
        <w:rPr>
          <w:rFonts w:hint="eastAsia" w:ascii="楷体_GB2312" w:hAnsi="楷体_GB2312" w:eastAsia="楷体_GB2312" w:cs="楷体_GB2312"/>
          <w:b/>
          <w:bCs/>
          <w:color w:val="auto"/>
          <w:sz w:val="32"/>
          <w:szCs w:val="32"/>
          <w:lang w:val="zh-CN"/>
        </w:rPr>
        <w:t>（一）评价结论。</w:t>
      </w:r>
    </w:p>
    <w:p w14:paraId="1A0B462A">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完成了法定职责以及年初制定的目标任务，单位运转正常，年度重点工作基本达到预期目标，履行了单位应尽的职责。但存在预算安排准确性有待提高、需加强单位制度建设及做好成本控制等问题。经评价，2024年部门整体支出绩效评价为优秀。</w:t>
      </w:r>
    </w:p>
    <w:p w14:paraId="307779D4">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楷体_GB2312" w:hAnsi="楷体_GB2312" w:eastAsia="楷体_GB2312" w:cs="楷体_GB2312"/>
          <w:b/>
          <w:bCs/>
          <w:color w:val="auto"/>
          <w:sz w:val="32"/>
          <w:szCs w:val="32"/>
          <w:lang w:val="zh-CN"/>
        </w:rPr>
      </w:pPr>
      <w:r>
        <w:rPr>
          <w:rFonts w:hint="eastAsia" w:ascii="楷体_GB2312" w:hAnsi="楷体_GB2312" w:eastAsia="楷体_GB2312" w:cs="楷体_GB2312"/>
          <w:b/>
          <w:bCs/>
          <w:color w:val="auto"/>
          <w:sz w:val="32"/>
          <w:szCs w:val="32"/>
          <w:lang w:val="zh-CN"/>
        </w:rPr>
        <w:t>（二）存在问题。</w:t>
      </w:r>
    </w:p>
    <w:p w14:paraId="24373533">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个别项目支出预算编制不够具体细化，导致预算执行率未达到100%。全县职工体检费该项目经费年初预算800.53万元，预算执行数674.66万元，预算执行率84.28%，预算完成率相对其他项目比较低。主要系部分职工因个人或工作原因未参加县上安排统一体检。</w:t>
      </w:r>
    </w:p>
    <w:p w14:paraId="62AB6038">
      <w:pPr>
        <w:keepNext w:val="0"/>
        <w:keepLines w:val="0"/>
        <w:pageBreakBefore w:val="0"/>
        <w:widowControl w:val="0"/>
        <w:kinsoku/>
        <w:wordWrap/>
        <w:overflowPunct/>
        <w:topLinePunct w:val="0"/>
        <w:bidi w:val="0"/>
        <w:spacing w:afterAutospacing="0" w:line="578" w:lineRule="exact"/>
        <w:ind w:left="0" w:leftChars="0" w:right="0" w:firstLine="643" w:firstLineChars="200"/>
        <w:textAlignment w:val="auto"/>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（三）改进建议。</w:t>
      </w:r>
    </w:p>
    <w:p w14:paraId="3B8385FF">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进一步细化年度目标任务，对分解的目标任务进行仔细分析及测算，做好预算编制的沟通与协调工作，努力提高预算编制的准确性与前瞻性，降低年度预算调整幅度，加强对预算执行的控制，体现预算的刚性约束力。</w:t>
      </w:r>
    </w:p>
    <w:p w14:paraId="3CB498CD">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2.进一步加快预算资金的执行进度，努力提升资金使用效益。</w:t>
      </w:r>
    </w:p>
    <w:p w14:paraId="723DA8A1">
      <w:pPr>
        <w:keepNext w:val="0"/>
        <w:keepLines w:val="0"/>
        <w:pageBreakBefore w:val="0"/>
        <w:widowControl w:val="0"/>
        <w:kinsoku/>
        <w:wordWrap/>
        <w:overflowPunct/>
        <w:topLinePunct w:val="0"/>
        <w:bidi w:val="0"/>
        <w:spacing w:afterAutospacing="0" w:line="578"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3.进一步完善内控管理制度，建立完善项目资金管理办法，有助于进一步加强对预算资金使用的管控，提高财政资金的使用效率，促进财政支出绩效不断提升。</w:t>
      </w:r>
    </w:p>
    <w:p w14:paraId="2ABDDAAD">
      <w:pPr>
        <w:bidi w:val="0"/>
        <w:rPr>
          <w:rFonts w:hint="eastAsia"/>
          <w:lang w:val="en-US" w:eastAsia="zh-CN"/>
        </w:rPr>
      </w:pPr>
    </w:p>
    <w:p w14:paraId="51CCB6D7">
      <w:pPr>
        <w:bidi w:val="0"/>
        <w:rPr>
          <w:rFonts w:hint="eastAsia"/>
          <w:lang w:val="en-US" w:eastAsia="zh-CN"/>
        </w:rPr>
      </w:pPr>
    </w:p>
    <w:p w14:paraId="5F4EA907">
      <w:pPr>
        <w:bidi w:val="0"/>
        <w:rPr>
          <w:rFonts w:hint="eastAsia"/>
          <w:lang w:val="en-US" w:eastAsia="zh-CN"/>
        </w:rPr>
      </w:pPr>
    </w:p>
    <w:p w14:paraId="2ADC3A59">
      <w:pPr>
        <w:bidi w:val="0"/>
        <w:rPr>
          <w:rFonts w:hint="eastAsia"/>
          <w:lang w:val="en-US" w:eastAsia="zh-CN"/>
        </w:rPr>
      </w:pPr>
    </w:p>
    <w:p w14:paraId="2F559CC4">
      <w:pPr>
        <w:bidi w:val="0"/>
        <w:rPr>
          <w:rFonts w:hint="eastAsia"/>
          <w:lang w:val="en-US" w:eastAsia="zh-CN"/>
        </w:rPr>
      </w:pPr>
    </w:p>
    <w:p w14:paraId="67162973">
      <w:pPr>
        <w:bidi w:val="0"/>
        <w:rPr>
          <w:rFonts w:hint="eastAsia"/>
          <w:lang w:val="en-US" w:eastAsia="zh-CN"/>
        </w:rPr>
      </w:pPr>
    </w:p>
    <w:p w14:paraId="7EB8F2C2">
      <w:pPr>
        <w:bidi w:val="0"/>
        <w:rPr>
          <w:rFonts w:hint="eastAsia"/>
          <w:lang w:val="en-US" w:eastAsia="zh-CN"/>
        </w:rPr>
      </w:pPr>
    </w:p>
    <w:p w14:paraId="0086B411">
      <w:pPr>
        <w:bidi w:val="0"/>
        <w:rPr>
          <w:rFonts w:hint="eastAsia"/>
          <w:lang w:val="en-US" w:eastAsia="zh-CN"/>
        </w:rPr>
      </w:pPr>
    </w:p>
    <w:p w14:paraId="28FBFC99">
      <w:pPr>
        <w:bidi w:val="0"/>
        <w:rPr>
          <w:rFonts w:hint="eastAsia"/>
          <w:lang w:val="en-US" w:eastAsia="zh-CN"/>
        </w:rPr>
      </w:pPr>
    </w:p>
    <w:p w14:paraId="23D878FE">
      <w:pPr>
        <w:bidi w:val="0"/>
        <w:rPr>
          <w:rFonts w:hint="eastAsia"/>
          <w:lang w:val="en-US" w:eastAsia="zh-CN"/>
        </w:rPr>
      </w:pPr>
    </w:p>
    <w:p w14:paraId="69D05F26">
      <w:pPr>
        <w:bidi w:val="0"/>
        <w:rPr>
          <w:rFonts w:hint="eastAsia"/>
          <w:lang w:val="en-US" w:eastAsia="zh-CN"/>
        </w:rPr>
      </w:pPr>
    </w:p>
    <w:p w14:paraId="65C962BA">
      <w:pPr>
        <w:bidi w:val="0"/>
        <w:rPr>
          <w:rFonts w:hint="eastAsia"/>
          <w:lang w:val="en-US" w:eastAsia="zh-CN"/>
        </w:rPr>
      </w:pPr>
    </w:p>
    <w:p w14:paraId="63756C10">
      <w:pPr>
        <w:bidi w:val="0"/>
        <w:rPr>
          <w:rFonts w:hint="eastAsia"/>
          <w:lang w:val="en-US" w:eastAsia="zh-CN"/>
        </w:rPr>
      </w:pPr>
    </w:p>
    <w:p w14:paraId="22F6CCFF">
      <w:pPr>
        <w:bidi w:val="0"/>
        <w:rPr>
          <w:rFonts w:hint="eastAsia"/>
          <w:lang w:val="en-US" w:eastAsia="zh-CN"/>
        </w:rPr>
      </w:pPr>
    </w:p>
    <w:p w14:paraId="21A525F5">
      <w:pPr>
        <w:bidi w:val="0"/>
        <w:rPr>
          <w:rFonts w:hint="eastAsia"/>
          <w:lang w:val="en-US" w:eastAsia="zh-CN"/>
        </w:rPr>
      </w:pPr>
    </w:p>
    <w:p w14:paraId="483EF7D9">
      <w:pPr>
        <w:bidi w:val="0"/>
        <w:rPr>
          <w:rFonts w:hint="eastAsia"/>
          <w:lang w:val="en-US" w:eastAsia="zh-CN"/>
        </w:rPr>
      </w:pPr>
    </w:p>
    <w:p w14:paraId="1ED0C94D">
      <w:pPr>
        <w:bidi w:val="0"/>
        <w:rPr>
          <w:rFonts w:hint="eastAsia"/>
          <w:lang w:val="en-US" w:eastAsia="zh-CN"/>
        </w:rPr>
      </w:pPr>
    </w:p>
    <w:p w14:paraId="583A3D72">
      <w:pPr>
        <w:bidi w:val="0"/>
        <w:rPr>
          <w:rFonts w:hint="eastAsia"/>
          <w:lang w:val="en-US" w:eastAsia="zh-CN"/>
        </w:rPr>
      </w:pPr>
    </w:p>
    <w:p w14:paraId="43B2C906">
      <w:pPr>
        <w:bidi w:val="0"/>
        <w:rPr>
          <w:rFonts w:hint="eastAsia"/>
          <w:lang w:val="en-US" w:eastAsia="zh-CN"/>
        </w:rPr>
      </w:pPr>
    </w:p>
    <w:p w14:paraId="4414D920">
      <w:pPr>
        <w:bidi w:val="0"/>
        <w:rPr>
          <w:rFonts w:hint="eastAsia"/>
          <w:lang w:val="en-US" w:eastAsia="zh-CN"/>
        </w:rPr>
      </w:pPr>
    </w:p>
    <w:p w14:paraId="09B40570">
      <w:pPr>
        <w:bidi w:val="0"/>
        <w:rPr>
          <w:rFonts w:hint="eastAsia"/>
          <w:lang w:val="en-US" w:eastAsia="zh-CN"/>
        </w:rPr>
      </w:pPr>
    </w:p>
    <w:p w14:paraId="4F9D5FD4">
      <w:pPr>
        <w:bidi w:val="0"/>
        <w:rPr>
          <w:rFonts w:hint="eastAsia"/>
          <w:lang w:val="en-US" w:eastAsia="zh-CN"/>
        </w:rPr>
      </w:pPr>
    </w:p>
    <w:p w14:paraId="7C3DE72B">
      <w:pPr>
        <w:bidi w:val="0"/>
        <w:rPr>
          <w:rFonts w:hint="eastAsia"/>
          <w:lang w:val="en-US" w:eastAsia="zh-CN"/>
        </w:rPr>
      </w:pPr>
    </w:p>
    <w:p w14:paraId="17B2B9EB">
      <w:pPr>
        <w:bidi w:val="0"/>
        <w:rPr>
          <w:rFonts w:hint="eastAsia"/>
          <w:lang w:val="en-US" w:eastAsia="zh-CN"/>
        </w:rPr>
      </w:pPr>
    </w:p>
    <w:p w14:paraId="25F4DD45">
      <w:pPr>
        <w:bidi w:val="0"/>
        <w:rPr>
          <w:rFonts w:hint="eastAsia"/>
          <w:lang w:val="en-US" w:eastAsia="zh-CN"/>
        </w:rPr>
      </w:pPr>
    </w:p>
    <w:p w14:paraId="14EA38A6">
      <w:pPr>
        <w:bidi w:val="0"/>
        <w:rPr>
          <w:rFonts w:hint="eastAsia"/>
          <w:lang w:val="en-US" w:eastAsia="zh-CN"/>
        </w:rPr>
      </w:pPr>
    </w:p>
    <w:p w14:paraId="1A1CCA6C">
      <w:pPr>
        <w:bidi w:val="0"/>
        <w:rPr>
          <w:rFonts w:hint="eastAsia"/>
          <w:lang w:val="en-US" w:eastAsia="zh-CN"/>
        </w:rPr>
      </w:pPr>
    </w:p>
    <w:p w14:paraId="3B94E0AE">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DF81218">
      <w:pPr>
        <w:pStyle w:val="6"/>
        <w:rPr>
          <w:rFonts w:hint="eastAsia" w:ascii="Times New Roman" w:hAnsi="Times New Roman" w:cs="宋体"/>
          <w:color w:val="FF0000"/>
          <w:kern w:val="0"/>
          <w:sz w:val="32"/>
          <w:szCs w:val="32"/>
          <w:highlight w:val="yellow"/>
          <w:shd w:val="clear" w:color="auto" w:fill="FFFFFF"/>
          <w:lang w:val="zh-CN"/>
        </w:rPr>
      </w:pPr>
    </w:p>
    <w:p w14:paraId="23DF5371">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53" w:name="_Toc15396618"/>
    </w:p>
    <w:p w14:paraId="0D8E7429">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1"/>
      <w:bookmarkEnd w:id="53"/>
      <w:bookmarkStart w:id="54" w:name="_Toc15396619"/>
    </w:p>
    <w:p w14:paraId="4485FCB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A863F7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0DD9D46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1F1EA2F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687F3DD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651D802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128E6CF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47CD660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2E1DD34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732C0E2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6F162EB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1CCE021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F8805D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32EFFF8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01232EAB">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659DA9-072F-4FAB-835E-5346E44F0B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1431226-5AD7-4B32-A0C3-DF94475DBFD5}"/>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51F9AE8-D778-48B1-9780-7945374B5373}"/>
  </w:font>
  <w:font w:name="仿宋">
    <w:panose1 w:val="02010609060101010101"/>
    <w:charset w:val="86"/>
    <w:family w:val="modern"/>
    <w:pitch w:val="default"/>
    <w:sig w:usb0="800002BF" w:usb1="38CF7CFA" w:usb2="00000016" w:usb3="00000000" w:csb0="00040001" w:csb1="00000000"/>
    <w:embedRegular r:id="rId4" w:fontKey="{5066C303-64F0-49E1-B035-335877B60C76}"/>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C61F5958-4157-4404-A5D3-F78ABD8196BF}"/>
  </w:font>
  <w:font w:name="楷体_GB2312">
    <w:panose1 w:val="02010609030101010101"/>
    <w:charset w:val="86"/>
    <w:family w:val="auto"/>
    <w:pitch w:val="default"/>
    <w:sig w:usb0="00000001" w:usb1="080E0000" w:usb2="00000000" w:usb3="00000000" w:csb0="00040000" w:csb1="00000000"/>
    <w:embedRegular r:id="rId6" w:fontKey="{831E9633-9066-44A5-9853-87E0DBBD55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C2300">
    <w:pPr>
      <w:pStyle w:val="11"/>
      <w:jc w:val="center"/>
    </w:pPr>
  </w:p>
  <w:p w14:paraId="2DBD428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D6AC">
    <w:pPr>
      <w:pStyle w:val="11"/>
      <w:jc w:val="center"/>
    </w:pPr>
  </w:p>
  <w:p w14:paraId="5F3C3F3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3B7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F0E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F71E6"/>
    <w:multiLevelType w:val="singleLevel"/>
    <w:tmpl w:val="C74F71E6"/>
    <w:lvl w:ilvl="0" w:tentative="0">
      <w:start w:val="1"/>
      <w:numFmt w:val="decimal"/>
      <w:lvlText w:val="%1."/>
      <w:lvlJc w:val="left"/>
      <w:pPr>
        <w:tabs>
          <w:tab w:val="left" w:pos="312"/>
        </w:tabs>
      </w:pPr>
    </w:lvl>
  </w:abstractNum>
  <w:abstractNum w:abstractNumId="1">
    <w:nsid w:val="D6C94C68"/>
    <w:multiLevelType w:val="singleLevel"/>
    <w:tmpl w:val="D6C94C68"/>
    <w:lvl w:ilvl="0" w:tentative="0">
      <w:start w:val="1"/>
      <w:numFmt w:val="chineseCounting"/>
      <w:suff w:val="nothing"/>
      <w:lvlText w:val="%1、"/>
      <w:lvlJc w:val="left"/>
      <w:rPr>
        <w:rFonts w:hint="eastAsia"/>
      </w:rPr>
    </w:lvl>
  </w:abstractNum>
  <w:abstractNum w:abstractNumId="2">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512FB6"/>
    <w:rsid w:val="0CA8290A"/>
    <w:rsid w:val="0D35B1ED"/>
    <w:rsid w:val="0E254B6B"/>
    <w:rsid w:val="0E502A63"/>
    <w:rsid w:val="0F98263C"/>
    <w:rsid w:val="101860EC"/>
    <w:rsid w:val="101F47CC"/>
    <w:rsid w:val="10C055FF"/>
    <w:rsid w:val="11694EBD"/>
    <w:rsid w:val="11772AA4"/>
    <w:rsid w:val="118107EC"/>
    <w:rsid w:val="12E24EE2"/>
    <w:rsid w:val="13D50BC4"/>
    <w:rsid w:val="14B17F78"/>
    <w:rsid w:val="165E0673"/>
    <w:rsid w:val="169F0AB0"/>
    <w:rsid w:val="16B831D5"/>
    <w:rsid w:val="16BB723D"/>
    <w:rsid w:val="17E50567"/>
    <w:rsid w:val="186504BB"/>
    <w:rsid w:val="19A445FC"/>
    <w:rsid w:val="1B20537B"/>
    <w:rsid w:val="1BE8440E"/>
    <w:rsid w:val="1D155CEE"/>
    <w:rsid w:val="1D1638FE"/>
    <w:rsid w:val="1E312DEB"/>
    <w:rsid w:val="1E740ACF"/>
    <w:rsid w:val="1FF35744"/>
    <w:rsid w:val="1FF6BC77"/>
    <w:rsid w:val="210A1B25"/>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02B64"/>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66C18"/>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a7759f7c-da93-473d-b077-b4d06a06be7c</errorID>
      <errorWord>城乡居民参保</errorWord>
      <group>L1_Political</group>
      <groupName>政治性问题</groupName>
      <ability>L2_Keyword</ability>
      <abilityName>固定表述</abilityName>
      <candidateList>
        <item>城乡居民医保</item>
      </candidateList>
      <explain>词汇“城乡居民医保”在特定场景下为固定表述形式，请确认此处的“城乡居民参保”是否存在不当。</explain>
      <paraID>671BC3B0</paraID>
      <start>27</start>
      <end>33</end>
      <status>modified</status>
      <modifiedWord>城乡居民医保</modifiedWord>
      <trackRevisions>false</trackRevisions>
    </reviewItem>
    <reviewItem>
      <errorID>7f1a791d-c846-4bbc-b465-cc1ca72a3745</errorID>
      <errorWord>交回</errorWord>
      <group>L1_Word</group>
      <groupName>字词问题</groupName>
      <ability>L2_Typo</ability>
      <abilityName>字词错误</abilityName>
      <candidateList>
        <item>缴回</item>
      </candidateList>
      <explain>存在发音相同字词的误用。</explain>
      <paraID> 65B9484</paraID>
      <start>48</start>
      <end>50</end>
      <status>modified</status>
      <modifiedWord>缴回</modifiedWord>
      <trackRevisions>false</trackRevisions>
    </reviewItem>
    <reviewItem>
      <errorID>72815686-f298-49a0-b275-7f9312d4ccba</errorID>
      <errorWord>拟定</errorWord>
      <group>L1_Word</group>
      <groupName>字词问题</groupName>
      <ability>L2_Typo</ability>
      <abilityName>字词错误</abilityName>
      <candidateList>
        <item>拟订</item>
      </candidateList>
      <explain>存在发音相同字词的误用。</explain>
      <paraID>7BE282D1</paraID>
      <start>4</start>
      <end>6</end>
      <status>modified</status>
      <modifiedWord>拟订</modifiedWord>
      <trackRevisions>false</trackRevisions>
    </reviewItem>
    <reviewItem>
      <errorID>b33d1680-c978-4156-8fd2-20215c8aabf5</errorID>
      <errorWord>现金管理暂行条例</errorWord>
      <group>L1_Knowledge</group>
      <groupName>知识性问题</groupName>
      <ability>L2_Knowledge</ability>
      <abilityName>其他知识</abilityName>
      <candidateList/>
      <explain>该法规已废止，请注意检查引用是否正确。</explain>
      <paraID>1573DB43</paraID>
      <start>22</start>
      <end>30</end>
      <status>ignored</status>
      <modifiedWord/>
      <trackRevisions>false</trackRevisions>
    </reviewItem>
  </reviewItems>
  <config/>
</contractReview>
</file>

<file path=customXml/itemProps1.xml><?xml version="1.0" encoding="utf-8"?>
<ds:datastoreItem xmlns:ds="http://schemas.openxmlformats.org/officeDocument/2006/customXml" ds:itemID="{056a5610-aab5-4632-91cb-6d87bef4565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10310</Words>
  <Characters>10864</Characters>
  <Lines>61</Lines>
  <Paragraphs>17</Paragraphs>
  <TotalTime>8</TotalTime>
  <ScaleCrop>false</ScaleCrop>
  <LinksUpToDate>false</LinksUpToDate>
  <CharactersWithSpaces>10976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2026-04-23T02:14:10Z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