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bookmarkStart w:id="0" w:name="_GoBack"/>
      <w:bookmarkEnd w:id="0"/>
      <w:r>
        <w:rPr>
          <w:sz w:val="42"/>
          <w:szCs w:val="42"/>
          <w:shd w:val="clear" w:color="auto" w:fill="FFFFFF"/>
        </w:rPr>
        <w:t>2022年度</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z w:val="42"/>
          <w:szCs w:val="42"/>
          <w:shd w:val="clear" w:color="auto" w:fill="FFFFFF"/>
        </w:rPr>
        <w:t>阿坝州松潘县水务局部门决算</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已经保密审查、内容审定，同意对外公开</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r>
        <w:rPr>
          <w:shd w:val="clear" w:color="auto" w:fill="FFFFFF"/>
        </w:rPr>
        <w:br w:type="textWrapping"/>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Fonts w:hint="eastAsia" w:ascii="黑体" w:hAnsi="黑体" w:eastAsia="黑体" w:cs="Times New Roman"/>
          <w:color w:val="000000"/>
          <w:kern w:val="2"/>
          <w:sz w:val="48"/>
          <w:szCs w:val="48"/>
          <w:lang w:val="en-US" w:eastAsia="zh-CN" w:bidi="ar-SA"/>
        </w:rPr>
      </w:pPr>
      <w:r>
        <w:rPr>
          <w:rFonts w:hint="eastAsia" w:ascii="黑体" w:hAnsi="黑体" w:eastAsia="黑体" w:cs="Times New Roman"/>
          <w:color w:val="000000"/>
          <w:kern w:val="2"/>
          <w:sz w:val="48"/>
          <w:szCs w:val="48"/>
          <w:lang w:val="en-US" w:eastAsia="zh-CN" w:bidi="ar-SA"/>
        </w:rPr>
        <w:t>目录</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公开时间：2023年</w:t>
      </w:r>
      <w:r>
        <w:rPr>
          <w:rFonts w:hint="eastAsia"/>
          <w:shd w:val="clear" w:color="auto" w:fill="FFFFFF"/>
          <w:lang w:val="en-US" w:eastAsia="zh-CN"/>
        </w:rPr>
        <w:t>9</w:t>
      </w:r>
      <w:r>
        <w:rPr>
          <w:shd w:val="clear" w:color="auto" w:fill="FFFFFF"/>
        </w:rPr>
        <w:t>月</w:t>
      </w:r>
      <w:r>
        <w:rPr>
          <w:rFonts w:hint="eastAsia"/>
          <w:shd w:val="clear" w:color="auto" w:fill="FFFFFF"/>
          <w:lang w:val="en-US" w:eastAsia="zh-CN"/>
        </w:rPr>
        <w:t>18</w:t>
      </w:r>
      <w:r>
        <w:rPr>
          <w:shd w:val="clear" w:color="auto" w:fill="FFFFFF"/>
        </w:rPr>
        <w:t>日</w:t>
      </w:r>
    </w:p>
    <w:p>
      <w:pPr>
        <w:pStyle w:val="12"/>
        <w:tabs>
          <w:tab w:val="right" w:leader="dot" w:pos="8296"/>
        </w:tabs>
        <w:rPr>
          <w:rFonts w:hint="eastAsia" w:ascii="黑体" w:hAnsi="黑体" w:eastAsia="黑体" w:cs="黑体"/>
          <w:b w:val="0"/>
          <w:bCs w:val="0"/>
          <w:caps w:val="0"/>
          <w:sz w:val="20"/>
          <w:szCs w:val="20"/>
          <w:lang w:eastAsia="zh-CN"/>
        </w:rPr>
      </w:pPr>
      <w:r>
        <w:rPr>
          <w:rFonts w:hint="eastAsia" w:ascii="黑体" w:hAnsi="黑体" w:eastAsia="黑体" w:cs="黑体"/>
          <w:b w:val="0"/>
          <w:bCs w:val="0"/>
          <w:caps w:val="0"/>
          <w:sz w:val="20"/>
          <w:szCs w:val="20"/>
        </w:rPr>
        <w:fldChar w:fldCharType="begin"/>
      </w:r>
      <w:r>
        <w:rPr>
          <w:rFonts w:hint="eastAsia" w:ascii="黑体" w:hAnsi="黑体" w:eastAsia="黑体" w:cs="黑体"/>
          <w:b w:val="0"/>
          <w:bCs w:val="0"/>
          <w:caps w:val="0"/>
          <w:sz w:val="20"/>
          <w:szCs w:val="20"/>
        </w:rPr>
        <w:instrText xml:space="preserve"> TOC \o \u </w:instrText>
      </w:r>
      <w:r>
        <w:rPr>
          <w:rFonts w:hint="eastAsia" w:ascii="黑体" w:hAnsi="黑体" w:eastAsia="黑体" w:cs="黑体"/>
          <w:b w:val="0"/>
          <w:bCs w:val="0"/>
          <w:caps w:val="0"/>
          <w:sz w:val="20"/>
          <w:szCs w:val="20"/>
        </w:rPr>
        <w:fldChar w:fldCharType="separate"/>
      </w:r>
      <w:r>
        <w:rPr>
          <w:rFonts w:hint="eastAsia" w:ascii="黑体" w:hAnsi="黑体" w:eastAsia="黑体" w:cs="黑体"/>
          <w:b w:val="0"/>
          <w:sz w:val="20"/>
          <w:szCs w:val="20"/>
        </w:rPr>
        <w:t xml:space="preserve">第一部分 </w:t>
      </w:r>
      <w:r>
        <w:rPr>
          <w:rFonts w:hint="eastAsia" w:ascii="黑体" w:hAnsi="黑体" w:eastAsia="黑体" w:cs="黑体"/>
          <w:b w:val="0"/>
          <w:bCs w:val="0"/>
          <w:sz w:val="20"/>
          <w:szCs w:val="20"/>
        </w:rPr>
        <w:t>部门概况</w:t>
      </w:r>
      <w:r>
        <w:rPr>
          <w:rFonts w:hint="eastAsia" w:ascii="黑体" w:hAnsi="黑体" w:eastAsia="黑体" w:cs="黑体"/>
          <w:sz w:val="20"/>
          <w:szCs w:val="20"/>
        </w:rPr>
        <w:tab/>
      </w:r>
      <w:r>
        <w:rPr>
          <w:rFonts w:hint="eastAsia" w:ascii="黑体" w:hAnsi="黑体" w:eastAsia="黑体" w:cs="黑体"/>
          <w:sz w:val="20"/>
          <w:szCs w:val="20"/>
          <w:lang w:val="en-US" w:eastAsia="zh-CN"/>
        </w:rPr>
        <w:t>5</w:t>
      </w:r>
    </w:p>
    <w:p>
      <w:pPr>
        <w:pStyle w:val="13"/>
        <w:tabs>
          <w:tab w:val="right" w:leader="dot" w:pos="8296"/>
        </w:tabs>
        <w:rPr>
          <w:rFonts w:hint="eastAsia" w:ascii="黑体" w:hAnsi="黑体" w:eastAsia="黑体" w:cs="黑体"/>
          <w:smallCaps w:val="0"/>
          <w:sz w:val="20"/>
          <w:szCs w:val="20"/>
          <w:lang w:eastAsia="zh-CN"/>
        </w:rPr>
      </w:pPr>
      <w:r>
        <w:rPr>
          <w:rFonts w:hint="eastAsia" w:ascii="黑体" w:hAnsi="黑体" w:eastAsia="黑体" w:cs="黑体"/>
          <w:b/>
          <w:bCs/>
          <w:color w:val="000000"/>
          <w:sz w:val="20"/>
          <w:szCs w:val="20"/>
        </w:rPr>
        <w:t>一、基</w:t>
      </w:r>
      <w:r>
        <w:rPr>
          <w:rFonts w:hint="eastAsia" w:ascii="黑体" w:hAnsi="黑体" w:eastAsia="黑体" w:cs="黑体"/>
          <w:b/>
          <w:bCs/>
          <w:sz w:val="20"/>
          <w:szCs w:val="20"/>
        </w:rPr>
        <w:t>本职能及主要工作</w:t>
      </w:r>
      <w:r>
        <w:rPr>
          <w:rFonts w:hint="eastAsia" w:ascii="黑体" w:hAnsi="黑体" w:eastAsia="黑体" w:cs="黑体"/>
          <w:b/>
          <w:bCs/>
          <w:sz w:val="20"/>
          <w:szCs w:val="20"/>
        </w:rPr>
        <w:tab/>
      </w:r>
      <w:r>
        <w:rPr>
          <w:rFonts w:hint="eastAsia" w:ascii="黑体" w:hAnsi="黑体" w:eastAsia="黑体" w:cs="黑体"/>
          <w:b/>
          <w:bCs/>
          <w:sz w:val="20"/>
          <w:szCs w:val="20"/>
          <w:lang w:val="en-US" w:eastAsia="zh-CN"/>
        </w:rPr>
        <w:t>5</w:t>
      </w:r>
    </w:p>
    <w:p>
      <w:pPr>
        <w:pStyle w:val="9"/>
        <w:tabs>
          <w:tab w:val="right" w:leader="dot" w:pos="8296"/>
        </w:tabs>
        <w:rPr>
          <w:rFonts w:hint="eastAsia" w:ascii="黑体" w:hAnsi="黑体" w:eastAsia="黑体" w:cs="黑体"/>
          <w:i w:val="0"/>
          <w:iCs w:val="0"/>
          <w:sz w:val="20"/>
          <w:szCs w:val="20"/>
          <w:lang w:eastAsia="zh-CN"/>
        </w:rPr>
      </w:pPr>
      <w:r>
        <w:rPr>
          <w:rFonts w:hint="eastAsia" w:ascii="黑体" w:hAnsi="黑体" w:eastAsia="黑体" w:cs="黑体"/>
          <w:bCs/>
          <w:color w:val="000000"/>
          <w:sz w:val="20"/>
          <w:szCs w:val="20"/>
        </w:rPr>
        <w:t>（一）主要职能。</w:t>
      </w:r>
      <w:r>
        <w:rPr>
          <w:rFonts w:hint="eastAsia" w:ascii="黑体" w:hAnsi="黑体" w:eastAsia="黑体" w:cs="黑体"/>
          <w:sz w:val="20"/>
          <w:szCs w:val="20"/>
        </w:rPr>
        <w:tab/>
      </w:r>
      <w:r>
        <w:rPr>
          <w:rFonts w:hint="eastAsia" w:ascii="黑体" w:hAnsi="黑体" w:eastAsia="黑体" w:cs="黑体"/>
          <w:sz w:val="20"/>
          <w:szCs w:val="20"/>
          <w:lang w:val="en-US" w:eastAsia="zh-CN"/>
        </w:rPr>
        <w:t>5</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Cs/>
          <w:color w:val="000000"/>
          <w:sz w:val="20"/>
          <w:szCs w:val="20"/>
        </w:rPr>
        <w:t>（二）202</w:t>
      </w:r>
      <w:r>
        <w:rPr>
          <w:rFonts w:hint="eastAsia" w:ascii="黑体" w:hAnsi="黑体" w:eastAsia="黑体" w:cs="黑体"/>
          <w:bCs/>
          <w:color w:val="000000"/>
          <w:sz w:val="20"/>
          <w:szCs w:val="20"/>
          <w:lang w:val="en-US" w:eastAsia="zh-CN"/>
        </w:rPr>
        <w:t>1</w:t>
      </w:r>
      <w:r>
        <w:rPr>
          <w:rFonts w:hint="eastAsia" w:ascii="黑体" w:hAnsi="黑体" w:eastAsia="黑体" w:cs="黑体"/>
          <w:bCs/>
          <w:color w:val="000000"/>
          <w:sz w:val="20"/>
          <w:szCs w:val="20"/>
        </w:rPr>
        <w:t>年重点工作完成情况。</w:t>
      </w:r>
      <w:r>
        <w:rPr>
          <w:rFonts w:hint="eastAsia" w:ascii="黑体" w:hAnsi="黑体" w:eastAsia="黑体" w:cs="黑体"/>
          <w:sz w:val="20"/>
          <w:szCs w:val="20"/>
        </w:rPr>
        <w:tab/>
      </w:r>
      <w:r>
        <w:rPr>
          <w:rFonts w:hint="eastAsia" w:ascii="黑体" w:hAnsi="黑体" w:eastAsia="黑体" w:cs="黑体"/>
          <w:sz w:val="20"/>
          <w:szCs w:val="20"/>
          <w:lang w:val="en-US" w:eastAsia="zh-CN"/>
        </w:rPr>
        <w:t>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二、机</w:t>
      </w:r>
      <w:r>
        <w:rPr>
          <w:rFonts w:hint="eastAsia" w:ascii="黑体" w:hAnsi="黑体" w:eastAsia="黑体" w:cs="黑体"/>
          <w:sz w:val="20"/>
          <w:szCs w:val="20"/>
        </w:rPr>
        <w:t>构设置</w:t>
      </w:r>
      <w:r>
        <w:rPr>
          <w:rFonts w:hint="eastAsia" w:ascii="黑体" w:hAnsi="黑体" w:eastAsia="黑体" w:cs="黑体"/>
          <w:sz w:val="20"/>
          <w:szCs w:val="20"/>
        </w:rPr>
        <w:tab/>
      </w:r>
      <w:r>
        <w:rPr>
          <w:rFonts w:hint="eastAsia" w:ascii="黑体" w:hAnsi="黑体" w:eastAsia="黑体" w:cs="黑体"/>
          <w:sz w:val="20"/>
          <w:szCs w:val="20"/>
          <w:lang w:val="en-US" w:eastAsia="zh-CN"/>
        </w:rPr>
        <w:t>9</w:t>
      </w:r>
    </w:p>
    <w:p>
      <w:pPr>
        <w:pStyle w:val="12"/>
        <w:tabs>
          <w:tab w:val="right" w:leader="dot" w:pos="8296"/>
        </w:tabs>
        <w:rPr>
          <w:rFonts w:hint="eastAsia" w:ascii="黑体" w:hAnsi="黑体" w:eastAsia="黑体" w:cs="黑体"/>
          <w:b/>
          <w:bCs w:val="0"/>
          <w:caps w:val="0"/>
          <w:sz w:val="20"/>
          <w:szCs w:val="20"/>
          <w:lang w:val="en-US" w:eastAsia="zh-CN"/>
        </w:rPr>
      </w:pPr>
      <w:r>
        <w:rPr>
          <w:rFonts w:hint="eastAsia" w:ascii="黑体" w:hAnsi="黑体" w:eastAsia="黑体" w:cs="黑体"/>
          <w:b/>
          <w:bCs w:val="0"/>
          <w:color w:val="000000"/>
          <w:sz w:val="20"/>
          <w:szCs w:val="20"/>
        </w:rPr>
        <w:t xml:space="preserve">第二部分 </w:t>
      </w:r>
      <w:r>
        <w:rPr>
          <w:rFonts w:hint="eastAsia" w:ascii="黑体" w:hAnsi="黑体" w:eastAsia="黑体" w:cs="黑体"/>
          <w:b/>
          <w:bCs w:val="0"/>
          <w:sz w:val="20"/>
          <w:szCs w:val="20"/>
        </w:rPr>
        <w:t>202</w:t>
      </w:r>
      <w:r>
        <w:rPr>
          <w:rFonts w:hint="eastAsia" w:ascii="黑体" w:hAnsi="黑体" w:eastAsia="黑体" w:cs="黑体"/>
          <w:b/>
          <w:bCs w:val="0"/>
          <w:sz w:val="20"/>
          <w:szCs w:val="20"/>
          <w:lang w:val="en-US" w:eastAsia="zh-CN"/>
        </w:rPr>
        <w:t>1</w:t>
      </w:r>
      <w:r>
        <w:rPr>
          <w:rFonts w:hint="eastAsia" w:ascii="黑体" w:hAnsi="黑体" w:eastAsia="黑体" w:cs="黑体"/>
          <w:b/>
          <w:bCs w:val="0"/>
          <w:sz w:val="20"/>
          <w:szCs w:val="20"/>
        </w:rPr>
        <w:t>年度部门决算情况说明</w:t>
      </w:r>
      <w:r>
        <w:rPr>
          <w:rFonts w:hint="eastAsia" w:ascii="黑体" w:hAnsi="黑体" w:eastAsia="黑体" w:cs="黑体"/>
          <w:b/>
          <w:bCs w:val="0"/>
          <w:sz w:val="20"/>
          <w:szCs w:val="20"/>
        </w:rPr>
        <w:tab/>
      </w:r>
      <w:r>
        <w:rPr>
          <w:rFonts w:hint="eastAsia" w:ascii="黑体" w:hAnsi="黑体" w:eastAsia="黑体" w:cs="黑体"/>
          <w:b/>
          <w:bCs w:val="0"/>
          <w:sz w:val="20"/>
          <w:szCs w:val="20"/>
          <w:lang w:val="en-US" w:eastAsia="zh-CN"/>
        </w:rPr>
        <w:t>10</w:t>
      </w:r>
    </w:p>
    <w:p>
      <w:pPr>
        <w:pStyle w:val="13"/>
        <w:tabs>
          <w:tab w:val="left" w:pos="840"/>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bCs/>
          <w:sz w:val="20"/>
          <w:szCs w:val="20"/>
        </w:rPr>
        <w:t>一、</w:t>
      </w:r>
      <w:r>
        <w:rPr>
          <w:rFonts w:hint="eastAsia" w:ascii="黑体" w:hAnsi="黑体" w:eastAsia="黑体" w:cs="黑体"/>
          <w:smallCaps w:val="0"/>
          <w:sz w:val="20"/>
          <w:szCs w:val="20"/>
        </w:rPr>
        <w:tab/>
      </w:r>
      <w:r>
        <w:rPr>
          <w:rFonts w:hint="eastAsia" w:ascii="黑体" w:hAnsi="黑体" w:eastAsia="黑体" w:cs="黑体"/>
          <w:color w:val="000000"/>
          <w:sz w:val="20"/>
          <w:szCs w:val="20"/>
        </w:rPr>
        <w:t>收</w:t>
      </w:r>
      <w:r>
        <w:rPr>
          <w:rFonts w:hint="eastAsia" w:ascii="黑体" w:hAnsi="黑体" w:eastAsia="黑体" w:cs="黑体"/>
          <w:bCs/>
          <w:sz w:val="20"/>
          <w:szCs w:val="20"/>
        </w:rPr>
        <w:t>入支出决算总体情况说明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13"/>
        <w:tabs>
          <w:tab w:val="left" w:pos="840"/>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bCs/>
          <w:sz w:val="20"/>
          <w:szCs w:val="20"/>
        </w:rPr>
        <w:t>二、</w:t>
      </w:r>
      <w:r>
        <w:rPr>
          <w:rFonts w:hint="eastAsia" w:ascii="黑体" w:hAnsi="黑体" w:eastAsia="黑体" w:cs="黑体"/>
          <w:smallCaps w:val="0"/>
          <w:sz w:val="20"/>
          <w:szCs w:val="20"/>
        </w:rPr>
        <w:tab/>
      </w:r>
      <w:r>
        <w:rPr>
          <w:rFonts w:hint="eastAsia" w:ascii="黑体" w:hAnsi="黑体" w:eastAsia="黑体" w:cs="黑体"/>
          <w:color w:val="000000"/>
          <w:sz w:val="20"/>
          <w:szCs w:val="20"/>
        </w:rPr>
        <w:t>收</w:t>
      </w:r>
      <w:r>
        <w:rPr>
          <w:rFonts w:hint="eastAsia" w:ascii="黑体" w:hAnsi="黑体" w:eastAsia="黑体" w:cs="黑体"/>
          <w:bCs/>
          <w:sz w:val="20"/>
          <w:szCs w:val="20"/>
        </w:rPr>
        <w:t>入决算情况说明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13"/>
        <w:tabs>
          <w:tab w:val="left" w:pos="840"/>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bCs/>
          <w:sz w:val="20"/>
          <w:szCs w:val="20"/>
        </w:rPr>
        <w:t>三、</w:t>
      </w:r>
      <w:r>
        <w:rPr>
          <w:rFonts w:hint="eastAsia" w:ascii="黑体" w:hAnsi="黑体" w:eastAsia="黑体" w:cs="黑体"/>
          <w:smallCaps w:val="0"/>
          <w:sz w:val="20"/>
          <w:szCs w:val="20"/>
        </w:rPr>
        <w:tab/>
      </w:r>
      <w:r>
        <w:rPr>
          <w:rFonts w:hint="eastAsia" w:ascii="黑体" w:hAnsi="黑体" w:eastAsia="黑体" w:cs="黑体"/>
          <w:color w:val="000000"/>
          <w:sz w:val="20"/>
          <w:szCs w:val="20"/>
        </w:rPr>
        <w:t>支</w:t>
      </w:r>
      <w:r>
        <w:rPr>
          <w:rFonts w:hint="eastAsia" w:ascii="黑体" w:hAnsi="黑体" w:eastAsia="黑体" w:cs="黑体"/>
          <w:bCs/>
          <w:sz w:val="20"/>
          <w:szCs w:val="20"/>
        </w:rPr>
        <w:t>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四、财</w:t>
      </w:r>
      <w:r>
        <w:rPr>
          <w:rFonts w:hint="eastAsia" w:ascii="黑体" w:hAnsi="黑体" w:eastAsia="黑体" w:cs="黑体"/>
          <w:bCs/>
          <w:sz w:val="20"/>
          <w:szCs w:val="20"/>
        </w:rPr>
        <w:t>政拨款收入支出决算总体情况说明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五、</w:t>
      </w:r>
      <w:r>
        <w:rPr>
          <w:rFonts w:hint="eastAsia" w:ascii="黑体" w:hAnsi="黑体" w:eastAsia="黑体" w:cs="黑体"/>
          <w:b/>
          <w:color w:val="000000"/>
          <w:sz w:val="20"/>
          <w:szCs w:val="20"/>
        </w:rPr>
        <w:t>一</w:t>
      </w:r>
      <w:r>
        <w:rPr>
          <w:rFonts w:hint="eastAsia" w:ascii="黑体" w:hAnsi="黑体" w:eastAsia="黑体" w:cs="黑体"/>
          <w:bCs/>
          <w:sz w:val="20"/>
          <w:szCs w:val="20"/>
        </w:rPr>
        <w:t>般公共预算财政拨款支出决算情况说明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（一）一般公共预算财政拨款支出决算总体情况</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（二）一般公共预算财政拨款支出决算结构情况</w:t>
      </w:r>
      <w:r>
        <w:rPr>
          <w:rFonts w:hint="eastAsia" w:ascii="黑体" w:hAnsi="黑体" w:eastAsia="黑体" w:cs="黑体"/>
          <w:sz w:val="20"/>
          <w:szCs w:val="20"/>
        </w:rPr>
        <w:tab/>
      </w:r>
      <w:r>
        <w:rPr>
          <w:rFonts w:hint="eastAsia" w:ascii="黑体" w:hAnsi="黑体" w:eastAsia="黑体" w:cs="黑体"/>
          <w:sz w:val="20"/>
          <w:szCs w:val="20"/>
          <w:lang w:val="en-US" w:eastAsia="zh-CN"/>
        </w:rPr>
        <w:t>10</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（三）一般公共预算财政拨款支出决算具体情况</w:t>
      </w:r>
      <w:r>
        <w:rPr>
          <w:rFonts w:hint="eastAsia" w:ascii="黑体" w:hAnsi="黑体" w:eastAsia="黑体" w:cs="黑体"/>
          <w:sz w:val="20"/>
          <w:szCs w:val="20"/>
        </w:rPr>
        <w:tab/>
      </w:r>
      <w:r>
        <w:rPr>
          <w:rFonts w:hint="eastAsia" w:ascii="黑体" w:hAnsi="黑体" w:eastAsia="黑体" w:cs="黑体"/>
          <w:sz w:val="20"/>
          <w:szCs w:val="20"/>
          <w:lang w:val="en-US" w:eastAsia="zh-CN"/>
        </w:rPr>
        <w:t>11</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六</w:t>
      </w:r>
      <w:r>
        <w:rPr>
          <w:rFonts w:hint="eastAsia" w:ascii="黑体" w:hAnsi="黑体" w:eastAsia="黑体" w:cs="黑体"/>
          <w:b/>
          <w:color w:val="000000"/>
          <w:sz w:val="20"/>
          <w:szCs w:val="20"/>
        </w:rPr>
        <w:t>、一</w:t>
      </w:r>
      <w:r>
        <w:rPr>
          <w:rFonts w:hint="eastAsia" w:ascii="黑体" w:hAnsi="黑体" w:eastAsia="黑体" w:cs="黑体"/>
          <w:bCs/>
          <w:sz w:val="20"/>
          <w:szCs w:val="20"/>
        </w:rPr>
        <w:t>般公共预算财政拨款基本支出决算情况说明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七、</w:t>
      </w:r>
      <w:r>
        <w:rPr>
          <w:rFonts w:hint="eastAsia" w:ascii="黑体" w:hAnsi="黑体" w:eastAsia="黑体" w:cs="黑体"/>
          <w:b/>
          <w:bCs/>
          <w:sz w:val="20"/>
          <w:szCs w:val="20"/>
        </w:rPr>
        <w:t>“</w:t>
      </w:r>
      <w:r>
        <w:rPr>
          <w:rFonts w:hint="eastAsia" w:ascii="黑体" w:hAnsi="黑体" w:eastAsia="黑体" w:cs="黑体"/>
          <w:bCs/>
          <w:sz w:val="20"/>
          <w:szCs w:val="20"/>
        </w:rPr>
        <w:t>三公”经费财政拨款支出决算情况说明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（一）“三公”经费财政拨款支出决算总体情况说明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11</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（二）“三公”经费财政拨款支出决算具体情况说明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12</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八、</w:t>
      </w:r>
      <w:r>
        <w:rPr>
          <w:rFonts w:hint="eastAsia" w:ascii="黑体" w:hAnsi="黑体" w:eastAsia="黑体" w:cs="黑体"/>
          <w:bCs/>
          <w:sz w:val="20"/>
          <w:szCs w:val="20"/>
        </w:rPr>
        <w:t>政府性基金预算支出决算情况说明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13</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bCs/>
          <w:sz w:val="20"/>
          <w:szCs w:val="20"/>
        </w:rPr>
        <w:t>九、 国有资本经营预算支出决算情况说明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13</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十</w:t>
      </w:r>
      <w:r>
        <w:rPr>
          <w:rFonts w:hint="eastAsia" w:ascii="黑体" w:hAnsi="黑体" w:eastAsia="黑体" w:cs="黑体"/>
          <w:b/>
          <w:bCs/>
          <w:sz w:val="20"/>
          <w:szCs w:val="20"/>
        </w:rPr>
        <w:t>、</w:t>
      </w:r>
      <w:r>
        <w:rPr>
          <w:rFonts w:hint="eastAsia" w:ascii="黑体" w:hAnsi="黑体" w:eastAsia="黑体" w:cs="黑体"/>
          <w:bCs/>
          <w:sz w:val="20"/>
          <w:szCs w:val="20"/>
        </w:rPr>
        <w:t>其他重要事项的情况说明</w:t>
      </w:r>
      <w:r>
        <w:rPr>
          <w:rFonts w:hint="eastAsia" w:ascii="黑体" w:hAnsi="黑体" w:eastAsia="黑体" w:cs="黑体"/>
          <w:sz w:val="20"/>
          <w:szCs w:val="20"/>
        </w:rPr>
        <w:tab/>
      </w:r>
      <w:r>
        <w:rPr>
          <w:rFonts w:hint="eastAsia" w:ascii="黑体" w:hAnsi="黑体" w:eastAsia="黑体" w:cs="黑体"/>
          <w:sz w:val="20"/>
          <w:szCs w:val="20"/>
          <w:lang w:val="en-US" w:eastAsia="zh-CN"/>
        </w:rPr>
        <w:t>13</w:t>
      </w:r>
    </w:p>
    <w:p>
      <w:pPr>
        <w:pStyle w:val="9"/>
        <w:tabs>
          <w:tab w:val="right" w:leader="dot" w:pos="8296"/>
        </w:tabs>
        <w:rPr>
          <w:rFonts w:hint="eastAsia" w:ascii="黑体" w:hAnsi="黑体" w:eastAsia="黑体" w:cs="黑体"/>
          <w:i w:val="0"/>
          <w:iCs w:val="0"/>
          <w:sz w:val="20"/>
          <w:szCs w:val="20"/>
        </w:rPr>
      </w:pPr>
      <w:r>
        <w:rPr>
          <w:rFonts w:hint="eastAsia" w:ascii="黑体" w:hAnsi="黑体" w:eastAsia="黑体" w:cs="黑体"/>
          <w:b/>
          <w:color w:val="000000"/>
          <w:sz w:val="20"/>
          <w:szCs w:val="20"/>
        </w:rPr>
        <w:t>（一）机关运行经费支出情况</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_Toc79163875 \h </w:instrText>
      </w:r>
      <w:r>
        <w:rPr>
          <w:rFonts w:hint="eastAsia" w:ascii="黑体" w:hAnsi="黑体" w:eastAsia="黑体" w:cs="黑体"/>
          <w:sz w:val="20"/>
          <w:szCs w:val="20"/>
        </w:rPr>
        <w:fldChar w:fldCharType="separate"/>
      </w:r>
      <w:r>
        <w:rPr>
          <w:rFonts w:hint="eastAsia" w:ascii="黑体" w:hAnsi="黑体" w:eastAsia="黑体" w:cs="黑体"/>
          <w:sz w:val="20"/>
          <w:szCs w:val="20"/>
        </w:rPr>
        <w:t>1</w:t>
      </w:r>
      <w:r>
        <w:rPr>
          <w:rFonts w:hint="eastAsia" w:ascii="黑体" w:hAnsi="黑体" w:eastAsia="黑体" w:cs="黑体"/>
          <w:sz w:val="20"/>
          <w:szCs w:val="20"/>
          <w:lang w:val="en-US" w:eastAsia="zh-CN"/>
        </w:rPr>
        <w:t>3</w:t>
      </w:r>
      <w:r>
        <w:rPr>
          <w:rFonts w:hint="eastAsia" w:ascii="黑体" w:hAnsi="黑体" w:eastAsia="黑体" w:cs="黑体"/>
          <w:sz w:val="20"/>
          <w:szCs w:val="20"/>
        </w:rPr>
        <w:fldChar w:fldCharType="end"/>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（二）政府采购支出情况</w:t>
      </w:r>
      <w:r>
        <w:rPr>
          <w:rFonts w:hint="eastAsia" w:ascii="黑体" w:hAnsi="黑体" w:eastAsia="黑体" w:cs="黑体"/>
          <w:sz w:val="20"/>
          <w:szCs w:val="20"/>
        </w:rPr>
        <w:tab/>
      </w:r>
      <w:r>
        <w:rPr>
          <w:rFonts w:hint="eastAsia" w:ascii="黑体" w:hAnsi="黑体" w:eastAsia="黑体" w:cs="黑体"/>
          <w:sz w:val="20"/>
          <w:szCs w:val="20"/>
          <w:lang w:val="en-US" w:eastAsia="zh-CN"/>
        </w:rPr>
        <w:t>13</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（三）国有资产占有使用情况</w:t>
      </w:r>
      <w:r>
        <w:rPr>
          <w:rFonts w:hint="eastAsia" w:ascii="黑体" w:hAnsi="黑体" w:eastAsia="黑体" w:cs="黑体"/>
          <w:sz w:val="20"/>
          <w:szCs w:val="20"/>
        </w:rPr>
        <w:tab/>
      </w:r>
      <w:r>
        <w:rPr>
          <w:rFonts w:hint="eastAsia" w:ascii="黑体" w:hAnsi="黑体" w:eastAsia="黑体" w:cs="黑体"/>
          <w:sz w:val="20"/>
          <w:szCs w:val="20"/>
          <w:lang w:val="en-US" w:eastAsia="zh-CN"/>
        </w:rPr>
        <w:t>13</w:t>
      </w:r>
    </w:p>
    <w:p>
      <w:pPr>
        <w:pStyle w:val="9"/>
        <w:tabs>
          <w:tab w:val="right" w:leader="dot" w:pos="8296"/>
        </w:tabs>
        <w:rPr>
          <w:rFonts w:hint="eastAsia" w:ascii="黑体" w:hAnsi="黑体" w:eastAsia="黑体" w:cs="黑体"/>
          <w:i w:val="0"/>
          <w:iCs w:val="0"/>
          <w:sz w:val="20"/>
          <w:szCs w:val="20"/>
          <w:lang w:val="en-US" w:eastAsia="zh-CN"/>
        </w:rPr>
      </w:pPr>
      <w:r>
        <w:rPr>
          <w:rFonts w:hint="eastAsia" w:ascii="黑体" w:hAnsi="黑体" w:eastAsia="黑体" w:cs="黑体"/>
          <w:b/>
          <w:color w:val="000000"/>
          <w:sz w:val="20"/>
          <w:szCs w:val="20"/>
        </w:rPr>
        <w:t>（四）预算绩效管理情况。</w:t>
      </w:r>
      <w:r>
        <w:rPr>
          <w:rFonts w:hint="eastAsia" w:ascii="黑体" w:hAnsi="黑体" w:eastAsia="黑体" w:cs="黑体"/>
          <w:sz w:val="20"/>
          <w:szCs w:val="20"/>
        </w:rPr>
        <w:tab/>
      </w:r>
      <w:r>
        <w:rPr>
          <w:rFonts w:hint="eastAsia" w:ascii="黑体" w:hAnsi="黑体" w:eastAsia="黑体" w:cs="黑体"/>
          <w:sz w:val="20"/>
          <w:szCs w:val="20"/>
          <w:lang w:val="en-US" w:eastAsia="zh-CN"/>
        </w:rPr>
        <w:t>13</w:t>
      </w:r>
    </w:p>
    <w:p>
      <w:pPr>
        <w:pStyle w:val="12"/>
        <w:tabs>
          <w:tab w:val="right" w:leader="dot" w:pos="8296"/>
        </w:tabs>
        <w:rPr>
          <w:rFonts w:hint="eastAsia" w:ascii="黑体" w:hAnsi="黑体" w:eastAsia="黑体" w:cs="黑体"/>
          <w:sz w:val="20"/>
          <w:szCs w:val="20"/>
          <w:lang w:val="en-US" w:eastAsia="zh-CN"/>
        </w:rPr>
      </w:pPr>
      <w:r>
        <w:rPr>
          <w:rFonts w:hint="eastAsia" w:ascii="黑体" w:hAnsi="黑体" w:eastAsia="黑体" w:cs="黑体"/>
          <w:kern w:val="44"/>
          <w:sz w:val="20"/>
          <w:szCs w:val="20"/>
        </w:rPr>
        <w:t>第三部分</w:t>
      </w:r>
      <w:r>
        <w:rPr>
          <w:rFonts w:hint="eastAsia" w:ascii="黑体" w:hAnsi="黑体" w:eastAsia="黑体" w:cs="黑体"/>
          <w:color w:val="000000"/>
          <w:sz w:val="20"/>
          <w:szCs w:val="20"/>
        </w:rPr>
        <w:t xml:space="preserve"> 名</w:t>
      </w:r>
      <w:r>
        <w:rPr>
          <w:rFonts w:hint="eastAsia" w:ascii="黑体" w:hAnsi="黑体" w:eastAsia="黑体" w:cs="黑体"/>
          <w:kern w:val="44"/>
          <w:sz w:val="20"/>
          <w:szCs w:val="20"/>
        </w:rPr>
        <w:t>词解释</w:t>
      </w:r>
      <w:r>
        <w:rPr>
          <w:rFonts w:hint="eastAsia" w:ascii="黑体" w:hAnsi="黑体" w:eastAsia="黑体" w:cs="黑体"/>
          <w:sz w:val="20"/>
          <w:szCs w:val="20"/>
        </w:rPr>
        <w:tab/>
      </w:r>
      <w:r>
        <w:rPr>
          <w:rFonts w:hint="eastAsia" w:ascii="黑体" w:hAnsi="黑体" w:eastAsia="黑体" w:cs="黑体"/>
          <w:sz w:val="20"/>
          <w:szCs w:val="20"/>
          <w:lang w:val="en-US" w:eastAsia="zh-CN"/>
        </w:rPr>
        <w:t>15</w:t>
      </w:r>
    </w:p>
    <w:p>
      <w:pPr>
        <w:pStyle w:val="12"/>
        <w:tabs>
          <w:tab w:val="right" w:leader="dot" w:pos="8296"/>
        </w:tabs>
        <w:rPr>
          <w:rFonts w:hint="eastAsia" w:ascii="黑体" w:hAnsi="黑体" w:eastAsia="黑体" w:cs="黑体"/>
          <w:b w:val="0"/>
          <w:bCs w:val="0"/>
          <w:caps w:val="0"/>
          <w:sz w:val="20"/>
          <w:szCs w:val="20"/>
          <w:lang w:val="en-US" w:eastAsia="zh-CN"/>
        </w:rPr>
      </w:pPr>
      <w:r>
        <w:rPr>
          <w:rFonts w:hint="eastAsia" w:ascii="黑体" w:hAnsi="黑体" w:eastAsia="黑体" w:cs="黑体"/>
          <w:color w:val="000000"/>
          <w:sz w:val="20"/>
          <w:szCs w:val="20"/>
        </w:rPr>
        <w:t>第</w:t>
      </w:r>
      <w:r>
        <w:rPr>
          <w:rFonts w:hint="eastAsia" w:ascii="黑体" w:hAnsi="黑体" w:eastAsia="黑体" w:cs="黑体"/>
          <w:kern w:val="44"/>
          <w:sz w:val="20"/>
          <w:szCs w:val="20"/>
        </w:rPr>
        <w:t>四部分 附件</w:t>
      </w:r>
      <w:r>
        <w:rPr>
          <w:rFonts w:hint="eastAsia" w:ascii="黑体" w:hAnsi="黑体" w:eastAsia="黑体" w:cs="黑体"/>
          <w:sz w:val="20"/>
          <w:szCs w:val="20"/>
        </w:rPr>
        <w:tab/>
      </w:r>
      <w:r>
        <w:rPr>
          <w:rFonts w:hint="eastAsia" w:ascii="黑体" w:hAnsi="黑体" w:eastAsia="黑体" w:cs="黑体"/>
          <w:sz w:val="20"/>
          <w:szCs w:val="20"/>
          <w:lang w:val="en-US" w:eastAsia="zh-CN"/>
        </w:rPr>
        <w:t>18</w:t>
      </w:r>
    </w:p>
    <w:p>
      <w:pPr>
        <w:pStyle w:val="12"/>
        <w:tabs>
          <w:tab w:val="right" w:leader="dot" w:pos="8296"/>
        </w:tabs>
        <w:rPr>
          <w:rFonts w:hint="eastAsia" w:ascii="黑体" w:hAnsi="黑体" w:eastAsia="黑体" w:cs="黑体"/>
          <w:b w:val="0"/>
          <w:bCs w:val="0"/>
          <w:caps w:val="0"/>
          <w:sz w:val="20"/>
          <w:szCs w:val="20"/>
          <w:lang w:val="en-US" w:eastAsia="zh-CN"/>
        </w:rPr>
      </w:pPr>
      <w:r>
        <w:rPr>
          <w:rFonts w:hint="eastAsia" w:ascii="黑体" w:hAnsi="黑体" w:eastAsia="黑体" w:cs="黑体"/>
          <w:sz w:val="20"/>
          <w:szCs w:val="20"/>
        </w:rPr>
        <w:t>附件1</w:t>
      </w:r>
      <w:r>
        <w:rPr>
          <w:rFonts w:hint="eastAsia" w:ascii="黑体" w:hAnsi="黑体" w:eastAsia="黑体" w:cs="黑体"/>
          <w:sz w:val="20"/>
          <w:szCs w:val="20"/>
        </w:rPr>
        <w:tab/>
      </w:r>
      <w:r>
        <w:rPr>
          <w:rFonts w:hint="eastAsia" w:ascii="黑体" w:hAnsi="黑体" w:eastAsia="黑体" w:cs="黑体"/>
          <w:sz w:val="20"/>
          <w:szCs w:val="20"/>
          <w:lang w:val="en-US" w:eastAsia="zh-CN"/>
        </w:rPr>
        <w:t>18</w:t>
      </w:r>
    </w:p>
    <w:p>
      <w:pPr>
        <w:pStyle w:val="12"/>
        <w:tabs>
          <w:tab w:val="right" w:leader="dot" w:pos="8296"/>
        </w:tabs>
        <w:rPr>
          <w:rFonts w:hint="eastAsia" w:ascii="黑体" w:hAnsi="黑体" w:eastAsia="黑体" w:cs="黑体"/>
          <w:b w:val="0"/>
          <w:bCs w:val="0"/>
          <w:caps w:val="0"/>
          <w:sz w:val="20"/>
          <w:szCs w:val="20"/>
          <w:lang w:val="en-US" w:eastAsia="zh-CN"/>
        </w:rPr>
      </w:pPr>
      <w:r>
        <w:rPr>
          <w:rFonts w:hint="eastAsia" w:ascii="黑体" w:hAnsi="黑体" w:eastAsia="黑体" w:cs="黑体"/>
          <w:sz w:val="20"/>
          <w:szCs w:val="20"/>
        </w:rPr>
        <w:t>附件</w:t>
      </w:r>
      <w:r>
        <w:rPr>
          <w:rFonts w:hint="eastAsia" w:ascii="黑体" w:hAnsi="黑体" w:eastAsia="黑体" w:cs="黑体"/>
          <w:sz w:val="20"/>
          <w:szCs w:val="20"/>
          <w:lang w:val="en-US" w:eastAsia="zh-CN"/>
        </w:rPr>
        <w:t>2</w:t>
      </w:r>
      <w:r>
        <w:rPr>
          <w:rFonts w:hint="eastAsia" w:ascii="黑体" w:hAnsi="黑体" w:eastAsia="黑体" w:cs="黑体"/>
          <w:sz w:val="20"/>
          <w:szCs w:val="20"/>
        </w:rPr>
        <w:tab/>
      </w:r>
      <w:r>
        <w:rPr>
          <w:rFonts w:hint="eastAsia" w:ascii="黑体" w:hAnsi="黑体" w:eastAsia="黑体" w:cs="黑体"/>
          <w:sz w:val="20"/>
          <w:szCs w:val="20"/>
          <w:lang w:val="en-US" w:eastAsia="zh-CN"/>
        </w:rPr>
        <w:t>26</w:t>
      </w:r>
    </w:p>
    <w:p>
      <w:pPr>
        <w:pStyle w:val="12"/>
        <w:tabs>
          <w:tab w:val="right" w:leader="dot" w:pos="8296"/>
        </w:tabs>
        <w:rPr>
          <w:rFonts w:hint="eastAsia" w:ascii="黑体" w:hAnsi="黑体" w:eastAsia="黑体" w:cs="黑体"/>
          <w:b w:val="0"/>
          <w:bCs w:val="0"/>
          <w:caps w:val="0"/>
          <w:sz w:val="20"/>
          <w:szCs w:val="20"/>
          <w:lang w:val="en-US" w:eastAsia="zh-CN"/>
        </w:rPr>
      </w:pPr>
      <w:r>
        <w:rPr>
          <w:rFonts w:hint="eastAsia" w:ascii="黑体" w:hAnsi="黑体" w:eastAsia="黑体" w:cs="黑体"/>
          <w:sz w:val="20"/>
          <w:szCs w:val="20"/>
        </w:rPr>
        <w:t>附件</w:t>
      </w:r>
      <w:r>
        <w:rPr>
          <w:rFonts w:hint="eastAsia" w:ascii="黑体" w:hAnsi="黑体" w:eastAsia="黑体" w:cs="黑体"/>
          <w:sz w:val="20"/>
          <w:szCs w:val="20"/>
          <w:lang w:val="en-US" w:eastAsia="zh-CN"/>
        </w:rPr>
        <w:t>3</w:t>
      </w:r>
      <w:r>
        <w:rPr>
          <w:rFonts w:hint="eastAsia" w:ascii="黑体" w:hAnsi="黑体" w:eastAsia="黑体" w:cs="黑体"/>
          <w:sz w:val="20"/>
          <w:szCs w:val="20"/>
        </w:rPr>
        <w:tab/>
      </w:r>
      <w:r>
        <w:rPr>
          <w:rFonts w:hint="eastAsia" w:ascii="黑体" w:hAnsi="黑体" w:eastAsia="黑体" w:cs="黑体"/>
          <w:sz w:val="20"/>
          <w:szCs w:val="20"/>
          <w:lang w:val="en-US" w:eastAsia="zh-CN"/>
        </w:rPr>
        <w:t>31</w:t>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6" w:lineRule="exact"/>
        <w:textAlignment w:val="auto"/>
        <w:rPr>
          <w:rFonts w:hint="eastAsia" w:ascii="黑体" w:hAnsi="黑体" w:eastAsia="黑体" w:cs="黑体"/>
          <w:b w:val="0"/>
          <w:bCs w:val="0"/>
          <w:caps w:val="0"/>
          <w:sz w:val="20"/>
          <w:szCs w:val="20"/>
          <w:lang w:val="en-US" w:eastAsia="zh-CN"/>
        </w:rPr>
      </w:pPr>
      <w:r>
        <w:rPr>
          <w:rFonts w:hint="eastAsia" w:ascii="黑体" w:hAnsi="黑体" w:eastAsia="黑体" w:cs="黑体"/>
          <w:color w:val="000000"/>
          <w:sz w:val="20"/>
          <w:szCs w:val="20"/>
        </w:rPr>
        <w:t>第</w:t>
      </w:r>
      <w:r>
        <w:rPr>
          <w:rFonts w:hint="eastAsia" w:ascii="黑体" w:hAnsi="黑体" w:eastAsia="黑体" w:cs="黑体"/>
          <w:color w:val="000000"/>
          <w:sz w:val="20"/>
          <w:szCs w:val="20"/>
          <w:lang w:val="en-US" w:eastAsia="zh-CN"/>
        </w:rPr>
        <w:t>五</w:t>
      </w:r>
      <w:r>
        <w:rPr>
          <w:rFonts w:hint="eastAsia" w:ascii="黑体" w:hAnsi="黑体" w:eastAsia="黑体" w:cs="黑体"/>
          <w:kern w:val="44"/>
          <w:sz w:val="20"/>
          <w:szCs w:val="20"/>
        </w:rPr>
        <w:t>部分 附表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一、收</w:t>
      </w:r>
      <w:r>
        <w:rPr>
          <w:rFonts w:hint="eastAsia" w:ascii="黑体" w:hAnsi="黑体" w:eastAsia="黑体" w:cs="黑体"/>
          <w:sz w:val="20"/>
          <w:szCs w:val="20"/>
        </w:rPr>
        <w:t>入支出决算总表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color w:val="000000"/>
          <w:sz w:val="20"/>
          <w:szCs w:val="20"/>
        </w:rPr>
        <w:t>二、收</w:t>
      </w:r>
      <w:r>
        <w:rPr>
          <w:rFonts w:hint="eastAsia" w:ascii="黑体" w:hAnsi="黑体" w:eastAsia="黑体" w:cs="黑体"/>
          <w:sz w:val="20"/>
          <w:szCs w:val="20"/>
        </w:rPr>
        <w:t>入决算表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三、</w:t>
      </w:r>
      <w:r>
        <w:rPr>
          <w:rFonts w:hint="eastAsia" w:ascii="黑体" w:hAnsi="黑体" w:eastAsia="黑体" w:cs="黑体"/>
          <w:color w:val="000000"/>
          <w:sz w:val="20"/>
          <w:szCs w:val="20"/>
        </w:rPr>
        <w:t>支</w:t>
      </w:r>
      <w:r>
        <w:rPr>
          <w:rFonts w:hint="eastAsia" w:ascii="黑体" w:hAnsi="黑体" w:eastAsia="黑体" w:cs="黑体"/>
          <w:sz w:val="20"/>
          <w:szCs w:val="20"/>
        </w:rPr>
        <w:t>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四、</w:t>
      </w:r>
      <w:r>
        <w:rPr>
          <w:rFonts w:hint="eastAsia" w:ascii="黑体" w:hAnsi="黑体" w:eastAsia="黑体" w:cs="黑体"/>
          <w:color w:val="000000"/>
          <w:sz w:val="20"/>
          <w:szCs w:val="20"/>
        </w:rPr>
        <w:t>财</w:t>
      </w:r>
      <w:r>
        <w:rPr>
          <w:rFonts w:hint="eastAsia" w:ascii="黑体" w:hAnsi="黑体" w:eastAsia="黑体" w:cs="黑体"/>
          <w:sz w:val="20"/>
          <w:szCs w:val="20"/>
        </w:rPr>
        <w:t>政拨款收入支出决算总表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五、</w:t>
      </w:r>
      <w:r>
        <w:rPr>
          <w:rFonts w:hint="eastAsia" w:ascii="黑体" w:hAnsi="黑体" w:eastAsia="黑体" w:cs="黑体"/>
          <w:color w:val="000000"/>
          <w:sz w:val="20"/>
          <w:szCs w:val="20"/>
        </w:rPr>
        <w:t>财</w:t>
      </w:r>
      <w:r>
        <w:rPr>
          <w:rFonts w:hint="eastAsia" w:ascii="黑体" w:hAnsi="黑体" w:eastAsia="黑体" w:cs="黑体"/>
          <w:sz w:val="20"/>
          <w:szCs w:val="20"/>
        </w:rPr>
        <w:t>政拨款支出决算明细表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六、</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七、</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般公共预算财政拨款支出决算明细表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八、</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般公共预算财政拨款基本支出决算表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九、</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般公共预算财政拨款项目支出决算表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w:t>
      </w:r>
      <w:r>
        <w:rPr>
          <w:rFonts w:hint="eastAsia" w:ascii="黑体" w:hAnsi="黑体" w:eastAsia="黑体" w:cs="黑体"/>
          <w:color w:val="000000"/>
          <w:sz w:val="20"/>
          <w:szCs w:val="20"/>
        </w:rPr>
        <w:t>一</w:t>
      </w:r>
      <w:r>
        <w:rPr>
          <w:rFonts w:hint="eastAsia" w:ascii="黑体" w:hAnsi="黑体" w:eastAsia="黑体" w:cs="黑体"/>
          <w:sz w:val="20"/>
          <w:szCs w:val="20"/>
        </w:rPr>
        <w:t>般公共预算财政拨款“三公”经费支出决算表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十一、</w:t>
      </w:r>
      <w:r>
        <w:rPr>
          <w:rFonts w:hint="eastAsia" w:ascii="黑体" w:hAnsi="黑体" w:eastAsia="黑体" w:cs="黑体"/>
          <w:color w:val="000000"/>
          <w:sz w:val="20"/>
          <w:szCs w:val="20"/>
        </w:rPr>
        <w:t>政</w:t>
      </w:r>
      <w:r>
        <w:rPr>
          <w:rFonts w:hint="eastAsia" w:ascii="黑体" w:hAnsi="黑体" w:eastAsia="黑体" w:cs="黑体"/>
          <w:sz w:val="20"/>
          <w:szCs w:val="20"/>
        </w:rPr>
        <w:t>府性基金预算财政拨款收入支出决算表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十二、</w:t>
      </w:r>
      <w:r>
        <w:rPr>
          <w:rFonts w:hint="eastAsia" w:ascii="黑体" w:hAnsi="黑体" w:eastAsia="黑体" w:cs="黑体"/>
          <w:color w:val="000000"/>
          <w:sz w:val="20"/>
          <w:szCs w:val="20"/>
        </w:rPr>
        <w:t>政</w:t>
      </w:r>
      <w:r>
        <w:rPr>
          <w:rFonts w:hint="eastAsia" w:ascii="黑体" w:hAnsi="黑体" w:eastAsia="黑体" w:cs="黑体"/>
          <w:sz w:val="20"/>
          <w:szCs w:val="20"/>
        </w:rPr>
        <w:t>府性基金预算财政拨款“三公”经费支出决算表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十三、</w:t>
      </w:r>
      <w:r>
        <w:rPr>
          <w:rFonts w:hint="eastAsia" w:ascii="黑体" w:hAnsi="黑体" w:eastAsia="黑体" w:cs="黑体"/>
          <w:color w:val="000000"/>
          <w:sz w:val="20"/>
          <w:szCs w:val="20"/>
        </w:rPr>
        <w:t>国</w:t>
      </w:r>
      <w:r>
        <w:rPr>
          <w:rFonts w:hint="eastAsia" w:ascii="黑体" w:hAnsi="黑体" w:eastAsia="黑体" w:cs="黑体"/>
          <w:sz w:val="20"/>
          <w:szCs w:val="20"/>
        </w:rPr>
        <w:t>有资本经营预算财政拨款</w:t>
      </w:r>
      <w:r>
        <w:rPr>
          <w:rFonts w:hint="eastAsia" w:ascii="黑体" w:hAnsi="黑体" w:eastAsia="黑体" w:cs="黑体"/>
          <w:sz w:val="20"/>
          <w:szCs w:val="20"/>
          <w:lang w:eastAsia="zh-CN"/>
        </w:rPr>
        <w:t>收入</w:t>
      </w:r>
      <w:r>
        <w:rPr>
          <w:rFonts w:hint="eastAsia" w:ascii="黑体" w:hAnsi="黑体" w:eastAsia="黑体" w:cs="黑体"/>
          <w:sz w:val="20"/>
          <w:szCs w:val="20"/>
        </w:rPr>
        <w:t>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3"/>
        <w:tabs>
          <w:tab w:val="right" w:leader="dot" w:pos="8296"/>
        </w:tabs>
        <w:rPr>
          <w:rFonts w:hint="eastAsia" w:ascii="黑体" w:hAnsi="黑体" w:eastAsia="黑体" w:cs="黑体"/>
          <w:smallCaps w:val="0"/>
          <w:sz w:val="20"/>
          <w:szCs w:val="20"/>
          <w:lang w:val="en-US" w:eastAsia="zh-CN"/>
        </w:rPr>
      </w:pPr>
      <w:r>
        <w:rPr>
          <w:rFonts w:hint="eastAsia" w:ascii="黑体" w:hAnsi="黑体" w:eastAsia="黑体" w:cs="黑体"/>
          <w:sz w:val="20"/>
          <w:szCs w:val="20"/>
        </w:rPr>
        <w:t>十四、国有资本经营预算财政拨款支出决算表</w:t>
      </w:r>
      <w:r>
        <w:rPr>
          <w:rFonts w:hint="eastAsia" w:ascii="黑体" w:hAnsi="黑体" w:eastAsia="黑体" w:cs="黑体"/>
          <w:sz w:val="20"/>
          <w:szCs w:val="20"/>
        </w:rPr>
        <w:tab/>
      </w:r>
      <w:r>
        <w:rPr>
          <w:rFonts w:hint="eastAsia" w:ascii="黑体" w:hAnsi="黑体" w:eastAsia="黑体" w:cs="黑体"/>
          <w:sz w:val="20"/>
          <w:szCs w:val="20"/>
          <w:lang w:val="en-US" w:eastAsia="zh-CN"/>
        </w:rPr>
        <w:t>36</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r>
        <w:rPr>
          <w:rFonts w:hint="eastAsia" w:ascii="黑体" w:hAnsi="黑体" w:eastAsia="黑体" w:cs="黑体"/>
          <w:b/>
          <w:bCs/>
          <w:caps/>
          <w:sz w:val="20"/>
          <w:szCs w:val="20"/>
        </w:rPr>
        <w:fldChar w:fldCharType="end"/>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黑体" w:hAnsi="黑体" w:eastAsia="黑体" w:cs="黑体"/>
          <w:b/>
          <w:bCs/>
          <w:caps/>
          <w:sz w:val="20"/>
          <w:szCs w:val="20"/>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both"/>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第一部分 部门概况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shd w:val="clear" w:color="auto" w:fill="FFFFFF"/>
        </w:rPr>
        <w:t>一、基本职能及主要工作</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（一）主要职能。</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贯彻执行国家、省、州有关水务工作方针政策和</w:t>
      </w:r>
      <w:r>
        <w:rPr>
          <w:rFonts w:hint="eastAsia" w:ascii="仿宋_GB2312" w:hAnsi="仿宋" w:eastAsia="仿宋_GB2312" w:cs="仿宋"/>
          <w:sz w:val="32"/>
          <w:szCs w:val="32"/>
          <w:lang w:eastAsia="zh-CN"/>
        </w:rPr>
        <w:t>法律法规</w:t>
      </w:r>
      <w:r>
        <w:rPr>
          <w:rFonts w:hint="eastAsia" w:ascii="仿宋_GB2312" w:hAnsi="仿宋" w:eastAsia="仿宋_GB2312" w:cs="仿宋"/>
          <w:sz w:val="32"/>
          <w:szCs w:val="32"/>
        </w:rPr>
        <w:t>、规章。组织起草全县有关水管理的行政规范性文件草案，通过公开后监督实施。负责拟订全县水务工作的行政规范性文件草案、发展战略和中长期规划。负责组织编制有关水务方面综合规划和专业规划，并组织实施。制定水务工程建设有关制度并组织实施。</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统一管理全县水资源，组织制定全县水资源总体规划、流域规划和专业规划。拟订全县及跨乡镇中长期和年度供水计划，水量分配方案和旱情紧急情况下水量调度预案，组织有关全县国民经济发展总体规划、城市规划及重大建设项目的水资源及防洪、抗旱</w:t>
      </w:r>
      <w:r>
        <w:rPr>
          <w:rFonts w:hint="eastAsia" w:ascii="仿宋_GB2312" w:hAnsi="仿宋" w:eastAsia="仿宋_GB2312" w:cs="仿宋"/>
          <w:sz w:val="32"/>
          <w:szCs w:val="32"/>
          <w:lang w:eastAsia="zh-CN"/>
        </w:rPr>
        <w:t>排涝</w:t>
      </w:r>
      <w:r>
        <w:rPr>
          <w:rFonts w:hint="eastAsia" w:ascii="仿宋_GB2312" w:hAnsi="仿宋" w:eastAsia="仿宋_GB2312" w:cs="仿宋"/>
          <w:sz w:val="32"/>
          <w:szCs w:val="32"/>
        </w:rPr>
        <w:t>、供水、节水、再生水等方面的论证工作。负责督促水资源税征收。按规划发布全县水资源公报。</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供水企业的行业管理与指导。负责对全县涉水工程建设及运行管理进行监督指导。负责对城市供水设施实行节水的行政监督管理，负责拟订全县节约用水政策，编制全县计划用水、节约用水规划。组织指导和监督计划用水、节约用水工作。制定有关节约用水标准，指导和推动节水型社会建设工作。负责办理取水许可。</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负责有关水务法律法规的实施和监督检查。负责管理和指导全县水利工程设施建设。负责水利设施水域及其岸线的管理和保护，全县江河</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包括人工水道、行洪区、蓄水区、洲洪区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水库、河口滩涂的开发、利用和保护。组织、指导全县水务工程建设项目规划、可行性研究等前期工作，对水务基本建设工程实行监督管理，全县水库大坝的安全管理工作，负责河道采砂的统一监督管理。负责全县水环境治理。组织实施水务工程建设、水务基础设施运行安全监督管理。</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五</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拟订水务行业经济调节措施。负责编制全县水务行业建设项目资金计划，对水务资金的事业进行</w:t>
      </w:r>
      <w:r>
        <w:rPr>
          <w:rFonts w:hint="eastAsia" w:ascii="仿宋_GB2312" w:hAnsi="仿宋" w:eastAsia="仿宋_GB2312" w:cs="仿宋"/>
          <w:sz w:val="32"/>
          <w:szCs w:val="32"/>
          <w:lang w:eastAsia="zh-CN"/>
        </w:rPr>
        <w:t>宏观调控</w:t>
      </w:r>
      <w:r>
        <w:rPr>
          <w:rFonts w:hint="eastAsia" w:ascii="仿宋_GB2312" w:hAnsi="仿宋" w:eastAsia="仿宋_GB2312" w:cs="仿宋"/>
          <w:sz w:val="32"/>
          <w:szCs w:val="32"/>
        </w:rPr>
        <w:t>、管理、监督，以及水务系统内部审计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研究提出有关水务的价格、税收、信贷、财务等经济调节建议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监督和指导水务相关国有资产保值增值。</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负责全县水务工程建设项目的规划、建议书、可行性研究报告和初步设计方案审批工作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负责组织指导全县水务基础设施建设，对水务基础设施建设工程实施行业监督管理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负责水利工程管理范围内新建、扩建、改建各类建设项目审批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负责对水务基础设施建设工程质量监督管理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组织指导县内河流及水库的治理和开发</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组织建设和管理具有控制性的或跨乡镇的重要水利工程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组织、指导水库运行调度和工程建设、管理。</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组织全县水土保持工作，研究</w:t>
      </w:r>
      <w:r>
        <w:rPr>
          <w:rFonts w:hint="eastAsia" w:ascii="仿宋_GB2312" w:hAnsi="仿宋" w:eastAsia="仿宋_GB2312" w:cs="仿宋"/>
          <w:sz w:val="32"/>
          <w:szCs w:val="32"/>
          <w:lang w:eastAsia="zh-CN"/>
        </w:rPr>
        <w:t>制定</w:t>
      </w:r>
      <w:r>
        <w:rPr>
          <w:rFonts w:hint="eastAsia" w:ascii="仿宋_GB2312" w:hAnsi="仿宋" w:eastAsia="仿宋_GB2312" w:cs="仿宋"/>
          <w:sz w:val="32"/>
          <w:szCs w:val="32"/>
        </w:rPr>
        <w:t>水土保持工程措施规划并组织实施。指导水土保持的预防监督和综合防治</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负责有关重大建设项目水土保持方案的初审、监督实施及水土保持设施的验收工作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指导重点水土保持建设项目的实施。</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八</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负责全县水务方面的科技与外事、外经工作。监督实施水务行业技术质量标准和规程、规范，承办水务行业对外经济、技术合作与交流等涉外事务。</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指导全县水务行业改革、发展、稳定工作和职工队伍建设、服务体系建设。指导水务行业劳动保护、安全生产工作。</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负责河长制组织实施具体工作，协调、督促、落实领导小组、河长会议确定的事项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拟订县级工作方案、相关制度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指导各乡镇制定工作方案、明确工作目标任务，督导乡镇全面落实河长制相关工作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统筹制定、修订县级河湖一河</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一策管理保护方案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督促县直有关部门按职能职责落实责任，密切配合、协调联动，共同推进河湖管理保护工作。</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指导水务突发公共事件应急管理工作。</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负责职责范围内的职业健康，生态环境保护，审批服务便民化工作。</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shd w:val="clear" w:color="auto" w:fill="FFFFFF"/>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完成县委、县政府交办的其他任务。</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（二）2022年重点工作完成情况。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过去的一年，是党的二十大召开之年，也是</w:t>
      </w:r>
      <w:r>
        <w:rPr>
          <w:rFonts w:hint="default" w:ascii="Times New Roman" w:hAnsi="Times New Roman" w:eastAsia="仿宋_GB2312" w:cs="Times New Roman"/>
          <w:color w:val="000000"/>
          <w:sz w:val="32"/>
          <w:szCs w:val="32"/>
          <w:lang w:val="en-US" w:eastAsia="zh-CN"/>
        </w:rPr>
        <w:t>松潘发展历程中极不平凡、极其重要的一年，更是我们攻坚克难、逆势爬坡的一年，</w:t>
      </w:r>
      <w:r>
        <w:rPr>
          <w:rFonts w:hint="default" w:ascii="Times New Roman" w:hAnsi="Times New Roman" w:eastAsia="仿宋_GB2312" w:cs="Times New Roman"/>
          <w:sz w:val="32"/>
          <w:szCs w:val="32"/>
          <w:lang w:val="en-US" w:eastAsia="zh-CN"/>
        </w:rPr>
        <w:t>松潘县水务局始终</w:t>
      </w:r>
      <w:r>
        <w:rPr>
          <w:rFonts w:hint="default" w:ascii="Times New Roman" w:hAnsi="Times New Roman" w:eastAsia="仿宋_GB2312" w:cs="Times New Roman"/>
          <w:sz w:val="32"/>
          <w:szCs w:val="32"/>
        </w:rPr>
        <w:t>坚持以</w:t>
      </w:r>
      <w:r>
        <w:rPr>
          <w:rFonts w:hint="default" w:ascii="Times New Roman" w:hAnsi="Times New Roman" w:eastAsia="仿宋_GB2312" w:cs="Times New Roman"/>
          <w:sz w:val="32"/>
          <w:szCs w:val="32"/>
          <w:lang w:val="en-US" w:eastAsia="zh-CN"/>
        </w:rPr>
        <w:t>习近平新时代中国特色社会主义思想</w:t>
      </w:r>
      <w:r>
        <w:rPr>
          <w:rFonts w:hint="default" w:ascii="Times New Roman" w:hAnsi="Times New Roman" w:eastAsia="仿宋_GB2312" w:cs="Times New Roman"/>
          <w:sz w:val="32"/>
          <w:szCs w:val="32"/>
        </w:rPr>
        <w:t>为指导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以“节水优先、空间均衡、系统治理、两手发力”治水思路为指引，坚决贯彻党的十九届六中全会精神、党的二十大精神及省委十二届二次全会精神。以抓铁有痕的干劲，统筹推进</w:t>
      </w:r>
      <w:r>
        <w:rPr>
          <w:rFonts w:hint="default" w:ascii="Times New Roman" w:hAnsi="Times New Roman" w:eastAsia="仿宋_GB2312" w:cs="Times New Roman"/>
          <w:color w:val="000000"/>
          <w:spacing w:val="-6"/>
          <w:kern w:val="0"/>
          <w:sz w:val="32"/>
          <w:szCs w:val="24"/>
          <w:lang w:val="en-US" w:eastAsia="zh-CN" w:bidi="ar-SA"/>
        </w:rPr>
        <w:t>水资源保护、水生态修复和水灾害防治等工作，</w:t>
      </w:r>
      <w:r>
        <w:rPr>
          <w:rFonts w:hint="default" w:ascii="Times New Roman" w:hAnsi="Times New Roman" w:eastAsia="仿宋_GB2312" w:cs="Times New Roman"/>
          <w:sz w:val="32"/>
          <w:szCs w:val="32"/>
          <w:lang w:val="en-US" w:eastAsia="zh-CN"/>
        </w:rPr>
        <w:t>成果丰硕，全县水利事业</w:t>
      </w:r>
      <w:r>
        <w:rPr>
          <w:rFonts w:hint="eastAsia" w:ascii="Times New Roman" w:hAnsi="Times New Roman" w:eastAsia="仿宋_GB2312" w:cs="Times New Roman"/>
          <w:sz w:val="32"/>
          <w:szCs w:val="32"/>
          <w:lang w:val="en-US" w:eastAsia="zh-CN"/>
        </w:rPr>
        <w:t>呈现</w:t>
      </w:r>
      <w:r>
        <w:rPr>
          <w:rFonts w:hint="default" w:ascii="Times New Roman" w:hAnsi="Times New Roman" w:eastAsia="仿宋_GB2312" w:cs="Times New Roman"/>
          <w:sz w:val="32"/>
          <w:szCs w:val="32"/>
          <w:lang w:val="en-US" w:eastAsia="zh-CN"/>
        </w:rPr>
        <w:t>稳中有进、</w:t>
      </w:r>
      <w:r>
        <w:rPr>
          <w:rFonts w:hint="eastAsia" w:ascii="Times New Roman" w:hAnsi="Times New Roman" w:eastAsia="仿宋_GB2312" w:cs="Times New Roman"/>
          <w:sz w:val="32"/>
          <w:szCs w:val="32"/>
          <w:lang w:val="en-US" w:eastAsia="zh-CN"/>
        </w:rPr>
        <w:t>稳中向好</w:t>
      </w:r>
      <w:r>
        <w:rPr>
          <w:rFonts w:hint="default" w:ascii="Times New Roman" w:hAnsi="Times New Roman" w:eastAsia="仿宋_GB2312" w:cs="Times New Roman"/>
          <w:sz w:val="32"/>
          <w:szCs w:val="32"/>
          <w:lang w:val="en-US" w:eastAsia="zh-CN"/>
        </w:rPr>
        <w:t>的发展态势。</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以组织建设为核心，</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思想建设、制度建设、作风建设和廉政建设。按照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能者居之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的原则，推荐出1名副科级领导职务人选、四级调研员1名、一级主任科员4名、三级主任科员3名、四级主任科员1名、管理八级1名、管理七级1名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rPr>
        <w:t>打造</w:t>
      </w:r>
      <w:r>
        <w:rPr>
          <w:rFonts w:hint="default" w:ascii="Times New Roman" w:hAnsi="Times New Roman" w:eastAsia="仿宋_GB2312" w:cs="Times New Roman"/>
          <w:b w:val="0"/>
          <w:bCs w:val="0"/>
          <w:sz w:val="32"/>
          <w:szCs w:val="32"/>
          <w:lang w:val="en-US" w:eastAsia="zh-CN"/>
        </w:rPr>
        <w:t>了一批</w:t>
      </w:r>
      <w:r>
        <w:rPr>
          <w:rFonts w:hint="default" w:ascii="Times New Roman" w:hAnsi="Times New Roman" w:eastAsia="仿宋_GB2312" w:cs="Times New Roman"/>
          <w:b w:val="0"/>
          <w:bCs w:val="0"/>
          <w:sz w:val="32"/>
          <w:szCs w:val="32"/>
        </w:rPr>
        <w:t>思想型、能力型、创新型、和谐型、清廉型的</w:t>
      </w:r>
      <w:r>
        <w:rPr>
          <w:rFonts w:hint="default" w:ascii="Times New Roman" w:hAnsi="Times New Roman" w:eastAsia="仿宋_GB2312" w:cs="Times New Roman"/>
          <w:b w:val="0"/>
          <w:bCs w:val="0"/>
          <w:sz w:val="32"/>
          <w:szCs w:val="32"/>
          <w:lang w:val="en-US" w:eastAsia="zh-CN"/>
        </w:rPr>
        <w:t>新时代水利人</w:t>
      </w:r>
      <w:r>
        <w:rPr>
          <w:rFonts w:hint="default" w:ascii="Times New Roman" w:hAnsi="Times New Roman" w:eastAsia="仿宋_GB2312" w:cs="Times New Roman"/>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严格落实县包乡（镇）、乡（镇）包村（社区）组、村（社区）组包户的工作要求，编制松潘县防汛抗旱包保责任制清单，建立17名县级领导、115名乡（镇）级领导、788名村（社区）组干部的“一对一”包保责任人，对全县17个乡镇、122个村（社区）、19945户进行包保。强化区域协调联动，建立县乡村三级毗邻区域防汛联防联控机制，与县级毗邻区域包括平武县、北川县、茂县、黑水县已建立了流域联防联控机制，各乡镇、行政村均同毗邻的乡镇、行政村签订了防汛联防联控协议，切实做到“上游下雨、中游吹哨、下游避险”。</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z w:val="32"/>
          <w:szCs w:val="32"/>
        </w:rPr>
        <w:t>探索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河长+检察长+警长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协作机制，构建多级管理的工作体系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热务曲河等10条重要河流的健康评价工作</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lang w:bidi="ar"/>
        </w:rPr>
        <w:t>出动执法人员</w:t>
      </w:r>
      <w:r>
        <w:rPr>
          <w:rFonts w:hint="default" w:ascii="Times New Roman" w:hAnsi="Times New Roman" w:eastAsia="仿宋_GB2312" w:cs="Times New Roman"/>
          <w:color w:val="000000"/>
          <w:kern w:val="0"/>
          <w:sz w:val="32"/>
          <w:szCs w:val="32"/>
          <w:lang w:val="en-US" w:eastAsia="zh-CN" w:bidi="ar"/>
        </w:rPr>
        <w:t>450</w:t>
      </w:r>
      <w:r>
        <w:rPr>
          <w:rFonts w:hint="default" w:ascii="Times New Roman" w:hAnsi="Times New Roman" w:eastAsia="仿宋_GB2312" w:cs="Times New Roman"/>
          <w:color w:val="000000"/>
          <w:kern w:val="0"/>
          <w:sz w:val="32"/>
          <w:szCs w:val="32"/>
          <w:lang w:bidi="ar"/>
        </w:rPr>
        <w:t>余人次、车辆</w:t>
      </w:r>
      <w:r>
        <w:rPr>
          <w:rFonts w:hint="default" w:ascii="Times New Roman" w:hAnsi="Times New Roman" w:eastAsia="仿宋_GB2312" w:cs="Times New Roman"/>
          <w:color w:val="000000"/>
          <w:kern w:val="0"/>
          <w:sz w:val="32"/>
          <w:szCs w:val="32"/>
          <w:lang w:val="en-US" w:eastAsia="zh-CN" w:bidi="ar"/>
        </w:rPr>
        <w:t>149</w:t>
      </w:r>
      <w:r>
        <w:rPr>
          <w:rFonts w:hint="default" w:ascii="Times New Roman" w:hAnsi="Times New Roman" w:eastAsia="仿宋_GB2312" w:cs="Times New Roman"/>
          <w:color w:val="000000"/>
          <w:kern w:val="0"/>
          <w:sz w:val="32"/>
          <w:szCs w:val="32"/>
          <w:lang w:bidi="ar"/>
        </w:rPr>
        <w:t>余台次，</w:t>
      </w:r>
      <w:r>
        <w:rPr>
          <w:rFonts w:hint="default" w:ascii="Times New Roman" w:hAnsi="Times New Roman" w:eastAsia="仿宋_GB2312" w:cs="Times New Roman"/>
          <w:bCs/>
          <w:color w:val="000000"/>
          <w:sz w:val="32"/>
          <w:szCs w:val="32"/>
          <w:lang w:val="en-US" w:eastAsia="zh-CN"/>
        </w:rPr>
        <w:t>办理河道非法采砂案件2起，罚款3.5万元，现均已结案。</w:t>
      </w:r>
      <w:r>
        <w:rPr>
          <w:rFonts w:hint="default" w:ascii="Times New Roman" w:hAnsi="Times New Roman" w:eastAsia="仿宋_GB2312" w:cs="Times New Roman"/>
          <w:color w:val="000000"/>
          <w:kern w:val="0"/>
          <w:sz w:val="32"/>
          <w:szCs w:val="32"/>
          <w:lang w:bidi="ar"/>
        </w:rPr>
        <w:t>现场制止</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起河道领域乱挖乱采行为</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sz w:val="32"/>
          <w:szCs w:val="32"/>
          <w:lang w:val="en-US" w:eastAsia="zh-CN"/>
        </w:rPr>
        <w:t>制止违规侵占河道行为1起、乱倾乱倒行为2起，切实治理了河道采砂乱点乱象。</w:t>
      </w:r>
      <w:r>
        <w:rPr>
          <w:rFonts w:hint="default" w:ascii="Times New Roman" w:hAnsi="Times New Roman" w:eastAsia="仿宋_GB2312" w:cs="Times New Roman"/>
          <w:sz w:val="32"/>
          <w:szCs w:val="32"/>
          <w:lang w:val="en-US" w:eastAsia="zh-CN"/>
        </w:rPr>
        <w:t>针对全县流域开展17个点位险工险段疏浚护岸，疏浚长度14.1km，疏浚方量26.91万m³。</w:t>
      </w:r>
      <w:r>
        <w:rPr>
          <w:rFonts w:hint="default" w:ascii="Times New Roman" w:hAnsi="Times New Roman" w:eastAsia="仿宋_GB2312" w:cs="Times New Roman"/>
          <w:sz w:val="32"/>
          <w:szCs w:val="32"/>
        </w:rPr>
        <w:t>岷江、涪江出境断面水质稳定达到Ⅱ类标准，集中式饮用水水源地水质达标率达100%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切实提升了河湖管理治理能力。</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审批水土保持方案报告表备案3份、水土保持报告表验收备案4份，送达水土保持补偿费缴纳信息表3份，征收追缴水土保持补偿费共计14.185万元。完成倒立沟水电站退出任务，至此，我县长江经济带小水电清理任务全面完成。</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不断化解水电移民遗留问题，加快推进剑科水电站建设，预计2023年完成蓄水发电工作。累计争取373万后扶项目资金落地落实，</w:t>
      </w:r>
      <w:r>
        <w:rPr>
          <w:rFonts w:hint="default" w:ascii="Times New Roman" w:hAnsi="Times New Roman" w:eastAsia="仿宋_GB2312" w:cs="Times New Roman"/>
          <w:b w:val="0"/>
          <w:bCs w:val="0"/>
          <w:sz w:val="32"/>
          <w:szCs w:val="32"/>
          <w:lang w:val="en-US" w:eastAsia="zh-CN"/>
        </w:rPr>
        <w:t>进一步完善了移民区基础设施建设，增加了移民户收入。</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现已</w:t>
      </w:r>
      <w:r>
        <w:rPr>
          <w:rFonts w:hint="default" w:ascii="Times New Roman" w:hAnsi="Times New Roman" w:eastAsia="仿宋_GB2312" w:cs="Times New Roman"/>
          <w:sz w:val="32"/>
          <w:szCs w:val="32"/>
          <w:lang w:val="en-US" w:eastAsia="zh-CN"/>
        </w:rPr>
        <w:t>启动15个水利重点项目前期工作，项目规划总投资3.21亿元。确定1个项目（四川省松潘县归化沟防洪治理工程）。</w:t>
      </w:r>
      <w:r>
        <w:rPr>
          <w:rFonts w:hint="default" w:ascii="Times New Roman" w:hAnsi="Times New Roman" w:eastAsia="仿宋_GB2312" w:cs="Times New Roman"/>
          <w:color w:val="auto"/>
          <w:sz w:val="32"/>
          <w:szCs w:val="32"/>
          <w:lang w:val="en-US" w:eastAsia="zh-CN"/>
        </w:rPr>
        <w:t>续建、新建项目共计11个，概算投资9811万元。</w:t>
      </w:r>
      <w:r>
        <w:rPr>
          <w:rFonts w:hint="default" w:ascii="Times New Roman" w:hAnsi="Times New Roman" w:eastAsia="仿宋_GB2312" w:cs="Times New Roman"/>
          <w:sz w:val="32"/>
          <w:szCs w:val="32"/>
          <w:lang w:val="en-US" w:eastAsia="zh-CN"/>
        </w:rPr>
        <w:t>逐步落实山水林田湖草沙冰一体化保护和系统治理，已落实项目4个，概算投资7845万元。</w:t>
      </w:r>
      <w:r>
        <w:rPr>
          <w:rFonts w:hint="default" w:ascii="Times New Roman" w:hAnsi="Times New Roman" w:eastAsia="仿宋_GB2312" w:cs="Times New Roman"/>
          <w:b w:val="0"/>
          <w:bCs w:val="0"/>
          <w:sz w:val="32"/>
          <w:szCs w:val="32"/>
          <w:lang w:val="en-US" w:eastAsia="zh-CN"/>
        </w:rPr>
        <w:t>保护了河道两岸居民10000余人生命财产安全，保护耕地2000余亩，提升13个村、6272人饮水问题，完善9900亩灌溉计量配套设施。</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76" w:lineRule="exact"/>
        <w:ind w:left="0" w:leftChars="0" w:firstLine="640" w:firstLineChars="200"/>
        <w:textAlignment w:val="auto"/>
        <w:rPr>
          <w:shd w:val="clear" w:color="auto" w:fill="FFFFFF"/>
        </w:rPr>
      </w:pPr>
      <w:r>
        <w:rPr>
          <w:rFonts w:hint="default" w:ascii="Times New Roman" w:hAnsi="Times New Roman" w:eastAsia="仿宋_GB2312" w:cs="Times New Roman"/>
          <w:sz w:val="32"/>
          <w:szCs w:val="32"/>
          <w:lang w:val="en-US" w:eastAsia="zh-CN"/>
        </w:rPr>
        <w:t>巩固省级县域节水型社会创建成果，并顺利通过水利部验收，于2022年12月29日被正式确定为第五批县域节水型社会达标县，为四川省黄河流域、阿坝州州域内首家。</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b w:val="0"/>
          <w:kern w:val="0"/>
          <w:sz w:val="32"/>
          <w:szCs w:val="32"/>
          <w:lang w:val="en-US" w:eastAsia="zh-CN" w:bidi="ar"/>
        </w:rPr>
      </w:pPr>
      <w:r>
        <w:rPr>
          <w:rFonts w:hint="eastAsia" w:ascii="黑体" w:hAnsi="黑体" w:eastAsia="黑体" w:cs="黑体"/>
          <w:b w:val="0"/>
          <w:kern w:val="0"/>
          <w:sz w:val="32"/>
          <w:szCs w:val="32"/>
          <w:lang w:val="en-US" w:eastAsia="zh-CN" w:bidi="ar"/>
        </w:rPr>
        <w:t>二、机构设置</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default" w:ascii="Times New Roman" w:hAnsi="Times New Roman" w:eastAsia="仿宋_GB2312" w:cs="Times New Roman"/>
          <w:b w:val="0"/>
          <w:kern w:val="0"/>
          <w:sz w:val="32"/>
          <w:szCs w:val="32"/>
          <w:lang w:val="en-US" w:eastAsia="zh-CN" w:bidi="ar"/>
        </w:rPr>
      </w:pPr>
      <w:r>
        <w:rPr>
          <w:rFonts w:hint="default" w:ascii="Times New Roman" w:hAnsi="Times New Roman" w:eastAsia="仿宋_GB2312" w:cs="Times New Roman"/>
          <w:b w:val="0"/>
          <w:kern w:val="0"/>
          <w:sz w:val="32"/>
          <w:szCs w:val="32"/>
          <w:lang w:val="en-US" w:eastAsia="zh-CN" w:bidi="ar"/>
        </w:rPr>
        <w:t>阿坝州松潘县水务局下属二级单位</w:t>
      </w:r>
      <w:r>
        <w:rPr>
          <w:rFonts w:hint="eastAsia" w:ascii="Times New Roman" w:hAnsi="Times New Roman" w:eastAsia="仿宋_GB2312" w:cs="Times New Roman"/>
          <w:b w:val="0"/>
          <w:kern w:val="0"/>
          <w:sz w:val="32"/>
          <w:szCs w:val="32"/>
          <w:lang w:val="en-US" w:eastAsia="zh-CN" w:bidi="ar"/>
        </w:rPr>
        <w:t>2</w:t>
      </w:r>
      <w:r>
        <w:rPr>
          <w:rFonts w:hint="default" w:ascii="Times New Roman" w:hAnsi="Times New Roman" w:eastAsia="仿宋_GB2312" w:cs="Times New Roman"/>
          <w:b w:val="0"/>
          <w:kern w:val="0"/>
          <w:sz w:val="32"/>
          <w:szCs w:val="32"/>
          <w:lang w:val="en-US" w:eastAsia="zh-CN" w:bidi="ar"/>
        </w:rPr>
        <w:t>个，其中行政单位</w:t>
      </w:r>
      <w:r>
        <w:rPr>
          <w:rFonts w:hint="eastAsia" w:ascii="Times New Roman" w:hAnsi="Times New Roman" w:eastAsia="仿宋_GB2312" w:cs="Times New Roman"/>
          <w:b w:val="0"/>
          <w:kern w:val="0"/>
          <w:sz w:val="32"/>
          <w:szCs w:val="32"/>
          <w:lang w:val="en-US" w:eastAsia="zh-CN" w:bidi="ar"/>
        </w:rPr>
        <w:t>0</w:t>
      </w:r>
      <w:r>
        <w:rPr>
          <w:rFonts w:hint="default" w:ascii="Times New Roman" w:hAnsi="Times New Roman" w:eastAsia="仿宋_GB2312" w:cs="Times New Roman"/>
          <w:b w:val="0"/>
          <w:kern w:val="0"/>
          <w:sz w:val="32"/>
          <w:szCs w:val="32"/>
          <w:lang w:val="en-US" w:eastAsia="zh-CN" w:bidi="ar"/>
        </w:rPr>
        <w:t>个，参照公务员法管理的事业单位</w:t>
      </w:r>
      <w:r>
        <w:rPr>
          <w:rFonts w:hint="eastAsia" w:ascii="Times New Roman" w:hAnsi="Times New Roman" w:eastAsia="仿宋_GB2312" w:cs="Times New Roman"/>
          <w:b w:val="0"/>
          <w:kern w:val="0"/>
          <w:sz w:val="32"/>
          <w:szCs w:val="32"/>
          <w:lang w:val="en-US" w:eastAsia="zh-CN" w:bidi="ar"/>
        </w:rPr>
        <w:t>1</w:t>
      </w:r>
      <w:r>
        <w:rPr>
          <w:rFonts w:hint="default" w:ascii="Times New Roman" w:hAnsi="Times New Roman" w:eastAsia="仿宋_GB2312" w:cs="Times New Roman"/>
          <w:b w:val="0"/>
          <w:kern w:val="0"/>
          <w:sz w:val="32"/>
          <w:szCs w:val="32"/>
          <w:lang w:val="en-US" w:eastAsia="zh-CN" w:bidi="ar"/>
        </w:rPr>
        <w:t>个，其他事业单位</w:t>
      </w:r>
      <w:r>
        <w:rPr>
          <w:rFonts w:hint="eastAsia" w:ascii="Times New Roman" w:hAnsi="Times New Roman" w:eastAsia="仿宋_GB2312" w:cs="Times New Roman"/>
          <w:b w:val="0"/>
          <w:kern w:val="0"/>
          <w:sz w:val="32"/>
          <w:szCs w:val="32"/>
          <w:lang w:val="en-US" w:eastAsia="zh-CN" w:bidi="ar"/>
        </w:rPr>
        <w:t>1</w:t>
      </w:r>
      <w:r>
        <w:rPr>
          <w:rFonts w:hint="default" w:ascii="Times New Roman" w:hAnsi="Times New Roman" w:eastAsia="仿宋_GB2312" w:cs="Times New Roman"/>
          <w:b w:val="0"/>
          <w:kern w:val="0"/>
          <w:sz w:val="32"/>
          <w:szCs w:val="32"/>
          <w:lang w:val="en-US" w:eastAsia="zh-CN" w:bidi="ar"/>
        </w:rPr>
        <w:t>个。</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default" w:ascii="Times New Roman" w:hAnsi="Times New Roman" w:eastAsia="仿宋_GB2312" w:cs="Times New Roman"/>
          <w:b w:val="0"/>
          <w:kern w:val="0"/>
          <w:sz w:val="32"/>
          <w:szCs w:val="32"/>
          <w:lang w:val="en-US" w:eastAsia="zh-CN" w:bidi="ar"/>
        </w:rPr>
      </w:pPr>
      <w:r>
        <w:rPr>
          <w:rFonts w:hint="default" w:ascii="Times New Roman" w:hAnsi="Times New Roman" w:eastAsia="仿宋_GB2312" w:cs="Times New Roman"/>
          <w:b w:val="0"/>
          <w:kern w:val="0"/>
          <w:sz w:val="32"/>
          <w:szCs w:val="32"/>
          <w:lang w:val="en-US" w:eastAsia="zh-CN" w:bidi="ar"/>
        </w:rPr>
        <w:t>纳入阿坝州松潘县水务局2022年度部门决算编制范围的二级预算单位包括：</w:t>
      </w:r>
    </w:p>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100" w:afterAutospacing="0" w:line="576" w:lineRule="exact"/>
        <w:ind w:left="360" w:leftChars="0" w:firstLine="320" w:firstLineChars="100"/>
        <w:jc w:val="left"/>
        <w:textAlignment w:val="auto"/>
        <w:rPr>
          <w:rFonts w:hint="default" w:ascii="Times New Roman" w:hAnsi="Times New Roman" w:eastAsia="仿宋_GB2312" w:cs="Times New Roman"/>
          <w:b w:val="0"/>
          <w:kern w:val="0"/>
          <w:sz w:val="32"/>
          <w:szCs w:val="32"/>
          <w:lang w:val="en-US" w:eastAsia="zh-CN" w:bidi="ar"/>
        </w:rPr>
      </w:pPr>
      <w:r>
        <w:rPr>
          <w:rFonts w:hint="eastAsia" w:ascii="Times New Roman" w:hAnsi="Times New Roman" w:eastAsia="仿宋_GB2312" w:cs="Times New Roman"/>
          <w:b w:val="0"/>
          <w:kern w:val="0"/>
          <w:sz w:val="32"/>
          <w:szCs w:val="32"/>
          <w:lang w:val="en-US" w:eastAsia="zh-CN" w:bidi="ar"/>
        </w:rPr>
        <w:t>松潘县水务服务中心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shd w:val="clear" w:color="auto" w:fill="FFFFFF"/>
        </w:rPr>
      </w:pPr>
    </w:p>
    <w:p>
      <w:pPr>
        <w:pStyle w:val="3"/>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shd w:val="clear" w:color="auto" w:fill="FFFFFF"/>
        </w:rPr>
        <w:t>第二部分 2022年度部门决算情况说明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一、收入支出决算总体情况说明</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eastAsia="仿宋_GB231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年一般公共预算收入总数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政府性基金预算收入296万元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年一般公共预算支出总数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政府性基金预算支出296万元</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二、收入决算情况说明</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年一般公共预算收入总数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政府性基金预算收入296万元。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三、支出决算情况说明</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eastAsia="仿宋_GB231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年一般公共预算支出总数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政府性基金预算支出296万元</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四、财政拨款收入支出决算总体情况说明</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eastAsia="仿宋_GB231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政府性基金预算财政拨款收入296万元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支出总数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val="en-US" w:eastAsia="zh-CN"/>
        </w:rPr>
        <w:t>政府性基金预算财政拨款支出296万元</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五、一般公共预算财政拨款支出决算情况说明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（一）一般公共预算财政拨款支出决算总体情况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rPr>
          <w:rFonts w:hint="eastAsia" w:eastAsia="仿宋_GB231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年一般公共预算</w:t>
      </w:r>
      <w:r>
        <w:rPr>
          <w:rFonts w:hint="eastAsia" w:ascii="仿宋_GB2312" w:hAnsi="仿宋" w:eastAsia="仿宋_GB2312" w:cs="仿宋"/>
          <w:color w:val="000000"/>
          <w:sz w:val="32"/>
          <w:szCs w:val="32"/>
          <w:lang w:val="en-US" w:eastAsia="zh-CN"/>
        </w:rPr>
        <w:t>财政拨款支出</w:t>
      </w:r>
      <w:r>
        <w:rPr>
          <w:rFonts w:hint="eastAsia" w:ascii="仿宋_GB2312" w:hAnsi="仿宋" w:eastAsia="仿宋_GB2312" w:cs="仿宋"/>
          <w:color w:val="000000"/>
          <w:sz w:val="32"/>
          <w:szCs w:val="32"/>
        </w:rPr>
        <w:t>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（二）一般公共预算财政拨款支出决算结构情况</w:t>
      </w:r>
    </w:p>
    <w:p>
      <w:pPr>
        <w:keepNext w:val="0"/>
        <w:keepLines w:val="0"/>
        <w:pageBreakBefore w:val="0"/>
        <w:shd w:val="clear" w:color="auto" w:fill="FFFFFF"/>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年部门预算基本支出</w:t>
      </w:r>
      <w:r>
        <w:rPr>
          <w:rFonts w:hint="eastAsia" w:ascii="仿宋_GB2312" w:hAnsi="仿宋" w:eastAsia="仿宋_GB2312" w:cs="仿宋"/>
          <w:color w:val="000000"/>
          <w:sz w:val="32"/>
          <w:szCs w:val="32"/>
          <w:lang w:val="en-US" w:eastAsia="zh-CN"/>
        </w:rPr>
        <w:t>决算</w:t>
      </w:r>
      <w:r>
        <w:rPr>
          <w:rFonts w:hint="eastAsia" w:ascii="仿宋_GB2312" w:hAnsi="仿宋" w:eastAsia="仿宋_GB2312" w:cs="仿宋"/>
          <w:color w:val="000000"/>
          <w:sz w:val="32"/>
          <w:szCs w:val="32"/>
        </w:rPr>
        <w:t>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万元，其中：</w:t>
      </w:r>
      <w:r>
        <w:rPr>
          <w:rFonts w:hint="eastAsia" w:ascii="仿宋_GB2312" w:hAnsi="仿宋" w:eastAsia="仿宋_GB2312" w:cs="仿宋"/>
          <w:color w:val="000000"/>
          <w:sz w:val="32"/>
          <w:szCs w:val="32"/>
          <w:lang w:val="en-US" w:eastAsia="zh-CN"/>
        </w:rPr>
        <w:t>基本支出493.6616万元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项目支出3373.8048万元</w:t>
      </w:r>
      <w:r>
        <w:rPr>
          <w:rFonts w:hint="eastAsia" w:ascii="仿宋_GB2312" w:hAnsi="仿宋" w:eastAsia="仿宋_GB2312" w:cs="仿宋"/>
          <w:color w:val="000000"/>
          <w:sz w:val="32"/>
          <w:szCs w:val="32"/>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（三）一般公共预算财政拨款支出决算具体情况</w:t>
      </w:r>
    </w:p>
    <w:p>
      <w:pPr>
        <w:keepNext w:val="0"/>
        <w:keepLines w:val="0"/>
        <w:pageBreakBefore w:val="0"/>
        <w:shd w:val="clear" w:color="auto" w:fill="FFFFFF"/>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万元，其中：</w:t>
      </w:r>
      <w:r>
        <w:rPr>
          <w:rFonts w:hint="eastAsia" w:ascii="仿宋_GB2312" w:hAnsi="仿宋" w:eastAsia="仿宋_GB2312" w:cs="仿宋"/>
          <w:color w:val="000000"/>
          <w:sz w:val="32"/>
          <w:szCs w:val="32"/>
          <w:lang w:val="en-US" w:eastAsia="zh-CN"/>
        </w:rPr>
        <w:t>基本支出493.6616万元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项目支出3373.8048万元</w:t>
      </w:r>
      <w:r>
        <w:rPr>
          <w:rFonts w:hint="eastAsia" w:ascii="仿宋_GB2312" w:hAnsi="仿宋" w:eastAsia="仿宋_GB2312" w:cs="仿宋"/>
          <w:color w:val="000000"/>
          <w:sz w:val="32"/>
          <w:szCs w:val="32"/>
        </w:rPr>
        <w:t>。</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按功能分类支出情况</w:t>
      </w:r>
    </w:p>
    <w:p>
      <w:pPr>
        <w:pStyle w:val="21"/>
        <w:keepNext w:val="0"/>
        <w:keepLines w:val="0"/>
        <w:pageBreakBefore w:val="0"/>
        <w:tabs>
          <w:tab w:val="left" w:pos="750"/>
        </w:tabs>
        <w:kinsoku/>
        <w:wordWrap/>
        <w:overflowPunct/>
        <w:topLinePunct w:val="0"/>
        <w:autoSpaceDE/>
        <w:autoSpaceDN/>
        <w:bidi w:val="0"/>
        <w:spacing w:beforeAutospacing="0" w:after="0" w:afterAutospacing="0" w:line="576" w:lineRule="exact"/>
        <w:ind w:firstLine="640"/>
        <w:textAlignment w:val="auto"/>
        <w:rPr>
          <w:rFonts w:hint="eastAsia" w:ascii="仿宋_GB2312" w:hAnsi="仿宋" w:eastAsia="仿宋_GB2312" w:cs="仿宋"/>
          <w:color w:val="000000"/>
          <w:sz w:val="32"/>
          <w:szCs w:val="32"/>
        </w:rPr>
      </w:pPr>
      <w:r>
        <w:rPr>
          <w:rFonts w:hint="eastAsia" w:ascii="仿宋_GB2312" w:hAnsi="仿宋" w:eastAsia="仿宋_GB2312" w:cs="仿宋"/>
          <w:color w:val="333333"/>
          <w:sz w:val="32"/>
          <w:szCs w:val="32"/>
        </w:rPr>
        <w:t>1.行政运行</w:t>
      </w:r>
      <w:r>
        <w:rPr>
          <w:rFonts w:hint="eastAsia" w:ascii="仿宋_GB2312" w:hAnsi="仿宋" w:eastAsia="仿宋_GB2312" w:cs="仿宋"/>
          <w:color w:val="333333"/>
          <w:sz w:val="32"/>
          <w:szCs w:val="32"/>
          <w:lang w:val="en-US" w:eastAsia="zh-CN"/>
        </w:rPr>
        <w:t>3771.1205</w:t>
      </w:r>
      <w:r>
        <w:rPr>
          <w:rFonts w:hint="eastAsia" w:ascii="仿宋_GB2312" w:hAnsi="仿宋" w:eastAsia="仿宋_GB2312" w:cs="仿宋"/>
          <w:color w:val="333333"/>
          <w:sz w:val="32"/>
          <w:szCs w:val="32"/>
        </w:rPr>
        <w:t xml:space="preserve">万元，主要用于行政机构人员工资、日常运转支出以及为完成财政特定行政工作任务和事业发展目标而安排的年度项目支出。        </w:t>
      </w:r>
      <w:r>
        <w:rPr>
          <w:rFonts w:hint="eastAsia" w:ascii="仿宋_GB2312" w:hAnsi="仿宋" w:eastAsia="仿宋_GB2312" w:cs="仿宋"/>
          <w:color w:val="000000"/>
          <w:sz w:val="32"/>
          <w:szCs w:val="32"/>
        </w:rPr>
        <w:t xml:space="preserve"> </w:t>
      </w:r>
    </w:p>
    <w:p>
      <w:pPr>
        <w:pStyle w:val="21"/>
        <w:keepNext w:val="0"/>
        <w:keepLines w:val="0"/>
        <w:pageBreakBefore w:val="0"/>
        <w:tabs>
          <w:tab w:val="left" w:pos="750"/>
        </w:tabs>
        <w:kinsoku/>
        <w:wordWrap/>
        <w:overflowPunct/>
        <w:topLinePunct w:val="0"/>
        <w:autoSpaceDE/>
        <w:autoSpaceDN/>
        <w:bidi w:val="0"/>
        <w:spacing w:beforeAutospacing="0" w:after="0" w:afterAutospacing="0" w:line="576" w:lineRule="exact"/>
        <w:ind w:firstLine="64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2、机关事业单位基本养老保险缴费支出</w:t>
      </w:r>
      <w:r>
        <w:rPr>
          <w:rFonts w:hint="eastAsia" w:ascii="仿宋_GB2312" w:hAnsi="仿宋" w:eastAsia="仿宋_GB2312" w:cs="仿宋"/>
          <w:color w:val="000000"/>
          <w:sz w:val="32"/>
          <w:szCs w:val="32"/>
          <w:lang w:val="en-US" w:eastAsia="zh-CN"/>
        </w:rPr>
        <w:t>32.4113</w:t>
      </w:r>
      <w:r>
        <w:rPr>
          <w:rFonts w:hint="eastAsia" w:ascii="仿宋_GB2312" w:hAnsi="仿宋" w:eastAsia="仿宋_GB2312" w:cs="仿宋"/>
          <w:color w:val="000000"/>
          <w:sz w:val="32"/>
          <w:szCs w:val="32"/>
        </w:rPr>
        <w:t>万元。主要用于：按标准规定标准为职工缴纳的机关养老保险单位部分</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3.卫生和健康支出</w:t>
      </w:r>
      <w:r>
        <w:rPr>
          <w:rFonts w:hint="eastAsia" w:ascii="仿宋_GB2312" w:hAnsi="仿宋" w:eastAsia="仿宋_GB2312" w:cs="仿宋"/>
          <w:color w:val="333333"/>
          <w:sz w:val="32"/>
          <w:szCs w:val="32"/>
          <w:lang w:val="en-US" w:eastAsia="zh-CN"/>
        </w:rPr>
        <w:t>20.7438</w:t>
      </w:r>
      <w:r>
        <w:rPr>
          <w:rFonts w:hint="eastAsia" w:ascii="仿宋_GB2312" w:hAnsi="仿宋" w:eastAsia="仿宋_GB2312" w:cs="仿宋"/>
          <w:color w:val="333333"/>
          <w:sz w:val="32"/>
          <w:szCs w:val="32"/>
        </w:rPr>
        <w:t>万元，主要用于行政机构、事业机构按照规定标准为职工缴纳的基本医疗保险及公务员医疗补助等支出。</w:t>
      </w:r>
      <w:r>
        <w:rPr>
          <w:rFonts w:hint="eastAsia" w:ascii="仿宋" w:hAnsi="仿宋" w:eastAsia="仿宋_GB2312" w:cs="仿宋"/>
          <w:color w:val="333333"/>
          <w:sz w:val="32"/>
          <w:szCs w:val="32"/>
        </w:rPr>
        <w:t> </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4.住房</w:t>
      </w:r>
      <w:r>
        <w:rPr>
          <w:rFonts w:hint="eastAsia" w:ascii="仿宋_GB2312" w:hAnsi="仿宋" w:eastAsia="仿宋_GB2312" w:cs="仿宋"/>
          <w:color w:val="333333"/>
          <w:sz w:val="32"/>
          <w:szCs w:val="32"/>
          <w:lang w:val="en-US" w:eastAsia="zh-CN"/>
        </w:rPr>
        <w:t>公积金26.9852</w:t>
      </w:r>
      <w:r>
        <w:rPr>
          <w:rFonts w:hint="eastAsia" w:ascii="仿宋_GB2312" w:hAnsi="仿宋" w:eastAsia="仿宋_GB2312" w:cs="仿宋"/>
          <w:color w:val="333333"/>
          <w:sz w:val="32"/>
          <w:szCs w:val="32"/>
        </w:rPr>
        <w:t>万元，主要用于行政机构、事业机构按照规定标准为职工缴纳住房公积金等支出。</w:t>
      </w:r>
    </w:p>
    <w:p>
      <w:pPr>
        <w:pStyle w:val="21"/>
        <w:keepNext w:val="0"/>
        <w:keepLines w:val="0"/>
        <w:pageBreakBefore w:val="0"/>
        <w:tabs>
          <w:tab w:val="left" w:pos="750"/>
        </w:tabs>
        <w:kinsoku/>
        <w:wordWrap/>
        <w:overflowPunct/>
        <w:topLinePunct w:val="0"/>
        <w:autoSpaceDE/>
        <w:autoSpaceDN/>
        <w:bidi w:val="0"/>
        <w:spacing w:beforeAutospacing="0" w:after="0" w:afterAutospacing="0" w:line="576" w:lineRule="exact"/>
        <w:ind w:firstLine="640"/>
        <w:textAlignment w:val="auto"/>
        <w:rPr>
          <w:rFonts w:hint="eastAsia" w:ascii="仿宋" w:hAnsi="仿宋" w:eastAsia="仿宋_GB2312" w:cs="仿宋"/>
          <w:color w:val="333333"/>
          <w:sz w:val="32"/>
          <w:szCs w:val="32"/>
          <w:lang w:val="en-US" w:eastAsia="zh-CN"/>
        </w:rPr>
      </w:pP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、机关事业单位</w:t>
      </w:r>
      <w:r>
        <w:rPr>
          <w:rFonts w:hint="eastAsia" w:ascii="仿宋_GB2312" w:hAnsi="仿宋" w:eastAsia="仿宋_GB2312" w:cs="仿宋"/>
          <w:color w:val="000000"/>
          <w:sz w:val="32"/>
          <w:szCs w:val="32"/>
          <w:lang w:val="en-US" w:eastAsia="zh-CN"/>
        </w:rPr>
        <w:t>职业年金</w:t>
      </w:r>
      <w:r>
        <w:rPr>
          <w:rFonts w:hint="eastAsia" w:ascii="仿宋_GB2312" w:hAnsi="仿宋" w:eastAsia="仿宋_GB2312" w:cs="仿宋"/>
          <w:color w:val="000000"/>
          <w:sz w:val="32"/>
          <w:szCs w:val="32"/>
        </w:rPr>
        <w:t>缴费支出</w:t>
      </w:r>
      <w:r>
        <w:rPr>
          <w:rFonts w:hint="eastAsia" w:ascii="仿宋_GB2312" w:hAnsi="仿宋" w:eastAsia="仿宋_GB2312" w:cs="仿宋"/>
          <w:color w:val="000000"/>
          <w:sz w:val="32"/>
          <w:szCs w:val="32"/>
          <w:lang w:val="en-US" w:eastAsia="zh-CN"/>
        </w:rPr>
        <w:t>16.2056</w:t>
      </w:r>
      <w:r>
        <w:rPr>
          <w:rFonts w:hint="eastAsia" w:ascii="仿宋_GB2312" w:hAnsi="仿宋" w:eastAsia="仿宋_GB2312" w:cs="仿宋"/>
          <w:color w:val="000000"/>
          <w:sz w:val="32"/>
          <w:szCs w:val="32"/>
        </w:rPr>
        <w:t>万元。主要用于：按标准规定标准为职工缴纳的机关</w:t>
      </w:r>
      <w:r>
        <w:rPr>
          <w:rFonts w:hint="eastAsia" w:ascii="仿宋_GB2312" w:hAnsi="仿宋" w:eastAsia="仿宋_GB2312" w:cs="仿宋"/>
          <w:color w:val="000000"/>
          <w:sz w:val="32"/>
          <w:szCs w:val="32"/>
          <w:lang w:val="en-US" w:eastAsia="zh-CN"/>
        </w:rPr>
        <w:t>职业年金</w:t>
      </w:r>
      <w:r>
        <w:rPr>
          <w:rFonts w:hint="eastAsia" w:ascii="仿宋_GB2312" w:hAnsi="仿宋" w:eastAsia="仿宋_GB2312" w:cs="仿宋"/>
          <w:color w:val="000000"/>
          <w:sz w:val="32"/>
          <w:szCs w:val="32"/>
        </w:rPr>
        <w:t>单位部分</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按经济分类支出情况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6" w:lineRule="exact"/>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1.工资福利性支出：</w:t>
      </w:r>
      <w:r>
        <w:rPr>
          <w:rFonts w:hint="eastAsia" w:ascii="仿宋_GB2312" w:hAnsi="仿宋" w:eastAsia="仿宋_GB2312" w:cs="仿宋"/>
          <w:color w:val="000000"/>
          <w:sz w:val="32"/>
          <w:szCs w:val="32"/>
          <w:lang w:val="en-US" w:eastAsia="zh-CN"/>
        </w:rPr>
        <w:t>383.2511</w:t>
      </w:r>
      <w:r>
        <w:rPr>
          <w:rFonts w:hint="eastAsia" w:ascii="仿宋_GB2312" w:hAnsi="仿宋" w:eastAsia="仿宋_GB2312" w:cs="仿宋"/>
          <w:color w:val="000000"/>
          <w:sz w:val="32"/>
          <w:szCs w:val="32"/>
        </w:rPr>
        <w:t>万元。</w:t>
      </w:r>
      <w:r>
        <w:rPr>
          <w:rFonts w:hint="eastAsia" w:ascii="仿宋" w:hAnsi="仿宋" w:eastAsia="仿宋_GB2312" w:cs="仿宋"/>
          <w:color w:val="00000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6" w:lineRule="exact"/>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2.商品和服务支出：</w:t>
      </w:r>
      <w:r>
        <w:rPr>
          <w:rFonts w:hint="eastAsia" w:ascii="仿宋_GB2312" w:hAnsi="仿宋" w:eastAsia="仿宋_GB2312" w:cs="仿宋"/>
          <w:color w:val="000000"/>
          <w:sz w:val="32"/>
          <w:szCs w:val="32"/>
          <w:lang w:val="en-US" w:eastAsia="zh-CN"/>
        </w:rPr>
        <w:t>2502.4594</w:t>
      </w:r>
      <w:r>
        <w:rPr>
          <w:rFonts w:hint="eastAsia" w:ascii="仿宋_GB2312" w:hAnsi="仿宋" w:eastAsia="仿宋_GB2312" w:cs="仿宋"/>
          <w:color w:val="000000"/>
          <w:sz w:val="32"/>
          <w:szCs w:val="32"/>
        </w:rPr>
        <w:t>万元。</w:t>
      </w:r>
      <w:r>
        <w:rPr>
          <w:rFonts w:hint="eastAsia" w:ascii="仿宋" w:hAnsi="仿宋" w:eastAsia="仿宋_GB2312" w:cs="仿宋"/>
          <w:color w:val="00000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黑体" w:hAnsi="黑体" w:eastAsia="黑体" w:cs="黑体"/>
          <w:sz w:val="32"/>
          <w:szCs w:val="32"/>
          <w:shd w:val="clear" w:color="auto" w:fill="FFFFFF"/>
        </w:rPr>
      </w:pPr>
      <w:r>
        <w:rPr>
          <w:rFonts w:hint="eastAsia" w:ascii="仿宋_GB2312" w:hAnsi="仿宋" w:eastAsia="仿宋_GB2312" w:cs="仿宋"/>
          <w:color w:val="000000"/>
          <w:sz w:val="32"/>
          <w:szCs w:val="32"/>
        </w:rPr>
        <w:t>3.对个人和家庭的补助支出：</w:t>
      </w:r>
      <w:r>
        <w:rPr>
          <w:rFonts w:hint="eastAsia" w:ascii="仿宋_GB2312" w:hAnsi="仿宋" w:eastAsia="仿宋_GB2312" w:cs="仿宋"/>
          <w:color w:val="000000"/>
          <w:sz w:val="32"/>
          <w:szCs w:val="32"/>
          <w:lang w:val="en-US" w:eastAsia="zh-CN"/>
        </w:rPr>
        <w:t>54.2182</w:t>
      </w:r>
      <w:r>
        <w:rPr>
          <w:rFonts w:hint="eastAsia" w:ascii="仿宋_GB2312" w:hAnsi="仿宋" w:eastAsia="仿宋_GB2312" w:cs="仿宋"/>
          <w:color w:val="000000"/>
          <w:sz w:val="32"/>
          <w:szCs w:val="32"/>
        </w:rPr>
        <w:t>万元。</w:t>
      </w:r>
      <w:r>
        <w:rPr>
          <w:rFonts w:hint="eastAsia" w:ascii="黑体" w:hAnsi="黑体" w:eastAsia="黑体" w:cs="黑体"/>
          <w:sz w:val="32"/>
          <w:szCs w:val="32"/>
          <w:shd w:val="clear" w:color="auto" w:fill="FFFFFF"/>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576" w:lineRule="exact"/>
        <w:textAlignment w:val="auto"/>
        <w:rPr>
          <w:rFonts w:hint="eastAsia" w:eastAsia="黑体"/>
          <w:lang w:val="en-US" w:eastAsia="zh-CN"/>
        </w:rPr>
      </w:pPr>
      <w:r>
        <w:rPr>
          <w:rFonts w:hint="eastAsia" w:ascii="黑体" w:hAnsi="黑体" w:eastAsia="黑体" w:cs="黑体"/>
          <w:sz w:val="32"/>
          <w:szCs w:val="32"/>
          <w:shd w:val="clear" w:color="auto" w:fill="FFFFFF"/>
          <w:lang w:val="en-US" w:eastAsia="zh-CN"/>
        </w:rPr>
        <w:t xml:space="preserve">   </w:t>
      </w:r>
      <w:r>
        <w:rPr>
          <w:rFonts w:hint="eastAsia" w:ascii="仿宋_GB2312" w:hAnsi="仿宋" w:eastAsia="仿宋_GB2312" w:cs="仿宋"/>
          <w:b w:val="0"/>
          <w:color w:val="000000"/>
          <w:kern w:val="0"/>
          <w:sz w:val="32"/>
          <w:szCs w:val="32"/>
          <w:lang w:val="en-US" w:eastAsia="zh-CN" w:bidi="ar"/>
        </w:rPr>
        <w:t xml:space="preserve"> 4.资本性支出927.5377万元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黑体" w:hAnsi="黑体" w:eastAsia="黑体" w:cs="黑体"/>
          <w:sz w:val="32"/>
          <w:szCs w:val="32"/>
          <w:shd w:val="clear" w:color="auto" w:fill="FFFFFF"/>
        </w:rPr>
        <w:t>六、一般公共预算财政拨款基本支出决算情况说明  </w:t>
      </w:r>
      <w:r>
        <w:rPr>
          <w:shd w:val="clear" w:color="auto" w:fill="FFFFFF"/>
        </w:rPr>
        <w:t> </w:t>
      </w:r>
    </w:p>
    <w:p>
      <w:pPr>
        <w:keepNext w:val="0"/>
        <w:keepLines w:val="0"/>
        <w:pageBreakBefore w:val="0"/>
        <w:shd w:val="clear" w:color="auto" w:fill="FFFFFF"/>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color w:val="000000"/>
          <w:sz w:val="32"/>
          <w:szCs w:val="32"/>
          <w:lang w:val="en-US" w:eastAsia="zh-CN"/>
        </w:rPr>
        <w:t>3867.4664</w:t>
      </w:r>
      <w:r>
        <w:rPr>
          <w:rFonts w:hint="eastAsia" w:ascii="仿宋_GB2312" w:hAnsi="仿宋" w:eastAsia="仿宋_GB2312" w:cs="仿宋"/>
          <w:color w:val="000000"/>
          <w:sz w:val="32"/>
          <w:szCs w:val="32"/>
        </w:rPr>
        <w:t>万元，其中：</w:t>
      </w:r>
      <w:r>
        <w:rPr>
          <w:rFonts w:hint="eastAsia" w:ascii="仿宋_GB2312" w:hAnsi="仿宋" w:eastAsia="仿宋_GB2312" w:cs="仿宋"/>
          <w:color w:val="000000"/>
          <w:sz w:val="32"/>
          <w:szCs w:val="32"/>
          <w:lang w:val="en-US" w:eastAsia="zh-CN"/>
        </w:rPr>
        <w:t>基本支出493.6616万元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项目支出3373.8048万元</w:t>
      </w:r>
      <w:r>
        <w:rPr>
          <w:rFonts w:hint="eastAsia" w:ascii="仿宋_GB2312" w:hAnsi="仿宋" w:eastAsia="仿宋_GB2312" w:cs="仿宋"/>
          <w:color w:val="000000"/>
          <w:sz w:val="32"/>
          <w:szCs w:val="32"/>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七、“三公”经费财政拨款支出决算情况说明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val="0"/>
          <w:sz w:val="32"/>
          <w:szCs w:val="32"/>
        </w:rPr>
      </w:pPr>
      <w:r>
        <w:rPr>
          <w:rStyle w:val="18"/>
          <w:rFonts w:hint="eastAsia" w:ascii="楷体_GB2312" w:hAnsi="楷体_GB2312" w:eastAsia="楷体_GB2312" w:cs="楷体_GB2312"/>
          <w:b/>
          <w:bCs w:val="0"/>
          <w:sz w:val="32"/>
          <w:szCs w:val="32"/>
          <w:shd w:val="clear" w:color="auto" w:fill="FFFFFF"/>
        </w:rPr>
        <w:t>（一）“三公”经费财政拨款支出决算总体情况说明</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年“三公”经费预算安排支出：</w:t>
      </w:r>
      <w:r>
        <w:rPr>
          <w:rFonts w:hint="eastAsia" w:ascii="仿宋_GB2312" w:hAnsi="仿宋" w:eastAsia="仿宋_GB2312" w:cs="仿宋"/>
          <w:color w:val="333333"/>
          <w:sz w:val="32"/>
          <w:szCs w:val="32"/>
          <w:lang w:val="en-US" w:eastAsia="zh-CN"/>
        </w:rPr>
        <w:t>4.6995</w:t>
      </w:r>
      <w:r>
        <w:rPr>
          <w:rFonts w:hint="eastAsia" w:ascii="仿宋_GB2312" w:hAnsi="仿宋" w:eastAsia="仿宋_GB2312" w:cs="仿宋"/>
          <w:color w:val="333333"/>
          <w:sz w:val="32"/>
          <w:szCs w:val="32"/>
        </w:rPr>
        <w:t>万元。</w:t>
      </w:r>
    </w:p>
    <w:p>
      <w:pPr>
        <w:keepNext w:val="0"/>
        <w:keepLines w:val="0"/>
        <w:pageBreakBefore w:val="0"/>
        <w:kinsoku/>
        <w:wordWrap/>
        <w:overflowPunct/>
        <w:topLinePunct w:val="0"/>
        <w:autoSpaceDE/>
        <w:autoSpaceDN/>
        <w:bidi w:val="0"/>
        <w:adjustRightInd/>
        <w:spacing w:beforeAutospacing="0" w:after="0" w:afterAutospacing="0" w:line="576" w:lineRule="exact"/>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1.因公出国（境）经费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w:t>
      </w:r>
      <w:r>
        <w:rPr>
          <w:rFonts w:hint="eastAsia" w:ascii="仿宋_GB2312" w:hAnsi="仿宋" w:eastAsia="仿宋_GB2312" w:cs="仿宋"/>
          <w:color w:val="333333"/>
          <w:sz w:val="32"/>
          <w:szCs w:val="32"/>
          <w:lang w:val="en-US" w:eastAsia="zh-CN"/>
        </w:rPr>
        <w:t>无</w:t>
      </w:r>
      <w:r>
        <w:rPr>
          <w:rFonts w:hint="eastAsia" w:ascii="仿宋_GB2312" w:hAnsi="仿宋" w:eastAsia="仿宋_GB2312" w:cs="仿宋"/>
          <w:color w:val="333333"/>
          <w:sz w:val="32"/>
          <w:szCs w:val="32"/>
        </w:rPr>
        <w:t>因公出国（境）。</w:t>
      </w:r>
    </w:p>
    <w:p>
      <w:pPr>
        <w:keepNext w:val="0"/>
        <w:keepLines w:val="0"/>
        <w:pageBreakBefore w:val="0"/>
        <w:kinsoku/>
        <w:wordWrap/>
        <w:overflowPunct/>
        <w:topLinePunct w:val="0"/>
        <w:autoSpaceDE/>
        <w:autoSpaceDN/>
        <w:bidi w:val="0"/>
        <w:adjustRightInd/>
        <w:spacing w:beforeAutospacing="0" w:after="0" w:afterAutospacing="0" w:line="576" w:lineRule="exact"/>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2.公务接待费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w:t>
      </w:r>
      <w:r>
        <w:rPr>
          <w:rFonts w:hint="eastAsia" w:ascii="仿宋_GB2312" w:hAnsi="仿宋" w:eastAsia="仿宋_GB2312" w:cs="仿宋"/>
          <w:color w:val="333333"/>
          <w:sz w:val="32"/>
          <w:szCs w:val="32"/>
          <w:lang w:val="en-US" w:eastAsia="zh-CN"/>
        </w:rPr>
        <w:t>无</w:t>
      </w:r>
      <w:r>
        <w:rPr>
          <w:rFonts w:hint="eastAsia" w:ascii="仿宋_GB2312" w:hAnsi="仿宋" w:eastAsia="仿宋_GB2312" w:cs="仿宋"/>
          <w:color w:val="333333"/>
          <w:sz w:val="32"/>
          <w:szCs w:val="32"/>
        </w:rPr>
        <w:t>公务接待费</w:t>
      </w:r>
      <w:r>
        <w:rPr>
          <w:rFonts w:hint="eastAsia" w:ascii="仿宋_GB2312" w:hAnsi="仿宋" w:eastAsia="仿宋_GB2312" w:cs="仿宋"/>
          <w:color w:val="333333"/>
          <w:sz w:val="32"/>
          <w:szCs w:val="32"/>
          <w:lang w:val="en-US" w:eastAsia="zh-CN"/>
        </w:rPr>
        <w:t>，</w:t>
      </w:r>
      <w:r>
        <w:rPr>
          <w:rFonts w:hint="eastAsia" w:ascii="仿宋_GB2312" w:hAnsi="仿宋" w:eastAsia="仿宋_GB2312" w:cs="仿宋"/>
          <w:color w:val="333333"/>
          <w:sz w:val="32"/>
          <w:szCs w:val="32"/>
        </w:rPr>
        <w:t>严格执行厉行节约的要求，认真贯彻落实中央八项规定及省委省政府十项规定要求，严格控制接待规模及接待标准。</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color w:val="333333"/>
          <w:sz w:val="32"/>
          <w:szCs w:val="32"/>
          <w:lang w:eastAsia="zh-CN"/>
        </w:rPr>
      </w:pPr>
      <w:r>
        <w:rPr>
          <w:rFonts w:hint="eastAsia" w:ascii="仿宋_GB2312" w:hAnsi="仿宋" w:eastAsia="仿宋_GB2312" w:cs="仿宋"/>
          <w:color w:val="333333"/>
          <w:sz w:val="32"/>
          <w:szCs w:val="32"/>
        </w:rPr>
        <w:t xml:space="preserve"> 3.公务用车购置及运行维护费，202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年公务用车运行维护费</w:t>
      </w:r>
      <w:r>
        <w:rPr>
          <w:rFonts w:hint="eastAsia" w:ascii="仿宋_GB2312" w:hAnsi="仿宋" w:eastAsia="仿宋_GB2312" w:cs="仿宋"/>
          <w:color w:val="333333"/>
          <w:sz w:val="32"/>
          <w:szCs w:val="32"/>
          <w:lang w:val="en-US" w:eastAsia="zh-CN"/>
        </w:rPr>
        <w:t>4.6995</w:t>
      </w:r>
      <w:r>
        <w:rPr>
          <w:rFonts w:hint="eastAsia" w:ascii="仿宋_GB2312" w:hAnsi="仿宋" w:eastAsia="仿宋_GB2312" w:cs="仿宋"/>
          <w:color w:val="333333"/>
          <w:sz w:val="32"/>
          <w:szCs w:val="32"/>
        </w:rPr>
        <w:t>万元</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严格执行厉行节约的要求，坚认真贯彻落实中央八项规定及省委省政府十项规定要求</w:t>
      </w:r>
      <w:r>
        <w:rPr>
          <w:rFonts w:hint="eastAsia" w:ascii="仿宋_GB2312" w:hAnsi="仿宋" w:eastAsia="仿宋_GB2312" w:cs="仿宋"/>
          <w:color w:val="333333"/>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val="0"/>
          <w:sz w:val="32"/>
          <w:szCs w:val="32"/>
        </w:rPr>
      </w:pPr>
      <w:r>
        <w:rPr>
          <w:rStyle w:val="18"/>
          <w:rFonts w:hint="eastAsia" w:ascii="楷体_GB2312" w:hAnsi="楷体_GB2312" w:eastAsia="楷体_GB2312" w:cs="楷体_GB2312"/>
          <w:b/>
          <w:bCs w:val="0"/>
          <w:sz w:val="32"/>
          <w:szCs w:val="32"/>
          <w:shd w:val="clear" w:color="auto" w:fill="FFFFFF"/>
        </w:rPr>
        <w:t>（二）“三公”经费财政拨款支出决算具体情况说明</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年“三公”经费预算安排支出：</w:t>
      </w:r>
      <w:r>
        <w:rPr>
          <w:rFonts w:hint="eastAsia" w:ascii="仿宋_GB2312" w:hAnsi="仿宋" w:eastAsia="仿宋_GB2312" w:cs="仿宋"/>
          <w:color w:val="333333"/>
          <w:sz w:val="32"/>
          <w:szCs w:val="32"/>
          <w:lang w:val="en-US" w:eastAsia="zh-CN"/>
        </w:rPr>
        <w:t>4.6995</w:t>
      </w:r>
      <w:r>
        <w:rPr>
          <w:rFonts w:hint="eastAsia" w:ascii="仿宋_GB2312" w:hAnsi="仿宋" w:eastAsia="仿宋_GB2312" w:cs="仿宋"/>
          <w:color w:val="333333"/>
          <w:sz w:val="32"/>
          <w:szCs w:val="32"/>
        </w:rPr>
        <w:t>万元。</w:t>
      </w:r>
    </w:p>
    <w:p>
      <w:pPr>
        <w:keepNext w:val="0"/>
        <w:keepLines w:val="0"/>
        <w:pageBreakBefore w:val="0"/>
        <w:kinsoku/>
        <w:wordWrap/>
        <w:overflowPunct/>
        <w:topLinePunct w:val="0"/>
        <w:autoSpaceDE/>
        <w:autoSpaceDN/>
        <w:bidi w:val="0"/>
        <w:adjustRightInd/>
        <w:spacing w:beforeAutospacing="0" w:after="0" w:afterAutospacing="0" w:line="576" w:lineRule="exact"/>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1.因公出国（境）经费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w:t>
      </w:r>
      <w:r>
        <w:rPr>
          <w:rFonts w:hint="eastAsia" w:ascii="仿宋_GB2312" w:hAnsi="仿宋" w:eastAsia="仿宋_GB2312" w:cs="仿宋"/>
          <w:color w:val="333333"/>
          <w:sz w:val="32"/>
          <w:szCs w:val="32"/>
          <w:lang w:val="en-US" w:eastAsia="zh-CN"/>
        </w:rPr>
        <w:t>无</w:t>
      </w:r>
      <w:r>
        <w:rPr>
          <w:rFonts w:hint="eastAsia" w:ascii="仿宋_GB2312" w:hAnsi="仿宋" w:eastAsia="仿宋_GB2312" w:cs="仿宋"/>
          <w:color w:val="333333"/>
          <w:sz w:val="32"/>
          <w:szCs w:val="32"/>
        </w:rPr>
        <w:t>因公出国（境）。</w:t>
      </w:r>
    </w:p>
    <w:p>
      <w:pPr>
        <w:keepNext w:val="0"/>
        <w:keepLines w:val="0"/>
        <w:pageBreakBefore w:val="0"/>
        <w:kinsoku/>
        <w:wordWrap/>
        <w:overflowPunct/>
        <w:topLinePunct w:val="0"/>
        <w:autoSpaceDE/>
        <w:autoSpaceDN/>
        <w:bidi w:val="0"/>
        <w:adjustRightInd/>
        <w:spacing w:beforeAutospacing="0" w:after="0" w:afterAutospacing="0" w:line="576" w:lineRule="exact"/>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2.公务接待费</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w:t>
      </w:r>
      <w:r>
        <w:rPr>
          <w:rFonts w:hint="eastAsia" w:ascii="仿宋_GB2312" w:hAnsi="仿宋" w:eastAsia="仿宋_GB2312" w:cs="仿宋"/>
          <w:color w:val="333333"/>
          <w:sz w:val="32"/>
          <w:szCs w:val="32"/>
          <w:lang w:val="en-US" w:eastAsia="zh-CN"/>
        </w:rPr>
        <w:t>无</w:t>
      </w:r>
      <w:r>
        <w:rPr>
          <w:rFonts w:hint="eastAsia" w:ascii="仿宋_GB2312" w:hAnsi="仿宋" w:eastAsia="仿宋_GB2312" w:cs="仿宋"/>
          <w:color w:val="333333"/>
          <w:sz w:val="32"/>
          <w:szCs w:val="32"/>
        </w:rPr>
        <w:t>公务接待费</w:t>
      </w:r>
      <w:r>
        <w:rPr>
          <w:rFonts w:hint="eastAsia" w:ascii="仿宋_GB2312" w:hAnsi="仿宋" w:eastAsia="仿宋_GB2312" w:cs="仿宋"/>
          <w:color w:val="333333"/>
          <w:sz w:val="32"/>
          <w:szCs w:val="32"/>
          <w:lang w:val="en-US" w:eastAsia="zh-CN"/>
        </w:rPr>
        <w:t>，</w:t>
      </w:r>
      <w:r>
        <w:rPr>
          <w:rFonts w:hint="eastAsia" w:ascii="仿宋_GB2312" w:hAnsi="仿宋" w:eastAsia="仿宋_GB2312" w:cs="仿宋"/>
          <w:color w:val="333333"/>
          <w:sz w:val="32"/>
          <w:szCs w:val="32"/>
        </w:rPr>
        <w:t>严格执行厉行节约的要求，认真贯彻落实中央八项规定及省委省政府十项规定要求，严格控制接待规模及接待标准。</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黑体" w:hAnsi="黑体" w:eastAsia="黑体" w:cs="黑体"/>
          <w:sz w:val="32"/>
          <w:szCs w:val="32"/>
          <w:shd w:val="clear" w:color="auto" w:fill="FFFFFF"/>
        </w:rPr>
      </w:pPr>
      <w:r>
        <w:rPr>
          <w:rFonts w:hint="eastAsia" w:ascii="仿宋_GB2312" w:hAnsi="仿宋" w:eastAsia="仿宋_GB2312" w:cs="仿宋"/>
          <w:color w:val="333333"/>
          <w:sz w:val="32"/>
          <w:szCs w:val="32"/>
        </w:rPr>
        <w:t xml:space="preserve"> 3.公务用车购置及运行维护费，202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年公务用车运行维护费</w:t>
      </w:r>
      <w:r>
        <w:rPr>
          <w:rFonts w:hint="eastAsia" w:ascii="仿宋_GB2312" w:hAnsi="仿宋" w:eastAsia="仿宋_GB2312" w:cs="仿宋"/>
          <w:color w:val="333333"/>
          <w:sz w:val="32"/>
          <w:szCs w:val="32"/>
          <w:lang w:val="en-US" w:eastAsia="zh-CN"/>
        </w:rPr>
        <w:t>4.6995</w:t>
      </w:r>
      <w:r>
        <w:rPr>
          <w:rFonts w:hint="eastAsia" w:ascii="仿宋_GB2312" w:hAnsi="仿宋" w:eastAsia="仿宋_GB2312" w:cs="仿宋"/>
          <w:color w:val="333333"/>
          <w:sz w:val="32"/>
          <w:szCs w:val="32"/>
        </w:rPr>
        <w:t>万元</w:t>
      </w:r>
      <w:r>
        <w:rPr>
          <w:rFonts w:hint="eastAsia" w:ascii="仿宋_GB2312" w:hAnsi="仿宋" w:eastAsia="仿宋_GB2312" w:cs="仿宋"/>
          <w:color w:val="333333"/>
          <w:sz w:val="32"/>
          <w:szCs w:val="32"/>
          <w:lang w:eastAsia="zh-CN"/>
        </w:rPr>
        <w:t>，</w:t>
      </w:r>
      <w:r>
        <w:rPr>
          <w:rFonts w:hint="eastAsia" w:ascii="仿宋_GB2312" w:hAnsi="仿宋" w:eastAsia="仿宋_GB2312" w:cs="仿宋"/>
          <w:color w:val="333333"/>
          <w:sz w:val="32"/>
          <w:szCs w:val="32"/>
        </w:rPr>
        <w:t>严格执行厉行节约的要求，坚认真贯彻落实中央八项规定及省委省政府十项规定要求</w:t>
      </w:r>
      <w:r>
        <w:rPr>
          <w:rFonts w:hint="eastAsia" w:ascii="仿宋_GB2312" w:hAnsi="仿宋" w:eastAsia="仿宋_GB2312" w:cs="仿宋"/>
          <w:color w:val="333333"/>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八、政府性基金预算支出决算情况说明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年政府性基金预算支出</w:t>
      </w:r>
      <w:r>
        <w:rPr>
          <w:rFonts w:hint="eastAsia" w:ascii="仿宋_GB2312" w:hAnsi="仿宋" w:eastAsia="仿宋_GB2312" w:cs="仿宋"/>
          <w:sz w:val="32"/>
          <w:szCs w:val="32"/>
          <w:lang w:val="en-US" w:eastAsia="zh-CN"/>
        </w:rPr>
        <w:t>决算为296</w:t>
      </w:r>
      <w:r>
        <w:rPr>
          <w:rFonts w:hint="eastAsia" w:ascii="仿宋_GB2312" w:hAnsi="仿宋" w:eastAsia="仿宋_GB2312" w:cs="仿宋"/>
          <w:sz w:val="32"/>
          <w:szCs w:val="32"/>
        </w:rPr>
        <w:t>万元。</w:t>
      </w: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九、国有资本经营预算支出决算情况说明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2022年国有资本经营预算财政拨款支出</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万元。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十、其他重要事项的情况说明</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（一）机关运行经费支出情况</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年度，机关运行经费支出</w:t>
      </w:r>
      <w:r>
        <w:rPr>
          <w:rFonts w:hint="eastAsia" w:ascii="仿宋_GB2312" w:hAnsi="仿宋" w:eastAsia="仿宋_GB2312" w:cs="仿宋"/>
          <w:sz w:val="32"/>
          <w:szCs w:val="32"/>
          <w:lang w:val="en-US" w:eastAsia="zh-CN"/>
        </w:rPr>
        <w:t>91.8323</w:t>
      </w:r>
      <w:r>
        <w:rPr>
          <w:rFonts w:hint="eastAsia" w:ascii="仿宋_GB2312" w:hAnsi="仿宋" w:eastAsia="仿宋_GB2312" w:cs="仿宋"/>
          <w:sz w:val="32"/>
          <w:szCs w:val="32"/>
        </w:rPr>
        <w:t>万元。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（二）政府采购支出情况</w:t>
      </w:r>
    </w:p>
    <w:p>
      <w:pPr>
        <w:keepNext w:val="0"/>
        <w:keepLines w:val="0"/>
        <w:pageBreakBefore w:val="0"/>
        <w:kinsoku/>
        <w:wordWrap/>
        <w:overflowPunct/>
        <w:topLinePunct w:val="0"/>
        <w:autoSpaceDE/>
        <w:autoSpaceDN/>
        <w:bidi w:val="0"/>
        <w:adjustRightInd/>
        <w:spacing w:beforeAutospacing="0" w:after="0" w:afterAutospacing="0"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年度，政府采购支出总额</w:t>
      </w:r>
      <w:r>
        <w:rPr>
          <w:rFonts w:hint="eastAsia" w:ascii="仿宋_GB2312" w:hAnsi="仿宋" w:eastAsia="仿宋_GB2312" w:cs="仿宋"/>
          <w:sz w:val="32"/>
          <w:szCs w:val="32"/>
          <w:lang w:val="en-US" w:eastAsia="zh-CN"/>
        </w:rPr>
        <w:t>39.77</w:t>
      </w:r>
      <w:r>
        <w:rPr>
          <w:rFonts w:hint="eastAsia" w:ascii="仿宋_GB2312" w:hAnsi="仿宋" w:eastAsia="仿宋_GB2312" w:cs="仿宋"/>
          <w:sz w:val="32"/>
          <w:szCs w:val="32"/>
        </w:rPr>
        <w:t>万元。</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（三）国有资产占有使用情况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sz w:val="32"/>
          <w:szCs w:val="32"/>
        </w:rPr>
        <w:t>松潘县</w:t>
      </w:r>
      <w:r>
        <w:rPr>
          <w:rFonts w:hint="eastAsia" w:ascii="仿宋_GB2312" w:hAnsi="仿宋" w:eastAsia="仿宋_GB2312" w:cs="仿宋"/>
          <w:sz w:val="32"/>
          <w:szCs w:val="32"/>
          <w:lang w:eastAsia="zh-CN"/>
        </w:rPr>
        <w:t>水务</w:t>
      </w:r>
      <w:r>
        <w:rPr>
          <w:rFonts w:hint="eastAsia" w:ascii="仿宋_GB2312" w:hAnsi="仿宋" w:eastAsia="仿宋_GB2312" w:cs="仿宋"/>
          <w:sz w:val="32"/>
          <w:szCs w:val="32"/>
        </w:rPr>
        <w:t>局固定资产总额 210.65万元。</w:t>
      </w:r>
      <w:r>
        <w:rPr>
          <w:rFonts w:hint="eastAsia" w:ascii="仿宋_GB2312" w:hAnsi="仿宋" w:eastAsia="仿宋_GB2312" w:cs="仿宋"/>
          <w:color w:val="333333"/>
          <w:sz w:val="32"/>
          <w:szCs w:val="32"/>
        </w:rPr>
        <w:t>截至202</w:t>
      </w:r>
      <w:r>
        <w:rPr>
          <w:rFonts w:hint="eastAsia" w:ascii="仿宋_GB2312" w:hAnsi="仿宋" w:eastAsia="仿宋_GB2312" w:cs="仿宋"/>
          <w:color w:val="333333"/>
          <w:sz w:val="32"/>
          <w:szCs w:val="32"/>
          <w:lang w:val="en-US" w:eastAsia="zh-CN"/>
        </w:rPr>
        <w:t>2</w:t>
      </w:r>
      <w:r>
        <w:rPr>
          <w:rFonts w:hint="eastAsia" w:ascii="仿宋_GB2312" w:hAnsi="仿宋" w:eastAsia="仿宋_GB2312" w:cs="仿宋"/>
          <w:color w:val="333333"/>
          <w:sz w:val="32"/>
          <w:szCs w:val="32"/>
        </w:rPr>
        <w:t>年，共有公务用车</w:t>
      </w:r>
      <w:r>
        <w:rPr>
          <w:rFonts w:hint="eastAsia" w:ascii="仿宋_GB2312" w:hAnsi="仿宋" w:eastAsia="仿宋_GB2312" w:cs="仿宋"/>
          <w:color w:val="333333"/>
          <w:sz w:val="32"/>
          <w:szCs w:val="32"/>
          <w:lang w:val="en-US" w:eastAsia="zh-CN"/>
        </w:rPr>
        <w:t>1</w:t>
      </w:r>
      <w:r>
        <w:rPr>
          <w:rFonts w:hint="eastAsia" w:ascii="仿宋_GB2312" w:hAnsi="仿宋" w:eastAsia="仿宋_GB2312" w:cs="仿宋"/>
          <w:color w:val="333333"/>
          <w:sz w:val="32"/>
          <w:szCs w:val="32"/>
        </w:rPr>
        <w:t>辆，其中：一般公务用车</w:t>
      </w:r>
      <w:r>
        <w:rPr>
          <w:rFonts w:hint="eastAsia" w:ascii="仿宋_GB2312" w:hAnsi="仿宋" w:eastAsia="仿宋_GB2312" w:cs="仿宋"/>
          <w:color w:val="333333"/>
          <w:sz w:val="32"/>
          <w:szCs w:val="32"/>
          <w:lang w:val="en-US" w:eastAsia="zh-CN"/>
        </w:rPr>
        <w:t>1</w:t>
      </w:r>
      <w:r>
        <w:rPr>
          <w:rFonts w:hint="eastAsia" w:ascii="仿宋_GB2312" w:hAnsi="仿宋" w:eastAsia="仿宋_GB2312" w:cs="仿宋"/>
          <w:color w:val="333333"/>
          <w:sz w:val="32"/>
          <w:szCs w:val="32"/>
        </w:rPr>
        <w:t>辆；无单价</w:t>
      </w:r>
      <w:r>
        <w:rPr>
          <w:rFonts w:hint="eastAsia" w:ascii="仿宋_GB2312" w:hAnsi="仿宋" w:eastAsia="仿宋_GB2312" w:cs="仿宋"/>
          <w:color w:val="333333"/>
          <w:sz w:val="32"/>
          <w:szCs w:val="32"/>
          <w:lang w:val="en-US" w:eastAsia="zh-CN"/>
        </w:rPr>
        <w:t>50</w:t>
      </w:r>
      <w:r>
        <w:rPr>
          <w:rFonts w:hint="eastAsia" w:ascii="仿宋_GB2312" w:hAnsi="仿宋" w:eastAsia="仿宋_GB2312" w:cs="仿宋"/>
          <w:color w:val="333333"/>
          <w:sz w:val="32"/>
          <w:szCs w:val="32"/>
        </w:rPr>
        <w:t>万元以上通用设备及单价</w:t>
      </w:r>
      <w:r>
        <w:rPr>
          <w:rFonts w:hint="eastAsia" w:ascii="仿宋_GB2312" w:hAnsi="仿宋" w:eastAsia="仿宋_GB2312" w:cs="仿宋"/>
          <w:color w:val="333333"/>
          <w:sz w:val="32"/>
          <w:szCs w:val="32"/>
          <w:lang w:val="en-US" w:eastAsia="zh-CN"/>
        </w:rPr>
        <w:t>50</w:t>
      </w:r>
      <w:r>
        <w:rPr>
          <w:rFonts w:hint="eastAsia" w:ascii="仿宋_GB2312" w:hAnsi="仿宋" w:eastAsia="仿宋_GB2312" w:cs="仿宋"/>
          <w:color w:val="333333"/>
          <w:sz w:val="32"/>
          <w:szCs w:val="32"/>
        </w:rPr>
        <w:t>万元以上专用设备。</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Style w:val="18"/>
          <w:rFonts w:hint="eastAsia" w:ascii="楷体_GB2312" w:hAnsi="楷体_GB2312" w:eastAsia="楷体_GB2312" w:cs="楷体_GB2312"/>
          <w:b/>
          <w:bCs w:val="0"/>
          <w:sz w:val="32"/>
          <w:szCs w:val="32"/>
          <w:shd w:val="clear" w:color="auto" w:fill="FFFFFF"/>
        </w:rPr>
      </w:pPr>
      <w:r>
        <w:rPr>
          <w:rStyle w:val="18"/>
          <w:rFonts w:hint="eastAsia" w:ascii="楷体_GB2312" w:hAnsi="楷体_GB2312" w:eastAsia="楷体_GB2312" w:cs="楷体_GB2312"/>
          <w:b/>
          <w:bCs w:val="0"/>
          <w:sz w:val="32"/>
          <w:szCs w:val="32"/>
          <w:shd w:val="clear" w:color="auto" w:fill="FFFFFF"/>
        </w:rPr>
        <w:t>（四）预算绩效管理情况</w:t>
      </w:r>
    </w:p>
    <w:p>
      <w:pPr>
        <w:pStyle w:val="15"/>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firstLine="640" w:firstLineChars="200"/>
        <w:textAlignment w:val="auto"/>
      </w:pPr>
      <w:r>
        <w:rPr>
          <w:rFonts w:hint="eastAsia" w:ascii="仿宋_GB2312" w:hAnsi="仿宋" w:eastAsia="仿宋_GB2312" w:cs="仿宋"/>
          <w:sz w:val="32"/>
          <w:szCs w:val="32"/>
          <w:lang w:eastAsia="zh-CN"/>
        </w:rPr>
        <w:t>根据预算绩效管理要求，本部门在2022年度预算编制阶段，组织对</w:t>
      </w:r>
      <w:r>
        <w:rPr>
          <w:rFonts w:hint="eastAsia" w:ascii="仿宋_GB2312" w:hAnsi="仿宋" w:eastAsia="仿宋_GB2312" w:cs="仿宋"/>
          <w:sz w:val="32"/>
          <w:szCs w:val="32"/>
          <w:lang w:val="en-US" w:eastAsia="zh-CN"/>
        </w:rPr>
        <w:t>松潘县2022年农村饮水安全维修养护项目</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个项目开展了预算事前绩效评估，对</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个项目编制了绩效目标，预算执行过程中，选取</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个项目开展绩效监控。组织对2022年度一般公共预算、政府性基金预算、国有资本经营预算、社会保险基金预算以及资本资产、债券资金等全面开展绩效自评，形成</w:t>
      </w:r>
      <w:r>
        <w:rPr>
          <w:rFonts w:hint="eastAsia" w:ascii="仿宋_GB2312" w:hAnsi="仿宋" w:eastAsia="仿宋_GB2312" w:cs="仿宋"/>
          <w:sz w:val="32"/>
          <w:szCs w:val="32"/>
          <w:lang w:val="en-US" w:eastAsia="zh-CN"/>
        </w:rPr>
        <w:t>水务局</w:t>
      </w:r>
      <w:r>
        <w:rPr>
          <w:rFonts w:hint="eastAsia" w:ascii="仿宋_GB2312" w:hAnsi="仿宋" w:eastAsia="仿宋_GB2312" w:cs="仿宋"/>
          <w:sz w:val="32"/>
          <w:szCs w:val="32"/>
          <w:lang w:eastAsia="zh-CN"/>
        </w:rPr>
        <w:t>部门整体（含部门预算项目）绩效自评报告、</w:t>
      </w:r>
      <w:r>
        <w:rPr>
          <w:rFonts w:hint="eastAsia" w:ascii="仿宋_GB2312" w:hAnsi="仿宋" w:eastAsia="仿宋_GB2312" w:cs="仿宋"/>
          <w:sz w:val="32"/>
          <w:szCs w:val="32"/>
          <w:lang w:val="en-US" w:eastAsia="zh-CN"/>
        </w:rPr>
        <w:t>松潘县2022年农村饮水安全维修养护项目</w:t>
      </w:r>
      <w:r>
        <w:rPr>
          <w:rFonts w:hint="eastAsia" w:ascii="仿宋_GB2312" w:hAnsi="仿宋" w:eastAsia="仿宋_GB2312" w:cs="仿宋"/>
          <w:sz w:val="32"/>
          <w:szCs w:val="32"/>
          <w:lang w:eastAsia="zh-CN"/>
        </w:rPr>
        <w:t>等专项预算项目绩效自评报告。</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rStyle w:val="18"/>
          <w:sz w:val="39"/>
          <w:szCs w:val="39"/>
          <w:shd w:val="clear" w:color="auto" w:fill="FFFFFF"/>
        </w:rPr>
        <w:t>第三部分 名词解释</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1.财政拨款收入：指州级财政当年拨付的资金。</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2.事业收入：指事业单位开展专业业务活动及辅助活动所取得的收入。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3.经营收入：指事业单位在专业业务活动及其辅助活动之外开展非独立核算经营活动取得的收入。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4.其他收入：指除上述“财政拨款收入”“事业收入”“经营收入”等以外的收入。</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6.年初结转和结余：指以前年度尚未完成、结转到本年按有关规定继续使用的资金。</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7.社会保障和就业2080101：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8.卫生和健康支出：指职工的医疗保险。</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9.住房保障支出2210201：指职工的住房公积金。</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10.结余分配：指事业单位按规定提取的职工福利基金、事业基金和缴纳的所得税，以及建设单位按规定应交回的基本建设竣工项目结余资金。</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11.年末结转和结余：指本年度或以前年度预算安排、因客观条件发生变化无法按原计划实施，需延迟到以后年度按有关规定继续使用的资金。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12.基本支出：指为保障机构正常运转、完成日常工作任务而发生的人员支出和公用支出。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13.项目支出：指在基本支出之外为完成特定行政任务和事业发展目标所发生的支出。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14.经营支出：指事业单位在专业业务活动及其辅助活动之外开展非独立核算经营活动发生的支出。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15.“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 xml:space="preserve">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rStyle w:val="18"/>
          <w:sz w:val="39"/>
          <w:szCs w:val="39"/>
          <w:shd w:val="clear" w:color="auto" w:fill="FFFFFF"/>
        </w:rPr>
        <w:t>第四部分 附件</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shd w:val="clear" w:color="auto" w:fill="FFFFFF"/>
          <w:lang w:val="en-US" w:eastAsia="zh-CN"/>
        </w:rPr>
      </w:pPr>
      <w:r>
        <w:rPr>
          <w:shd w:val="clear" w:color="auto" w:fill="FFFFFF"/>
        </w:rPr>
        <w:t>附件</w:t>
      </w:r>
      <w:r>
        <w:rPr>
          <w:rFonts w:hint="eastAsia"/>
          <w:shd w:val="clear" w:color="auto" w:fill="FFFFFF"/>
          <w:lang w:val="en-US" w:eastAsia="zh-CN"/>
        </w:rPr>
        <w:t>1：</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shd w:val="clear" w:color="auto" w:fill="FFFFFF"/>
          <w:lang w:val="en-US" w:eastAsia="zh-CN"/>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rFonts w:hint="eastAsia" w:ascii="方正小标宋简体" w:hAnsi="方正小标宋简体" w:eastAsia="方正小标宋简体" w:cs="方正小标宋简体"/>
          <w:sz w:val="44"/>
          <w:szCs w:val="44"/>
          <w:shd w:val="clear" w:color="auto" w:fill="FFFFFF"/>
        </w:rPr>
        <w:t>2022年</w:t>
      </w:r>
      <w:r>
        <w:rPr>
          <w:rFonts w:hint="eastAsia" w:ascii="方正小标宋简体" w:hAnsi="方正小标宋简体" w:eastAsia="方正小标宋简体" w:cs="方正小标宋简体"/>
          <w:sz w:val="44"/>
          <w:szCs w:val="44"/>
          <w:shd w:val="clear" w:color="auto" w:fill="FFFFFF"/>
          <w:lang w:val="en-US" w:eastAsia="zh-CN"/>
        </w:rPr>
        <w:t>松潘县水务局</w:t>
      </w:r>
      <w:r>
        <w:rPr>
          <w:rFonts w:hint="eastAsia" w:ascii="方正小标宋简体" w:hAnsi="方正小标宋简体" w:eastAsia="方正小标宋简体" w:cs="方正小标宋简体"/>
          <w:sz w:val="44"/>
          <w:szCs w:val="44"/>
          <w:shd w:val="clear" w:color="auto" w:fill="FFFFFF"/>
        </w:rPr>
        <w:t>整体绩效评价报告</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一、部门（单位）基本情况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（一）机构组成</w:t>
      </w:r>
    </w:p>
    <w:p>
      <w:pPr>
        <w:keepNext w:val="0"/>
        <w:keepLines w:val="0"/>
        <w:pageBreakBefore w:val="0"/>
        <w:kinsoku/>
        <w:wordWrap/>
        <w:overflowPunct/>
        <w:topLinePunct w:val="0"/>
        <w:autoSpaceDE/>
        <w:autoSpaceDN/>
        <w:bidi w:val="0"/>
        <w:spacing w:beforeAutospacing="0" w:afterAutospacing="0" w:line="576" w:lineRule="exact"/>
        <w:ind w:firstLine="803" w:firstLineChars="2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办公室</w:t>
      </w:r>
      <w:r>
        <w:rPr>
          <w:rFonts w:hint="eastAsia" w:ascii="仿宋_GB2312" w:hAnsi="仿宋_GB2312" w:eastAsia="仿宋_GB2312" w:cs="仿宋_GB2312"/>
          <w:color w:val="000000"/>
          <w:sz w:val="32"/>
          <w:szCs w:val="32"/>
        </w:rPr>
        <w:t>负责工作目标、文电、会务、机要、档案等机关日常工作。承办文秘档案、政务信息，保密，信访。社会治安综合治理、后勤保障、资产管理工作。负责局机关和下属单位人事管理、队伍建设、精神文明建设、群团、离退休人员管理等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负责办理人大代表建议和政协委员提案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组织编写全县水务行业大事记和县水利志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负责局机关内部规章制度制定并监督实施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负责承办水务行业对外经济、技术合作与交流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组织水务系统教育培训及职称评定等工作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组织起草全县有关水管理的行政规范性文件，组织制定全县水资源总体规划、流域规划和专业规划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负责有关水务法律法规的实施和监督检查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承担总河长办公室日常工作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协助河湖长开展工作，负责工作联系、督查督导乡镇、检查考核等。</w:t>
      </w:r>
    </w:p>
    <w:p>
      <w:pPr>
        <w:keepNext w:val="0"/>
        <w:keepLines w:val="0"/>
        <w:pageBreakBefore w:val="0"/>
        <w:kinsoku/>
        <w:wordWrap/>
        <w:overflowPunct/>
        <w:topLinePunct w:val="0"/>
        <w:autoSpaceDE/>
        <w:autoSpaceDN/>
        <w:bidi w:val="0"/>
        <w:spacing w:beforeAutospacing="0" w:afterAutospacing="0" w:line="576" w:lineRule="exact"/>
        <w:ind w:firstLine="482"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color w:val="000000"/>
          <w:sz w:val="32"/>
          <w:szCs w:val="32"/>
          <w:lang w:val="en-US" w:eastAsia="zh-CN"/>
        </w:rPr>
        <w:t>财务</w:t>
      </w:r>
      <w:r>
        <w:rPr>
          <w:rFonts w:hint="eastAsia" w:ascii="仿宋_GB2312" w:hAnsi="仿宋_GB2312" w:eastAsia="仿宋_GB2312" w:cs="仿宋_GB2312"/>
          <w:b/>
          <w:bCs/>
          <w:color w:val="000000"/>
          <w:sz w:val="32"/>
          <w:szCs w:val="32"/>
        </w:rPr>
        <w:t>股</w:t>
      </w:r>
      <w:r>
        <w:rPr>
          <w:rFonts w:hint="eastAsia" w:ascii="仿宋_GB2312" w:hAnsi="仿宋_GB2312" w:eastAsia="仿宋_GB2312" w:cs="仿宋_GB2312"/>
          <w:color w:val="000000"/>
          <w:sz w:val="32"/>
          <w:szCs w:val="32"/>
        </w:rPr>
        <w:t>负责编制全县水务行业财务中长期规划和年度计划并实施财务、会计和专项经费的综合管理。负责局属事业单位和工程管理单位的经济活动、经济责任财务收支，国有资产的审计监督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对全县水务行业资金进行监管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负责局机关财务管理</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spacing w:beforeAutospacing="0" w:afterAutospacing="0"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规划与建设股</w:t>
      </w:r>
      <w:r>
        <w:rPr>
          <w:rFonts w:hint="eastAsia" w:ascii="仿宋_GB2312" w:hAnsi="仿宋_GB2312" w:eastAsia="仿宋_GB2312" w:cs="仿宋_GB2312"/>
          <w:color w:val="000000"/>
          <w:sz w:val="32"/>
          <w:szCs w:val="32"/>
          <w:lang w:val="en-US" w:eastAsia="zh-CN"/>
        </w:rPr>
        <w:t>负责</w:t>
      </w:r>
      <w:r>
        <w:rPr>
          <w:rFonts w:hint="eastAsia" w:ascii="仿宋_GB2312" w:hAnsi="仿宋_GB2312" w:eastAsia="仿宋_GB2312" w:cs="仿宋_GB2312"/>
          <w:color w:val="000000"/>
          <w:sz w:val="32"/>
          <w:szCs w:val="32"/>
        </w:rPr>
        <w:t>统一管理全县水资源，组织制定全县水资源总体规划、流域规划和专业规划。组织有关全县国民经济发展总体规划、城市规划及重大建设项目的水资源及防洪、抗旱排涝、供水、节水等方面的论证工作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负责水毁工程的修复工作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拟定防汛有关工作措施及管理制度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及时掌握辖区内</w:t>
      </w:r>
      <w:r>
        <w:rPr>
          <w:rFonts w:hint="eastAsia" w:ascii="仿宋_GB2312" w:hAnsi="仿宋_GB2312" w:eastAsia="仿宋_GB2312" w:cs="仿宋_GB2312"/>
          <w:color w:val="000000"/>
          <w:sz w:val="32"/>
          <w:szCs w:val="32"/>
          <w:lang w:eastAsia="zh-CN"/>
        </w:rPr>
        <w:t>流域</w:t>
      </w:r>
      <w:r>
        <w:rPr>
          <w:rFonts w:hint="eastAsia" w:ascii="仿宋_GB2312" w:hAnsi="仿宋_GB2312" w:eastAsia="仿宋_GB2312" w:cs="仿宋_GB2312"/>
          <w:color w:val="000000"/>
          <w:sz w:val="32"/>
          <w:szCs w:val="32"/>
        </w:rPr>
        <w:t>的雨情、水情和水利工程安全运行情况，负责编制和发布洪水调度、汛情简报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加强水情自动测报系统、洪水预报调度系统，保证各系统正常运行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负责落实安全度汛责任制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制定水务工程建设有关制度并组织实施。</w:t>
      </w:r>
    </w:p>
    <w:p>
      <w:pPr>
        <w:keepNext w:val="0"/>
        <w:keepLines w:val="0"/>
        <w:pageBreakBefore w:val="0"/>
        <w:kinsoku/>
        <w:wordWrap/>
        <w:overflowPunct/>
        <w:topLinePunct w:val="0"/>
        <w:autoSpaceDE/>
        <w:autoSpaceDN/>
        <w:bidi w:val="0"/>
        <w:spacing w:beforeAutospacing="0" w:afterAutospacing="0" w:line="576" w:lineRule="exact"/>
        <w:ind w:firstLine="482" w:firstLineChars="15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000000"/>
          <w:sz w:val="32"/>
          <w:szCs w:val="32"/>
          <w:lang w:val="en-US" w:eastAsia="zh-CN"/>
        </w:rPr>
        <w:t>综合业务办公股</w:t>
      </w:r>
      <w:r>
        <w:rPr>
          <w:rFonts w:hint="eastAsia" w:ascii="仿宋_GB2312" w:hAnsi="仿宋_GB2312" w:eastAsia="仿宋_GB2312" w:cs="仿宋_GB2312"/>
          <w:color w:val="000000"/>
          <w:sz w:val="32"/>
          <w:szCs w:val="32"/>
        </w:rPr>
        <w:t>负责督促水资源税征收、按规划发布全县水资源公报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承担行政复议、行政应诉等工作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负责供水企业的行业管理与指导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负责对全县涉水工程建设及运行管理进行监督</w:t>
      </w:r>
      <w:r>
        <w:rPr>
          <w:rFonts w:hint="eastAsia" w:ascii="仿宋_GB2312" w:hAnsi="仿宋_GB2312" w:eastAsia="仿宋_GB2312" w:cs="仿宋_GB2312"/>
          <w:color w:val="000000"/>
          <w:sz w:val="32"/>
          <w:szCs w:val="32"/>
          <w:lang w:eastAsia="zh-CN"/>
        </w:rPr>
        <w:t>指导。</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（二）机构职能和人员概况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一</w:t>
      </w:r>
      <w:r>
        <w:rPr>
          <w:rFonts w:hint="eastAsia" w:ascii="仿宋" w:hAnsi="仿宋" w:eastAsia="仿宋"/>
          <w:color w:val="000000"/>
          <w:sz w:val="32"/>
          <w:szCs w:val="32"/>
          <w:lang w:eastAsia="zh-CN"/>
        </w:rPr>
        <w:t>）</w:t>
      </w:r>
      <w:r>
        <w:rPr>
          <w:rFonts w:hint="eastAsia" w:ascii="仿宋" w:hAnsi="仿宋" w:eastAsia="仿宋"/>
          <w:color w:val="000000"/>
          <w:sz w:val="32"/>
          <w:szCs w:val="32"/>
        </w:rPr>
        <w:t>贯彻执行国家、省、州有关水务工作方针政策和</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规章。组织起草全县有关水管理的行政规范性文件草案，通过公开后监督实施。负责拟订全县水务工作的行政规范性文件草案、发展战略和中长期规划。负责组织编制有关水务方面综合规划和专业规划，并组织实施。制定水务工程建设有关制度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二</w:t>
      </w:r>
      <w:r>
        <w:rPr>
          <w:rFonts w:hint="eastAsia" w:ascii="仿宋" w:hAnsi="仿宋" w:eastAsia="仿宋"/>
          <w:color w:val="000000"/>
          <w:sz w:val="32"/>
          <w:szCs w:val="32"/>
          <w:lang w:eastAsia="zh-CN"/>
        </w:rPr>
        <w:t>）</w:t>
      </w:r>
      <w:r>
        <w:rPr>
          <w:rFonts w:hint="eastAsia" w:ascii="仿宋" w:hAnsi="仿宋" w:eastAsia="仿宋"/>
          <w:color w:val="000000"/>
          <w:sz w:val="32"/>
          <w:szCs w:val="32"/>
        </w:rPr>
        <w:t>统一管理全县水资源，组织制定全县水资源总体规划、流域规划和专业规划。组织有关全县国民经济发展总体规划、城市规划及重大建设项目的水资源及防洪、抗旱</w:t>
      </w:r>
      <w:r>
        <w:rPr>
          <w:rFonts w:hint="eastAsia" w:ascii="仿宋" w:hAnsi="仿宋" w:eastAsia="仿宋"/>
          <w:color w:val="000000"/>
          <w:sz w:val="32"/>
          <w:szCs w:val="32"/>
          <w:lang w:eastAsia="zh-CN"/>
        </w:rPr>
        <w:t>排涝</w:t>
      </w:r>
      <w:r>
        <w:rPr>
          <w:rFonts w:hint="eastAsia" w:ascii="仿宋" w:hAnsi="仿宋" w:eastAsia="仿宋"/>
          <w:color w:val="000000"/>
          <w:sz w:val="32"/>
          <w:szCs w:val="32"/>
        </w:rPr>
        <w:t>、供水、节水等方面的论证工作。负责督促水资源税征收。按规划发布全县水资源公报。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三</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供水企业的行业管理与指导。负责对全县涉水工程建设及运行管理进行监督指导。负责对城市供水设施实行节水的行政监督管理，负责拟订全县节约用水政策，编制全县计划用水、节约用水规划。组织指导和监督计划用水、节约用水工作。制定有关节约用水标准，指导和推动节水型社会建设工作。负责办理取水许可。</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rPr>
        <w:t>四</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有关水务法律法规的实施和监督检查。负责管理和指导全县水利工程设施建设。负责水利设施水域及其岸线的管理和保护，全县江河、水库、河口滩涂的开发、利用和保护。组织、指导全县水务工程建设项目规划、可行性研究等前期工作，对水务基本建设工程实行监督管理，全县水库大坝的安全管理工作，负责河道采砂的统一监督管理。负责全县水环境治理。组织实施水务工程建设、水务基础设施运行安全监督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rPr>
        <w:t>五</w:t>
      </w:r>
      <w:r>
        <w:rPr>
          <w:rFonts w:hint="eastAsia" w:ascii="仿宋" w:hAnsi="仿宋" w:eastAsia="仿宋"/>
          <w:color w:val="000000"/>
          <w:sz w:val="32"/>
          <w:szCs w:val="32"/>
          <w:lang w:eastAsia="zh-CN"/>
        </w:rPr>
        <w:t>）</w:t>
      </w:r>
      <w:r>
        <w:rPr>
          <w:rFonts w:hint="eastAsia" w:ascii="仿宋" w:hAnsi="仿宋" w:eastAsia="仿宋"/>
          <w:color w:val="000000"/>
          <w:sz w:val="32"/>
          <w:szCs w:val="32"/>
        </w:rPr>
        <w:t>拟订水务行业经济调节措施。负责编制全县水务行业建设项目资金计划，对水务资金的事业进行</w:t>
      </w:r>
      <w:r>
        <w:rPr>
          <w:rFonts w:hint="eastAsia" w:ascii="仿宋" w:hAnsi="仿宋" w:eastAsia="仿宋"/>
          <w:color w:val="000000"/>
          <w:sz w:val="32"/>
          <w:szCs w:val="32"/>
          <w:lang w:eastAsia="zh-CN"/>
        </w:rPr>
        <w:t>宏观调控</w:t>
      </w:r>
      <w:r>
        <w:rPr>
          <w:rFonts w:hint="eastAsia" w:ascii="仿宋" w:hAnsi="仿宋" w:eastAsia="仿宋"/>
          <w:color w:val="000000"/>
          <w:sz w:val="32"/>
          <w:szCs w:val="32"/>
        </w:rPr>
        <w:t>、管理、监督，以及水务系统内部审计</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rPr>
        <w:t>六</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负责全县水务工程建设项目的规划、建议书、可行性研究报告和初步设计方案审批工作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负责组织指导全县水务基础设施建设，对水务基础设施建设工程实施行业监督管理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负责水利工程管理范围内新建、扩建、改建各类建设项目审批</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负责对水务基础设施建设工程质量监督管理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组织指导县内河流及水库的治理和开发</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组织建设和管理具有控制性的或跨乡镇的重要水利工程</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组织、指导水库运行调度和工程建设、管理。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七</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组织全县水土保持工作，研究</w:t>
      </w:r>
      <w:r>
        <w:rPr>
          <w:rFonts w:hint="eastAsia" w:ascii="仿宋" w:hAnsi="仿宋" w:eastAsia="仿宋"/>
          <w:color w:val="000000"/>
          <w:sz w:val="32"/>
          <w:szCs w:val="32"/>
          <w:lang w:eastAsia="zh-CN"/>
        </w:rPr>
        <w:t>制定</w:t>
      </w:r>
      <w:r>
        <w:rPr>
          <w:rFonts w:hint="eastAsia" w:ascii="仿宋" w:hAnsi="仿宋" w:eastAsia="仿宋"/>
          <w:color w:val="000000"/>
          <w:sz w:val="32"/>
          <w:szCs w:val="32"/>
        </w:rPr>
        <w:t>水土保持工程措施规划并组织实施。指导水土保持的预防监督和综合防治</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负责有关重大建设项目水土保持方案的初审、监督实施及水土保持设施的验收工作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指导重点水土保持建设项目的实施。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八</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负责全县水务方面的科技与外事、外经工作。监督实施水务行业技术质量标准和规程、规范，承办水务行业对外经济、技术合作与交流等涉外事务。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rPr>
        <w:t>九</w:t>
      </w:r>
      <w:r>
        <w:rPr>
          <w:rFonts w:hint="eastAsia" w:ascii="仿宋" w:hAnsi="仿宋" w:eastAsia="仿宋"/>
          <w:color w:val="000000"/>
          <w:sz w:val="32"/>
          <w:szCs w:val="32"/>
          <w:lang w:eastAsia="zh-CN"/>
        </w:rPr>
        <w:t>）</w:t>
      </w:r>
      <w:r>
        <w:rPr>
          <w:rFonts w:hint="eastAsia" w:ascii="仿宋" w:hAnsi="仿宋" w:eastAsia="仿宋"/>
          <w:color w:val="000000"/>
          <w:sz w:val="32"/>
          <w:szCs w:val="32"/>
        </w:rPr>
        <w:t>指导全县水务行业改革、发展、稳定工作和职工队伍建设、服务体系建设。指导水务行业劳动保护、安全生产工作。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rPr>
        <w:t>十</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负责河长制组织实施具体工作，协调、督促、落实领导小组、河长会议确定的事项</w:t>
      </w:r>
      <w:r>
        <w:rPr>
          <w:rFonts w:hint="eastAsia" w:ascii="仿宋" w:hAnsi="仿宋" w:eastAsia="仿宋"/>
          <w:color w:val="000000"/>
          <w:sz w:val="32"/>
          <w:szCs w:val="32"/>
          <w:lang w:eastAsia="zh-CN"/>
        </w:rPr>
        <w:t>；</w:t>
      </w:r>
      <w:r>
        <w:rPr>
          <w:rFonts w:hint="eastAsia" w:ascii="仿宋" w:hAnsi="仿宋" w:eastAsia="仿宋"/>
          <w:color w:val="000000"/>
          <w:sz w:val="32"/>
          <w:szCs w:val="32"/>
        </w:rPr>
        <w:t>拟订县级工作方案、相关制度</w:t>
      </w:r>
      <w:r>
        <w:rPr>
          <w:rFonts w:hint="eastAsia" w:ascii="仿宋" w:hAnsi="仿宋" w:eastAsia="仿宋"/>
          <w:color w:val="000000"/>
          <w:sz w:val="32"/>
          <w:szCs w:val="32"/>
          <w:lang w:eastAsia="zh-CN"/>
        </w:rPr>
        <w:t>；</w:t>
      </w:r>
      <w:r>
        <w:rPr>
          <w:rFonts w:hint="eastAsia" w:ascii="仿宋" w:hAnsi="仿宋" w:eastAsia="仿宋"/>
          <w:color w:val="000000"/>
          <w:sz w:val="32"/>
          <w:szCs w:val="32"/>
        </w:rPr>
        <w:t>指导各乡镇制定工作方案、明确工作目标任务，督导乡镇全面落实河长制相关工作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统筹制定、修订县级河湖一河</w:t>
      </w:r>
      <w:r>
        <w:rPr>
          <w:rFonts w:hint="eastAsia" w:ascii="仿宋" w:hAnsi="仿宋" w:eastAsia="仿宋"/>
          <w:color w:val="000000"/>
          <w:sz w:val="32"/>
          <w:szCs w:val="32"/>
          <w:lang w:eastAsia="zh-CN"/>
        </w:rPr>
        <w:t>（</w:t>
      </w:r>
      <w:r>
        <w:rPr>
          <w:rFonts w:hint="eastAsia" w:ascii="仿宋" w:hAnsi="仿宋" w:eastAsia="仿宋"/>
          <w:color w:val="000000"/>
          <w:sz w:val="32"/>
          <w:szCs w:val="32"/>
        </w:rPr>
        <w:t>湖</w:t>
      </w:r>
      <w:r>
        <w:rPr>
          <w:rFonts w:hint="eastAsia" w:ascii="仿宋" w:hAnsi="仿宋" w:eastAsia="仿宋"/>
          <w:color w:val="000000"/>
          <w:sz w:val="32"/>
          <w:szCs w:val="32"/>
          <w:lang w:eastAsia="zh-CN"/>
        </w:rPr>
        <w:t>）</w:t>
      </w:r>
      <w:r>
        <w:rPr>
          <w:rFonts w:hint="eastAsia" w:ascii="仿宋" w:hAnsi="仿宋" w:eastAsia="仿宋"/>
          <w:color w:val="000000"/>
          <w:sz w:val="32"/>
          <w:szCs w:val="32"/>
        </w:rPr>
        <w:t>一策管理保护方案</w:t>
      </w:r>
      <w:r>
        <w:rPr>
          <w:rFonts w:hint="eastAsia" w:ascii="仿宋" w:hAnsi="仿宋" w:eastAsia="仿宋"/>
          <w:color w:val="000000"/>
          <w:sz w:val="32"/>
          <w:szCs w:val="32"/>
          <w:lang w:eastAsia="zh-CN"/>
        </w:rPr>
        <w:t>；</w:t>
      </w:r>
      <w:r>
        <w:rPr>
          <w:rFonts w:hint="eastAsia" w:ascii="仿宋" w:hAnsi="仿宋" w:eastAsia="仿宋"/>
          <w:color w:val="000000"/>
          <w:sz w:val="32"/>
          <w:szCs w:val="32"/>
        </w:rPr>
        <w:t>督促县直有关部门按职能职责落实责任，密切配合、协调联动，共同推进河湖管理保护工作。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十一</w:t>
      </w:r>
      <w:r>
        <w:rPr>
          <w:rFonts w:hint="eastAsia" w:ascii="仿宋" w:hAnsi="仿宋" w:eastAsia="仿宋"/>
          <w:color w:val="000000"/>
          <w:sz w:val="32"/>
          <w:szCs w:val="32"/>
          <w:lang w:eastAsia="zh-CN"/>
        </w:rPr>
        <w:t>）</w:t>
      </w:r>
      <w:r>
        <w:rPr>
          <w:rFonts w:hint="eastAsia" w:ascii="仿宋" w:hAnsi="仿宋" w:eastAsia="仿宋"/>
          <w:color w:val="000000"/>
          <w:sz w:val="32"/>
          <w:szCs w:val="32"/>
        </w:rPr>
        <w:t>指导水务突发公共事件应急管理工作。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十二</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负责职责范围内的职业健康，生态环境保护，审批服务便民化工作。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十三</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完成县委、县政府交办的其他任务。</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人员概况</w:t>
      </w:r>
    </w:p>
    <w:p>
      <w:pPr>
        <w:keepNext w:val="0"/>
        <w:keepLines w:val="0"/>
        <w:pageBreakBefore w:val="0"/>
        <w:kinsoku/>
        <w:wordWrap/>
        <w:overflowPunct/>
        <w:topLinePunct w:val="0"/>
        <w:autoSpaceDE/>
        <w:autoSpaceDN/>
        <w:bidi w:val="0"/>
        <w:spacing w:beforeAutospacing="0" w:afterAutospacing="0" w:line="576" w:lineRule="exact"/>
        <w:ind w:firstLine="480" w:firstLineChars="15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属独立编制机构和独立核算的行政单位，截至</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2年6月</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在编人员</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人，其中行政编制</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人（含工勤2人）；</w:t>
      </w:r>
      <w:r>
        <w:rPr>
          <w:rFonts w:hint="eastAsia" w:ascii="仿宋_GB2312" w:hAnsi="仿宋_GB2312" w:eastAsia="仿宋_GB2312" w:cs="仿宋_GB2312"/>
          <w:color w:val="000000"/>
          <w:sz w:val="32"/>
          <w:szCs w:val="32"/>
          <w:lang w:val="en-US" w:eastAsia="zh-CN"/>
        </w:rPr>
        <w:t>事业人员6个，</w:t>
      </w:r>
      <w:r>
        <w:rPr>
          <w:rFonts w:hint="eastAsia" w:ascii="仿宋_GB2312" w:hAnsi="仿宋_GB2312" w:eastAsia="仿宋_GB2312" w:cs="仿宋_GB2312"/>
          <w:color w:val="000000"/>
          <w:sz w:val="32"/>
          <w:szCs w:val="32"/>
        </w:rPr>
        <w:t>退休人员</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 xml:space="preserve">人。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（三）年度主要工作任务</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抓水旱灾害防御，保障群众生命财产安全</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加强汛前及汛期隐患排查，推进山洪沟治理。</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抓水生态文明建设，一以贯之践行绿色生态发展理念</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深入推进河湖长制工作。一是开展清河、护岸、净水、保水专项行动，建立落实不定期通报制度，完成“一湖一策管理保护方案”编制技术审查。水土保持工作有力推动，严把生产建设项目水土保持审批关。水资源管理保护有效落实，有力推进节约用水工作，开展节水宣传。小水电清理整改稳妥推进。</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抓依法行政工作，竭心尽力转职能建设服务型机关</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0" w:firstLineChars="200"/>
        <w:contextualSpacing/>
        <w:jc w:val="left"/>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eastAsia="zh-CN"/>
        </w:rPr>
        <w:t>落实专人监督行政执法案件办理工作，按照职责严把程序关，全程参与行政执法的过程、依据、取证、执行等，提高了执法办案合法、合规、效能、质量。全面排查各类水事矛盾纠纷和违法违规行为，控制事态发展，严格防范因水事矛盾纠纷引发的群体性事件和治安、刑事案件。不断规范水</w:t>
      </w:r>
      <w:r>
        <w:rPr>
          <w:rFonts w:hint="eastAsia" w:ascii="仿宋_GB2312" w:hAnsi="仿宋_GB2312" w:eastAsia="仿宋_GB2312" w:cs="仿宋_GB2312"/>
          <w:color w:val="000000"/>
          <w:sz w:val="32"/>
          <w:szCs w:val="32"/>
          <w:lang w:val="en-US" w:eastAsia="zh-CN"/>
        </w:rPr>
        <w:t>利</w:t>
      </w:r>
      <w:r>
        <w:rPr>
          <w:rFonts w:hint="eastAsia" w:ascii="仿宋_GB2312" w:hAnsi="仿宋_GB2312" w:eastAsia="仿宋_GB2312" w:cs="仿宋_GB2312"/>
          <w:color w:val="000000"/>
          <w:sz w:val="32"/>
          <w:szCs w:val="32"/>
          <w:lang w:eastAsia="zh-CN"/>
        </w:rPr>
        <w:t>行政执法程序，严格执法管理，有力地维护了全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lang w:eastAsia="zh-CN"/>
        </w:rPr>
        <w:t>正常的水秩序。</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二、部门财政资金收支情况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（一）部门财政资金收入情况。</w:t>
      </w:r>
    </w:p>
    <w:p>
      <w:pPr>
        <w:keepNext w:val="0"/>
        <w:keepLines w:val="0"/>
        <w:pageBreakBefore w:val="0"/>
        <w:kinsoku/>
        <w:wordWrap/>
        <w:overflowPunct/>
        <w:topLinePunct w:val="0"/>
        <w:bidi w:val="0"/>
        <w:spacing w:line="576"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财政拨款</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4163.4664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含项目</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w:t>
      </w:r>
      <w:r>
        <w:rPr>
          <w:rFonts w:hint="eastAsia" w:ascii="仿宋_GB2312" w:hAnsi="仿宋_GB2312" w:eastAsia="仿宋_GB2312" w:cs="仿宋_GB2312"/>
          <w:color w:val="000000"/>
          <w:sz w:val="32"/>
          <w:szCs w:val="32"/>
        </w:rPr>
        <w:t>其中：财政拨款收入</w:t>
      </w:r>
      <w:r>
        <w:rPr>
          <w:rFonts w:hint="eastAsia" w:ascii="仿宋_GB2312" w:hAnsi="仿宋" w:eastAsia="仿宋_GB2312" w:cs="仿宋"/>
          <w:color w:val="000000"/>
          <w:sz w:val="32"/>
          <w:szCs w:val="32"/>
          <w:lang w:val="en-US" w:eastAsia="zh-CN"/>
        </w:rPr>
        <w:t>4163.4664</w:t>
      </w:r>
      <w:r>
        <w:rPr>
          <w:rFonts w:hint="eastAsia" w:ascii="仿宋_GB2312" w:hAnsi="仿宋_GB2312" w:eastAsia="仿宋_GB2312" w:cs="仿宋_GB2312"/>
          <w:color w:val="000000"/>
          <w:sz w:val="32"/>
          <w:szCs w:val="32"/>
        </w:rPr>
        <w:t>万元，占100%</w:t>
      </w:r>
      <w:r>
        <w:rPr>
          <w:rFonts w:hint="eastAsia" w:ascii="仿宋_GB2312" w:hAnsi="仿宋_GB2312" w:eastAsia="仿宋_GB2312" w:cs="仿宋_GB2312"/>
          <w:color w:val="000000"/>
          <w:sz w:val="32"/>
          <w:szCs w:val="32"/>
          <w:lang w:eastAsia="zh-CN"/>
        </w:rPr>
        <w:t>。</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（二）部门财政资金支出情况。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shd w:val="clear" w:color="auto" w:fill="FFFFFF"/>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财政</w:t>
      </w:r>
      <w:r>
        <w:rPr>
          <w:rFonts w:hint="eastAsia" w:ascii="仿宋_GB2312" w:hAnsi="仿宋" w:eastAsia="仿宋_GB2312" w:cs="仿宋"/>
          <w:color w:val="000000"/>
          <w:sz w:val="32"/>
          <w:szCs w:val="32"/>
        </w:rPr>
        <w:t>收入总数</w:t>
      </w:r>
      <w:r>
        <w:rPr>
          <w:rFonts w:hint="eastAsia" w:ascii="仿宋_GB2312" w:hAnsi="仿宋" w:eastAsia="仿宋_GB2312" w:cs="仿宋"/>
          <w:color w:val="000000"/>
          <w:sz w:val="32"/>
          <w:szCs w:val="32"/>
          <w:lang w:val="en-US" w:eastAsia="zh-CN"/>
        </w:rPr>
        <w:t>4163.4664</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含项目</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占100%。</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pPr>
      <w:r>
        <w:rPr>
          <w:rFonts w:hint="eastAsia" w:ascii="黑体" w:hAnsi="黑体" w:eastAsia="黑体" w:cs="黑体"/>
          <w:sz w:val="32"/>
          <w:szCs w:val="32"/>
          <w:shd w:val="clear" w:color="auto" w:fill="FFFFFF"/>
        </w:rPr>
        <w:t>三、部门整体预算绩效管理情况</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（一）部门预算项目绩效管理。</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按照编制202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年部门预算文件精神，结合单位职能职责、国家法律法规和中长期规划，单位自身发展，确定目标任务。制定的目标任务，符合国家法律法规、符合本单位职能职责、符合单位发展战略和中长期规划，目标做到细化、量化、客观实际，确保目标实现。</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狠抓水旱灾害防御，毫不松懈保障群众生命财产安全</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加强汛前及汛期隐患排查，推进山洪沟治理。</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狠抓水生态文明建设，一以贯之践行绿色生态发展理念</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深入推进河湖长制工作。一是开展清河、护岸、净水、保水专项行动，建立落实不定期通报制度，完成“一湖一策管理保护方案”编制技术审查。</w:t>
      </w:r>
    </w:p>
    <w:p>
      <w:pPr>
        <w:keepNext w:val="0"/>
        <w:keepLines w:val="0"/>
        <w:pageBreakBefore w:val="0"/>
        <w:widowControl/>
        <w:kinsoku/>
        <w:wordWrap/>
        <w:overflowPunct/>
        <w:topLinePunct w:val="0"/>
        <w:bidi w:val="0"/>
        <w:adjustRightInd w:val="0"/>
        <w:snapToGrid w:val="0"/>
        <w:spacing w:line="576" w:lineRule="exact"/>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水土保持工作有力推动，严把生产建设项目水土保持审批关。水资源管理保护有效落实，有力推进节约用水工作，开展节水宣传。小水电清理整改稳妥推进。</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狠抓依法行政工作，竭心尽力转职能建设服务型机关</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eastAsia="zh-CN"/>
        </w:rPr>
        <w:t>落实专人监督行政执法案件办理工作，按照职责严把程序关，全程参与行政执法的过程、依据、取证、执行等，提高了执法办案合法、合规、效能、质量。全面排查各类水事矛盾纠纷和违法违规行为，控制事态发展，严格防范因水事矛盾纠纷引发的群体性事件和治安、刑事案件。不断规范水</w:t>
      </w:r>
      <w:r>
        <w:rPr>
          <w:rFonts w:hint="eastAsia" w:ascii="仿宋_GB2312" w:hAnsi="仿宋_GB2312" w:eastAsia="仿宋_GB2312" w:cs="仿宋_GB2312"/>
          <w:color w:val="000000"/>
          <w:sz w:val="32"/>
          <w:szCs w:val="32"/>
          <w:lang w:val="en-US" w:eastAsia="zh-CN"/>
        </w:rPr>
        <w:t>利</w:t>
      </w:r>
      <w:r>
        <w:rPr>
          <w:rFonts w:hint="eastAsia" w:ascii="仿宋_GB2312" w:hAnsi="仿宋_GB2312" w:eastAsia="仿宋_GB2312" w:cs="仿宋_GB2312"/>
          <w:color w:val="000000"/>
          <w:sz w:val="32"/>
          <w:szCs w:val="32"/>
          <w:lang w:eastAsia="zh-CN"/>
        </w:rPr>
        <w:t>行政执法程序，严格执法管理，有力地维护了全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lang w:eastAsia="zh-CN"/>
        </w:rPr>
        <w:t>正常的水秩序。</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（二）结果应用情况。</w:t>
      </w:r>
    </w:p>
    <w:p>
      <w:pPr>
        <w:keepNext w:val="0"/>
        <w:keepLines w:val="0"/>
        <w:pageBreakBefore w:val="0"/>
        <w:kinsoku/>
        <w:wordWrap/>
        <w:overflowPunct/>
        <w:topLinePunct w:val="0"/>
        <w:bidi w:val="0"/>
        <w:spacing w:line="576"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信息公开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6" w:lineRule="exact"/>
        <w:ind w:left="0" w:right="0" w:firstLine="56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在规定时间按照统一格式、内容、口径分别在政府门户网站公开了2022年部门预算、2021年部门决算，信息做到数据真实、准确、完整。</w:t>
      </w:r>
    </w:p>
    <w:p>
      <w:pPr>
        <w:keepNext w:val="0"/>
        <w:keepLines w:val="0"/>
        <w:pageBreakBefore w:val="0"/>
        <w:kinsoku/>
        <w:wordWrap/>
        <w:overflowPunct/>
        <w:topLinePunct w:val="0"/>
        <w:bidi w:val="0"/>
        <w:spacing w:line="576" w:lineRule="exact"/>
        <w:ind w:firstLine="482" w:firstLineChars="15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2.绩效评价及依法接受财政监督情况</w:t>
      </w:r>
    </w:p>
    <w:p>
      <w:pPr>
        <w:keepNext w:val="0"/>
        <w:keepLines w:val="0"/>
        <w:pageBreakBefore w:val="0"/>
        <w:kinsoku/>
        <w:wordWrap/>
        <w:overflowPunct/>
        <w:topLinePunct w:val="0"/>
        <w:bidi w:val="0"/>
        <w:spacing w:line="576" w:lineRule="exact"/>
        <w:ind w:firstLine="480" w:firstLineChars="15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日常业务经费和机关运行经费包括“三公”经费严格按照部门当年预算执行，无违反中央八项规定的行为，无因公出国（境）费用发生，我局公务用车运行维护费按照厉行节约的要求均未超标准、超范围。各项支出都在县财政的监管下执行，手续齐全、合理、合法。部门职责履行结果：认真履职，按时按量完成各项工作。重点项目绩效评价结果和服务对象满意度：根据项目施工时间按时按量完成各项预定的各项绩效指标。</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四、评价结论及建议</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无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eastAsia="宋体"/>
          <w:lang w:val="en-US" w:eastAsia="zh-CN"/>
        </w:rPr>
      </w:pPr>
      <w:r>
        <w:rPr>
          <w:shd w:val="clear" w:color="auto" w:fill="FFFFFF"/>
        </w:rPr>
        <w:t>附件</w:t>
      </w:r>
      <w:r>
        <w:rPr>
          <w:rFonts w:hint="eastAsia"/>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松潘县水务局</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松潘县2022年农村饮水安全维修养护项目</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年度绩效自评报告</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一、绩效目标分解下达情况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sz w:val="32"/>
          <w:szCs w:val="32"/>
          <w:lang w:val="en-US" w:eastAsia="zh-CN"/>
        </w:rPr>
        <w:t>2022年度，全年收到项目资金110万元，资金文件：2022年中央水利发展资金（阿州财农【2022】10号）</w:t>
      </w:r>
      <w:r>
        <w:rPr>
          <w:rFonts w:hint="eastAsia" w:ascii="仿宋_GB2312" w:hAnsi="仿宋_GB2312" w:eastAsia="仿宋_GB2312" w:cs="仿宋_GB2312"/>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绩效</w:t>
      </w:r>
      <w:r>
        <w:rPr>
          <w:rFonts w:hint="eastAsia" w:ascii="黑体" w:hAnsi="黑体" w:eastAsia="黑体" w:cs="黑体"/>
          <w:b w:val="0"/>
          <w:bCs/>
          <w:sz w:val="32"/>
          <w:szCs w:val="32"/>
        </w:rPr>
        <w:t>情况分析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（一）资金投入情况分析。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val="zh-CN"/>
        </w:rPr>
        <w:t>资金发放情况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2022年度到位资金110万元，截止项目完工后根据合同约定拨付85万余元，剩余资金在质保期结束后按合同约定支付</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2.项目资金实施情况</w:t>
      </w:r>
    </w:p>
    <w:p>
      <w:pPr>
        <w:keepNext w:val="0"/>
        <w:keepLines w:val="0"/>
        <w:pageBreakBefore w:val="0"/>
        <w:widowControl/>
        <w:kinsoku/>
        <w:wordWrap/>
        <w:overflowPunct/>
        <w:topLinePunct w:val="0"/>
        <w:autoSpaceDE/>
        <w:autoSpaceDN/>
        <w:bidi w:val="0"/>
        <w:adjustRightInd/>
        <w:snapToGrid/>
        <w:spacing w:line="520" w:lineRule="exact"/>
        <w:ind w:firstLine="614" w:firstLineChars="192"/>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b w:val="0"/>
          <w:bCs/>
          <w:sz w:val="32"/>
          <w:szCs w:val="32"/>
          <w:lang w:val="en-US" w:eastAsia="zh-CN"/>
        </w:rPr>
        <w:t>松潘县2022年农村饮水安全维修养护项目</w:t>
      </w:r>
    </w:p>
    <w:p>
      <w:pPr>
        <w:keepNext w:val="0"/>
        <w:keepLines w:val="0"/>
        <w:pageBreakBefore w:val="0"/>
        <w:widowControl/>
        <w:kinsoku/>
        <w:wordWrap/>
        <w:overflowPunct/>
        <w:topLinePunct w:val="0"/>
        <w:autoSpaceDE/>
        <w:autoSpaceDN/>
        <w:bidi w:val="0"/>
        <w:adjustRightInd/>
        <w:snapToGrid/>
        <w:spacing w:line="520" w:lineRule="exact"/>
        <w:ind w:firstLine="614" w:firstLineChars="192"/>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auto"/>
          <w:kern w:val="0"/>
          <w:sz w:val="32"/>
          <w:szCs w:val="32"/>
        </w:rPr>
        <w:t>工程建设</w:t>
      </w:r>
      <w:r>
        <w:rPr>
          <w:rFonts w:hint="eastAsia" w:ascii="仿宋_GB2312" w:hAnsi="仿宋_GB2312" w:eastAsia="仿宋_GB2312" w:cs="仿宋_GB2312"/>
          <w:b w:val="0"/>
          <w:bCs/>
          <w:color w:val="auto"/>
          <w:kern w:val="0"/>
          <w:sz w:val="32"/>
          <w:szCs w:val="32"/>
          <w:lang w:val="en-US" w:eastAsia="zh-CN"/>
        </w:rPr>
        <w:t>内容</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sz w:val="32"/>
          <w:szCs w:val="32"/>
          <w:lang w:val="en-US" w:eastAsia="zh-CN"/>
        </w:rPr>
        <w:t>本次在白羊乡溜索头村、小姓乡碑子寺村等5个村的饮水设施安装消毒设备5套，在川主寺、镇坪等村维修饮水管道、蓄水池取水口等。</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auto"/>
          <w:kern w:val="0"/>
          <w:sz w:val="32"/>
          <w:szCs w:val="32"/>
        </w:rPr>
        <w:t>投资预算</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sz w:val="32"/>
          <w:szCs w:val="32"/>
          <w:lang w:val="en-US" w:eastAsia="zh-CN"/>
        </w:rPr>
        <w:t>项目总投资为110</w:t>
      </w:r>
      <w:r>
        <w:rPr>
          <w:rFonts w:hint="eastAsia" w:ascii="仿宋_GB2312" w:hAnsi="仿宋_GB2312" w:eastAsia="仿宋_GB2312" w:cs="仿宋_GB2312"/>
          <w:b w:val="0"/>
          <w:bCs/>
          <w:color w:val="000000"/>
          <w:sz w:val="32"/>
          <w:szCs w:val="32"/>
          <w:lang w:val="en-US" w:eastAsia="zh-CN"/>
        </w:rPr>
        <w:t>万元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sz w:val="32"/>
          <w:szCs w:val="32"/>
          <w:lang w:val="en-US" w:eastAsia="zh-CN"/>
        </w:rPr>
        <w:t>项目已完工，资金将严格按照相关规定拨付。</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楷体_GB2312" w:eastAsia="楷体_GB2312" w:cs="楷体_GB2312"/>
          <w:b/>
          <w:bCs w:val="0"/>
          <w:sz w:val="32"/>
          <w:szCs w:val="32"/>
          <w:highlight w:val="none"/>
          <w:lang w:eastAsia="zh-CN"/>
        </w:rPr>
      </w:pPr>
      <w:r>
        <w:rPr>
          <w:rFonts w:hint="eastAsia" w:ascii="楷体_GB2312" w:hAnsi="楷体_GB2312" w:eastAsia="楷体_GB2312" w:cs="楷体_GB2312"/>
          <w:b/>
          <w:bCs w:val="0"/>
          <w:sz w:val="32"/>
          <w:szCs w:val="32"/>
          <w:highlight w:val="none"/>
          <w:lang w:eastAsia="zh-CN"/>
        </w:rPr>
        <w:t>资金管理情况分析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lang w:val="en-US" w:eastAsia="zh-CN"/>
        </w:rPr>
        <w:t>严格根据《中央财政水利发展资金使用管理办法》（财农〔2016〕181号）、《四川省水利发展专项资金管理办法》（川财农〔2016〕227号）、《四川省水利发展专项资金绩效管理办法》（川财农〔2017〕13号）以及省政府办公厅《关于支持贫困县开展统筹整合使用涉农资金试点的实施意见》（川府发〔2016〕44号）等文件要求，资金管理办法或细则的相关规定对项目资金进行管理，项目资金实行专账管理，财政集中支付。</w:t>
      </w:r>
    </w:p>
    <w:p>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0"/>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总体绩效目标完成情况分析</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按时、有效地完成</w:t>
      </w:r>
      <w:r>
        <w:rPr>
          <w:rFonts w:hint="eastAsia" w:ascii="仿宋_GB2312" w:hAnsi="仿宋_GB2312" w:eastAsia="仿宋_GB2312" w:cs="仿宋_GB2312"/>
          <w:b w:val="0"/>
          <w:bCs/>
          <w:sz w:val="32"/>
          <w:szCs w:val="32"/>
          <w:lang w:val="en-US" w:eastAsia="zh-CN"/>
        </w:rPr>
        <w:t>该项目建设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严格按照相关程序开展资金拨付工作。</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rPr>
        <w:t>（</w:t>
      </w:r>
      <w:r>
        <w:rPr>
          <w:rFonts w:hint="eastAsia" w:ascii="楷体_GB2312" w:hAnsi="楷体_GB2312" w:eastAsia="楷体_GB2312" w:cs="楷体_GB2312"/>
          <w:b/>
          <w:bCs w:val="0"/>
          <w:sz w:val="32"/>
          <w:szCs w:val="32"/>
          <w:highlight w:val="none"/>
          <w:lang w:eastAsia="zh-CN"/>
        </w:rPr>
        <w:t>四</w:t>
      </w:r>
      <w:r>
        <w:rPr>
          <w:rFonts w:hint="eastAsia" w:ascii="楷体_GB2312" w:hAnsi="楷体_GB2312" w:eastAsia="楷体_GB2312" w:cs="楷体_GB2312"/>
          <w:b/>
          <w:bCs w:val="0"/>
          <w:sz w:val="32"/>
          <w:szCs w:val="32"/>
          <w:highlight w:val="none"/>
        </w:rPr>
        <w:t>）绩效指标完成情况分析</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本次在白羊乡溜索头村、小姓乡碑子寺村等5个村的饮水设施安装消毒设备5套，在川主寺、镇坪等村维修饮水管道、蓄水池取水口等。</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三、偏离绩效目标的原因和下一步改进措施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sz w:val="32"/>
          <w:szCs w:val="32"/>
          <w:lang w:val="en"/>
        </w:rPr>
      </w:pPr>
      <w:r>
        <w:rPr>
          <w:rFonts w:hint="eastAsia" w:ascii="仿宋_GB2312" w:hAnsi="仿宋_GB2312" w:eastAsia="仿宋_GB2312" w:cs="仿宋_GB2312"/>
          <w:b w:val="0"/>
          <w:bCs/>
          <w:sz w:val="32"/>
          <w:szCs w:val="32"/>
        </w:rPr>
        <w:t>项目严格按照严格根据《中央对地方专项转移支付管理办法》（财预〔2015〕230号）、《中央财政水利发展资金使用管理办法》（财农〔2016〕181号）、《四川省水利发展专项资金管理办法》（川财农〔2016〕227号）、《四川省水利发展专项资金绩效管理办法》（川财农〔2017〕13号）以及州级资金管理办法或细则的相关规定对项目资金进行管理。在工程实施中坚决执行项目批复建设目标任务，确保任务的完成和资金安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sz w:val="32"/>
          <w:szCs w:val="32"/>
          <w:lang w:val="en"/>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val="en"/>
        </w:rPr>
        <w:t>、附件</w:t>
      </w:r>
    </w:p>
    <w:tbl>
      <w:tblPr>
        <w:tblStyle w:val="16"/>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80"/>
        <w:gridCol w:w="1140"/>
        <w:gridCol w:w="1635"/>
        <w:gridCol w:w="1185"/>
        <w:gridCol w:w="1230"/>
        <w:gridCol w:w="24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9585" w:type="dxa"/>
            <w:gridSpan w:val="6"/>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Style w:val="18"/>
                <w:rFonts w:hint="eastAsia"/>
                <w:lang w:val="en-US" w:eastAsia="zh-CN"/>
              </w:rPr>
              <w:t>松潘县2022年农村饮水安全维修养护项目</w:t>
            </w:r>
            <w:r>
              <w:rPr>
                <w:rStyle w:val="18"/>
              </w:rPr>
              <w:t>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主管部门及代码</w:t>
            </w:r>
          </w:p>
        </w:tc>
        <w:tc>
          <w:tcPr>
            <w:tcW w:w="2820"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松潘县水务局152001</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实施单位</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rPr>
                <w:rFonts w:hint="eastAsia"/>
                <w:lang w:val="en-US" w:eastAsia="zh-CN"/>
              </w:rPr>
              <w:t>松潘县水务局</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项目预算</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执行情况</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（万元）</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预算数：</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110</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执行数：</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110</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其中：</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财政拨款</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110</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其中：</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财政拨款</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110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其他资金</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其他资金</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年度总体目标</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完成情况</w:t>
            </w:r>
          </w:p>
        </w:tc>
        <w:tc>
          <w:tcPr>
            <w:tcW w:w="3960" w:type="dxa"/>
            <w:gridSpan w:val="3"/>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预期目标</w:t>
            </w:r>
          </w:p>
        </w:tc>
        <w:tc>
          <w:tcPr>
            <w:tcW w:w="3645"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3960" w:type="dxa"/>
            <w:gridSpan w:val="3"/>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提升5个村饮用水水质，提升改造6个村饮水设施。</w:t>
            </w:r>
            <w:r>
              <w:t> </w:t>
            </w:r>
          </w:p>
        </w:tc>
        <w:tc>
          <w:tcPr>
            <w:tcW w:w="3645"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r>
              <w:rPr>
                <w:rFonts w:hint="eastAsia"/>
              </w:rPr>
              <w:t>提升5个村饮用水水质，提升改造6个村饮水设施。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年度绩效指标完成情况</w:t>
            </w:r>
          </w:p>
        </w:tc>
        <w:tc>
          <w:tcPr>
            <w:tcW w:w="114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一级</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二级</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三级</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预期指标值</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完成</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数量指标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土建维修养护涉及乡镇</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4个</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4个</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质量指标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eastAsia="zh-CN"/>
              </w:rPr>
            </w:pPr>
            <w:r>
              <w:t> </w:t>
            </w:r>
            <w:r>
              <w:rPr>
                <w:rFonts w:hint="eastAsia"/>
              </w:rPr>
              <w:t>工程质量</w:t>
            </w:r>
            <w:r>
              <w:rPr>
                <w:rFonts w:hint="eastAsia"/>
                <w:lang w:val="en-US" w:eastAsia="zh-CN"/>
              </w:rPr>
              <w:t>达标</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达标</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达标</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时效指标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r>
              <w:rPr>
                <w:rFonts w:hint="eastAsia"/>
              </w:rPr>
              <w:t>完成项目建设</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2022年12月</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2022年12月</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成本指标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效益</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经济效益指标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是否提升当地用水质量，拉动旅游业发展</w:t>
            </w:r>
            <w:r>
              <w:rPr>
                <w:rFonts w:hint="eastAsia"/>
                <w:lang w:eastAsia="zh-CN"/>
              </w:rPr>
              <w:t>。</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社会效益指标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eastAsia="zh-CN"/>
              </w:rPr>
            </w:pPr>
            <w:r>
              <w:t> </w:t>
            </w:r>
            <w:r>
              <w:rPr>
                <w:rFonts w:hint="eastAsia"/>
              </w:rPr>
              <w:t>是否提升项目区村民幸福感，提高村民节水、惜水参与度</w:t>
            </w:r>
            <w:r>
              <w:rPr>
                <w:rFonts w:hint="eastAsia"/>
                <w:lang w:eastAsia="zh-CN"/>
              </w:rPr>
              <w:t>。</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ind w:left="423"/>
              <w:jc w:val="both"/>
              <w:textAlignment w:val="auto"/>
            </w:pPr>
            <w:r>
              <w:t>生态效益指标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可持续影响指标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是否形成以水养水的用水局面，形成长期有效的用水制度</w:t>
            </w:r>
            <w:r>
              <w:rPr>
                <w:rFonts w:hint="eastAsia"/>
                <w:lang w:eastAsia="zh-CN"/>
              </w:rPr>
              <w:t>。</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是</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满意</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度指标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满意度</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受益群众满意度</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100%</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r>
              <w:rPr>
                <w:rFonts w:hint="eastAsia"/>
                <w:lang w:val="en-US" w:eastAsia="zh-CN"/>
              </w:rPr>
              <w:t>100%</w:t>
            </w:r>
            <w:r>
              <w:t> </w:t>
            </w:r>
          </w:p>
        </w:tc>
      </w:tr>
    </w:tbl>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eastAsia="宋体"/>
          <w:lang w:val="en-US" w:eastAsia="zh-CN"/>
        </w:rPr>
      </w:pPr>
      <w:r>
        <w:rPr>
          <w:shd w:val="clear" w:color="auto" w:fill="FFFFFF"/>
        </w:rPr>
        <w:t>附件</w:t>
      </w:r>
      <w:r>
        <w:rPr>
          <w:rFonts w:hint="eastAsia"/>
          <w:shd w:val="clear" w:color="auto" w:fill="FFFFFF"/>
          <w:lang w:val="en-US" w:eastAsia="zh-CN"/>
        </w:rPr>
        <w:t>3：</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松潘县水务局</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松潘县2022年农业水价综合改革项目</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2022年度绩效自评报告</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2022年度，全年收到项目资金100万元，资金文件：2022年中央水利发展资金（阿州财农【2022】10号）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绩效</w:t>
      </w:r>
      <w:r>
        <w:rPr>
          <w:rFonts w:hint="eastAsia" w:ascii="黑体" w:hAnsi="黑体" w:eastAsia="黑体" w:cs="黑体"/>
          <w:bCs/>
          <w:sz w:val="32"/>
          <w:szCs w:val="32"/>
          <w:highlight w:val="none"/>
        </w:rPr>
        <w:t>情况分析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（一）资金投入情况分析。</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rPr>
        <w:t>资金发放情况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2022年度到位资金100万元，截止项目完工后根据合同约定共拨付63万余元，剩余资金在质保期结束后按合同约定支付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2.项目资金实施情况</w:t>
      </w:r>
    </w:p>
    <w:p>
      <w:pPr>
        <w:keepNext w:val="0"/>
        <w:keepLines w:val="0"/>
        <w:pageBreakBefore w:val="0"/>
        <w:widowControl/>
        <w:kinsoku/>
        <w:wordWrap/>
        <w:overflowPunct/>
        <w:topLinePunct w:val="0"/>
        <w:autoSpaceDE/>
        <w:autoSpaceDN/>
        <w:bidi w:val="0"/>
        <w:adjustRightInd/>
        <w:snapToGrid/>
        <w:spacing w:line="520" w:lineRule="exact"/>
        <w:ind w:firstLine="614" w:firstLineChars="192"/>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sz w:val="32"/>
          <w:szCs w:val="32"/>
          <w:lang w:val="en-US" w:eastAsia="zh-CN"/>
        </w:rPr>
        <w:t>松潘县2022年农业水价综合改革项目</w:t>
      </w:r>
    </w:p>
    <w:p>
      <w:pPr>
        <w:keepNext w:val="0"/>
        <w:keepLines w:val="0"/>
        <w:pageBreakBefore w:val="0"/>
        <w:widowControl/>
        <w:kinsoku/>
        <w:wordWrap/>
        <w:overflowPunct/>
        <w:topLinePunct w:val="0"/>
        <w:autoSpaceDE/>
        <w:autoSpaceDN/>
        <w:bidi w:val="0"/>
        <w:adjustRightInd/>
        <w:snapToGrid/>
        <w:spacing w:line="520" w:lineRule="exact"/>
        <w:ind w:firstLine="617" w:firstLineChars="192"/>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auto"/>
          <w:kern w:val="0"/>
          <w:sz w:val="32"/>
          <w:szCs w:val="32"/>
        </w:rPr>
        <w:t>工程建设</w:t>
      </w:r>
      <w:r>
        <w:rPr>
          <w:rFonts w:hint="eastAsia" w:ascii="仿宋_GB2312" w:hAnsi="仿宋_GB2312" w:eastAsia="仿宋_GB2312" w:cs="仿宋_GB2312"/>
          <w:b/>
          <w:bCs w:val="0"/>
          <w:color w:val="auto"/>
          <w:kern w:val="0"/>
          <w:sz w:val="32"/>
          <w:szCs w:val="32"/>
          <w:lang w:val="en-US" w:eastAsia="zh-CN"/>
        </w:rPr>
        <w:t>内容</w:t>
      </w:r>
      <w:r>
        <w:rPr>
          <w:rFonts w:hint="eastAsia" w:ascii="仿宋_GB2312" w:hAnsi="仿宋_GB2312" w:eastAsia="仿宋_GB2312" w:cs="仿宋_GB2312"/>
          <w:b/>
          <w:bCs w:val="0"/>
          <w:color w:val="auto"/>
          <w:kern w:val="0"/>
          <w:sz w:val="32"/>
          <w:szCs w:val="32"/>
          <w:lang w:eastAsia="zh-CN"/>
        </w:rPr>
        <w:t>：</w:t>
      </w:r>
      <w:r>
        <w:rPr>
          <w:rFonts w:hint="eastAsia" w:ascii="仿宋_GB2312" w:hAnsi="仿宋_GB2312" w:eastAsia="仿宋_GB2312" w:cs="仿宋_GB2312"/>
          <w:sz w:val="32"/>
          <w:szCs w:val="32"/>
          <w:lang w:val="en-US" w:eastAsia="zh-CN"/>
        </w:rPr>
        <w:t>改革农田灌溉面积0.99万亩，安装用水计量设施110余套及更换破损管道。</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val="0"/>
          <w:color w:val="auto"/>
          <w:kern w:val="0"/>
          <w:sz w:val="32"/>
          <w:szCs w:val="32"/>
        </w:rPr>
        <w:t>投资预算</w:t>
      </w:r>
      <w:r>
        <w:rPr>
          <w:rFonts w:hint="eastAsia" w:ascii="仿宋_GB2312" w:hAnsi="仿宋_GB2312" w:eastAsia="仿宋_GB2312" w:cs="仿宋_GB2312"/>
          <w:b/>
          <w:bCs w:val="0"/>
          <w:color w:val="auto"/>
          <w:kern w:val="0"/>
          <w:sz w:val="32"/>
          <w:szCs w:val="32"/>
          <w:lang w:eastAsia="zh-CN"/>
        </w:rPr>
        <w:t>：</w:t>
      </w:r>
      <w:r>
        <w:rPr>
          <w:rFonts w:hint="eastAsia" w:ascii="仿宋_GB2312" w:hAnsi="仿宋_GB2312" w:eastAsia="仿宋_GB2312" w:cs="仿宋_GB2312"/>
          <w:sz w:val="32"/>
          <w:szCs w:val="32"/>
          <w:lang w:val="en-US" w:eastAsia="zh-CN"/>
        </w:rPr>
        <w:t>项目总投资为100</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项目已完工，资金将严格按照相关规定拨付。</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资金管理情况分析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lang w:val="en-US" w:eastAsia="zh-CN"/>
        </w:rPr>
        <w:t>严格根据《中央财政水利发展资金使用管理办法》（财农〔2016〕181号）、《四川省水利发展专项资金管理办法》（川财农〔2016〕227号）、《四川省水利发展专项资金绩效管理办法》（川财农〔2017〕13号）以及省政府办公厅《关于支持贫困县开展统筹整合使用涉农资金试点的实施意见》（川府发〔2016〕44号）等文件要求，资金管理办法或细则的相关规定对项目资金进行管理，项目资金实行专账管理，财政集中支付。</w:t>
      </w:r>
    </w:p>
    <w:p>
      <w:pPr>
        <w:keepNext w:val="0"/>
        <w:keepLines w:val="0"/>
        <w:pageBreakBefore w:val="0"/>
        <w:widowControl w:val="0"/>
        <w:numPr>
          <w:ilvl w:val="0"/>
          <w:numId w:val="2"/>
        </w:numPr>
        <w:kinsoku/>
        <w:wordWrap/>
        <w:overflowPunct/>
        <w:topLinePunct w:val="0"/>
        <w:autoSpaceDE/>
        <w:autoSpaceDN/>
        <w:bidi w:val="0"/>
        <w:spacing w:line="578" w:lineRule="exact"/>
        <w:ind w:left="0" w:leftChars="0" w:firstLine="643" w:firstLineChars="200"/>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总体绩效目标完成情况分析</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按时、有效地完成</w:t>
      </w:r>
      <w:r>
        <w:rPr>
          <w:rFonts w:hint="eastAsia" w:ascii="仿宋_GB2312" w:hAnsi="仿宋_GB2312" w:eastAsia="仿宋_GB2312" w:cs="仿宋_GB2312"/>
          <w:b w:val="0"/>
          <w:bCs w:val="0"/>
          <w:sz w:val="32"/>
          <w:szCs w:val="32"/>
          <w:lang w:val="en-US" w:eastAsia="zh-CN"/>
        </w:rPr>
        <w:t>该项目建设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严格按照相关程序开展资金拨付工作。</w:t>
      </w:r>
    </w:p>
    <w:p>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）绩效指标完成情况分析</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本工程计划实施改革面积0.99万亩</w:t>
      </w:r>
      <w:r>
        <w:rPr>
          <w:rFonts w:hint="eastAsia" w:ascii="仿宋_GB2312" w:hAnsi="仿宋_GB2312" w:eastAsia="仿宋_GB2312" w:cs="仿宋_GB2312"/>
          <w:sz w:val="32"/>
          <w:szCs w:val="32"/>
          <w:lang w:val="en-US" w:eastAsia="zh-CN"/>
        </w:rPr>
        <w:t>，安装用水计量设施110余套及更换破损管道900余米，目前建设内容已全部完成</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三、偏离绩效目标的原因和下一步改进措施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项目严格按照严格根据《中央对地方专项转移支付管理办法》（财预〔2015〕230号）、《中央财政水利发展资金使用管理办法》（财农〔2016〕181号）、《四川省水利发展专项资金管理办法》（川财农〔2016〕227号）、《四川省水利发展专项资金绩效管理办法》（川财农〔2017〕13号）以及州级资金管理办法或细则的相关规定对项目资金进行管理。在工程实施中坚决执行项目批复建设目标任务，确保任务的完成和资金安全。</w:t>
      </w:r>
    </w:p>
    <w:p>
      <w:pPr>
        <w:keepNext w:val="0"/>
        <w:keepLines w:val="0"/>
        <w:pageBreakBefore w:val="0"/>
        <w:widowControl w:val="0"/>
        <w:numPr>
          <w:ilvl w:val="0"/>
          <w:numId w:val="3"/>
        </w:numPr>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lang w:val="en"/>
        </w:rPr>
      </w:pPr>
      <w:r>
        <w:rPr>
          <w:rFonts w:hint="eastAsia" w:ascii="黑体" w:hAnsi="黑体" w:eastAsia="黑体" w:cs="黑体"/>
          <w:sz w:val="32"/>
          <w:szCs w:val="32"/>
          <w:lang w:val="en"/>
        </w:rPr>
        <w:t>附件</w:t>
      </w:r>
    </w:p>
    <w:tbl>
      <w:tblPr>
        <w:tblStyle w:val="16"/>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80"/>
        <w:gridCol w:w="1140"/>
        <w:gridCol w:w="1635"/>
        <w:gridCol w:w="1185"/>
        <w:gridCol w:w="1230"/>
        <w:gridCol w:w="24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9585" w:type="dxa"/>
            <w:gridSpan w:val="6"/>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Style w:val="18"/>
                <w:rFonts w:hint="eastAsia"/>
                <w:lang w:val="en-US" w:eastAsia="zh-CN"/>
              </w:rPr>
              <w:t>松潘县2022年农业水价综合改革项目</w:t>
            </w:r>
            <w:r>
              <w:rPr>
                <w:rStyle w:val="18"/>
              </w:rPr>
              <w:t>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主管部门及代码</w:t>
            </w:r>
          </w:p>
        </w:tc>
        <w:tc>
          <w:tcPr>
            <w:tcW w:w="2820"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松潘县水务局152001</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实施单位</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rPr>
                <w:rFonts w:hint="eastAsia"/>
                <w:lang w:val="en-US" w:eastAsia="zh-CN"/>
              </w:rPr>
              <w:t>松潘县水务局</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项目预算</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执行情况</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（万元）</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预算数：</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lang w:val="en-US"/>
              </w:rPr>
            </w:pPr>
            <w:r>
              <w:rPr>
                <w:rFonts w:hint="eastAsia"/>
                <w:lang w:val="en-US" w:eastAsia="zh-CN"/>
              </w:rPr>
              <w:t>100</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执行数：</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lang w:val="en-US"/>
              </w:rPr>
            </w:pPr>
            <w:r>
              <w:rPr>
                <w:rFonts w:hint="eastAsia"/>
                <w:lang w:val="en-US" w:eastAsia="zh-CN"/>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其中：</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财政拨款</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100</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其中：</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财政拨款</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其他资金</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其他资金</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年度总体目标</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完成情况</w:t>
            </w:r>
          </w:p>
        </w:tc>
        <w:tc>
          <w:tcPr>
            <w:tcW w:w="3960" w:type="dxa"/>
            <w:gridSpan w:val="3"/>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预期目标</w:t>
            </w:r>
          </w:p>
        </w:tc>
        <w:tc>
          <w:tcPr>
            <w:tcW w:w="3645"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3960" w:type="dxa"/>
            <w:gridSpan w:val="3"/>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提升5个村饮用水水质，提升改造6个村饮水设施。</w:t>
            </w:r>
            <w:r>
              <w:t> </w:t>
            </w:r>
          </w:p>
        </w:tc>
        <w:tc>
          <w:tcPr>
            <w:tcW w:w="3645" w:type="dxa"/>
            <w:gridSpan w:val="2"/>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r>
              <w:rPr>
                <w:rFonts w:hint="eastAsia"/>
              </w:rPr>
              <w:t>提升5个村饮用水水质，提升改造6个村饮水设施。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年度绩效指标完成情况</w:t>
            </w:r>
          </w:p>
        </w:tc>
        <w:tc>
          <w:tcPr>
            <w:tcW w:w="114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一级</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二级</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三级</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预期指标值</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完成</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数量指标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安装机械水表</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102套</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102套</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质量指标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eastAsia="zh-CN"/>
              </w:rPr>
            </w:pPr>
            <w:r>
              <w:t> </w:t>
            </w:r>
            <w:r>
              <w:rPr>
                <w:rFonts w:hint="eastAsia"/>
              </w:rPr>
              <w:t>工程质量</w:t>
            </w:r>
            <w:r>
              <w:rPr>
                <w:rFonts w:hint="eastAsia"/>
                <w:lang w:val="en-US" w:eastAsia="zh-CN"/>
              </w:rPr>
              <w:t>达标</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达标</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达标</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时效指标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r>
              <w:rPr>
                <w:rFonts w:hint="eastAsia"/>
              </w:rPr>
              <w:t>完成项目建设</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2022年12月</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2022年12月</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成本指标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restart"/>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效益</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经济效益指标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是否完成我县农业水价改革面积计量设施配套</w:t>
            </w:r>
            <w:r>
              <w:rPr>
                <w:rFonts w:hint="eastAsia"/>
                <w:lang w:eastAsia="zh-CN"/>
              </w:rPr>
              <w:t>。</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社会效益指标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eastAsia="zh-CN"/>
              </w:rPr>
            </w:pPr>
            <w:r>
              <w:t> </w:t>
            </w:r>
            <w:r>
              <w:rPr>
                <w:rFonts w:hint="eastAsia"/>
              </w:rPr>
              <w:t>是否完成改革农田灌溉面积0.99万亩，提高水资源使用率</w:t>
            </w:r>
            <w:r>
              <w:rPr>
                <w:rFonts w:hint="eastAsia"/>
                <w:lang w:eastAsia="zh-CN"/>
              </w:rPr>
              <w:t>。</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ind w:left="423"/>
              <w:jc w:val="both"/>
              <w:textAlignment w:val="auto"/>
            </w:pPr>
            <w:r>
              <w:t>生态效益指标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可持续影响指标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是否形成以水养水的用水局面，形成长期有效的用水制度</w:t>
            </w:r>
            <w:r>
              <w:rPr>
                <w:rFonts w:hint="eastAsia"/>
                <w:lang w:eastAsia="zh-CN"/>
              </w:rPr>
              <w:t>。</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是</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lang w:val="en-US" w:eastAsia="zh-CN"/>
              </w:rPr>
              <w:t>是</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noWrap w:val="0"/>
            <w:vAlign w:val="center"/>
          </w:tcPr>
          <w:p>
            <w:pPr>
              <w:keepNext w:val="0"/>
              <w:keepLines w:val="0"/>
              <w:pageBreakBefore w:val="0"/>
              <w:kinsoku/>
              <w:wordWrap/>
              <w:overflowPunct/>
              <w:topLinePunct w:val="0"/>
              <w:autoSpaceDE/>
              <w:autoSpaceDN/>
              <w:bidi w:val="0"/>
              <w:spacing w:beforeAutospacing="0" w:afterAutospacing="0" w:line="576" w:lineRule="exact"/>
              <w:textAlignment w:val="auto"/>
              <w:rPr>
                <w:rFonts w:hint="eastAsia" w:ascii="宋体"/>
                <w:sz w:val="24"/>
                <w:szCs w:val="24"/>
              </w:rPr>
            </w:pPr>
          </w:p>
        </w:tc>
        <w:tc>
          <w:tcPr>
            <w:tcW w:w="114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满意</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度指标</w:t>
            </w:r>
          </w:p>
        </w:tc>
        <w:tc>
          <w:tcPr>
            <w:tcW w:w="163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满意度</w:t>
            </w:r>
          </w:p>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指标</w:t>
            </w:r>
          </w:p>
        </w:tc>
        <w:tc>
          <w:tcPr>
            <w:tcW w:w="118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rPr>
                <w:rFonts w:hint="eastAsia"/>
              </w:rPr>
              <w:t>受益群众满意度</w:t>
            </w:r>
            <w:r>
              <w:t> </w:t>
            </w:r>
          </w:p>
        </w:tc>
        <w:tc>
          <w:tcPr>
            <w:tcW w:w="1230"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rPr>
                <w:rFonts w:hint="eastAsia" w:eastAsia="宋体"/>
                <w:lang w:val="en-US" w:eastAsia="zh-CN"/>
              </w:rPr>
            </w:pPr>
            <w:r>
              <w:t> </w:t>
            </w:r>
            <w:r>
              <w:rPr>
                <w:rFonts w:hint="eastAsia"/>
                <w:lang w:val="en-US" w:eastAsia="zh-CN"/>
              </w:rPr>
              <w:t>100%</w:t>
            </w:r>
          </w:p>
        </w:tc>
        <w:tc>
          <w:tcPr>
            <w:tcW w:w="2415" w:type="dxa"/>
            <w:noWrap w:val="0"/>
            <w:vAlign w:val="center"/>
          </w:tcPr>
          <w:p>
            <w:pPr>
              <w:pStyle w:val="15"/>
              <w:keepNext w:val="0"/>
              <w:keepLines w:val="0"/>
              <w:pageBreakBefore w:val="0"/>
              <w:widowControl/>
              <w:suppressLineNumbers w:val="0"/>
              <w:kinsoku/>
              <w:wordWrap/>
              <w:overflowPunct/>
              <w:topLinePunct w:val="0"/>
              <w:autoSpaceDE/>
              <w:autoSpaceDN/>
              <w:bidi w:val="0"/>
              <w:spacing w:beforeAutospacing="0" w:afterAutospacing="0" w:line="576" w:lineRule="exact"/>
              <w:jc w:val="center"/>
              <w:textAlignment w:val="auto"/>
            </w:pPr>
            <w:r>
              <w:t> </w:t>
            </w:r>
            <w:r>
              <w:rPr>
                <w:rFonts w:hint="eastAsia"/>
                <w:lang w:val="en-US" w:eastAsia="zh-CN"/>
              </w:rPr>
              <w:t>100%</w:t>
            </w:r>
            <w:r>
              <w:t> </w:t>
            </w:r>
          </w:p>
        </w:tc>
      </w:tr>
    </w:tbl>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 </w:t>
      </w:r>
    </w:p>
    <w:p>
      <w:pPr>
        <w:pStyle w:val="4"/>
        <w:numPr>
          <w:ilvl w:val="0"/>
          <w:numId w:val="0"/>
        </w:numPr>
        <w:outlineLvl w:val="1"/>
        <w:rPr>
          <w:rFonts w:hint="eastAsia"/>
          <w:lang w:val="en"/>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rPr>
          <w:rFonts w:hint="eastAsia" w:ascii="仿宋_GB2312" w:hAnsi="仿宋_GB2312" w:eastAsia="仿宋_GB2312" w:cs="仿宋_GB2312"/>
          <w:sz w:val="32"/>
          <w:szCs w:val="32"/>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rPr>
          <w:rStyle w:val="18"/>
          <w:sz w:val="39"/>
          <w:szCs w:val="39"/>
          <w:shd w:val="clear" w:color="auto" w:fill="FFFFFF"/>
        </w:rPr>
      </w:pPr>
    </w:p>
    <w:p>
      <w:pPr>
        <w:pStyle w:val="15"/>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center"/>
        <w:textAlignment w:val="auto"/>
      </w:pPr>
      <w:r>
        <w:rPr>
          <w:rStyle w:val="18"/>
          <w:sz w:val="39"/>
          <w:szCs w:val="39"/>
          <w:shd w:val="clear" w:color="auto" w:fill="FFFFFF"/>
        </w:rPr>
        <w:t>第五部分 附表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一、收入支出决算总表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二、收入决算表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三、支出决算表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四、财政拨款收入支出决算总表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五、财政拨款支出决算明细表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六、一般公共预算财政拨款支出决算表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七、一般公共预算财政拨款支出决算明细表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八、一般公共预算财政拨款基本支出决算表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九、一般公共预算财政拨款项目支出决算表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十、政府性基金预算财政拨款收入支出决算表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十一、国有资本经营预算财政拨款收入支出决算表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十二、国有资本经营预算财政拨款支出决算表</w:t>
      </w:r>
    </w:p>
    <w:p>
      <w:pPr>
        <w:pStyle w:val="4"/>
        <w:keepNext w:val="0"/>
        <w:keepLines w:val="0"/>
        <w:pageBreakBefore w:val="0"/>
        <w:widowControl/>
        <w:suppressLineNumbers w:val="0"/>
        <w:kinsoku/>
        <w:wordWrap/>
        <w:overflowPunct/>
        <w:topLinePunct w:val="0"/>
        <w:autoSpaceDE/>
        <w:autoSpaceDN/>
        <w:bidi w:val="0"/>
        <w:spacing w:before="0" w:beforeAutospacing="0" w:afterAutospacing="0" w:line="576" w:lineRule="exact"/>
        <w:ind w:left="0"/>
        <w:jc w:val="left"/>
        <w:textAlignment w:val="auto"/>
      </w:pPr>
      <w:r>
        <w:rPr>
          <w:shd w:val="clear" w:color="auto" w:fill="FFFFFF"/>
        </w:rPr>
        <w:t>十三、财政拨款“三公”经费支出决算表</w:t>
      </w:r>
    </w:p>
    <w:sectPr>
      <w:footerReference r:id="rId3" w:type="default"/>
      <w:pgSz w:w="11915" w:h="16851"/>
      <w:pgMar w:top="1440" w:right="1800" w:bottom="1440" w:left="1800" w:header="851" w:footer="992"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0F055"/>
    <w:multiLevelType w:val="singleLevel"/>
    <w:tmpl w:val="9A80F055"/>
    <w:lvl w:ilvl="0" w:tentative="0">
      <w:start w:val="2"/>
      <w:numFmt w:val="chineseCounting"/>
      <w:suff w:val="nothing"/>
      <w:lvlText w:val="（%1）"/>
      <w:lvlJc w:val="left"/>
      <w:rPr>
        <w:rFonts w:hint="eastAsia"/>
      </w:rPr>
    </w:lvl>
  </w:abstractNum>
  <w:abstractNum w:abstractNumId="1">
    <w:nsid w:val="EAE7F940"/>
    <w:multiLevelType w:val="singleLevel"/>
    <w:tmpl w:val="EAE7F940"/>
    <w:lvl w:ilvl="0" w:tentative="0">
      <w:start w:val="2"/>
      <w:numFmt w:val="chineseCounting"/>
      <w:suff w:val="nothing"/>
      <w:lvlText w:val="（%1）"/>
      <w:lvlJc w:val="left"/>
      <w:rPr>
        <w:rFonts w:hint="eastAsia"/>
      </w:rPr>
    </w:lvl>
  </w:abstractNum>
  <w:abstractNum w:abstractNumId="2">
    <w:nsid w:val="47CDD615"/>
    <w:multiLevelType w:val="singleLevel"/>
    <w:tmpl w:val="47CDD61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000000"/>
    <w:rsid w:val="009F3A84"/>
    <w:rsid w:val="011B2E84"/>
    <w:rsid w:val="084B37A5"/>
    <w:rsid w:val="0B734EA5"/>
    <w:rsid w:val="1D4F6A54"/>
    <w:rsid w:val="23DC6BE1"/>
    <w:rsid w:val="2C812457"/>
    <w:rsid w:val="31030402"/>
    <w:rsid w:val="36EC70CA"/>
    <w:rsid w:val="39F15008"/>
    <w:rsid w:val="47C832E9"/>
    <w:rsid w:val="525C64D7"/>
    <w:rsid w:val="53D56EAF"/>
    <w:rsid w:val="57A66493"/>
    <w:rsid w:val="5AB60BEB"/>
    <w:rsid w:val="70466285"/>
    <w:rsid w:val="720A76E1"/>
    <w:rsid w:val="7B486E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宋体" w:hAnsi="宋体" w:eastAsia="宋体" w:cs="宋体"/>
      <w:kern w:val="0"/>
      <w:sz w:val="24"/>
      <w:szCs w:val="24"/>
      <w:lang w:val="en-US" w:eastAsia="zh-CN" w:bidi="ar"/>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paragraph" w:styleId="7">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17">
    <w:name w:val="Default Paragraph Font"/>
    <w:semiHidden/>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customStyle="1" w:styleId="2">
    <w:name w:val="称呼1"/>
    <w:basedOn w:val="1"/>
    <w:next w:val="1"/>
    <w:qFormat/>
    <w:uiPriority w:val="99"/>
  </w:style>
  <w:style w:type="paragraph" w:styleId="9">
    <w:name w:val="toc 3"/>
    <w:basedOn w:val="1"/>
    <w:next w:val="1"/>
    <w:unhideWhenUsed/>
    <w:qFormat/>
    <w:uiPriority w:val="39"/>
    <w:pPr>
      <w:ind w:left="420"/>
      <w:jc w:val="left"/>
    </w:pPr>
    <w:rPr>
      <w:rFonts w:ascii="Calibri" w:eastAsia="Calibri"/>
      <w:i/>
      <w:iCs/>
      <w:sz w:val="20"/>
      <w:szCs w:val="20"/>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spacing w:before="120" w:after="120"/>
      <w:jc w:val="left"/>
    </w:pPr>
    <w:rPr>
      <w:rFonts w:ascii="Calibri" w:eastAsia="Calibri"/>
      <w:b/>
      <w:bCs/>
      <w:caps/>
      <w:sz w:val="20"/>
      <w:szCs w:val="20"/>
    </w:rPr>
  </w:style>
  <w:style w:type="paragraph" w:styleId="13">
    <w:name w:val="toc 2"/>
    <w:basedOn w:val="1"/>
    <w:next w:val="1"/>
    <w:unhideWhenUsed/>
    <w:qFormat/>
    <w:uiPriority w:val="39"/>
    <w:pPr>
      <w:ind w:left="210"/>
      <w:jc w:val="left"/>
    </w:pPr>
    <w:rPr>
      <w:rFonts w:ascii="Calibri" w:eastAsia="Calibri"/>
      <w:smallCaps/>
      <w:sz w:val="20"/>
      <w:szCs w:val="20"/>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0"/>
    <w:rPr>
      <w:b/>
    </w:rPr>
  </w:style>
  <w:style w:type="paragraph" w:customStyle="1" w:styleId="19">
    <w:name w:val="BodyTextIndent"/>
    <w:basedOn w:val="1"/>
    <w:next w:val="20"/>
    <w:qFormat/>
    <w:uiPriority w:val="0"/>
    <w:pPr>
      <w:ind w:firstLine="600" w:firstLineChars="200"/>
      <w:jc w:val="both"/>
      <w:textAlignment w:val="baseline"/>
    </w:pPr>
    <w:rPr>
      <w:rFonts w:ascii="黑体" w:hAnsi="Times New Roman" w:eastAsia="黑体"/>
      <w:kern w:val="2"/>
      <w:sz w:val="30"/>
      <w:szCs w:val="24"/>
      <w:lang w:val="en-US" w:eastAsia="zh-CN" w:bidi="ar-SA"/>
    </w:rPr>
  </w:style>
  <w:style w:type="paragraph" w:customStyle="1" w:styleId="20">
    <w:name w:val="BodyText1I2"/>
    <w:basedOn w:val="19"/>
    <w:next w:val="1"/>
    <w:qFormat/>
    <w:uiPriority w:val="0"/>
    <w:pPr>
      <w:ind w:firstLine="420" w:firstLineChars="200"/>
      <w:jc w:val="both"/>
      <w:textAlignment w:val="baseline"/>
    </w:pPr>
  </w:style>
  <w:style w:type="paragraph" w:customStyle="1" w:styleId="21">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2023-09-04T02:19:03Z</dcterms:created>
  <dc:creator>Administrator</dc:creator>
  <cp:lastModifiedBy>暖暖</cp:lastModifiedBy>
  <dcterms:modified xsi:type="dcterms:W3CDTF">2023-09-18T03:30:27Z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DEB6605CFB65483EB6514DEDB16C704E_13</vt:lpwstr>
  </property>
</Properties>
</file>