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16F2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06267"/>
      <w:bookmarkStart w:id="1" w:name="_Toc15377193"/>
      <w:bookmarkStart w:id="2" w:name="_Toc15378441"/>
      <w:bookmarkStart w:id="3" w:name="_Toc15377425"/>
      <w:bookmarkStart w:id="4" w:name="_Toc15396597"/>
      <w:bookmarkStart w:id="5"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1271BF19">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四川省</w:t>
      </w:r>
      <w:r>
        <w:rPr>
          <w:rFonts w:hint="eastAsia" w:ascii="方正小标宋简体" w:hAnsi="方正小标宋简体" w:eastAsia="方正小标宋简体" w:cs="方正小标宋简体"/>
          <w:sz w:val="72"/>
          <w:szCs w:val="72"/>
          <w:lang w:eastAsia="zh-CN"/>
        </w:rPr>
        <w:t>阿坝州松潘县</w:t>
      </w:r>
    </w:p>
    <w:p w14:paraId="146C8F8A">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社会保险事务中心</w:t>
      </w:r>
    </w:p>
    <w:p w14:paraId="5F4C43B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14:paraId="69A5311A">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lang w:eastAsia="zh-CN"/>
        </w:rPr>
        <w:t>（</w:t>
      </w:r>
      <w:r>
        <w:rPr>
          <w:rFonts w:hint="eastAsia" w:ascii="方正小标宋简体" w:hAnsi="宋体" w:eastAsia="方正小标宋简体"/>
          <w:sz w:val="52"/>
          <w:szCs w:val="52"/>
        </w:rPr>
        <w:t>单位公开</w:t>
      </w:r>
      <w:r>
        <w:rPr>
          <w:rFonts w:hint="eastAsia" w:ascii="方正小标宋简体" w:hAnsi="宋体" w:eastAsia="方正小标宋简体"/>
          <w:sz w:val="52"/>
          <w:szCs w:val="52"/>
          <w:lang w:eastAsia="zh-CN"/>
        </w:rPr>
        <w:t>）</w:t>
      </w:r>
    </w:p>
    <w:p w14:paraId="4C370478">
      <w:pPr>
        <w:pStyle w:val="6"/>
        <w:rPr>
          <w:rFonts w:hint="eastAsia" w:ascii="Times New Roman" w:hAnsi="Times New Roman" w:eastAsia="方正小标宋简体" w:cs="Times New Roman"/>
          <w:color w:val="auto"/>
          <w:kern w:val="2"/>
          <w:sz w:val="72"/>
          <w:szCs w:val="72"/>
          <w:highlight w:val="none"/>
          <w:lang w:val="en-US" w:eastAsia="zh-CN" w:bidi="ar-SA"/>
        </w:rPr>
      </w:pPr>
    </w:p>
    <w:p w14:paraId="239564A6">
      <w:pPr>
        <w:pStyle w:val="6"/>
        <w:rPr>
          <w:rFonts w:hint="eastAsia" w:ascii="Times New Roman" w:hAnsi="Times New Roman" w:eastAsia="方正小标宋简体" w:cs="Times New Roman"/>
          <w:color w:val="auto"/>
          <w:kern w:val="2"/>
          <w:sz w:val="72"/>
          <w:szCs w:val="72"/>
          <w:highlight w:val="none"/>
          <w:lang w:val="en-US" w:eastAsia="zh-CN" w:bidi="ar-SA"/>
        </w:rPr>
      </w:pPr>
    </w:p>
    <w:p w14:paraId="3FF53258">
      <w:pPr>
        <w:pStyle w:val="6"/>
        <w:rPr>
          <w:rFonts w:hint="eastAsia" w:ascii="Times New Roman" w:hAnsi="Times New Roman" w:eastAsia="方正小标宋简体" w:cs="Times New Roman"/>
          <w:color w:val="auto"/>
          <w:kern w:val="2"/>
          <w:sz w:val="72"/>
          <w:szCs w:val="72"/>
          <w:highlight w:val="none"/>
          <w:lang w:val="en-US" w:eastAsia="zh-CN" w:bidi="ar-SA"/>
        </w:rPr>
      </w:pPr>
    </w:p>
    <w:p w14:paraId="28CB1BBA">
      <w:pPr>
        <w:spacing w:line="600" w:lineRule="exact"/>
        <w:jc w:val="center"/>
        <w:outlineLvl w:val="0"/>
        <w:rPr>
          <w:rFonts w:ascii="Times New Roman" w:hAnsi="Times New Roman" w:eastAsia="方正小标宋简体"/>
          <w:color w:val="auto"/>
          <w:sz w:val="72"/>
          <w:szCs w:val="72"/>
          <w:highlight w:val="none"/>
        </w:rPr>
      </w:pPr>
    </w:p>
    <w:p w14:paraId="3651E631">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A65C8E6">
      <w:pPr>
        <w:rPr>
          <w:rFonts w:ascii="Times New Roman" w:hAnsi="Times New Roman"/>
        </w:rPr>
      </w:pPr>
    </w:p>
    <w:p w14:paraId="30C21FA6">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F7AB39F">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70E7C5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D7273B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8C78D6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3FF5183">
      <w:pPr>
        <w:widowControl/>
        <w:jc w:val="center"/>
        <w:rPr>
          <w:rFonts w:ascii="Times New Roman" w:hAnsi="Times New Roman" w:eastAsia="黑体" w:cstheme="minorBidi"/>
          <w:color w:val="auto"/>
          <w:sz w:val="28"/>
          <w:szCs w:val="28"/>
          <w:highlight w:val="none"/>
        </w:rPr>
      </w:pPr>
    </w:p>
    <w:p w14:paraId="24A9B120">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6A76AEA7">
      <w:pPr>
        <w:rPr>
          <w:rFonts w:ascii="Times New Roman" w:hAnsi="Times New Roman"/>
          <w:color w:val="auto"/>
          <w:highlight w:val="none"/>
        </w:rPr>
      </w:pPr>
    </w:p>
    <w:p w14:paraId="58839104">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436E4C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748FC17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3CE4103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506E79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520A083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5695EC4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7DC6A03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02D9EC7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0EBE81D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2C2BED3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286D771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028DC61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28494CA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5D5EDC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2BAF26D0">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07F32F0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7D85C38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3800A62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8E9918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16B4DF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1B2BB07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26E2945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7FFADE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6CA424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3BBA019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BF52A5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77E9CF7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B8CFC0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7DE9293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E5C98B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3408A1F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73A58983">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5166F690">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03644C82">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lang w:eastAsia="zh-CN"/>
        </w:rPr>
      </w:pPr>
      <w:r>
        <w:rPr>
          <w:rFonts w:hint="eastAsia" w:ascii="仿宋_GB2312" w:hAnsi="仿宋_GB2312" w:eastAsia="仿宋_GB2312" w:cs="仿宋_GB2312"/>
          <w:b w:val="0"/>
          <w:bCs w:val="0"/>
          <w:color w:val="auto"/>
          <w:sz w:val="32"/>
          <w:szCs w:val="32"/>
          <w:lang w:val="en-US" w:eastAsia="zh-CN"/>
        </w:rPr>
        <w:t>主要职能。宣传、贯彻、执行党和国家有关城镇企业职工基本养老、工伤保险的方针、政策、法律法规和上级指示精神；经办城镇各类企业职工及个体劳动者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建立、管理参保单位、人员基本资料、数据、档案；做好离退休人员管理服务工作；管理、经办各类企事业单位职工工伤、生育保险业务。即：办理参加工伤保险、生育保险登记，受理缴费申报，核定缴费基数；负责审核按时拨付工伤保险待遇；建立、管理参保单位基本资料、数据、档案。</w:t>
      </w:r>
    </w:p>
    <w:p w14:paraId="6B4C4380">
      <w:pPr>
        <w:pStyle w:val="4"/>
        <w:rPr>
          <w:rStyle w:val="31"/>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14:paraId="2B074CCB">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阿坝州松潘县社会保险</w:t>
      </w:r>
      <w:r>
        <w:rPr>
          <w:rFonts w:hint="eastAsia" w:ascii="仿宋_GB2312" w:hAnsi="仿宋_GB2312" w:eastAsia="仿宋_GB2312" w:cs="仿宋_GB2312"/>
          <w:color w:val="auto"/>
          <w:sz w:val="32"/>
          <w:szCs w:val="32"/>
          <w:highlight w:val="none"/>
          <w:lang w:eastAsia="zh-CN"/>
        </w:rPr>
        <w:t>事务中心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022E71A6">
      <w:pPr>
        <w:spacing w:line="578" w:lineRule="exact"/>
        <w:ind w:firstLine="640" w:firstLineChars="200"/>
        <w:rPr>
          <w:rFonts w:hint="eastAsia" w:ascii="仿宋" w:hAnsi="仿宋" w:eastAsia="仿宋" w:cs="仿宋"/>
          <w:sz w:val="32"/>
          <w:szCs w:val="32"/>
        </w:rPr>
      </w:pPr>
      <w:r>
        <w:rPr>
          <w:rFonts w:hint="eastAsia" w:eastAsia="仿宋"/>
          <w:color w:val="auto"/>
          <w:sz w:val="32"/>
          <w:szCs w:val="32"/>
          <w:highlight w:val="none"/>
          <w:lang w:val="en-US" w:eastAsia="zh-CN"/>
        </w:rPr>
        <w:t xml:space="preserve"> </w:t>
      </w:r>
      <w:r>
        <w:rPr>
          <w:rFonts w:hint="eastAsia" w:ascii="仿宋" w:hAnsi="仿宋" w:eastAsia="仿宋" w:cs="仿宋"/>
          <w:sz w:val="32"/>
          <w:szCs w:val="32"/>
        </w:rPr>
        <w:t>松潘县</w:t>
      </w:r>
      <w:r>
        <w:rPr>
          <w:rFonts w:hint="eastAsia" w:ascii="仿宋" w:hAnsi="仿宋" w:eastAsia="仿宋" w:cs="仿宋"/>
          <w:sz w:val="32"/>
          <w:szCs w:val="32"/>
          <w:lang w:eastAsia="zh-CN"/>
        </w:rPr>
        <w:t>社会保险事务中心</w:t>
      </w:r>
      <w:r>
        <w:rPr>
          <w:rFonts w:hint="eastAsia" w:ascii="仿宋" w:hAnsi="仿宋" w:eastAsia="仿宋" w:cs="仿宋"/>
          <w:sz w:val="32"/>
          <w:szCs w:val="32"/>
        </w:rPr>
        <w:t>设</w:t>
      </w:r>
      <w:r>
        <w:rPr>
          <w:rFonts w:hint="eastAsia" w:ascii="仿宋" w:hAnsi="仿宋" w:eastAsia="仿宋" w:cs="仿宋"/>
          <w:sz w:val="32"/>
          <w:szCs w:val="32"/>
          <w:lang w:val="en-US" w:eastAsia="zh-CN"/>
        </w:rPr>
        <w:t>5</w:t>
      </w:r>
      <w:r>
        <w:rPr>
          <w:rFonts w:hint="eastAsia" w:ascii="仿宋" w:hAnsi="仿宋" w:eastAsia="仿宋" w:cs="仿宋"/>
          <w:sz w:val="32"/>
          <w:szCs w:val="32"/>
        </w:rPr>
        <w:t>个内设机构：</w:t>
      </w:r>
    </w:p>
    <w:p w14:paraId="76EEEA2F">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（一）办公室</w:t>
      </w:r>
    </w:p>
    <w:p w14:paraId="1BC5B274">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负责局机关日常事务，承担综合性协调工作；</w:t>
      </w:r>
    </w:p>
    <w:p w14:paraId="66BD4573">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负责领导重要批示和会议决定事项的督办工作负责组织召开会议及文秘、保密、信息、信访、宣传和接待联络工作；拟定单位工作制度、工作计划、工作总结并负责监督检查；</w:t>
      </w:r>
    </w:p>
    <w:p w14:paraId="25C7DA62">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负责局机关文印、收发、房产、办公设施、车辆等管理及保障工作；</w:t>
      </w:r>
    </w:p>
    <w:p w14:paraId="2C9EF2D6">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负责承办局机关党风廉政建设、精神文明建设、干部考核工作；</w:t>
      </w:r>
    </w:p>
    <w:p w14:paraId="40237A50">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财务股</w:t>
      </w:r>
    </w:p>
    <w:p w14:paraId="7046C3C3">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认真贯彻执行国家有关社会保险基金财务管理</w:t>
      </w:r>
      <w:r>
        <w:rPr>
          <w:rFonts w:hint="eastAsia" w:ascii="仿宋" w:hAnsi="仿宋" w:eastAsia="仿宋" w:cs="仿宋"/>
          <w:sz w:val="32"/>
          <w:szCs w:val="32"/>
          <w:lang w:eastAsia="zh-CN"/>
        </w:rPr>
        <w:t>法律法规</w:t>
      </w:r>
      <w:r>
        <w:rPr>
          <w:rFonts w:hint="eastAsia" w:ascii="仿宋" w:hAnsi="仿宋" w:eastAsia="仿宋" w:cs="仿宋"/>
          <w:sz w:val="32"/>
          <w:szCs w:val="32"/>
        </w:rPr>
        <w:t>；</w:t>
      </w:r>
    </w:p>
    <w:p w14:paraId="01E9A1C2">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负责各项社会保险基金财务收入、支出预算决算；负责社会保险基金的拨付计划执行情况以及财务分析，提出改进意见；负责报告社保基金收支、结存情况；</w:t>
      </w:r>
    </w:p>
    <w:p w14:paraId="76D88E1A">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负责各项社会保险基金待遇审核支付工作；</w:t>
      </w:r>
    </w:p>
    <w:p w14:paraId="49DBABCC">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负责各项社会保险基金的日常</w:t>
      </w:r>
      <w:r>
        <w:rPr>
          <w:rFonts w:hint="eastAsia" w:ascii="仿宋" w:hAnsi="仿宋" w:eastAsia="仿宋" w:cs="仿宋"/>
          <w:sz w:val="32"/>
          <w:szCs w:val="32"/>
          <w:lang w:eastAsia="zh-CN"/>
        </w:rPr>
        <w:t>账务处理</w:t>
      </w:r>
      <w:r>
        <w:rPr>
          <w:rFonts w:hint="eastAsia" w:ascii="仿宋" w:hAnsi="仿宋" w:eastAsia="仿宋" w:cs="仿宋"/>
          <w:sz w:val="32"/>
          <w:szCs w:val="32"/>
        </w:rPr>
        <w:t>；负责票据的领用、核销、保管工作和财务资料装订整理、归档工作；</w:t>
      </w:r>
    </w:p>
    <w:p w14:paraId="693D50BC">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负责实施社会保险基金收支两条线的财政专户管理制度，准确及时反映各项社会保险基金收支运营情况、合理、规范、安全使用基金，按期上解基金；</w:t>
      </w:r>
    </w:p>
    <w:p w14:paraId="61BB0A65">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负责社会保险基金会计资料的收集、整理、编制，上报社会保险基金会计报表；</w:t>
      </w:r>
    </w:p>
    <w:p w14:paraId="24471EAD">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7.</w:t>
      </w:r>
      <w:r>
        <w:rPr>
          <w:rFonts w:hint="eastAsia" w:ascii="仿宋" w:hAnsi="仿宋" w:eastAsia="仿宋" w:cs="仿宋"/>
          <w:sz w:val="32"/>
          <w:szCs w:val="32"/>
        </w:rPr>
        <w:t>负责对各项社会保险基金运行情况提供分析、研究和预测，提出调整建议和实施方案；</w:t>
      </w:r>
    </w:p>
    <w:p w14:paraId="6F09E121">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统筹股</w:t>
      </w:r>
    </w:p>
    <w:p w14:paraId="0F2AC1FB">
      <w:pPr>
        <w:ind w:firstLine="800" w:firstLineChars="250"/>
        <w:rPr>
          <w:rFonts w:hint="eastAsia" w:ascii="仿宋" w:hAnsi="仿宋" w:eastAsia="仿宋" w:cs="仿宋"/>
          <w:sz w:val="32"/>
          <w:szCs w:val="32"/>
        </w:rPr>
      </w:pPr>
      <w:r>
        <w:rPr>
          <w:rFonts w:hint="eastAsia" w:ascii="仿宋" w:hAnsi="仿宋" w:eastAsia="仿宋" w:cs="仿宋"/>
          <w:sz w:val="32"/>
          <w:szCs w:val="32"/>
        </w:rPr>
        <w:t>1负责宣传贯彻执行国家、省、州有关养老保险征收管理的各项</w:t>
      </w:r>
      <w:r>
        <w:rPr>
          <w:rFonts w:hint="eastAsia" w:ascii="仿宋" w:hAnsi="仿宋" w:eastAsia="仿宋" w:cs="仿宋"/>
          <w:sz w:val="32"/>
          <w:szCs w:val="32"/>
          <w:lang w:eastAsia="zh-CN"/>
        </w:rPr>
        <w:t>法律法规</w:t>
      </w:r>
      <w:r>
        <w:rPr>
          <w:rFonts w:hint="eastAsia" w:ascii="仿宋" w:hAnsi="仿宋" w:eastAsia="仿宋" w:cs="仿宋"/>
          <w:sz w:val="32"/>
          <w:szCs w:val="32"/>
        </w:rPr>
        <w:t>和政策；</w:t>
      </w:r>
    </w:p>
    <w:p w14:paraId="20CC9FF9">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负责组织本科室业务操作中的各项规章制度、目标管理方案及全年工作计划的拟定，针对存在的问题及时改进工作；</w:t>
      </w:r>
    </w:p>
    <w:p w14:paraId="61DEC246">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负责办理各类用人单位、个体户、灵活就业人员参加养老保险登记、审核、变更和注销登记业务；负责养老保险登记证的核发及养老保险年检工作；</w:t>
      </w:r>
    </w:p>
    <w:p w14:paraId="3A4F9CFC">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负责参保单位、个体户和灵活就业人员参保档案的建立和归档管理；</w:t>
      </w:r>
    </w:p>
    <w:p w14:paraId="3EE42DEE">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负责办理参保单位、个体灵活就业人员养老保险费申报审核、缴费结算和数据录入业务；负责养老保险费缓缴办理及欠缴社会保险费单位及个人的催缴工作；</w:t>
      </w:r>
    </w:p>
    <w:p w14:paraId="56A499A7">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负责参保人员养老保险关系建立、转移、中断、接续、终止的经</w:t>
      </w:r>
      <w:r>
        <w:rPr>
          <w:rFonts w:hint="eastAsia" w:ascii="仿宋" w:hAnsi="仿宋" w:eastAsia="仿宋" w:cs="仿宋"/>
          <w:sz w:val="32"/>
          <w:szCs w:val="32"/>
          <w:lang w:eastAsia="zh-CN"/>
        </w:rPr>
        <w:t>办</w:t>
      </w:r>
      <w:r>
        <w:rPr>
          <w:rFonts w:hint="eastAsia" w:ascii="仿宋" w:hAnsi="仿宋" w:eastAsia="仿宋" w:cs="仿宋"/>
          <w:sz w:val="32"/>
          <w:szCs w:val="32"/>
        </w:rPr>
        <w:t>业务；</w:t>
      </w:r>
    </w:p>
    <w:p w14:paraId="4B1C4863">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7.</w:t>
      </w:r>
      <w:r>
        <w:rPr>
          <w:rFonts w:hint="eastAsia" w:ascii="仿宋" w:hAnsi="仿宋" w:eastAsia="仿宋" w:cs="仿宋"/>
          <w:sz w:val="32"/>
          <w:szCs w:val="32"/>
        </w:rPr>
        <w:t>负责养老保险</w:t>
      </w:r>
      <w:r>
        <w:rPr>
          <w:rFonts w:hint="eastAsia" w:ascii="仿宋" w:hAnsi="仿宋" w:eastAsia="仿宋" w:cs="仿宋"/>
          <w:sz w:val="32"/>
          <w:szCs w:val="32"/>
          <w:lang w:eastAsia="zh-CN"/>
        </w:rPr>
        <w:t>个人账户的</w:t>
      </w:r>
      <w:r>
        <w:rPr>
          <w:rFonts w:hint="eastAsia" w:ascii="仿宋" w:hAnsi="仿宋" w:eastAsia="仿宋" w:cs="仿宋"/>
          <w:sz w:val="32"/>
          <w:szCs w:val="32"/>
        </w:rPr>
        <w:t>建立、变更和管理工作；</w:t>
      </w:r>
    </w:p>
    <w:p w14:paraId="1CB94F6C">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8.</w:t>
      </w:r>
      <w:r>
        <w:rPr>
          <w:rFonts w:hint="eastAsia" w:ascii="仿宋" w:hAnsi="仿宋" w:eastAsia="仿宋" w:cs="仿宋"/>
          <w:sz w:val="32"/>
          <w:szCs w:val="32"/>
        </w:rPr>
        <w:t>负责企业养老保险参保人员数据的录入和管理工作；</w:t>
      </w:r>
    </w:p>
    <w:p w14:paraId="1ACE1263">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9.</w:t>
      </w:r>
      <w:r>
        <w:rPr>
          <w:rFonts w:hint="eastAsia" w:ascii="仿宋" w:hAnsi="仿宋" w:eastAsia="仿宋" w:cs="仿宋"/>
          <w:sz w:val="32"/>
          <w:szCs w:val="32"/>
        </w:rPr>
        <w:t>负责“金保”工程应用程序系统运行、维护和管理等工作。</w:t>
      </w:r>
    </w:p>
    <w:p w14:paraId="0767264A">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10.</w:t>
      </w:r>
      <w:r>
        <w:rPr>
          <w:rFonts w:hint="eastAsia" w:ascii="仿宋" w:hAnsi="仿宋" w:eastAsia="仿宋" w:cs="仿宋"/>
          <w:sz w:val="32"/>
          <w:szCs w:val="32"/>
        </w:rPr>
        <w:t>负责编制、报送本股室应上报的各类报表；</w:t>
      </w:r>
    </w:p>
    <w:p w14:paraId="16E8D634">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11.</w:t>
      </w:r>
      <w:r>
        <w:rPr>
          <w:rFonts w:hint="eastAsia" w:ascii="仿宋" w:hAnsi="仿宋" w:eastAsia="仿宋" w:cs="仿宋"/>
          <w:sz w:val="32"/>
          <w:szCs w:val="32"/>
        </w:rPr>
        <w:t>承办</w:t>
      </w:r>
      <w:r>
        <w:rPr>
          <w:rFonts w:hint="eastAsia" w:ascii="仿宋" w:hAnsi="仿宋" w:eastAsia="仿宋" w:cs="仿宋"/>
          <w:sz w:val="32"/>
          <w:szCs w:val="32"/>
          <w:lang w:eastAsia="zh-CN"/>
        </w:rPr>
        <w:t>企业职工基本养老保险</w:t>
      </w:r>
      <w:r>
        <w:rPr>
          <w:rFonts w:hint="eastAsia" w:ascii="仿宋" w:hAnsi="仿宋" w:eastAsia="仿宋" w:cs="仿宋"/>
          <w:sz w:val="32"/>
          <w:szCs w:val="32"/>
        </w:rPr>
        <w:t>信息网络的规划、建设、管理、使用、维护与升级等工作；</w:t>
      </w:r>
    </w:p>
    <w:p w14:paraId="1C301C19">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（四）待遇股</w:t>
      </w:r>
    </w:p>
    <w:p w14:paraId="3E948295">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国家、省、州有关退休管理、养老待遇等社会保险政策的宣传和政策解释；按月核算符合退休条件人员的养老金，做到准确无误；按月提供退休人员养老金支付花名册、汇总表，做到准确、及时、足额调整和发放，同时负责退休人员的日常管理。核算退休人员死亡丧葬费、抚恤金</w:t>
      </w:r>
      <w:r>
        <w:rPr>
          <w:rFonts w:hint="eastAsia" w:ascii="仿宋" w:hAnsi="仿宋" w:eastAsia="仿宋" w:cs="仿宋"/>
          <w:sz w:val="32"/>
          <w:szCs w:val="32"/>
          <w:lang w:eastAsia="zh-CN"/>
        </w:rPr>
        <w:t>和个人账户</w:t>
      </w:r>
      <w:r>
        <w:rPr>
          <w:rFonts w:hint="eastAsia" w:ascii="仿宋" w:hAnsi="仿宋" w:eastAsia="仿宋" w:cs="仿宋"/>
          <w:sz w:val="32"/>
          <w:szCs w:val="32"/>
        </w:rPr>
        <w:t>余额，做到支付有据，支付准确无误；负责工伤保险待遇的计算、审核及调整工作；防范虚报冒领工伤保险待遇，办理工伤保险待遇发放过程中的来信、来访工作，为待遇领取对象提供查询服务。负责企业在职人员企业养老保险终止待遇核定（养老保险死亡待遇申领），办理在职人员死亡一次性待遇申领工作。</w:t>
      </w:r>
    </w:p>
    <w:p w14:paraId="4CDA03B8">
      <w:pPr>
        <w:numPr>
          <w:ilvl w:val="0"/>
          <w:numId w:val="2"/>
        </w:numPr>
        <w:spacing w:line="578" w:lineRule="exact"/>
        <w:ind w:firstLine="640" w:firstLineChars="200"/>
        <w:rPr>
          <w:rFonts w:hint="default" w:ascii="仿宋" w:hAnsi="仿宋" w:eastAsia="仿宋" w:cs="仿宋"/>
          <w:sz w:val="32"/>
          <w:szCs w:val="32"/>
        </w:rPr>
      </w:pPr>
      <w:r>
        <w:rPr>
          <w:rFonts w:hint="default" w:ascii="仿宋" w:hAnsi="仿宋" w:eastAsia="仿宋" w:cs="仿宋"/>
          <w:sz w:val="32"/>
          <w:szCs w:val="32"/>
        </w:rPr>
        <w:t>稽核股</w:t>
      </w:r>
    </w:p>
    <w:p w14:paraId="70019A31">
      <w:pPr>
        <w:numPr>
          <w:ilvl w:val="0"/>
          <w:numId w:val="0"/>
        </w:num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本局基金稽核工作，拟定年度稽核计划、报送稽核工作总结；负责稽核参保单位参保和缴纳社会保险费的情况（包括参保人员和缴费基数），是否存在瞒报、少报、漏报情况，缴费单位和缴费个人申报的社会保险缴费人数、缴费基数是否符合国家规定；是否按时足额缴纳社会保险费；负责稽核企业欠缴社会保险费及其缴费能力的情况；负责稽核单位欠费补缴和灵活就业人员补缴的情况；对虚报、冒领社会保险待遇现象进行监督检查，并对冒领情况实施追缴；国家规定的或者社会保障</w:t>
      </w:r>
    </w:p>
    <w:p w14:paraId="372B02ED">
      <w:pPr>
        <w:spacing w:line="578" w:lineRule="exact"/>
        <w:ind w:firstLine="640" w:firstLineChars="200"/>
        <w:rPr>
          <w:rFonts w:ascii="Times New Roman" w:hAnsi="Times New Roman" w:eastAsia="仿宋"/>
          <w:color w:val="auto"/>
          <w:kern w:val="0"/>
          <w:sz w:val="32"/>
          <w:szCs w:val="32"/>
          <w:highlight w:val="none"/>
        </w:rPr>
      </w:pPr>
      <w:r>
        <w:rPr>
          <w:rFonts w:hint="eastAsia" w:ascii="仿宋" w:hAnsi="仿宋" w:eastAsia="仿宋" w:cs="仿宋"/>
          <w:sz w:val="32"/>
          <w:szCs w:val="32"/>
        </w:rPr>
        <w:t>行政部门交办的其他稽核事项。</w:t>
      </w:r>
      <w:r>
        <w:rPr>
          <w:rFonts w:ascii="Times New Roman" w:hAnsi="Times New Roman" w:eastAsia="仿宋"/>
          <w:color w:val="auto"/>
          <w:sz w:val="32"/>
          <w:szCs w:val="32"/>
          <w:highlight w:val="none"/>
        </w:rPr>
        <w:br w:type="page"/>
      </w:r>
    </w:p>
    <w:p w14:paraId="4A48110E">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47F15E8D">
      <w:pPr>
        <w:rPr>
          <w:rFonts w:ascii="Times New Roman" w:hAnsi="Times New Roman"/>
          <w:color w:val="auto"/>
          <w:highlight w:val="none"/>
        </w:rPr>
      </w:pPr>
    </w:p>
    <w:p w14:paraId="68A3D0D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14:paraId="58C150A3">
      <w:pPr>
        <w:pStyle w:val="1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306.95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color w:val="auto"/>
          <w:sz w:val="32"/>
          <w:szCs w:val="32"/>
          <w:highlight w:val="none"/>
          <w:lang w:val="en-US" w:eastAsia="zh-CN"/>
        </w:rPr>
        <w:t>489.35万元</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182.4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37.27</w:t>
      </w:r>
      <w:r>
        <w:rPr>
          <w:rFonts w:hint="eastAsia" w:ascii="Times New Roman" w:hAnsi="Times New Roman" w:eastAsia="仿宋_GB2312" w:cs="仿宋_GB2312"/>
          <w:color w:val="auto"/>
          <w:sz w:val="32"/>
          <w:szCs w:val="32"/>
          <w:highlight w:val="none"/>
        </w:rPr>
        <w:t>%。主要变动</w:t>
      </w:r>
      <w:r>
        <w:rPr>
          <w:rFonts w:hint="eastAsia" w:ascii="Times New Roman" w:hAnsi="Times New Roman" w:eastAsia="仿宋_GB2312" w:cs="仿宋_GB2312"/>
          <w:color w:val="auto"/>
          <w:sz w:val="32"/>
          <w:szCs w:val="32"/>
          <w:highlight w:val="none"/>
          <w:lang w:eastAsia="zh-CN"/>
        </w:rPr>
        <w:t>原因</w:t>
      </w:r>
      <w:r>
        <w:rPr>
          <w:rFonts w:hint="eastAsia" w:ascii="宋体" w:hAnsi="宋体" w:eastAsia="宋体" w:cs="宋体"/>
          <w:color w:val="000000"/>
          <w:sz w:val="24"/>
          <w:szCs w:val="24"/>
          <w:highlight w:val="none"/>
          <w:lang w:val="en-US" w:eastAsia="zh-CN"/>
        </w:rPr>
        <w:t>主</w:t>
      </w:r>
      <w:r>
        <w:rPr>
          <w:rFonts w:hint="eastAsia" w:ascii="Times New Roman" w:hAnsi="Times New Roman" w:eastAsia="仿宋_GB2312" w:cs="仿宋_GB2312"/>
          <w:color w:val="auto"/>
          <w:sz w:val="32"/>
          <w:szCs w:val="32"/>
          <w:highlight w:val="none"/>
          <w:lang w:val="en-US" w:eastAsia="zh-CN"/>
        </w:rPr>
        <w:t xml:space="preserve">要原因是2023年增加了被征地农民预存社保费用列为财政代管资金。                     </w:t>
      </w:r>
    </w:p>
    <w:p w14:paraId="01B5CDC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33AC76A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306.95万元，其中：一般公共预算财政拨款收入306.95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37873CA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14:paraId="320C9BC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306.95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276.45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90.06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30.49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0F586CE2">
      <w:pPr>
        <w:spacing w:line="600" w:lineRule="exact"/>
        <w:ind w:firstLine="640" w:firstLineChars="200"/>
        <w:outlineLvl w:val="1"/>
        <w:rPr>
          <w:rStyle w:val="31"/>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14:paraId="2BCF92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306.95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eastAsia="仿宋_GB2312" w:cs="仿宋_GB2312"/>
          <w:color w:val="auto"/>
          <w:sz w:val="32"/>
          <w:szCs w:val="32"/>
          <w:highlight w:val="none"/>
          <w:lang w:val="en-US" w:eastAsia="zh-CN"/>
        </w:rPr>
        <w:t>182.4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37.27</w:t>
      </w:r>
      <w:r>
        <w:rPr>
          <w:rFonts w:hint="eastAsia" w:ascii="Times New Roman" w:hAnsi="Times New Roman" w:eastAsia="仿宋_GB2312" w:cs="仿宋_GB2312"/>
          <w:color w:val="auto"/>
          <w:sz w:val="32"/>
          <w:szCs w:val="32"/>
          <w:highlight w:val="none"/>
        </w:rPr>
        <w:t>%。主要变动</w:t>
      </w:r>
      <w:r>
        <w:rPr>
          <w:rFonts w:hint="eastAsia" w:eastAsia="仿宋_GB2312" w:cs="仿宋_GB2312"/>
          <w:color w:val="auto"/>
          <w:sz w:val="32"/>
          <w:szCs w:val="32"/>
          <w:highlight w:val="none"/>
          <w:lang w:eastAsia="zh-CN"/>
        </w:rPr>
        <w:t>原因</w:t>
      </w:r>
      <w:r>
        <w:rPr>
          <w:rFonts w:hint="eastAsia" w:ascii="宋体" w:hAnsi="宋体" w:eastAsia="宋体" w:cs="宋体"/>
          <w:color w:val="000000"/>
          <w:sz w:val="24"/>
          <w:szCs w:val="24"/>
          <w:highlight w:val="none"/>
          <w:lang w:val="en-US" w:eastAsia="zh-CN"/>
        </w:rPr>
        <w:t>主</w:t>
      </w:r>
      <w:r>
        <w:rPr>
          <w:rFonts w:hint="eastAsia" w:ascii="Times New Roman" w:hAnsi="Times New Roman" w:eastAsia="仿宋_GB2312" w:cs="仿宋_GB2312"/>
          <w:color w:val="auto"/>
          <w:sz w:val="32"/>
          <w:szCs w:val="32"/>
          <w:highlight w:val="none"/>
          <w:lang w:val="en-US" w:eastAsia="zh-CN"/>
        </w:rPr>
        <w:t xml:space="preserve">要原因是2023年增加了被征地农民预存社保费用列为财政代管资金。              </w:t>
      </w:r>
    </w:p>
    <w:p w14:paraId="17205B32">
      <w:pPr>
        <w:spacing w:line="600" w:lineRule="exact"/>
        <w:ind w:firstLine="640" w:firstLineChars="200"/>
        <w:outlineLvl w:val="1"/>
        <w:rPr>
          <w:rStyle w:val="31"/>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14:paraId="4A825C4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0D2FDC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306.95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%。与2023年度相比，一般公共预算财政拨款支出增加/减少0万元，增长/下降0%。</w:t>
      </w:r>
    </w:p>
    <w:p w14:paraId="2D8464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1445DAC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306.95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271.42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88.42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15.07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4.91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65CFF83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558E42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306.95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124.31</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4E1E32F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271.42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124.76</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w:t>
      </w:r>
      <w:r>
        <w:rPr>
          <w:rFonts w:hint="eastAsia" w:ascii="Times New Roman" w:hAnsi="Times New Roman" w:eastAsia="仿宋_GB2312" w:cs="仿宋_GB2312"/>
          <w:color w:val="auto"/>
          <w:kern w:val="2"/>
          <w:sz w:val="32"/>
          <w:szCs w:val="32"/>
          <w:highlight w:val="none"/>
          <w:lang w:val="en-US" w:eastAsia="zh-CN" w:bidi="ar-SA"/>
        </w:rPr>
        <w:t>于预算数的主要原因是</w:t>
      </w:r>
      <w:r>
        <w:rPr>
          <w:rFonts w:hint="eastAsia" w:eastAsia="仿宋_GB2312" w:cs="仿宋_GB2312"/>
          <w:color w:val="auto"/>
          <w:kern w:val="2"/>
          <w:sz w:val="32"/>
          <w:szCs w:val="32"/>
          <w:highlight w:val="none"/>
          <w:lang w:val="en-US" w:eastAsia="zh-CN" w:bidi="ar-SA"/>
        </w:rPr>
        <w:t>本单位本年度人员增加4人。</w:t>
      </w:r>
    </w:p>
    <w:p w14:paraId="6081BE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118.2</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预算数的主要原因是</w:t>
      </w:r>
      <w:r>
        <w:rPr>
          <w:rFonts w:hint="eastAsia" w:eastAsia="仿宋_GB2312" w:cs="仿宋_GB2312"/>
          <w:color w:val="auto"/>
          <w:kern w:val="2"/>
          <w:sz w:val="32"/>
          <w:szCs w:val="32"/>
          <w:highlight w:val="none"/>
          <w:lang w:val="en-US" w:eastAsia="zh-CN" w:bidi="ar-SA"/>
        </w:rPr>
        <w:t>本单位本年度人员增加4人。</w:t>
      </w:r>
    </w:p>
    <w:p w14:paraId="663E8F2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bookmarkStart w:id="58" w:name="_GoBack"/>
      <w:r>
        <w:rPr>
          <w:rFonts w:hint="eastAsia" w:eastAsia="仿宋_GB2312" w:cs="仿宋_GB2312"/>
          <w:b/>
          <w:bCs/>
          <w:color w:val="auto"/>
          <w:kern w:val="2"/>
          <w:sz w:val="32"/>
          <w:szCs w:val="32"/>
          <w:highlight w:val="none"/>
          <w:lang w:val="en-US" w:eastAsia="zh-CN" w:bidi="ar-SA"/>
        </w:rPr>
        <w:t>〈</w:t>
      </w:r>
      <w:bookmarkEnd w:id="58"/>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6C8CB937">
      <w:pPr>
        <w:tabs>
          <w:tab w:val="right" w:pos="8306"/>
        </w:tabs>
        <w:spacing w:line="600" w:lineRule="exact"/>
        <w:ind w:firstLine="640" w:firstLineChars="200"/>
        <w:outlineLvl w:val="1"/>
        <w:rPr>
          <w:rStyle w:val="31"/>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14:paraId="7D9425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276.45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274E713">
      <w:pPr>
        <w:spacing w:line="600" w:lineRule="exact"/>
        <w:ind w:firstLine="645"/>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266.66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基本工资、津贴补贴、奖金、机关事业单位基本养老保险缴费、职业年金缴费、其他社会保障缴费、离休费、退休费、抚恤金、生活补助、医疗费补助、住房公积金、其他对个人和家庭的补助支出等。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t>　　</w:t>
      </w:r>
      <w:r>
        <w:rPr>
          <w:rFonts w:hint="eastAsia" w:eastAsia="仿宋_GB2312" w:cs="仿宋_GB2312"/>
          <w:color w:val="auto"/>
          <w:kern w:val="2"/>
          <w:sz w:val="32"/>
          <w:szCs w:val="32"/>
          <w:highlight w:val="none"/>
          <w:lang w:val="en-US" w:eastAsia="zh-CN" w:bidi="ar-SA"/>
        </w:rPr>
        <w:t xml:space="preserve">        </w:t>
      </w:r>
    </w:p>
    <w:p w14:paraId="5A4655EC">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办公费、水费、电费、邮电费、差旅费、培训费、工会经费支出等。</w:t>
      </w:r>
    </w:p>
    <w:p w14:paraId="5F8CD1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085239A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6"/>
      <w:bookmarkStart w:id="31" w:name="_Toc15377221"/>
      <w:bookmarkStart w:id="32" w:name="_Toc15396612"/>
      <w:r>
        <w:rPr>
          <w:rFonts w:hint="eastAsia" w:ascii="Times New Roman" w:hAnsi="Times New Roman" w:eastAsia="楷体_GB2312" w:cs="楷体_GB2312"/>
          <w:b/>
          <w:color w:val="auto"/>
          <w:sz w:val="32"/>
          <w:szCs w:val="32"/>
          <w:highlight w:val="none"/>
        </w:rPr>
        <w:t>（一）“三公”经费财政拨款支出决算总体情况说明</w:t>
      </w:r>
      <w:bookmarkEnd w:id="30"/>
    </w:p>
    <w:p w14:paraId="613BD68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63877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19A7E5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34B5E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09B24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45ED16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2E1D9E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万元（接待具体项目、金额）。</w:t>
      </w:r>
    </w:p>
    <w:p w14:paraId="6C5BB8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455DAA6C">
      <w:pPr>
        <w:spacing w:line="600" w:lineRule="exact"/>
        <w:ind w:firstLine="640" w:firstLineChars="200"/>
        <w:outlineLvl w:val="1"/>
        <w:rPr>
          <w:rStyle w:val="31"/>
          <w:rFonts w:ascii="Times New Roman" w:hAnsi="Times New Roman" w:eastAsia="黑体"/>
          <w:color w:val="auto"/>
          <w:highlight w:val="none"/>
        </w:rPr>
      </w:pPr>
      <w:bookmarkStart w:id="34" w:name="_Toc15377218"/>
      <w:bookmarkStart w:id="35" w:name="_Toc15396610"/>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14:paraId="65FA89A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5469D9E8">
      <w:pPr>
        <w:numPr>
          <w:ilvl w:val="0"/>
          <w:numId w:val="0"/>
        </w:numPr>
        <w:spacing w:line="600" w:lineRule="exact"/>
        <w:ind w:firstLine="640" w:firstLineChars="200"/>
        <w:outlineLvl w:val="1"/>
        <w:rPr>
          <w:rStyle w:val="31"/>
          <w:rFonts w:ascii="Times New Roman" w:hAnsi="Times New Roman" w:eastAsia="黑体"/>
          <w:b w:val="0"/>
          <w:color w:val="auto"/>
          <w:highlight w:val="none"/>
        </w:rPr>
      </w:pPr>
      <w:bookmarkStart w:id="36" w:name="_Toc15377219"/>
      <w:bookmarkStart w:id="37"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14:paraId="40513C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577A4DE9">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1"/>
      <w:bookmarkEnd w:id="32"/>
    </w:p>
    <w:p w14:paraId="765F1A0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2"/>
      <w:r>
        <w:rPr>
          <w:rFonts w:hint="eastAsia" w:ascii="Times New Roman" w:hAnsi="Times New Roman" w:eastAsia="楷体_GB2312" w:cs="楷体_GB2312"/>
          <w:b/>
          <w:color w:val="auto"/>
          <w:sz w:val="32"/>
          <w:szCs w:val="32"/>
          <w:highlight w:val="none"/>
        </w:rPr>
        <w:t>（一）机关运行经费支出情况</w:t>
      </w:r>
      <w:bookmarkEnd w:id="38"/>
    </w:p>
    <w:p w14:paraId="57D496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阿坝州松潘县社会保险事业管理局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8.84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10.86</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是本单位本年度人员增加4人。</w:t>
      </w:r>
    </w:p>
    <w:p w14:paraId="703F19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3"/>
      <w:r>
        <w:rPr>
          <w:rFonts w:hint="eastAsia" w:ascii="Times New Roman" w:hAnsi="Times New Roman" w:eastAsia="楷体_GB2312" w:cs="楷体_GB2312"/>
          <w:b/>
          <w:color w:val="auto"/>
          <w:sz w:val="32"/>
          <w:szCs w:val="32"/>
          <w:highlight w:val="none"/>
        </w:rPr>
        <w:t>（二）政府采购支出情况</w:t>
      </w:r>
      <w:bookmarkEnd w:id="39"/>
    </w:p>
    <w:p w14:paraId="2EE40E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阿坝州松潘县社会保险事业管理局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F4682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4"/>
      <w:r>
        <w:rPr>
          <w:rFonts w:hint="eastAsia" w:ascii="Times New Roman" w:hAnsi="Times New Roman" w:eastAsia="楷体_GB2312" w:cs="楷体_GB2312"/>
          <w:b/>
          <w:color w:val="auto"/>
          <w:sz w:val="32"/>
          <w:szCs w:val="32"/>
          <w:highlight w:val="none"/>
        </w:rPr>
        <w:t>（三）国有资产占有使用情况</w:t>
      </w:r>
      <w:bookmarkEnd w:id="40"/>
    </w:p>
    <w:p w14:paraId="48E6CA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阿坝州松潘县社会保险事业管理局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498A14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38BCC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031843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1" w:name="_Toc15377225"/>
      <w:bookmarkStart w:id="42" w:name="_Toc15396613"/>
    </w:p>
    <w:p w14:paraId="622A072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D517F4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6FC2B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E87092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66092B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16893B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780510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A5D15A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2789D3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4D4761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26FDA3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9069E8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43D2B2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F98ED1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1FCDBB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C95A66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7DFE2F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09347D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96F5B68">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1"/>
      <w:bookmarkEnd w:id="42"/>
    </w:p>
    <w:p w14:paraId="34E3F29A">
      <w:pPr>
        <w:spacing w:line="600" w:lineRule="exact"/>
        <w:jc w:val="left"/>
        <w:rPr>
          <w:rFonts w:ascii="Times New Roman" w:hAnsi="Times New Roman"/>
          <w:b/>
          <w:color w:val="auto"/>
          <w:sz w:val="44"/>
          <w:szCs w:val="44"/>
          <w:highlight w:val="none"/>
        </w:rPr>
      </w:pPr>
    </w:p>
    <w:p w14:paraId="6CBA3D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18872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6791C3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7A5B8B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1B5FA4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F7DD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114CD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85735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2018A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4841ED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2E0537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4046A4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7A33C2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7DEB1B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20C145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73B156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03234B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3B39D5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7E04F8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0E9029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2BA923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4526E1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0FD8D9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6CF20B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55C598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0FD3C5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717549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374CBF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0D250E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766B24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001FD3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3C9631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75C1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9871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2F835DC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407594E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4" w:name="_Toc15396618"/>
    </w:p>
    <w:p w14:paraId="15918B0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30"/>
          <w:rFonts w:hint="eastAsia" w:ascii="Times New Roman" w:hAnsi="Times New Roman" w:eastAsia="黑体"/>
          <w:b w:val="0"/>
          <w:color w:val="auto"/>
          <w:highlight w:val="none"/>
        </w:rPr>
        <w:t>部分 附表</w:t>
      </w:r>
      <w:bookmarkEnd w:id="43"/>
      <w:bookmarkEnd w:id="44"/>
      <w:bookmarkStart w:id="45" w:name="_Toc15396619"/>
    </w:p>
    <w:p w14:paraId="4F536FF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D90B75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5"/>
    </w:p>
    <w:p w14:paraId="341403F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0"/>
      <w:r>
        <w:rPr>
          <w:rFonts w:hint="eastAsia" w:ascii="Times New Roman" w:hAnsi="Times New Roman" w:eastAsia="仿宋_GB2312" w:cs="仿宋_GB2312"/>
          <w:color w:val="auto"/>
          <w:sz w:val="32"/>
          <w:szCs w:val="32"/>
          <w:highlight w:val="none"/>
        </w:rPr>
        <w:t>二、收入决算表</w:t>
      </w:r>
      <w:bookmarkEnd w:id="46"/>
    </w:p>
    <w:p w14:paraId="3F164BC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1"/>
      <w:r>
        <w:rPr>
          <w:rFonts w:hint="eastAsia" w:ascii="Times New Roman" w:hAnsi="Times New Roman" w:eastAsia="仿宋_GB2312" w:cs="仿宋_GB2312"/>
          <w:color w:val="auto"/>
          <w:sz w:val="32"/>
          <w:szCs w:val="32"/>
          <w:highlight w:val="none"/>
        </w:rPr>
        <w:t>三、支出决算表</w:t>
      </w:r>
      <w:bookmarkEnd w:id="47"/>
    </w:p>
    <w:p w14:paraId="2493EAC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2"/>
      <w:r>
        <w:rPr>
          <w:rFonts w:hint="eastAsia" w:ascii="Times New Roman" w:hAnsi="Times New Roman" w:eastAsia="仿宋_GB2312" w:cs="仿宋_GB2312"/>
          <w:color w:val="auto"/>
          <w:sz w:val="32"/>
          <w:szCs w:val="32"/>
          <w:highlight w:val="none"/>
        </w:rPr>
        <w:t>四、财政拨款收入支出决算总表</w:t>
      </w:r>
      <w:bookmarkEnd w:id="48"/>
    </w:p>
    <w:p w14:paraId="26B6C45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3"/>
      <w:r>
        <w:rPr>
          <w:rFonts w:hint="eastAsia" w:ascii="Times New Roman" w:hAnsi="Times New Roman" w:eastAsia="仿宋_GB2312" w:cs="仿宋_GB2312"/>
          <w:color w:val="auto"/>
          <w:sz w:val="32"/>
          <w:szCs w:val="32"/>
          <w:highlight w:val="none"/>
        </w:rPr>
        <w:t>五、财政拨款支出决算明细表</w:t>
      </w:r>
      <w:bookmarkEnd w:id="49"/>
      <w:bookmarkStart w:id="50" w:name="_Toc15396624"/>
    </w:p>
    <w:p w14:paraId="148F4CD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0"/>
    </w:p>
    <w:p w14:paraId="70BE005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5"/>
      <w:r>
        <w:rPr>
          <w:rFonts w:hint="eastAsia" w:ascii="Times New Roman" w:hAnsi="Times New Roman" w:eastAsia="仿宋_GB2312" w:cs="仿宋_GB2312"/>
          <w:color w:val="auto"/>
          <w:sz w:val="32"/>
          <w:szCs w:val="32"/>
          <w:highlight w:val="none"/>
        </w:rPr>
        <w:t>七、一般公共预算财政拨款支出决算明细表</w:t>
      </w:r>
      <w:bookmarkEnd w:id="51"/>
    </w:p>
    <w:p w14:paraId="2A9217C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6"/>
      <w:r>
        <w:rPr>
          <w:rFonts w:hint="eastAsia" w:ascii="Times New Roman" w:hAnsi="Times New Roman" w:eastAsia="仿宋_GB2312" w:cs="仿宋_GB2312"/>
          <w:color w:val="auto"/>
          <w:sz w:val="32"/>
          <w:szCs w:val="32"/>
          <w:highlight w:val="none"/>
        </w:rPr>
        <w:t>八、一般公共预算财政拨款基本支出决算表</w:t>
      </w:r>
      <w:bookmarkEnd w:id="52"/>
    </w:p>
    <w:p w14:paraId="70922E2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7"/>
      <w:r>
        <w:rPr>
          <w:rFonts w:hint="eastAsia" w:ascii="Times New Roman" w:hAnsi="Times New Roman" w:eastAsia="仿宋_GB2312" w:cs="仿宋_GB2312"/>
          <w:color w:val="auto"/>
          <w:sz w:val="32"/>
          <w:szCs w:val="32"/>
          <w:highlight w:val="none"/>
        </w:rPr>
        <w:t>九、一般公共预算财政拨款项目支出决算表</w:t>
      </w:r>
      <w:bookmarkEnd w:id="53"/>
    </w:p>
    <w:p w14:paraId="6CD9116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8"/>
      <w:r>
        <w:rPr>
          <w:rFonts w:hint="eastAsia" w:ascii="Times New Roman" w:hAnsi="Times New Roman" w:eastAsia="仿宋_GB2312" w:cs="仿宋_GB2312"/>
          <w:color w:val="auto"/>
          <w:sz w:val="32"/>
          <w:szCs w:val="32"/>
          <w:highlight w:val="none"/>
        </w:rPr>
        <w:t>十、</w:t>
      </w:r>
      <w:bookmarkEnd w:id="54"/>
      <w:r>
        <w:rPr>
          <w:rFonts w:hint="eastAsia" w:ascii="Times New Roman" w:hAnsi="Times New Roman" w:eastAsia="仿宋_GB2312" w:cs="仿宋_GB2312"/>
          <w:color w:val="auto"/>
          <w:sz w:val="32"/>
          <w:szCs w:val="32"/>
          <w:highlight w:val="none"/>
        </w:rPr>
        <w:t>政府性基金预算财政拨款收入支出决算表</w:t>
      </w:r>
    </w:p>
    <w:p w14:paraId="09BC5BE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9"/>
      <w:r>
        <w:rPr>
          <w:rFonts w:hint="eastAsia" w:ascii="Times New Roman" w:hAnsi="Times New Roman" w:eastAsia="仿宋_GB2312" w:cs="仿宋_GB2312"/>
          <w:color w:val="auto"/>
          <w:sz w:val="32"/>
          <w:szCs w:val="32"/>
          <w:highlight w:val="none"/>
        </w:rPr>
        <w:t>十一、</w:t>
      </w:r>
      <w:bookmarkEnd w:id="5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B47EDD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30"/>
      <w:r>
        <w:rPr>
          <w:rFonts w:hint="eastAsia" w:ascii="Times New Roman" w:hAnsi="Times New Roman" w:eastAsia="仿宋_GB2312" w:cs="仿宋_GB2312"/>
          <w:color w:val="auto"/>
          <w:sz w:val="32"/>
          <w:szCs w:val="32"/>
          <w:highlight w:val="none"/>
        </w:rPr>
        <w:t>十二、</w:t>
      </w:r>
      <w:bookmarkEnd w:id="56"/>
      <w:r>
        <w:rPr>
          <w:rFonts w:hint="eastAsia" w:ascii="Times New Roman" w:hAnsi="Times New Roman" w:eastAsia="仿宋_GB2312" w:cs="仿宋_GB2312"/>
          <w:color w:val="auto"/>
          <w:sz w:val="32"/>
          <w:szCs w:val="32"/>
          <w:highlight w:val="none"/>
          <w:lang w:eastAsia="zh-CN"/>
        </w:rPr>
        <w:t>国有资本经营预算财政拨款支出决算表</w:t>
      </w:r>
    </w:p>
    <w:p w14:paraId="60D0367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7" w:name="_Toc15396631"/>
      <w:r>
        <w:rPr>
          <w:rFonts w:hint="eastAsia" w:ascii="Times New Roman" w:hAnsi="Times New Roman" w:eastAsia="仿宋_GB2312" w:cs="仿宋_GB2312"/>
          <w:color w:val="auto"/>
          <w:sz w:val="32"/>
          <w:szCs w:val="32"/>
          <w:highlight w:val="none"/>
        </w:rPr>
        <w:t>十三、</w:t>
      </w:r>
      <w:bookmarkEnd w:id="57"/>
      <w:r>
        <w:rPr>
          <w:rFonts w:hint="eastAsia" w:ascii="Times New Roman" w:hAnsi="Times New Roman" w:eastAsia="仿宋_GB2312" w:cs="仿宋_GB2312"/>
          <w:color w:val="auto"/>
          <w:sz w:val="32"/>
          <w:szCs w:val="32"/>
          <w:highlight w:val="none"/>
          <w:lang w:eastAsia="zh-CN"/>
        </w:rPr>
        <w:t>财政拨款“三公”经费支出决算表</w:t>
      </w:r>
    </w:p>
    <w:p w14:paraId="3698C105">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0A7A61-3778-4D61-B49E-9DB42C18E0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698747-B117-491A-9E17-A069DE53F44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A8F4ADA-34B0-4A93-AD33-AB1C44136A72}"/>
  </w:font>
  <w:font w:name="仿宋">
    <w:panose1 w:val="02010609060101010101"/>
    <w:charset w:val="86"/>
    <w:family w:val="modern"/>
    <w:pitch w:val="default"/>
    <w:sig w:usb0="800002BF" w:usb1="38CF7CFA" w:usb2="00000016" w:usb3="00000000" w:csb0="00040001" w:csb1="00000000"/>
    <w:embedRegular r:id="rId4" w:fontKey="{F0BF82C3-4214-485F-8649-89297B58B154}"/>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5112D882-BEDB-45D0-9A44-014883865122}"/>
  </w:font>
  <w:font w:name="楷体_GB2312">
    <w:panose1 w:val="02010609030101010101"/>
    <w:charset w:val="86"/>
    <w:family w:val="auto"/>
    <w:pitch w:val="default"/>
    <w:sig w:usb0="00000001" w:usb1="080E0000" w:usb2="00000000" w:usb3="00000000" w:csb0="00040000" w:csb1="00000000"/>
    <w:embedRegular r:id="rId6" w:fontKey="{91F762B9-3FE0-4BA3-8B92-82412EDB81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AAF1">
    <w:pPr>
      <w:pStyle w:val="12"/>
      <w:jc w:val="center"/>
    </w:pPr>
  </w:p>
  <w:p w14:paraId="75E4E1A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87A4">
    <w:pPr>
      <w:pStyle w:val="12"/>
      <w:jc w:val="center"/>
    </w:pPr>
  </w:p>
  <w:p w14:paraId="0CE788E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75B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54A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C003B"/>
    <w:multiLevelType w:val="singleLevel"/>
    <w:tmpl w:val="A98C003B"/>
    <w:lvl w:ilvl="0" w:tentative="0">
      <w:start w:val="5"/>
      <w:numFmt w:val="chineseCounting"/>
      <w:suff w:val="nothing"/>
      <w:lvlText w:val="（%1）"/>
      <w:lvlJc w:val="left"/>
      <w:rPr>
        <w:rFonts w:hint="eastAsia"/>
      </w:rPr>
    </w:lvl>
  </w:abstractNum>
  <w:abstractNum w:abstractNumId="1">
    <w:nsid w:val="794A0BBC"/>
    <w:multiLevelType w:val="singleLevel"/>
    <w:tmpl w:val="794A0B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CE1A1F"/>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5E6BE5"/>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267058"/>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宋体"/>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6260</Words>
  <Characters>6624</Characters>
  <Lines>61</Lines>
  <Paragraphs>17</Paragraphs>
  <TotalTime>5</TotalTime>
  <ScaleCrop>false</ScaleCrop>
  <LinksUpToDate>false</LinksUpToDate>
  <CharactersWithSpaces>6688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2025-10-16T02:15:37Z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