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4D70CD">
      <w:pPr>
        <w:spacing w:line="600" w:lineRule="exact"/>
        <w:jc w:val="left"/>
        <w:outlineLvl w:val="0"/>
        <w:rPr>
          <w:rFonts w:ascii="方正小标宋简体" w:hAnsi="宋体" w:eastAsia="方正小标宋简体"/>
          <w:szCs w:val="21"/>
        </w:rPr>
      </w:pPr>
      <w:bookmarkStart w:id="0" w:name="_Toc15306267"/>
    </w:p>
    <w:p w14:paraId="7C03702E">
      <w:pPr>
        <w:pStyle w:val="6"/>
        <w:spacing w:before="93"/>
      </w:pPr>
    </w:p>
    <w:p w14:paraId="41264BFA">
      <w:pPr>
        <w:spacing w:line="600" w:lineRule="exact"/>
        <w:jc w:val="center"/>
        <w:outlineLvl w:val="0"/>
        <w:rPr>
          <w:rFonts w:ascii="方正小标宋简体" w:hAnsi="宋体" w:eastAsia="方正小标宋简体"/>
          <w:sz w:val="72"/>
          <w:szCs w:val="72"/>
        </w:rPr>
      </w:pPr>
    </w:p>
    <w:p w14:paraId="6992987E">
      <w:pPr>
        <w:spacing w:line="600" w:lineRule="exact"/>
        <w:jc w:val="center"/>
        <w:outlineLvl w:val="0"/>
        <w:rPr>
          <w:rFonts w:ascii="方正小标宋简体" w:hAnsi="宋体" w:eastAsia="方正小标宋简体"/>
          <w:sz w:val="72"/>
          <w:szCs w:val="72"/>
        </w:rPr>
      </w:pPr>
    </w:p>
    <w:p w14:paraId="6F7E590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96597"/>
      <w:bookmarkStart w:id="4" w:name="_Toc15377193"/>
      <w:bookmarkStart w:id="5" w:name="_Toc1539647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120934EF">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96476"/>
      <w:bookmarkStart w:id="8" w:name="_Toc15378442"/>
      <w:bookmarkStart w:id="9" w:name="_Toc15377194"/>
      <w:bookmarkStart w:id="10" w:name="_Toc15377426"/>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阿坝州松潘县</w:t>
      </w:r>
      <w:r>
        <w:rPr>
          <w:rFonts w:hint="eastAsia" w:ascii="方正小标宋简体" w:hAnsi="方正小标宋简体" w:eastAsia="方正小标宋简体" w:cs="方正小标宋简体"/>
          <w:sz w:val="72"/>
          <w:szCs w:val="72"/>
          <w:lang w:val="en-US" w:eastAsia="zh-CN"/>
        </w:rPr>
        <w:t>机关事业养老保险</w:t>
      </w:r>
      <w:r>
        <w:rPr>
          <w:rFonts w:hint="eastAsia" w:ascii="方正小标宋简体" w:hAnsi="方正小标宋简体" w:eastAsia="方正小标宋简体" w:cs="方正小标宋简体"/>
          <w:sz w:val="72"/>
          <w:szCs w:val="72"/>
          <w:lang w:eastAsia="zh-CN"/>
        </w:rPr>
        <w:t>中心</w:t>
      </w:r>
    </w:p>
    <w:p w14:paraId="3E346B4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734CFCDB">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lang w:eastAsia="zh-CN"/>
        </w:rPr>
        <w:t>（</w:t>
      </w:r>
      <w:r>
        <w:rPr>
          <w:rFonts w:hint="eastAsia" w:ascii="方正小标宋简体" w:hAnsi="宋体" w:eastAsia="方正小标宋简体"/>
          <w:sz w:val="52"/>
          <w:szCs w:val="52"/>
        </w:rPr>
        <w:t>单位公开</w:t>
      </w:r>
      <w:r>
        <w:rPr>
          <w:rFonts w:hint="eastAsia" w:ascii="方正小标宋简体" w:hAnsi="宋体" w:eastAsia="方正小标宋简体"/>
          <w:sz w:val="52"/>
          <w:szCs w:val="52"/>
          <w:lang w:eastAsia="zh-CN"/>
        </w:rPr>
        <w:t>）</w:t>
      </w:r>
    </w:p>
    <w:p w14:paraId="68581D53">
      <w:pPr>
        <w:widowControl/>
        <w:jc w:val="center"/>
        <w:rPr>
          <w:rFonts w:ascii="黑体" w:hAnsi="黑体" w:eastAsia="黑体"/>
          <w:sz w:val="48"/>
          <w:szCs w:val="48"/>
        </w:rPr>
      </w:pPr>
      <w:r>
        <w:rPr>
          <w:rFonts w:ascii="方正小标宋简体" w:hAnsi="宋体" w:eastAsia="方正小标宋简体"/>
          <w:sz w:val="36"/>
          <w:szCs w:val="36"/>
        </w:rPr>
        <w:br w:type="page"/>
      </w:r>
      <w:bookmarkStart w:id="12" w:name="_Toc15377196"/>
      <w:bookmarkStart w:id="13" w:name="_Toc15396599"/>
      <w:r>
        <w:rPr>
          <w:rFonts w:hint="eastAsia" w:ascii="黑体" w:hAnsi="黑体" w:eastAsia="黑体"/>
          <w:sz w:val="48"/>
          <w:szCs w:val="48"/>
        </w:rPr>
        <w:t>目录</w:t>
      </w:r>
    </w:p>
    <w:p w14:paraId="7ED44FF7">
      <w:pPr>
        <w:widowControl/>
        <w:jc w:val="center"/>
        <w:rPr>
          <w:rFonts w:ascii="黑体" w:hAnsi="黑体" w:eastAsia="黑体" w:cstheme="minorBidi"/>
          <w:sz w:val="28"/>
          <w:szCs w:val="28"/>
        </w:rPr>
      </w:pPr>
    </w:p>
    <w:p w14:paraId="6D658349">
      <w:pPr>
        <w:pStyle w:val="13"/>
      </w:pPr>
      <w:r>
        <w:rPr>
          <w:rFonts w:hint="eastAsia"/>
        </w:rPr>
        <w:t>公开时间：202</w:t>
      </w:r>
      <w:r>
        <w:rPr>
          <w:rFonts w:hint="eastAsia"/>
          <w:lang w:val="en-US" w:eastAsia="zh-CN"/>
        </w:rPr>
        <w:t>4</w:t>
      </w:r>
      <w:r>
        <w:rPr>
          <w:rFonts w:hint="eastAsia"/>
        </w:rPr>
        <w:t>年9月</w:t>
      </w:r>
      <w:r>
        <w:rPr>
          <w:rFonts w:hint="eastAsia"/>
          <w:lang w:val="en-US" w:eastAsia="zh-CN"/>
        </w:rPr>
        <w:t>19</w:t>
      </w:r>
      <w:r>
        <w:rPr>
          <w:rFonts w:hint="eastAsia"/>
        </w:rPr>
        <w:t>日</w:t>
      </w:r>
    </w:p>
    <w:p w14:paraId="0663284D"/>
    <w:p w14:paraId="168FA2BD">
      <w:pPr>
        <w:pStyle w:val="13"/>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1A3D9101">
      <w:pPr>
        <w:pStyle w:val="14"/>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14:paraId="55BAFF2E">
      <w:pPr>
        <w:pStyle w:val="14"/>
        <w:adjustRightInd w:val="0"/>
        <w:snapToGrid w:val="0"/>
        <w:spacing w:line="440" w:lineRule="exact"/>
        <w:jc w:val="left"/>
        <w:rPr>
          <w:rFonts w:hint="default"/>
          <w:lang w:val="en-US"/>
        </w:rPr>
      </w:pPr>
      <w:r>
        <w:rPr>
          <w:rFonts w:hint="eastAsia"/>
          <w:sz w:val="24"/>
        </w:rPr>
        <w:t>二、机构设置</w:t>
      </w:r>
      <w:r>
        <w:rPr>
          <w:rFonts w:hint="eastAsia"/>
          <w:sz w:val="24"/>
          <w:lang w:val="en-US" w:eastAsia="zh-CN"/>
        </w:rPr>
        <w:t>........................................................................................................4</w:t>
      </w:r>
    </w:p>
    <w:p w14:paraId="76CEF89F">
      <w:pPr>
        <w:pStyle w:val="13"/>
        <w:adjustRightInd w:val="0"/>
        <w:snapToGrid w:val="0"/>
        <w:spacing w:before="0" w:line="440" w:lineRule="exact"/>
        <w:jc w:val="left"/>
        <w:rPr>
          <w:rFonts w:hint="default"/>
          <w:sz w:val="24"/>
          <w:szCs w:val="24"/>
          <w:lang w:val="en-US"/>
        </w:rPr>
      </w:pPr>
      <w:r>
        <w:rPr>
          <w:rFonts w:hint="eastAsia"/>
          <w:sz w:val="24"/>
        </w:rPr>
        <w:t>第二部分 2023年度单位决算情况说明</w:t>
      </w:r>
      <w:r>
        <w:rPr>
          <w:rFonts w:hint="eastAsia"/>
          <w:sz w:val="24"/>
          <w:lang w:val="en-US" w:eastAsia="zh-CN"/>
        </w:rPr>
        <w:t>..................................5</w:t>
      </w:r>
    </w:p>
    <w:p w14:paraId="157A4D4B">
      <w:pPr>
        <w:pStyle w:val="14"/>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24"/>
          <w:lang w:val="en-US" w:eastAsia="zh-CN"/>
        </w:rPr>
        <w:t>........................................................................5</w:t>
      </w:r>
    </w:p>
    <w:p w14:paraId="6F1A6768">
      <w:pPr>
        <w:pStyle w:val="14"/>
        <w:adjustRightInd w:val="0"/>
        <w:snapToGrid w:val="0"/>
        <w:spacing w:line="440" w:lineRule="exact"/>
        <w:jc w:val="left"/>
        <w:rPr>
          <w:rFonts w:hint="default" w:ascii="仿宋" w:hAnsi="仿宋" w:eastAsia="仿宋" w:cstheme="minorBidi"/>
          <w:sz w:val="24"/>
          <w:lang w:val="en-US"/>
        </w:rPr>
      </w:pPr>
      <w:r>
        <w:rPr>
          <w:rFonts w:hint="eastAsia"/>
          <w:sz w:val="24"/>
        </w:rPr>
        <w:t>二、收入决算情况说明</w:t>
      </w:r>
      <w:r>
        <w:rPr>
          <w:rFonts w:hint="eastAsia"/>
          <w:sz w:val="24"/>
          <w:lang w:val="en-US" w:eastAsia="zh-CN"/>
        </w:rPr>
        <w:t>........................................................................................5</w:t>
      </w:r>
      <w:r>
        <w:rPr>
          <w:rFonts w:hint="eastAsia"/>
          <w:sz w:val="24"/>
        </w:rPr>
        <w:t>三、支出决算情况说明</w:t>
      </w:r>
      <w:r>
        <w:rPr>
          <w:rFonts w:hint="eastAsia"/>
          <w:sz w:val="24"/>
          <w:lang w:val="en-US" w:eastAsia="zh-CN"/>
        </w:rPr>
        <w:t>........................................................................................5</w:t>
      </w:r>
      <w:r>
        <w:rPr>
          <w:rFonts w:hint="eastAsia"/>
          <w:sz w:val="24"/>
        </w:rPr>
        <w:t>四、财政拨款收入支出决算总体情况说明</w:t>
      </w:r>
      <w:r>
        <w:rPr>
          <w:rFonts w:hint="eastAsia"/>
          <w:sz w:val="24"/>
          <w:lang w:val="en-US" w:eastAsia="zh-CN"/>
        </w:rPr>
        <w:t>........................................................6</w:t>
      </w:r>
      <w:r>
        <w:rPr>
          <w:rFonts w:hint="eastAsia"/>
          <w:sz w:val="24"/>
        </w:rPr>
        <w:t>五、一般公共预算财政拨款支出决算情况说明</w:t>
      </w:r>
      <w:r>
        <w:rPr>
          <w:rFonts w:hint="eastAsia"/>
          <w:sz w:val="24"/>
          <w:lang w:val="en-US" w:eastAsia="zh-CN"/>
        </w:rPr>
        <w:t>................................................6</w:t>
      </w:r>
    </w:p>
    <w:p w14:paraId="1BCE1141">
      <w:pPr>
        <w:pStyle w:val="14"/>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sz w:val="24"/>
          <w:lang w:val="en-US" w:eastAsia="zh-CN"/>
        </w:rPr>
        <w:t>.........................................7</w:t>
      </w:r>
    </w:p>
    <w:p w14:paraId="23210C30">
      <w:pPr>
        <w:pStyle w:val="14"/>
        <w:adjustRightInd w:val="0"/>
        <w:snapToGrid w:val="0"/>
        <w:spacing w:line="440" w:lineRule="exact"/>
        <w:jc w:val="left"/>
        <w:rPr>
          <w:rFonts w:hint="default" w:ascii="仿宋" w:hAnsi="仿宋" w:eastAsia="仿宋" w:cstheme="minorBidi"/>
          <w:sz w:val="24"/>
          <w:lang w:val="en-US"/>
        </w:rPr>
      </w:pPr>
      <w:r>
        <w:rPr>
          <w:rFonts w:hint="eastAsia"/>
          <w:sz w:val="24"/>
        </w:rPr>
        <w:t>七、财政拨款“三公”经费支出决算情况说明</w:t>
      </w:r>
      <w:r>
        <w:rPr>
          <w:rFonts w:hint="eastAsia"/>
          <w:sz w:val="24"/>
          <w:lang w:val="en-US" w:eastAsia="zh-CN"/>
        </w:rPr>
        <w:t>.................................................8</w:t>
      </w:r>
      <w:r>
        <w:rPr>
          <w:rFonts w:hint="eastAsia"/>
          <w:sz w:val="24"/>
        </w:rPr>
        <w:t>八、政府性基金预算支出决算情况说明</w:t>
      </w:r>
      <w:r>
        <w:rPr>
          <w:rFonts w:hint="eastAsia"/>
          <w:sz w:val="24"/>
          <w:lang w:val="en-US" w:eastAsia="zh-CN"/>
        </w:rPr>
        <w:t>.............................................................9</w:t>
      </w:r>
    </w:p>
    <w:p w14:paraId="73ED33AF">
      <w:pPr>
        <w:pStyle w:val="14"/>
        <w:adjustRightInd w:val="0"/>
        <w:snapToGrid w:val="0"/>
        <w:spacing w:line="440" w:lineRule="exact"/>
        <w:jc w:val="left"/>
        <w:rPr>
          <w:rFonts w:hint="default"/>
          <w:sz w:val="24"/>
          <w:lang w:val="en-US"/>
        </w:rPr>
      </w:pPr>
      <w:r>
        <w:rPr>
          <w:rFonts w:hint="eastAsia"/>
          <w:sz w:val="24"/>
        </w:rPr>
        <w:t>九、国有资本经营预算支出决算情况说明</w:t>
      </w:r>
      <w:r>
        <w:rPr>
          <w:rFonts w:hint="eastAsia"/>
          <w:sz w:val="24"/>
          <w:lang w:val="en-US" w:eastAsia="zh-CN"/>
        </w:rPr>
        <w:t>........................................................10</w:t>
      </w:r>
    </w:p>
    <w:p w14:paraId="1C7FD468">
      <w:pPr>
        <w:pStyle w:val="14"/>
        <w:adjustRightInd w:val="0"/>
        <w:snapToGrid w:val="0"/>
        <w:spacing w:line="440" w:lineRule="exact"/>
        <w:jc w:val="left"/>
        <w:rPr>
          <w:rFonts w:hint="default"/>
          <w:sz w:val="24"/>
          <w:lang w:val="en-US"/>
        </w:rPr>
      </w:pPr>
      <w:r>
        <w:rPr>
          <w:rFonts w:hint="eastAsia"/>
          <w:sz w:val="24"/>
        </w:rPr>
        <w:t>十、其他重要事项的情况说明</w:t>
      </w:r>
      <w:r>
        <w:rPr>
          <w:rFonts w:hint="eastAsia"/>
          <w:sz w:val="24"/>
          <w:lang w:val="en-US" w:eastAsia="zh-CN"/>
        </w:rPr>
        <w:t>............................................................................10</w:t>
      </w:r>
    </w:p>
    <w:p w14:paraId="4CDA8F65">
      <w:pPr>
        <w:pStyle w:val="13"/>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sz w:val="24"/>
          <w:lang w:val="en-US" w:eastAsia="zh-CN"/>
        </w:rPr>
        <w:t>..................................................12</w:t>
      </w:r>
    </w:p>
    <w:p w14:paraId="5B47500B">
      <w:pPr>
        <w:pStyle w:val="13"/>
        <w:adjustRightInd w:val="0"/>
        <w:snapToGrid w:val="0"/>
        <w:spacing w:before="0" w:line="440" w:lineRule="exact"/>
        <w:jc w:val="left"/>
        <w:rPr>
          <w:rFonts w:hint="default" w:cstheme="minorBidi"/>
          <w:sz w:val="24"/>
          <w:szCs w:val="24"/>
          <w:lang w:val="en-US"/>
        </w:rPr>
      </w:pPr>
      <w:r>
        <w:rPr>
          <w:rFonts w:hint="eastAsia"/>
          <w:sz w:val="24"/>
        </w:rPr>
        <w:t>第四部分</w:t>
      </w:r>
      <w:r>
        <w:rPr>
          <w:sz w:val="24"/>
        </w:rPr>
        <w:t xml:space="preserve"> </w:t>
      </w:r>
      <w:r>
        <w:rPr>
          <w:rFonts w:hint="eastAsia"/>
          <w:sz w:val="24"/>
        </w:rPr>
        <w:t>附件</w:t>
      </w:r>
      <w:r>
        <w:rPr>
          <w:rFonts w:hint="eastAsia"/>
          <w:sz w:val="24"/>
          <w:lang w:val="en-US" w:eastAsia="zh-CN"/>
        </w:rPr>
        <w:t>......................................................14</w:t>
      </w:r>
    </w:p>
    <w:p w14:paraId="6F199E3B">
      <w:pPr>
        <w:pStyle w:val="13"/>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val="en-US" w:eastAsia="zh-CN"/>
        </w:rPr>
        <w:t>......................................................15</w:t>
      </w:r>
    </w:p>
    <w:p w14:paraId="34175204">
      <w:pPr>
        <w:pStyle w:val="14"/>
        <w:adjustRightInd w:val="0"/>
        <w:snapToGrid w:val="0"/>
        <w:spacing w:line="440" w:lineRule="exact"/>
        <w:jc w:val="left"/>
        <w:rPr>
          <w:rFonts w:hint="default"/>
          <w:sz w:val="24"/>
          <w:lang w:val="en-US"/>
        </w:rPr>
      </w:pPr>
      <w:r>
        <w:rPr>
          <w:rFonts w:hint="eastAsia"/>
          <w:sz w:val="24"/>
        </w:rPr>
        <w:t>一、收入支出决算总表</w:t>
      </w:r>
      <w:r>
        <w:rPr>
          <w:rFonts w:hint="eastAsia"/>
          <w:sz w:val="24"/>
          <w:lang w:val="en-US" w:eastAsia="zh-CN"/>
        </w:rPr>
        <w:t>.......................................................................................15</w:t>
      </w:r>
    </w:p>
    <w:p w14:paraId="49C2E788">
      <w:pPr>
        <w:pStyle w:val="14"/>
        <w:adjustRightInd w:val="0"/>
        <w:snapToGrid w:val="0"/>
        <w:spacing w:line="440" w:lineRule="exact"/>
        <w:jc w:val="left"/>
        <w:rPr>
          <w:rFonts w:hint="default"/>
          <w:sz w:val="24"/>
          <w:lang w:val="en-US"/>
        </w:rPr>
      </w:pPr>
      <w:r>
        <w:rPr>
          <w:rFonts w:hint="eastAsia"/>
          <w:sz w:val="24"/>
        </w:rPr>
        <w:t>二、收入决算表</w:t>
      </w:r>
      <w:r>
        <w:rPr>
          <w:rFonts w:hint="eastAsia"/>
          <w:sz w:val="24"/>
          <w:lang w:val="en-US" w:eastAsia="zh-CN"/>
        </w:rPr>
        <w:t>...................................................................................................15</w:t>
      </w:r>
    </w:p>
    <w:p w14:paraId="68BC9406">
      <w:pPr>
        <w:pStyle w:val="14"/>
        <w:adjustRightInd w:val="0"/>
        <w:snapToGrid w:val="0"/>
        <w:spacing w:line="440" w:lineRule="exact"/>
        <w:jc w:val="left"/>
        <w:rPr>
          <w:rFonts w:hint="default"/>
          <w:sz w:val="24"/>
          <w:lang w:val="en-US"/>
        </w:rPr>
      </w:pPr>
      <w:r>
        <w:rPr>
          <w:rFonts w:hint="eastAsia"/>
          <w:sz w:val="24"/>
        </w:rPr>
        <w:t>三、支出决算表</w:t>
      </w:r>
      <w:r>
        <w:rPr>
          <w:rFonts w:hint="eastAsia"/>
          <w:sz w:val="24"/>
          <w:lang w:val="en-US" w:eastAsia="zh-CN"/>
        </w:rPr>
        <w:t>...................................................................................................15</w:t>
      </w:r>
    </w:p>
    <w:p w14:paraId="58BD049C">
      <w:pPr>
        <w:pStyle w:val="14"/>
        <w:adjustRightInd w:val="0"/>
        <w:snapToGrid w:val="0"/>
        <w:spacing w:line="440" w:lineRule="exact"/>
        <w:jc w:val="left"/>
        <w:rPr>
          <w:rFonts w:hint="default"/>
          <w:sz w:val="24"/>
          <w:lang w:val="en-US"/>
        </w:rPr>
      </w:pPr>
      <w:r>
        <w:rPr>
          <w:rFonts w:hint="eastAsia"/>
          <w:sz w:val="24"/>
        </w:rPr>
        <w:t>四、财政拨款收入支出决算总表</w:t>
      </w:r>
      <w:r>
        <w:rPr>
          <w:rFonts w:hint="eastAsia"/>
          <w:sz w:val="24"/>
          <w:lang w:val="en-US" w:eastAsia="zh-CN"/>
        </w:rPr>
        <w:t>.......................................................................15</w:t>
      </w:r>
    </w:p>
    <w:p w14:paraId="044F3349">
      <w:pPr>
        <w:pStyle w:val="14"/>
        <w:adjustRightInd w:val="0"/>
        <w:snapToGrid w:val="0"/>
        <w:spacing w:line="440" w:lineRule="exact"/>
        <w:jc w:val="left"/>
        <w:rPr>
          <w:rFonts w:hint="default"/>
          <w:sz w:val="24"/>
          <w:lang w:val="en-US"/>
        </w:rPr>
      </w:pPr>
      <w:r>
        <w:rPr>
          <w:rFonts w:hint="eastAsia"/>
          <w:sz w:val="24"/>
        </w:rPr>
        <w:t>五、财政拨款支出决算明细表</w:t>
      </w:r>
      <w:r>
        <w:rPr>
          <w:rFonts w:hint="eastAsia"/>
          <w:sz w:val="24"/>
          <w:lang w:val="en-US" w:eastAsia="zh-CN"/>
        </w:rPr>
        <w:t>...........................................................................15</w:t>
      </w:r>
    </w:p>
    <w:p w14:paraId="1259A8E3">
      <w:pPr>
        <w:pStyle w:val="14"/>
        <w:adjustRightInd w:val="0"/>
        <w:snapToGrid w:val="0"/>
        <w:spacing w:line="440" w:lineRule="exact"/>
        <w:jc w:val="left"/>
        <w:rPr>
          <w:rFonts w:hint="default"/>
          <w:sz w:val="24"/>
          <w:lang w:val="en-US"/>
        </w:rPr>
      </w:pPr>
      <w:r>
        <w:rPr>
          <w:rFonts w:hint="eastAsia"/>
          <w:sz w:val="24"/>
        </w:rPr>
        <w:t>六、一般公共预算财政拨款支出决算表</w:t>
      </w:r>
      <w:r>
        <w:rPr>
          <w:rFonts w:hint="eastAsia"/>
          <w:sz w:val="24"/>
          <w:lang w:val="en-US" w:eastAsia="zh-CN"/>
        </w:rPr>
        <w:t>............................................................15</w:t>
      </w:r>
    </w:p>
    <w:p w14:paraId="64BD91FD">
      <w:pPr>
        <w:pStyle w:val="14"/>
        <w:adjustRightInd w:val="0"/>
        <w:snapToGrid w:val="0"/>
        <w:spacing w:line="440" w:lineRule="exact"/>
        <w:jc w:val="left"/>
        <w:rPr>
          <w:rFonts w:hint="default"/>
          <w:sz w:val="24"/>
          <w:lang w:val="en-US"/>
        </w:rPr>
      </w:pPr>
      <w:r>
        <w:rPr>
          <w:rFonts w:hint="eastAsia"/>
          <w:sz w:val="24"/>
        </w:rPr>
        <w:t>七、一般公共预算财政拨款支出决算明细表</w:t>
      </w:r>
      <w:r>
        <w:rPr>
          <w:rFonts w:hint="eastAsia"/>
          <w:sz w:val="24"/>
          <w:lang w:val="en-US" w:eastAsia="zh-CN"/>
        </w:rPr>
        <w:t>.....................................................15</w:t>
      </w:r>
    </w:p>
    <w:p w14:paraId="09DEBB20">
      <w:pPr>
        <w:pStyle w:val="14"/>
        <w:adjustRightInd w:val="0"/>
        <w:snapToGrid w:val="0"/>
        <w:spacing w:line="440" w:lineRule="exact"/>
        <w:jc w:val="left"/>
        <w:rPr>
          <w:rFonts w:hint="default"/>
          <w:sz w:val="24"/>
          <w:lang w:val="en-US"/>
        </w:rPr>
      </w:pPr>
      <w:r>
        <w:rPr>
          <w:rFonts w:hint="eastAsia"/>
          <w:sz w:val="24"/>
        </w:rPr>
        <w:t>八、一般公共预算财政拨款基本支出决算明细表</w:t>
      </w:r>
      <w:r>
        <w:rPr>
          <w:rFonts w:hint="eastAsia"/>
          <w:sz w:val="24"/>
          <w:lang w:val="en-US" w:eastAsia="zh-CN"/>
        </w:rPr>
        <w:t>............................................15</w:t>
      </w:r>
    </w:p>
    <w:p w14:paraId="63C3A9B2">
      <w:pPr>
        <w:pStyle w:val="14"/>
        <w:adjustRightInd w:val="0"/>
        <w:snapToGrid w:val="0"/>
        <w:spacing w:line="440" w:lineRule="exact"/>
        <w:jc w:val="left"/>
        <w:rPr>
          <w:rFonts w:hint="default"/>
          <w:sz w:val="24"/>
          <w:lang w:val="en-US"/>
        </w:rPr>
      </w:pPr>
      <w:r>
        <w:rPr>
          <w:rFonts w:hint="eastAsia"/>
          <w:sz w:val="24"/>
        </w:rPr>
        <w:t>九、一般公共预算财政拨款项目支出决算表</w:t>
      </w:r>
      <w:r>
        <w:rPr>
          <w:rFonts w:hint="eastAsia"/>
          <w:sz w:val="24"/>
          <w:lang w:val="en-US" w:eastAsia="zh-CN"/>
        </w:rPr>
        <w:t>.....................................................15</w:t>
      </w:r>
    </w:p>
    <w:p w14:paraId="54A6A71F">
      <w:pPr>
        <w:pStyle w:val="14"/>
        <w:adjustRightInd w:val="0"/>
        <w:snapToGrid w:val="0"/>
        <w:spacing w:line="440" w:lineRule="exact"/>
        <w:jc w:val="left"/>
        <w:rPr>
          <w:rFonts w:hint="default"/>
          <w:sz w:val="24"/>
          <w:lang w:val="en-US"/>
        </w:rPr>
      </w:pPr>
      <w:r>
        <w:rPr>
          <w:rFonts w:hint="eastAsia"/>
          <w:sz w:val="24"/>
        </w:rPr>
        <w:t>十、政府性基金预算财政拨款收入支出决算表</w:t>
      </w:r>
      <w:r>
        <w:rPr>
          <w:rFonts w:hint="eastAsia"/>
          <w:sz w:val="24"/>
          <w:lang w:val="en-US" w:eastAsia="zh-CN"/>
        </w:rPr>
        <w:t>................................................15</w:t>
      </w:r>
    </w:p>
    <w:p w14:paraId="7C4B0B2C">
      <w:pPr>
        <w:pStyle w:val="14"/>
        <w:adjustRightInd w:val="0"/>
        <w:snapToGrid w:val="0"/>
        <w:spacing w:line="440" w:lineRule="exact"/>
        <w:jc w:val="left"/>
        <w:rPr>
          <w:rFonts w:hint="default"/>
          <w:sz w:val="24"/>
          <w:lang w:val="en-US"/>
        </w:rPr>
      </w:pPr>
      <w:r>
        <w:rPr>
          <w:rFonts w:hint="eastAsia"/>
          <w:sz w:val="24"/>
        </w:rPr>
        <w:t>十一、国有资本经营预算财政拨款收入支出决算表</w:t>
      </w:r>
      <w:r>
        <w:rPr>
          <w:rFonts w:hint="eastAsia"/>
          <w:sz w:val="24"/>
          <w:lang w:val="en-US" w:eastAsia="zh-CN"/>
        </w:rPr>
        <w:t>........................................15</w:t>
      </w:r>
    </w:p>
    <w:p w14:paraId="45ED54BA">
      <w:pPr>
        <w:pStyle w:val="14"/>
        <w:adjustRightInd w:val="0"/>
        <w:snapToGrid w:val="0"/>
        <w:spacing w:line="440" w:lineRule="exact"/>
        <w:jc w:val="left"/>
        <w:rPr>
          <w:rFonts w:hint="default" w:ascii="黑体" w:hAnsi="黑体" w:eastAsia="黑体"/>
          <w:b w:val="0"/>
          <w:lang w:val="en-US"/>
        </w:rPr>
      </w:pPr>
      <w:r>
        <w:rPr>
          <w:rFonts w:hint="eastAsia"/>
          <w:sz w:val="24"/>
        </w:rPr>
        <w:t>十二、国有资本经营预算财政拨款支出决算表</w:t>
      </w:r>
      <w:r>
        <w:rPr>
          <w:rFonts w:hint="eastAsia"/>
          <w:sz w:val="24"/>
          <w:lang w:val="en-US" w:eastAsia="zh-CN"/>
        </w:rPr>
        <w:t>.................................................15</w:t>
      </w:r>
      <w:r>
        <w:rPr>
          <w:rFonts w:hint="eastAsia"/>
          <w:sz w:val="24"/>
        </w:rPr>
        <w:t>十三、财政拨款“三公”经费支出决算表</w:t>
      </w:r>
      <w:r>
        <w:rPr>
          <w:rFonts w:hint="eastAsia"/>
          <w:sz w:val="24"/>
          <w:lang w:val="en-US" w:eastAsia="zh-CN"/>
        </w:rPr>
        <w:t>.........................................................15</w:t>
      </w:r>
    </w:p>
    <w:p w14:paraId="2D08A1E7">
      <w:pPr>
        <w:pStyle w:val="3"/>
        <w:jc w:val="center"/>
        <w:rPr>
          <w:rFonts w:hint="eastAsia" w:ascii="黑体" w:hAnsi="黑体" w:eastAsia="黑体"/>
          <w:b w:val="0"/>
        </w:rPr>
      </w:pPr>
    </w:p>
    <w:p w14:paraId="755157B6">
      <w:pPr>
        <w:pStyle w:val="3"/>
        <w:jc w:val="center"/>
        <w:rPr>
          <w:rFonts w:hint="eastAsia" w:ascii="黑体" w:hAnsi="黑体" w:eastAsia="黑体"/>
          <w:b w:val="0"/>
        </w:rPr>
      </w:pPr>
    </w:p>
    <w:p w14:paraId="787B3EB1">
      <w:pPr>
        <w:pStyle w:val="3"/>
        <w:jc w:val="center"/>
        <w:rPr>
          <w:rFonts w:hint="eastAsia" w:ascii="黑体" w:hAnsi="黑体" w:eastAsia="黑体"/>
          <w:b w:val="0"/>
        </w:rPr>
      </w:pPr>
    </w:p>
    <w:p w14:paraId="68EAC88B">
      <w:pPr>
        <w:pStyle w:val="3"/>
        <w:jc w:val="center"/>
        <w:rPr>
          <w:rFonts w:hint="eastAsia" w:ascii="黑体" w:hAnsi="黑体" w:eastAsia="黑体"/>
          <w:b w:val="0"/>
        </w:rPr>
      </w:pPr>
    </w:p>
    <w:p w14:paraId="471CC237">
      <w:pPr>
        <w:pStyle w:val="3"/>
        <w:jc w:val="center"/>
        <w:rPr>
          <w:rFonts w:hint="eastAsia" w:ascii="黑体" w:hAnsi="黑体" w:eastAsia="黑体"/>
          <w:b w:val="0"/>
        </w:rPr>
      </w:pPr>
    </w:p>
    <w:p w14:paraId="3D4D87B0">
      <w:pPr>
        <w:pStyle w:val="3"/>
        <w:jc w:val="center"/>
        <w:rPr>
          <w:rFonts w:hint="eastAsia" w:ascii="黑体" w:hAnsi="黑体" w:eastAsia="黑体"/>
          <w:b w:val="0"/>
        </w:rPr>
      </w:pPr>
    </w:p>
    <w:p w14:paraId="03727832">
      <w:pPr>
        <w:pStyle w:val="3"/>
        <w:jc w:val="center"/>
        <w:rPr>
          <w:rFonts w:hint="eastAsia" w:ascii="黑体" w:hAnsi="黑体" w:eastAsia="黑体"/>
          <w:b w:val="0"/>
        </w:rPr>
      </w:pPr>
    </w:p>
    <w:p w14:paraId="7143C811">
      <w:pPr>
        <w:pStyle w:val="3"/>
        <w:jc w:val="center"/>
        <w:rPr>
          <w:rFonts w:hint="eastAsia" w:ascii="黑体" w:hAnsi="黑体" w:eastAsia="黑体"/>
          <w:b w:val="0"/>
        </w:rPr>
      </w:pPr>
    </w:p>
    <w:p w14:paraId="077FCE4C">
      <w:pPr>
        <w:pStyle w:val="3"/>
        <w:jc w:val="center"/>
        <w:rPr>
          <w:rFonts w:hint="eastAsia" w:ascii="黑体" w:hAnsi="黑体" w:eastAsia="黑体"/>
          <w:b w:val="0"/>
        </w:rPr>
      </w:pPr>
    </w:p>
    <w:bookmarkEnd w:id="12"/>
    <w:bookmarkEnd w:id="13"/>
    <w:p w14:paraId="1CA8255F">
      <w:pPr>
        <w:widowControl/>
        <w:jc w:val="left"/>
        <w:rPr>
          <w:rFonts w:ascii="黑体" w:eastAsia="黑体"/>
          <w:sz w:val="32"/>
          <w:szCs w:val="32"/>
        </w:rPr>
      </w:pPr>
    </w:p>
    <w:p w14:paraId="2E62F6AC">
      <w:pPr>
        <w:pStyle w:val="3"/>
        <w:jc w:val="center"/>
        <w:rPr>
          <w:rStyle w:val="23"/>
          <w:rFonts w:ascii="黑体" w:hAnsi="黑体" w:eastAsia="黑体"/>
          <w:b w:val="0"/>
          <w:bCs w:val="0"/>
        </w:rPr>
      </w:pPr>
      <w:bookmarkStart w:id="14" w:name="_Toc15396600"/>
      <w:bookmarkStart w:id="15" w:name="_Toc15377197"/>
      <w:r>
        <w:rPr>
          <w:rFonts w:hint="eastAsia" w:ascii="黑体" w:hAnsi="黑体" w:eastAsia="黑体"/>
          <w:b w:val="0"/>
        </w:rPr>
        <w:t>第一部分 单位</w:t>
      </w:r>
      <w:r>
        <w:rPr>
          <w:rStyle w:val="22"/>
          <w:rFonts w:hint="eastAsia" w:ascii="黑体" w:hAnsi="黑体" w:eastAsia="黑体"/>
          <w:b w:val="0"/>
          <w:bCs w:val="0"/>
        </w:rPr>
        <w:t>概况</w:t>
      </w:r>
    </w:p>
    <w:p w14:paraId="02E3483B">
      <w:pPr>
        <w:pStyle w:val="4"/>
        <w:numPr>
          <w:ilvl w:val="0"/>
          <w:numId w:val="0"/>
        </w:numPr>
        <w:rPr>
          <w:rStyle w:val="23"/>
          <w:rFonts w:ascii="黑体" w:hAnsi="黑体" w:eastAsia="黑体"/>
          <w:b w:val="0"/>
          <w:bCs w:val="0"/>
        </w:rPr>
      </w:pPr>
      <w:r>
        <w:rPr>
          <w:rStyle w:val="23"/>
          <w:rFonts w:hint="eastAsia" w:ascii="黑体" w:hAnsi="黑体" w:eastAsia="黑体"/>
          <w:b w:val="0"/>
          <w:bCs w:val="0"/>
          <w:lang w:eastAsia="zh-CN"/>
        </w:rPr>
        <w:t>一、</w:t>
      </w:r>
      <w:r>
        <w:rPr>
          <w:rStyle w:val="23"/>
          <w:rFonts w:hint="eastAsia" w:ascii="黑体" w:hAnsi="黑体" w:eastAsia="黑体"/>
          <w:b w:val="0"/>
          <w:bCs w:val="0"/>
        </w:rPr>
        <w:t>主要职责</w:t>
      </w:r>
    </w:p>
    <w:p w14:paraId="748C8322">
      <w:pPr>
        <w:pageBreakBefore w:val="0"/>
        <w:kinsoku/>
        <w:wordWrap/>
        <w:overflowPunct/>
        <w:topLinePunct w:val="0"/>
        <w:bidi w:val="0"/>
        <w:adjustRightInd/>
        <w:spacing w:after="0" w:line="576"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宣传、贯彻、执行党和国家有关</w:t>
      </w:r>
      <w:r>
        <w:rPr>
          <w:rFonts w:hint="default" w:ascii="Times New Roman" w:hAnsi="Times New Roman" w:eastAsia="仿宋_GB2312" w:cs="Times New Roman"/>
          <w:color w:val="000000"/>
          <w:sz w:val="32"/>
          <w:szCs w:val="32"/>
          <w:lang w:eastAsia="zh-CN"/>
        </w:rPr>
        <w:t>机关事业</w:t>
      </w:r>
      <w:r>
        <w:rPr>
          <w:rFonts w:hint="default" w:ascii="Times New Roman" w:hAnsi="Times New Roman" w:eastAsia="仿宋_GB2312" w:cs="Times New Roman"/>
          <w:color w:val="000000"/>
          <w:sz w:val="32"/>
          <w:szCs w:val="32"/>
        </w:rPr>
        <w:t>职工基本养老、</w:t>
      </w:r>
      <w:r>
        <w:rPr>
          <w:rFonts w:hint="default" w:ascii="Times New Roman" w:hAnsi="Times New Roman" w:eastAsia="仿宋_GB2312" w:cs="Times New Roman"/>
          <w:color w:val="000000"/>
          <w:sz w:val="32"/>
          <w:szCs w:val="32"/>
          <w:lang w:eastAsia="zh-CN"/>
        </w:rPr>
        <w:t>职业年金</w:t>
      </w:r>
      <w:r>
        <w:rPr>
          <w:rFonts w:hint="default" w:ascii="Times New Roman" w:hAnsi="Times New Roman" w:eastAsia="仿宋_GB2312" w:cs="Times New Roman"/>
          <w:color w:val="000000"/>
          <w:sz w:val="32"/>
          <w:szCs w:val="32"/>
        </w:rPr>
        <w:t>的方针、政策、</w:t>
      </w:r>
      <w:r>
        <w:rPr>
          <w:rFonts w:hint="eastAsia" w:eastAsia="仿宋_GB2312" w:cs="Times New Roman"/>
          <w:color w:val="000000"/>
          <w:sz w:val="32"/>
          <w:szCs w:val="32"/>
          <w:lang w:eastAsia="zh-CN"/>
        </w:rPr>
        <w:t>法律法规</w:t>
      </w:r>
      <w:r>
        <w:rPr>
          <w:rFonts w:hint="default" w:ascii="Times New Roman" w:hAnsi="Times New Roman" w:eastAsia="仿宋_GB2312" w:cs="Times New Roman"/>
          <w:color w:val="000000"/>
          <w:sz w:val="32"/>
          <w:szCs w:val="32"/>
        </w:rPr>
        <w:t>和上级指示精神；经办</w:t>
      </w:r>
      <w:r>
        <w:rPr>
          <w:rFonts w:hint="default" w:ascii="Times New Roman" w:hAnsi="Times New Roman" w:eastAsia="仿宋_GB2312" w:cs="Times New Roman"/>
          <w:color w:val="000000"/>
          <w:sz w:val="32"/>
          <w:szCs w:val="32"/>
          <w:lang w:eastAsia="zh-CN"/>
        </w:rPr>
        <w:t>机关事业</w:t>
      </w:r>
      <w:r>
        <w:rPr>
          <w:rFonts w:hint="default" w:ascii="Times New Roman" w:hAnsi="Times New Roman" w:eastAsia="仿宋_GB2312" w:cs="Times New Roman"/>
          <w:color w:val="000000"/>
          <w:sz w:val="32"/>
          <w:szCs w:val="32"/>
        </w:rPr>
        <w:t>职工养老保险业务。即：办理参加养老保险的登记，受理缴费申报；核定养老保险参保单位、个人缴费基数；征收养老保险费和支付离退休人员基本养老金；办理养老保险关系转移、变更、续保手续；负责离退休条件审核、待遇计算，按时足额拨付离退休人员基本养老金</w:t>
      </w:r>
      <w:r>
        <w:rPr>
          <w:rFonts w:hint="default" w:ascii="Times New Roman" w:hAnsi="Times New Roman" w:eastAsia="仿宋_GB2312" w:cs="Times New Roman"/>
          <w:color w:val="000000"/>
          <w:sz w:val="32"/>
          <w:szCs w:val="32"/>
          <w:lang w:eastAsia="zh-CN"/>
        </w:rPr>
        <w:t>。</w:t>
      </w:r>
    </w:p>
    <w:p w14:paraId="2BB5AD47"/>
    <w:p w14:paraId="5E219BBB">
      <w:pPr>
        <w:pStyle w:val="4"/>
        <w:rPr>
          <w:rFonts w:ascii="黑体" w:hAnsi="黑体" w:eastAsia="黑体"/>
          <w:b w:val="0"/>
        </w:rPr>
      </w:pPr>
      <w:r>
        <w:rPr>
          <w:rFonts w:hint="eastAsia" w:ascii="黑体" w:hAnsi="黑体" w:eastAsia="黑体"/>
          <w:b w:val="0"/>
        </w:rPr>
        <w:t>二、机构设置</w:t>
      </w:r>
    </w:p>
    <w:bookmarkEnd w:id="14"/>
    <w:bookmarkEnd w:id="15"/>
    <w:p w14:paraId="350C3879">
      <w:pPr>
        <w:pStyle w:val="15"/>
        <w:keepNext w:val="0"/>
        <w:keepLines w:val="0"/>
        <w:widowControl/>
        <w:suppressLineNumbers w:val="0"/>
        <w:ind w:firstLine="622" w:firstLineChars="200"/>
      </w:pPr>
      <w:r>
        <w:rPr>
          <w:rFonts w:hint="eastAsia" w:ascii="仿宋_GB2312" w:hAnsi="仿宋_GB2312" w:eastAsia="仿宋_GB2312" w:cs="仿宋_GB2312"/>
          <w:b/>
          <w:bCs/>
          <w:color w:val="000000"/>
          <w:sz w:val="31"/>
          <w:szCs w:val="31"/>
        </w:rPr>
        <w:t>机关事业养老保险管理中心</w:t>
      </w:r>
      <w:r>
        <w:rPr>
          <w:rFonts w:hint="eastAsia" w:ascii="仿宋_GB2312" w:hAnsi="仿宋_GB2312" w:eastAsia="仿宋_GB2312" w:cs="仿宋_GB2312"/>
          <w:b/>
          <w:bCs/>
          <w:color w:val="000000"/>
          <w:sz w:val="31"/>
          <w:szCs w:val="31"/>
          <w:lang w:eastAsia="zh-CN"/>
        </w:rPr>
        <w:t>：</w:t>
      </w:r>
      <w:r>
        <w:rPr>
          <w:rFonts w:ascii="仿宋_GB2312" w:eastAsia="仿宋_GB2312" w:cs="仿宋_GB2312"/>
          <w:color w:val="000000"/>
          <w:sz w:val="31"/>
          <w:szCs w:val="31"/>
        </w:rPr>
        <w:t>为县社保</w:t>
      </w:r>
      <w:r>
        <w:rPr>
          <w:rFonts w:hint="eastAsia" w:ascii="仿宋_GB2312" w:eastAsia="仿宋_GB2312" w:cs="仿宋_GB2312"/>
          <w:color w:val="000000"/>
          <w:sz w:val="31"/>
          <w:szCs w:val="31"/>
          <w:lang w:val="en-US" w:eastAsia="zh-CN"/>
        </w:rPr>
        <w:t>中心</w:t>
      </w:r>
      <w:r>
        <w:rPr>
          <w:rFonts w:ascii="仿宋_GB2312" w:eastAsia="仿宋_GB2312" w:cs="仿宋_GB2312"/>
          <w:color w:val="000000"/>
          <w:sz w:val="31"/>
          <w:szCs w:val="31"/>
        </w:rPr>
        <w:t>管理的股级</w:t>
      </w:r>
      <w:r>
        <w:rPr>
          <w:rFonts w:hint="eastAsia" w:ascii="仿宋_GB2312" w:eastAsia="仿宋_GB2312" w:cs="仿宋_GB2312"/>
          <w:color w:val="000000"/>
          <w:sz w:val="31"/>
          <w:szCs w:val="31"/>
        </w:rPr>
        <w:t>公益一类事业单位。负责建立参加机关事业单位养老保险单位和个人资料的基础档案及个人账户；审核、调整、支付机关事业单位参保离退休人员养老金待遇；建立参加机关事业单位职业年金单位和个人资料的基础档案及个人账户；审核、调整、支付机关事业单位参保离退休人员职业年金待遇。</w:t>
      </w:r>
    </w:p>
    <w:p w14:paraId="42DDF8F4">
      <w:pPr>
        <w:widowControl/>
        <w:jc w:val="left"/>
        <w:rPr>
          <w:rFonts w:ascii="仿宋" w:hAnsi="仿宋" w:eastAsia="仿宋"/>
          <w:kern w:val="0"/>
          <w:sz w:val="32"/>
          <w:szCs w:val="32"/>
        </w:rPr>
      </w:pPr>
      <w:r>
        <w:rPr>
          <w:rFonts w:ascii="仿宋" w:hAnsi="仿宋" w:eastAsia="仿宋"/>
          <w:sz w:val="32"/>
          <w:szCs w:val="32"/>
        </w:rPr>
        <w:br w:type="page"/>
      </w:r>
    </w:p>
    <w:p w14:paraId="339F0797">
      <w:pPr>
        <w:pStyle w:val="3"/>
        <w:ind w:right="440"/>
        <w:jc w:val="center"/>
        <w:rPr>
          <w:rStyle w:val="22"/>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2"/>
          <w:rFonts w:hint="eastAsia" w:ascii="黑体" w:hAnsi="黑体" w:eastAsia="黑体"/>
          <w:b w:val="0"/>
          <w:bCs/>
        </w:rPr>
        <w:t>单位决算情况说明</w:t>
      </w:r>
      <w:bookmarkEnd w:id="16"/>
      <w:bookmarkEnd w:id="17"/>
    </w:p>
    <w:p w14:paraId="311AFD5B"/>
    <w:p w14:paraId="5E113D35">
      <w:pPr>
        <w:pStyle w:val="38"/>
        <w:numPr>
          <w:ilvl w:val="0"/>
          <w:numId w:val="1"/>
        </w:numPr>
        <w:spacing w:line="600" w:lineRule="exact"/>
        <w:ind w:firstLineChars="0"/>
        <w:outlineLvl w:val="1"/>
        <w:rPr>
          <w:rStyle w:val="23"/>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3"/>
          <w:rFonts w:hint="eastAsia" w:ascii="黑体" w:hAnsi="黑体" w:eastAsia="黑体"/>
          <w:b w:val="0"/>
        </w:rPr>
        <w:t>入支出决算总体情况说明</w:t>
      </w:r>
      <w:bookmarkEnd w:id="18"/>
      <w:bookmarkEnd w:id="19"/>
    </w:p>
    <w:p w14:paraId="3D767A18">
      <w:pPr>
        <w:spacing w:line="600" w:lineRule="exact"/>
        <w:ind w:firstLine="640" w:firstLineChars="200"/>
        <w:rPr>
          <w:rFonts w:ascii="仿宋_GB2312" w:eastAsia="仿宋_GB2312"/>
          <w:sz w:val="32"/>
          <w:szCs w:val="32"/>
        </w:rPr>
      </w:pPr>
      <w:r>
        <w:rPr>
          <w:rFonts w:hint="eastAsia" w:ascii="仿宋" w:hAnsi="仿宋" w:eastAsia="仿宋"/>
          <w:sz w:val="32"/>
          <w:szCs w:val="32"/>
        </w:rPr>
        <w:t>2023年度收、支总计均为</w:t>
      </w:r>
      <w:r>
        <w:rPr>
          <w:rFonts w:hint="eastAsia" w:ascii="仿宋" w:hAnsi="仿宋" w:eastAsia="仿宋"/>
          <w:b/>
          <w:sz w:val="32"/>
          <w:szCs w:val="32"/>
        </w:rPr>
        <w:t>96.06</w:t>
      </w:r>
      <w:r>
        <w:rPr>
          <w:rFonts w:hint="eastAsia" w:ascii="仿宋" w:hAnsi="仿宋" w:eastAsia="仿宋"/>
          <w:sz w:val="32"/>
          <w:szCs w:val="32"/>
        </w:rPr>
        <w:t>万元。与2022年度相比</w:t>
      </w:r>
      <w:r>
        <w:rPr>
          <w:rFonts w:hint="eastAsia" w:ascii="仿宋" w:hAnsi="仿宋" w:eastAsia="仿宋"/>
          <w:sz w:val="32"/>
          <w:szCs w:val="32"/>
          <w:lang w:val="en-US" w:eastAsia="zh-CN"/>
        </w:rPr>
        <w:t>90.89万元</w:t>
      </w:r>
      <w:r>
        <w:rPr>
          <w:rFonts w:hint="eastAsia" w:ascii="仿宋" w:hAnsi="仿宋" w:eastAsia="仿宋"/>
          <w:sz w:val="32"/>
          <w:szCs w:val="32"/>
        </w:rPr>
        <w:t>，收、支总计各增加</w:t>
      </w:r>
      <w:r>
        <w:rPr>
          <w:rFonts w:hint="eastAsia" w:ascii="仿宋" w:hAnsi="仿宋" w:eastAsia="仿宋"/>
          <w:sz w:val="32"/>
          <w:szCs w:val="32"/>
          <w:lang w:val="en-US" w:eastAsia="zh-CN"/>
        </w:rPr>
        <w:t>5.17</w:t>
      </w:r>
      <w:r>
        <w:rPr>
          <w:rFonts w:hint="eastAsia" w:ascii="仿宋" w:hAnsi="仿宋" w:eastAsia="仿宋"/>
          <w:sz w:val="32"/>
          <w:szCs w:val="32"/>
        </w:rPr>
        <w:t>万元，增长</w:t>
      </w:r>
      <w:r>
        <w:rPr>
          <w:rFonts w:hint="eastAsia" w:ascii="仿宋" w:hAnsi="仿宋" w:eastAsia="仿宋"/>
          <w:sz w:val="32"/>
          <w:szCs w:val="32"/>
          <w:lang w:val="en-US" w:eastAsia="zh-CN"/>
        </w:rPr>
        <w:t>5.69</w:t>
      </w:r>
      <w:r>
        <w:rPr>
          <w:rFonts w:ascii="仿宋" w:hAnsi="仿宋" w:eastAsia="仿宋"/>
          <w:sz w:val="32"/>
          <w:szCs w:val="32"/>
        </w:rPr>
        <w:t>%</w:t>
      </w:r>
      <w:r>
        <w:rPr>
          <w:rFonts w:hint="eastAsia" w:ascii="仿宋" w:hAnsi="仿宋" w:eastAsia="仿宋"/>
          <w:sz w:val="32"/>
          <w:szCs w:val="32"/>
        </w:rPr>
        <w:t>。主要变动原因是</w:t>
      </w:r>
      <w:r>
        <w:rPr>
          <w:rStyle w:val="32"/>
          <w:rFonts w:hint="eastAsia" w:ascii="仿宋_GB2312" w:hAnsi="仿宋_GB2312" w:eastAsia="仿宋_GB2312" w:cs="仿宋_GB2312"/>
          <w:b w:val="0"/>
          <w:bCs/>
          <w:sz w:val="32"/>
          <w:szCs w:val="32"/>
          <w:shd w:val="clear" w:color="auto" w:fill="FFFFFF"/>
          <w:lang w:val="en-US" w:eastAsia="zh-CN" w:bidi="ar"/>
        </w:rPr>
        <w:t>增加基础绩效奖金及人员工资调整增加</w:t>
      </w:r>
      <w:r>
        <w:rPr>
          <w:rFonts w:hint="eastAsia" w:ascii="仿宋" w:hAnsi="仿宋" w:eastAsia="仿宋"/>
          <w:sz w:val="32"/>
          <w:szCs w:val="32"/>
        </w:rPr>
        <w:t>。</w:t>
      </w:r>
    </w:p>
    <w:p w14:paraId="16DE3755">
      <w:pPr>
        <w:pStyle w:val="38"/>
        <w:numPr>
          <w:ilvl w:val="0"/>
          <w:numId w:val="1"/>
        </w:numPr>
        <w:spacing w:line="600" w:lineRule="exact"/>
        <w:ind w:firstLineChars="0"/>
        <w:outlineLvl w:val="1"/>
        <w:rPr>
          <w:rStyle w:val="23"/>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3"/>
          <w:rFonts w:hint="eastAsia" w:ascii="黑体" w:hAnsi="黑体" w:eastAsia="黑体"/>
          <w:b w:val="0"/>
        </w:rPr>
        <w:t>入决算情况说明</w:t>
      </w:r>
      <w:bookmarkEnd w:id="20"/>
      <w:bookmarkEnd w:id="21"/>
    </w:p>
    <w:p w14:paraId="61405D0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96.06</w:t>
      </w:r>
      <w:r>
        <w:rPr>
          <w:rFonts w:hint="eastAsia" w:ascii="仿宋" w:hAnsi="仿宋" w:eastAsia="仿宋"/>
          <w:sz w:val="32"/>
          <w:szCs w:val="32"/>
        </w:rPr>
        <w:t>万元，其中：一般公共预算财政拨款收入</w:t>
      </w:r>
      <w:r>
        <w:rPr>
          <w:rFonts w:ascii="仿宋" w:hAnsi="仿宋" w:eastAsia="仿宋"/>
          <w:b/>
          <w:sz w:val="32"/>
          <w:szCs w:val="32"/>
        </w:rPr>
        <w:t>96.06</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19A22400">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66605D21">
      <w:pPr>
        <w:pStyle w:val="38"/>
        <w:numPr>
          <w:ilvl w:val="0"/>
          <w:numId w:val="1"/>
        </w:numPr>
        <w:spacing w:line="600" w:lineRule="exact"/>
        <w:ind w:firstLineChars="0"/>
        <w:outlineLvl w:val="1"/>
        <w:rPr>
          <w:rStyle w:val="23"/>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3"/>
          <w:rFonts w:hint="eastAsia" w:ascii="黑体" w:hAnsi="黑体" w:eastAsia="黑体"/>
          <w:b w:val="0"/>
        </w:rPr>
        <w:t>出决算情况说明</w:t>
      </w:r>
      <w:bookmarkEnd w:id="22"/>
      <w:bookmarkEnd w:id="23"/>
    </w:p>
    <w:p w14:paraId="1CA2D225">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96.06</w:t>
      </w:r>
      <w:r>
        <w:rPr>
          <w:rFonts w:hint="eastAsia" w:ascii="仿宋" w:hAnsi="仿宋" w:eastAsia="仿宋"/>
          <w:sz w:val="32"/>
          <w:szCs w:val="32"/>
        </w:rPr>
        <w:t>万元，其中：基本支出</w:t>
      </w:r>
      <w:r>
        <w:rPr>
          <w:rFonts w:ascii="仿宋" w:hAnsi="仿宋" w:eastAsia="仿宋"/>
          <w:b/>
          <w:sz w:val="32"/>
          <w:szCs w:val="32"/>
        </w:rPr>
        <w:t>96.06</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12C69CD0">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625BB1EA">
      <w:pPr>
        <w:spacing w:line="600" w:lineRule="exact"/>
        <w:ind w:firstLine="640" w:firstLineChars="200"/>
        <w:outlineLvl w:val="1"/>
        <w:rPr>
          <w:rStyle w:val="23"/>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3"/>
          <w:rFonts w:hint="eastAsia" w:ascii="黑体" w:hAnsi="黑体" w:eastAsia="黑体"/>
          <w:b w:val="0"/>
        </w:rPr>
        <w:t>政拨款收入支出决算总体情况说明</w:t>
      </w:r>
      <w:bookmarkEnd w:id="24"/>
      <w:bookmarkEnd w:id="25"/>
    </w:p>
    <w:p w14:paraId="6215310F">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96.06</w:t>
      </w:r>
      <w:r>
        <w:rPr>
          <w:rFonts w:hint="eastAsia" w:ascii="仿宋" w:hAnsi="仿宋" w:eastAsia="仿宋"/>
          <w:sz w:val="32"/>
          <w:szCs w:val="32"/>
        </w:rPr>
        <w:t>万元。与2022年度相比</w:t>
      </w:r>
      <w:r>
        <w:rPr>
          <w:rFonts w:hint="eastAsia" w:ascii="仿宋" w:hAnsi="仿宋" w:eastAsia="仿宋"/>
          <w:sz w:val="32"/>
          <w:szCs w:val="32"/>
          <w:lang w:val="en-US" w:eastAsia="zh-CN"/>
        </w:rPr>
        <w:t>90.89万元</w:t>
      </w:r>
      <w:r>
        <w:rPr>
          <w:rFonts w:hint="eastAsia" w:ascii="仿宋" w:hAnsi="仿宋" w:eastAsia="仿宋"/>
          <w:sz w:val="32"/>
          <w:szCs w:val="32"/>
        </w:rPr>
        <w:t>，收、支总计各增加</w:t>
      </w:r>
      <w:r>
        <w:rPr>
          <w:rFonts w:hint="eastAsia" w:ascii="仿宋" w:hAnsi="仿宋" w:eastAsia="仿宋"/>
          <w:sz w:val="32"/>
          <w:szCs w:val="32"/>
          <w:lang w:val="en-US" w:eastAsia="zh-CN"/>
        </w:rPr>
        <w:t>5.17</w:t>
      </w:r>
      <w:r>
        <w:rPr>
          <w:rFonts w:hint="eastAsia" w:ascii="仿宋" w:hAnsi="仿宋" w:eastAsia="仿宋"/>
          <w:sz w:val="32"/>
          <w:szCs w:val="32"/>
        </w:rPr>
        <w:t>万元，增长</w:t>
      </w:r>
      <w:r>
        <w:rPr>
          <w:rFonts w:hint="eastAsia" w:ascii="仿宋" w:hAnsi="仿宋" w:eastAsia="仿宋"/>
          <w:sz w:val="32"/>
          <w:szCs w:val="32"/>
          <w:lang w:val="en-US" w:eastAsia="zh-CN"/>
        </w:rPr>
        <w:t>5.69</w:t>
      </w:r>
      <w:r>
        <w:rPr>
          <w:rFonts w:ascii="仿宋" w:hAnsi="仿宋" w:eastAsia="仿宋"/>
          <w:sz w:val="32"/>
          <w:szCs w:val="32"/>
        </w:rPr>
        <w:t>%</w:t>
      </w:r>
      <w:r>
        <w:rPr>
          <w:rFonts w:hint="eastAsia" w:ascii="仿宋" w:hAnsi="仿宋" w:eastAsia="仿宋"/>
          <w:sz w:val="32"/>
          <w:szCs w:val="32"/>
        </w:rPr>
        <w:t>。主要变动原因是</w:t>
      </w:r>
      <w:r>
        <w:rPr>
          <w:rStyle w:val="32"/>
          <w:rFonts w:hint="eastAsia" w:ascii="仿宋_GB2312" w:hAnsi="仿宋_GB2312" w:eastAsia="仿宋_GB2312" w:cs="仿宋_GB2312"/>
          <w:b w:val="0"/>
          <w:bCs/>
          <w:sz w:val="32"/>
          <w:szCs w:val="32"/>
          <w:shd w:val="clear" w:color="auto" w:fill="FFFFFF"/>
          <w:lang w:val="en-US" w:eastAsia="zh-CN" w:bidi="ar"/>
        </w:rPr>
        <w:t>增加基础绩效奖金及人员工资调整增加</w:t>
      </w:r>
      <w:r>
        <w:rPr>
          <w:rFonts w:hint="eastAsia" w:ascii="仿宋" w:hAnsi="仿宋" w:eastAsia="仿宋"/>
          <w:sz w:val="32"/>
          <w:szCs w:val="32"/>
        </w:rPr>
        <w:t>。</w:t>
      </w:r>
    </w:p>
    <w:p w14:paraId="24B1F4B2">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bookmarkStart w:id="26" w:name="_Toc15396607"/>
      <w:bookmarkStart w:id="27" w:name="_Toc15377209"/>
    </w:p>
    <w:p w14:paraId="29DAD528">
      <w:pPr>
        <w:spacing w:line="600" w:lineRule="exact"/>
        <w:ind w:firstLine="640"/>
        <w:rPr>
          <w:rStyle w:val="23"/>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3"/>
          <w:rFonts w:hint="eastAsia" w:ascii="黑体" w:hAnsi="黑体" w:eastAsia="黑体"/>
          <w:b w:val="0"/>
        </w:rPr>
        <w:t>般公共预算财政拨款支出决算情况说明</w:t>
      </w:r>
      <w:bookmarkEnd w:id="26"/>
      <w:bookmarkEnd w:id="27"/>
    </w:p>
    <w:p w14:paraId="59A6CAFA">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1B0EE01E">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96.06</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w:t>
      </w:r>
      <w:r>
        <w:rPr>
          <w:rFonts w:hint="eastAsia" w:ascii="仿宋" w:hAnsi="仿宋" w:eastAsia="仿宋"/>
          <w:sz w:val="32"/>
          <w:szCs w:val="32"/>
          <w:lang w:val="en-US" w:eastAsia="zh-CN"/>
        </w:rPr>
        <w:t>90.89万元</w:t>
      </w:r>
      <w:r>
        <w:rPr>
          <w:rFonts w:hint="eastAsia" w:ascii="仿宋" w:hAnsi="仿宋" w:eastAsia="仿宋"/>
          <w:sz w:val="32"/>
          <w:szCs w:val="32"/>
        </w:rPr>
        <w:t>，收、支总计各增加</w:t>
      </w:r>
      <w:r>
        <w:rPr>
          <w:rFonts w:hint="eastAsia" w:ascii="仿宋" w:hAnsi="仿宋" w:eastAsia="仿宋"/>
          <w:sz w:val="32"/>
          <w:szCs w:val="32"/>
          <w:lang w:val="en-US" w:eastAsia="zh-CN"/>
        </w:rPr>
        <w:t>5.17</w:t>
      </w:r>
      <w:r>
        <w:rPr>
          <w:rFonts w:hint="eastAsia" w:ascii="仿宋" w:hAnsi="仿宋" w:eastAsia="仿宋"/>
          <w:sz w:val="32"/>
          <w:szCs w:val="32"/>
        </w:rPr>
        <w:t>万元，增长</w:t>
      </w:r>
      <w:r>
        <w:rPr>
          <w:rFonts w:hint="eastAsia" w:ascii="仿宋" w:hAnsi="仿宋" w:eastAsia="仿宋"/>
          <w:sz w:val="32"/>
          <w:szCs w:val="32"/>
          <w:lang w:val="en-US" w:eastAsia="zh-CN"/>
        </w:rPr>
        <w:t>5.69</w:t>
      </w:r>
      <w:r>
        <w:rPr>
          <w:rFonts w:ascii="仿宋" w:hAnsi="仿宋" w:eastAsia="仿宋"/>
          <w:sz w:val="32"/>
          <w:szCs w:val="32"/>
        </w:rPr>
        <w:t>%</w:t>
      </w:r>
      <w:r>
        <w:rPr>
          <w:rFonts w:hint="eastAsia" w:ascii="仿宋" w:hAnsi="仿宋" w:eastAsia="仿宋"/>
          <w:sz w:val="32"/>
          <w:szCs w:val="32"/>
        </w:rPr>
        <w:t>。主要变动原因是</w:t>
      </w:r>
      <w:r>
        <w:rPr>
          <w:rStyle w:val="32"/>
          <w:rFonts w:hint="eastAsia" w:ascii="仿宋_GB2312" w:hAnsi="仿宋_GB2312" w:eastAsia="仿宋_GB2312" w:cs="仿宋_GB2312"/>
          <w:b w:val="0"/>
          <w:bCs/>
          <w:sz w:val="32"/>
          <w:szCs w:val="32"/>
          <w:shd w:val="clear" w:color="auto" w:fill="FFFFFF"/>
          <w:lang w:val="en-US" w:eastAsia="zh-CN" w:bidi="ar"/>
        </w:rPr>
        <w:t>增加基础绩效奖金及人员工资调整增加</w:t>
      </w:r>
      <w:r>
        <w:rPr>
          <w:rFonts w:hint="eastAsia" w:ascii="仿宋" w:hAnsi="仿宋" w:eastAsia="仿宋"/>
          <w:sz w:val="32"/>
          <w:szCs w:val="32"/>
        </w:rPr>
        <w:t>。</w:t>
      </w:r>
    </w:p>
    <w:p w14:paraId="2E5A1C5D">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07EADC1D">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96.06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84.57</w:t>
      </w:r>
      <w:r>
        <w:rPr>
          <w:rFonts w:hint="eastAsia" w:ascii="仿宋" w:hAnsi="仿宋" w:eastAsia="仿宋"/>
          <w:sz w:val="32"/>
          <w:szCs w:val="32"/>
        </w:rPr>
        <w:t>万元，占</w:t>
      </w:r>
      <w:r>
        <w:rPr>
          <w:rFonts w:hint="eastAsia" w:ascii="仿宋" w:hAnsi="仿宋" w:eastAsia="仿宋"/>
          <w:sz w:val="32"/>
          <w:szCs w:val="32"/>
          <w:lang w:val="en-US" w:eastAsia="zh-CN"/>
        </w:rPr>
        <w:t>88.04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4.64</w:t>
      </w:r>
      <w:r>
        <w:rPr>
          <w:rFonts w:hint="eastAsia" w:ascii="仿宋" w:hAnsi="仿宋" w:eastAsia="仿宋"/>
          <w:sz w:val="32"/>
          <w:szCs w:val="32"/>
        </w:rPr>
        <w:t>万元，占</w:t>
      </w:r>
      <w:r>
        <w:rPr>
          <w:rFonts w:hint="eastAsia" w:ascii="仿宋" w:hAnsi="仿宋" w:eastAsia="仿宋"/>
          <w:sz w:val="32"/>
          <w:szCs w:val="32"/>
          <w:lang w:val="en-US" w:eastAsia="zh-CN"/>
        </w:rPr>
        <w:t>4.83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6.84</w:t>
      </w:r>
      <w:r>
        <w:rPr>
          <w:rFonts w:hint="eastAsia" w:ascii="仿宋" w:hAnsi="仿宋" w:eastAsia="仿宋"/>
          <w:sz w:val="32"/>
          <w:szCs w:val="32"/>
        </w:rPr>
        <w:t>万元，占</w:t>
      </w:r>
      <w:r>
        <w:rPr>
          <w:rFonts w:hint="eastAsia" w:ascii="仿宋" w:hAnsi="仿宋" w:eastAsia="仿宋"/>
          <w:sz w:val="32"/>
          <w:szCs w:val="32"/>
          <w:lang w:val="en-US" w:eastAsia="zh-CN"/>
        </w:rPr>
        <w:t>7.13</w:t>
      </w:r>
      <w:r>
        <w:rPr>
          <w:rFonts w:ascii="仿宋" w:hAnsi="仿宋" w:eastAsia="仿宋"/>
          <w:sz w:val="32"/>
          <w:szCs w:val="32"/>
        </w:rPr>
        <w:t>%</w:t>
      </w:r>
      <w:r>
        <w:rPr>
          <w:rFonts w:hint="eastAsia" w:ascii="仿宋" w:hAnsi="仿宋" w:eastAsia="仿宋"/>
          <w:sz w:val="32"/>
          <w:szCs w:val="32"/>
        </w:rPr>
        <w:t>。</w:t>
      </w:r>
    </w:p>
    <w:p w14:paraId="60837AC7">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14:paraId="4B331FC8">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22A9EB12">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rFonts w:ascii="仿宋" w:hAnsi="仿宋" w:eastAsia="仿宋"/>
          <w:b/>
          <w:sz w:val="32"/>
          <w:szCs w:val="32"/>
        </w:rPr>
        <w:t>96.06</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14:paraId="1F0FEF9F">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lang w:val="en-US" w:eastAsia="zh-CN"/>
        </w:rPr>
        <w:t>1</w:t>
      </w:r>
      <w:r>
        <w:rPr>
          <w:rStyle w:val="20"/>
          <w:rFonts w:ascii="仿宋" w:hAnsi="仿宋" w:eastAsia="仿宋"/>
          <w:bCs/>
          <w:sz w:val="32"/>
          <w:szCs w:val="32"/>
        </w:rPr>
        <w:t>.</w:t>
      </w:r>
      <w:r>
        <w:rPr>
          <w:rStyle w:val="20"/>
          <w:rFonts w:hint="eastAsia" w:ascii="仿宋" w:hAnsi="仿宋" w:eastAsia="仿宋"/>
          <w:bCs/>
          <w:sz w:val="32"/>
          <w:szCs w:val="32"/>
        </w:rPr>
        <w:t>社会保障和就业（类）</w:t>
      </w:r>
      <w:r>
        <w:rPr>
          <w:rStyle w:val="20"/>
          <w:rFonts w:hint="eastAsia" w:ascii="仿宋" w:hAnsi="仿宋" w:eastAsia="仿宋"/>
          <w:bCs/>
          <w:sz w:val="32"/>
          <w:szCs w:val="32"/>
          <w:lang w:val="en-US" w:eastAsia="zh-CN"/>
        </w:rPr>
        <w:t>208</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01</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84.57</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112.49</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eastAsia="zh-CN"/>
        </w:rPr>
        <w:t>大于</w:t>
      </w:r>
      <w:r>
        <w:rPr>
          <w:rStyle w:val="20"/>
          <w:rFonts w:hint="eastAsia" w:ascii="仿宋" w:hAnsi="仿宋" w:eastAsia="仿宋"/>
          <w:b w:val="0"/>
          <w:bCs/>
          <w:sz w:val="32"/>
          <w:szCs w:val="32"/>
        </w:rPr>
        <w:t>预算数的主要原因是</w:t>
      </w:r>
      <w:r>
        <w:rPr>
          <w:rFonts w:hint="eastAsia" w:ascii="仿宋" w:hAnsi="仿宋" w:eastAsia="仿宋" w:cs="仿宋"/>
          <w:color w:val="auto"/>
          <w:kern w:val="0"/>
          <w:sz w:val="32"/>
          <w:szCs w:val="32"/>
          <w:shd w:val="clear" w:color="auto" w:fill="FFFFFF"/>
          <w:lang w:val="en-US" w:eastAsia="zh-CN" w:bidi="ar"/>
        </w:rPr>
        <w:t>本单位本年度收入的年初预算数为</w:t>
      </w:r>
      <w:r>
        <w:rPr>
          <w:rFonts w:hint="eastAsia" w:ascii="仿宋" w:hAnsi="仿宋" w:eastAsia="仿宋" w:cs="仿宋"/>
          <w:color w:val="auto"/>
          <w:sz w:val="32"/>
          <w:szCs w:val="32"/>
          <w:lang w:val="en-US" w:eastAsia="zh-CN"/>
        </w:rPr>
        <w:t>75.18万</w:t>
      </w:r>
      <w:r>
        <w:rPr>
          <w:rFonts w:hint="eastAsia" w:ascii="仿宋" w:hAnsi="仿宋" w:eastAsia="仿宋" w:cs="仿宋"/>
          <w:color w:val="auto"/>
          <w:sz w:val="32"/>
          <w:szCs w:val="32"/>
        </w:rPr>
        <w:t>元</w:t>
      </w:r>
      <w:r>
        <w:rPr>
          <w:rFonts w:hint="eastAsia" w:ascii="仿宋" w:hAnsi="仿宋" w:eastAsia="仿宋" w:cs="仿宋"/>
          <w:color w:val="auto"/>
          <w:kern w:val="0"/>
          <w:sz w:val="32"/>
          <w:szCs w:val="32"/>
          <w:shd w:val="clear" w:color="auto" w:fill="FFFFFF"/>
          <w:lang w:val="en-US" w:eastAsia="zh-CN" w:bidi="ar"/>
        </w:rPr>
        <w:t>，增加原因主要是</w:t>
      </w:r>
      <w:r>
        <w:rPr>
          <w:rStyle w:val="32"/>
          <w:rFonts w:hint="eastAsia" w:ascii="仿宋" w:hAnsi="仿宋" w:eastAsia="仿宋" w:cs="仿宋"/>
          <w:b w:val="0"/>
          <w:bCs/>
          <w:color w:val="auto"/>
          <w:sz w:val="32"/>
          <w:szCs w:val="32"/>
          <w:shd w:val="clear" w:color="auto" w:fill="FFFFFF"/>
          <w:lang w:val="en-US" w:eastAsia="zh-CN" w:bidi="ar"/>
        </w:rPr>
        <w:t>增加了基础绩效奖金及人员工资调整增加</w:t>
      </w:r>
      <w:r>
        <w:rPr>
          <w:rStyle w:val="20"/>
          <w:rFonts w:hint="eastAsia" w:ascii="仿宋" w:hAnsi="仿宋" w:eastAsia="仿宋"/>
          <w:b w:val="0"/>
          <w:bCs/>
          <w:sz w:val="32"/>
          <w:szCs w:val="32"/>
        </w:rPr>
        <w:t>。</w:t>
      </w:r>
    </w:p>
    <w:p w14:paraId="0E88C2EC">
      <w:pPr>
        <w:pStyle w:val="16"/>
        <w:shd w:val="clear" w:color="auto" w:fill="FFFFFF"/>
        <w:spacing w:before="0" w:beforeAutospacing="0" w:after="0" w:afterAutospacing="0" w:line="580" w:lineRule="exact"/>
        <w:ind w:firstLine="643" w:firstLineChars="200"/>
        <w:rPr>
          <w:rFonts w:ascii="仿宋" w:hAnsi="仿宋" w:eastAsia="仿宋"/>
          <w:b/>
          <w:sz w:val="32"/>
          <w:szCs w:val="32"/>
        </w:rPr>
      </w:pPr>
      <w:r>
        <w:rPr>
          <w:rStyle w:val="20"/>
          <w:rFonts w:hint="eastAsia" w:ascii="仿宋" w:hAnsi="仿宋" w:eastAsia="仿宋"/>
          <w:bCs/>
          <w:sz w:val="32"/>
          <w:szCs w:val="32"/>
          <w:lang w:val="en-US" w:eastAsia="zh-CN"/>
        </w:rPr>
        <w:t>2</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w:t>
      </w:r>
      <w:r>
        <w:rPr>
          <w:rStyle w:val="20"/>
          <w:rFonts w:hint="eastAsia" w:ascii="仿宋" w:hAnsi="仿宋" w:eastAsia="仿宋"/>
          <w:bCs/>
          <w:sz w:val="32"/>
          <w:szCs w:val="32"/>
          <w:lang w:val="en-US" w:eastAsia="zh-CN"/>
        </w:rPr>
        <w:t>201</w:t>
      </w:r>
      <w:r>
        <w:rPr>
          <w:rStyle w:val="20"/>
          <w:rFonts w:hint="eastAsia" w:ascii="仿宋" w:hAnsi="仿宋" w:eastAsia="仿宋"/>
          <w:bCs/>
          <w:sz w:val="32"/>
          <w:szCs w:val="32"/>
        </w:rPr>
        <w:t>（款）</w:t>
      </w:r>
      <w:r>
        <w:rPr>
          <w:rStyle w:val="20"/>
          <w:rFonts w:hint="eastAsia" w:ascii="仿宋" w:hAnsi="仿宋" w:eastAsia="仿宋"/>
          <w:bCs/>
          <w:sz w:val="32"/>
          <w:szCs w:val="32"/>
          <w:lang w:val="en-US" w:eastAsia="zh-CN"/>
        </w:rPr>
        <w:t>11</w:t>
      </w:r>
      <w:r>
        <w:rPr>
          <w:rStyle w:val="20"/>
          <w:rFonts w:hint="eastAsia" w:ascii="仿宋" w:hAnsi="仿宋" w:eastAsia="仿宋"/>
          <w:bCs/>
          <w:sz w:val="32"/>
          <w:szCs w:val="32"/>
        </w:rPr>
        <w:t>（项）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4.64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94.69</w:t>
      </w:r>
      <w:r>
        <w:rPr>
          <w:rStyle w:val="20"/>
          <w:rFonts w:ascii="仿宋" w:hAnsi="仿宋" w:eastAsia="仿宋"/>
          <w:b w:val="0"/>
          <w:bCs/>
          <w:sz w:val="32"/>
          <w:szCs w:val="32"/>
        </w:rPr>
        <w:t>%</w:t>
      </w:r>
      <w:r>
        <w:rPr>
          <w:rStyle w:val="20"/>
          <w:rFonts w:hint="eastAsia" w:ascii="仿宋" w:hAnsi="仿宋" w:eastAsia="仿宋"/>
          <w:b w:val="0"/>
          <w:bCs/>
          <w:sz w:val="32"/>
          <w:szCs w:val="32"/>
        </w:rPr>
        <w:t>，决算数小于预算数的主要原因是</w:t>
      </w:r>
      <w:r>
        <w:rPr>
          <w:rFonts w:hint="eastAsia" w:ascii="仿宋_GB2312" w:hAnsi="仿宋" w:eastAsia="仿宋_GB2312" w:cs="仿宋"/>
          <w:color w:val="333333"/>
          <w:sz w:val="32"/>
          <w:szCs w:val="32"/>
        </w:rPr>
        <w:t>卫生和健康</w:t>
      </w:r>
      <w:r>
        <w:rPr>
          <w:rFonts w:hint="eastAsia" w:ascii="仿宋_GB2312" w:hAnsi="仿宋" w:eastAsia="仿宋_GB2312" w:cs="仿宋"/>
          <w:color w:val="333333"/>
          <w:sz w:val="32"/>
          <w:szCs w:val="32"/>
          <w:lang w:eastAsia="zh-CN"/>
        </w:rPr>
        <w:t>预算数</w:t>
      </w:r>
      <w:r>
        <w:rPr>
          <w:rFonts w:hint="eastAsia" w:ascii="仿宋_GB2312" w:hAnsi="仿宋" w:eastAsia="仿宋_GB2312" w:cs="仿宋"/>
          <w:color w:val="333333"/>
          <w:sz w:val="32"/>
          <w:szCs w:val="32"/>
          <w:lang w:val="en-US" w:eastAsia="zh-CN"/>
        </w:rPr>
        <w:t>4.9</w:t>
      </w:r>
      <w:r>
        <w:rPr>
          <w:rFonts w:hint="eastAsia" w:ascii="仿宋_GB2312" w:hAnsi="仿宋" w:eastAsia="仿宋_GB2312" w:cs="仿宋"/>
          <w:color w:val="333333"/>
          <w:sz w:val="32"/>
          <w:szCs w:val="32"/>
        </w:rPr>
        <w:t>万元，</w:t>
      </w:r>
      <w:r>
        <w:rPr>
          <w:rFonts w:hint="eastAsia" w:ascii="仿宋" w:hAnsi="仿宋" w:eastAsia="仿宋" w:cs="仿宋"/>
          <w:color w:val="000000"/>
          <w:sz w:val="32"/>
          <w:szCs w:val="32"/>
          <w:lang w:val="en-US" w:eastAsia="zh-CN"/>
        </w:rPr>
        <w:t>本年卫生健康支出决算数4.64元，</w:t>
      </w:r>
      <w:r>
        <w:rPr>
          <w:rFonts w:hint="eastAsia" w:ascii="仿宋" w:hAnsi="仿宋" w:eastAsia="仿宋" w:cs="仿宋"/>
          <w:kern w:val="0"/>
          <w:sz w:val="32"/>
          <w:szCs w:val="32"/>
          <w:shd w:val="clear" w:color="auto" w:fill="FFFFFF"/>
          <w:lang w:val="en-US" w:eastAsia="zh-CN" w:bidi="ar"/>
        </w:rPr>
        <w:t>比预算数减少0.26万元，减少原因主要是缴费基数调整减少</w:t>
      </w:r>
      <w:r>
        <w:rPr>
          <w:rFonts w:hint="eastAsia" w:ascii="仿宋_GB2312" w:hAnsi="仿宋" w:eastAsia="仿宋_GB2312" w:cs="仿宋"/>
          <w:color w:val="333333"/>
          <w:sz w:val="32"/>
          <w:szCs w:val="32"/>
        </w:rPr>
        <w:t>。</w:t>
      </w:r>
      <w:r>
        <w:rPr>
          <w:rFonts w:hint="eastAsia" w:ascii="仿宋" w:hAnsi="仿宋" w:eastAsia="仿宋_GB2312" w:cs="仿宋"/>
          <w:color w:val="333333"/>
          <w:sz w:val="32"/>
          <w:szCs w:val="32"/>
        </w:rPr>
        <w:t> </w:t>
      </w:r>
    </w:p>
    <w:p w14:paraId="56193ED5">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34942EAB">
      <w:pPr>
        <w:spacing w:line="600" w:lineRule="exact"/>
        <w:ind w:firstLine="640"/>
        <w:rPr>
          <w:rFonts w:ascii="仿宋" w:hAnsi="仿宋" w:eastAsia="仿宋"/>
          <w:b/>
          <w:sz w:val="32"/>
          <w:szCs w:val="32"/>
        </w:rPr>
      </w:pPr>
    </w:p>
    <w:p w14:paraId="39602495">
      <w:pPr>
        <w:tabs>
          <w:tab w:val="right" w:pos="8306"/>
        </w:tabs>
        <w:spacing w:line="600" w:lineRule="exact"/>
        <w:ind w:firstLine="640"/>
        <w:outlineLvl w:val="1"/>
        <w:rPr>
          <w:rStyle w:val="23"/>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3"/>
          <w:rFonts w:hint="eastAsia" w:ascii="黑体" w:hAnsi="黑体" w:eastAsia="黑体"/>
          <w:b w:val="0"/>
        </w:rPr>
        <w:t>般公共预算财政拨款基本支出决算情况说明</w:t>
      </w:r>
      <w:bookmarkEnd w:id="34"/>
      <w:bookmarkEnd w:id="35"/>
      <w:r>
        <w:rPr>
          <w:rStyle w:val="23"/>
          <w:rFonts w:ascii="黑体" w:hAnsi="黑体" w:eastAsia="黑体"/>
          <w:b w:val="0"/>
        </w:rPr>
        <w:tab/>
      </w:r>
    </w:p>
    <w:p w14:paraId="62D324A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96.06</w:t>
      </w:r>
      <w:r>
        <w:rPr>
          <w:rFonts w:hint="eastAsia" w:ascii="仿宋" w:hAnsi="仿宋" w:eastAsia="仿宋"/>
          <w:sz w:val="32"/>
          <w:szCs w:val="32"/>
        </w:rPr>
        <w:t>万元，其中：</w:t>
      </w:r>
    </w:p>
    <w:p w14:paraId="0080CE97">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91.91</w:t>
      </w:r>
      <w:r>
        <w:rPr>
          <w:rFonts w:hint="eastAsia" w:ascii="仿宋" w:hAnsi="仿宋" w:eastAsia="仿宋"/>
          <w:sz w:val="32"/>
          <w:szCs w:val="32"/>
        </w:rPr>
        <w:t>万元，主要包括：基本工资、津贴补贴、奖金、绩效工资、机关事业单位基本养老保险缴费、职业年金缴费、其他社会保障缴费、医疗费补助、住房公积金等。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4.15</w:t>
      </w:r>
      <w:r>
        <w:rPr>
          <w:rFonts w:hint="eastAsia" w:ascii="仿宋" w:hAnsi="仿宋" w:eastAsia="仿宋"/>
          <w:sz w:val="32"/>
          <w:szCs w:val="32"/>
        </w:rPr>
        <w:t>万元，主要包括：办公费、水费、电费、邮电费、差旅费、培训费、工会经费等。</w:t>
      </w:r>
    </w:p>
    <w:p w14:paraId="490DC373">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7C23FCFA">
      <w:pPr>
        <w:spacing w:line="600" w:lineRule="exact"/>
        <w:ind w:firstLine="640"/>
        <w:rPr>
          <w:rFonts w:ascii="仿宋" w:hAnsi="仿宋" w:eastAsia="仿宋"/>
          <w:b/>
          <w:sz w:val="32"/>
          <w:szCs w:val="32"/>
        </w:rPr>
      </w:pPr>
    </w:p>
    <w:p w14:paraId="42AD3EE7">
      <w:pPr>
        <w:spacing w:line="600" w:lineRule="exact"/>
        <w:ind w:firstLine="640"/>
        <w:outlineLvl w:val="1"/>
        <w:rPr>
          <w:rStyle w:val="23"/>
          <w:rFonts w:ascii="黑体" w:hAnsi="黑体" w:eastAsia="黑体"/>
          <w:b w:val="0"/>
        </w:rPr>
      </w:pPr>
      <w:bookmarkStart w:id="36" w:name="_Toc15396609"/>
      <w:bookmarkStart w:id="37" w:name="_Toc15377215"/>
      <w:r>
        <w:rPr>
          <w:rFonts w:hint="eastAsia" w:ascii="黑体" w:eastAsia="黑体"/>
          <w:sz w:val="32"/>
          <w:szCs w:val="32"/>
        </w:rPr>
        <w:t>七、</w:t>
      </w:r>
      <w:r>
        <w:rPr>
          <w:rStyle w:val="23"/>
          <w:rFonts w:hint="eastAsia" w:ascii="黑体" w:hAnsi="黑体" w:eastAsia="黑体"/>
          <w:b w:val="0"/>
        </w:rPr>
        <w:t>财政拨款</w:t>
      </w:r>
      <w:r>
        <w:rPr>
          <w:rStyle w:val="23"/>
          <w:rFonts w:hint="eastAsia" w:ascii="黑体" w:hAnsi="黑体" w:eastAsia="黑体"/>
        </w:rPr>
        <w:t>“</w:t>
      </w:r>
      <w:r>
        <w:rPr>
          <w:rStyle w:val="23"/>
          <w:rFonts w:hint="eastAsia" w:ascii="黑体" w:hAnsi="黑体" w:eastAsia="黑体"/>
          <w:b w:val="0"/>
        </w:rPr>
        <w:t>三公”经费支出决算情况说明</w:t>
      </w:r>
      <w:bookmarkEnd w:id="36"/>
      <w:bookmarkEnd w:id="37"/>
    </w:p>
    <w:p w14:paraId="5E20E553">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584E2638">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，较上年度增加/减少</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无支出</w:t>
      </w:r>
      <w:r>
        <w:rPr>
          <w:rFonts w:hint="eastAsia" w:ascii="仿宋" w:hAnsi="仿宋" w:eastAsia="仿宋"/>
          <w:sz w:val="32"/>
          <w:szCs w:val="32"/>
        </w:rPr>
        <w:t>。</w:t>
      </w:r>
    </w:p>
    <w:p w14:paraId="3012649F">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4404DB01">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3EA3DB41">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0B9BD168">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604D28A2">
      <w:pPr>
        <w:spacing w:line="600" w:lineRule="exact"/>
        <w:ind w:firstLine="640"/>
        <w:rPr>
          <w:rFonts w:ascii="仿宋_GB2312" w:eastAsia="仿宋_GB2312"/>
          <w:b/>
          <w:sz w:val="32"/>
          <w:szCs w:val="32"/>
        </w:rPr>
      </w:pPr>
      <w:bookmarkStart w:id="40" w:name="_Toc15396610"/>
      <w:bookmarkStart w:id="41"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Cs/>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无支出</w:t>
      </w:r>
      <w:r>
        <w:rPr>
          <w:rFonts w:hint="eastAsia" w:ascii="仿宋_GB2312" w:eastAsia="仿宋_GB2312"/>
          <w:sz w:val="32"/>
          <w:szCs w:val="32"/>
        </w:rPr>
        <w:t>。</w:t>
      </w:r>
    </w:p>
    <w:p w14:paraId="297BDDEB">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14:paraId="52013BE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w:t>
      </w:r>
      <w:r>
        <w:rPr>
          <w:rStyle w:val="20"/>
          <w:rFonts w:ascii="仿宋" w:hAnsi="仿宋" w:eastAsia="仿宋"/>
          <w:bCs/>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无支出</w:t>
      </w:r>
      <w:r>
        <w:rPr>
          <w:rFonts w:hint="eastAsia" w:ascii="仿宋_GB2312" w:eastAsia="仿宋_GB2312"/>
          <w:sz w:val="32"/>
          <w:szCs w:val="32"/>
        </w:rPr>
        <w:t>。</w:t>
      </w:r>
    </w:p>
    <w:p w14:paraId="49556EF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0952D34E">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5CF63E80">
      <w:pPr>
        <w:spacing w:line="600" w:lineRule="exact"/>
        <w:ind w:firstLine="640"/>
        <w:rPr>
          <w:rFonts w:hint="eastAsia" w:ascii="仿宋_GB2312" w:eastAsia="仿宋_GB2312"/>
          <w:sz w:val="32"/>
          <w:szCs w:val="32"/>
          <w:lang w:val="en-US" w:eastAsia="zh-CN"/>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 w:val="0"/>
          <w:bCs/>
          <w:sz w:val="32"/>
          <w:szCs w:val="32"/>
        </w:rPr>
        <w:t>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无支出</w:t>
      </w:r>
      <w:r>
        <w:rPr>
          <w:rFonts w:hint="eastAsia" w:ascii="仿宋_GB2312" w:eastAsia="仿宋_GB2312"/>
          <w:sz w:val="32"/>
          <w:szCs w:val="32"/>
        </w:rPr>
        <w:t>。</w:t>
      </w:r>
    </w:p>
    <w:p w14:paraId="5B48B894">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执行公务、开展业务活动开支的交通费、住宿费、用餐费等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万元，具体内容包括（接待具体项目、金额）。</w:t>
      </w:r>
    </w:p>
    <w:p w14:paraId="26A6138B">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0B462C6">
      <w:pPr>
        <w:spacing w:line="600" w:lineRule="exact"/>
        <w:ind w:firstLine="640"/>
        <w:outlineLvl w:val="1"/>
        <w:rPr>
          <w:rFonts w:ascii="黑体" w:eastAsia="黑体"/>
          <w:sz w:val="32"/>
          <w:szCs w:val="32"/>
        </w:rPr>
      </w:pPr>
    </w:p>
    <w:p w14:paraId="2A60ECB3">
      <w:pPr>
        <w:spacing w:line="600" w:lineRule="exact"/>
        <w:ind w:firstLine="640"/>
        <w:outlineLvl w:val="1"/>
        <w:rPr>
          <w:rStyle w:val="23"/>
          <w:rFonts w:ascii="黑体" w:hAnsi="黑体" w:eastAsia="黑体"/>
        </w:rPr>
      </w:pPr>
      <w:r>
        <w:rPr>
          <w:rFonts w:hint="eastAsia" w:ascii="黑体" w:eastAsia="黑体"/>
          <w:sz w:val="32"/>
          <w:szCs w:val="32"/>
        </w:rPr>
        <w:t>八、</w:t>
      </w:r>
      <w:r>
        <w:rPr>
          <w:rStyle w:val="23"/>
          <w:rFonts w:hint="eastAsia" w:ascii="黑体" w:hAnsi="黑体" w:eastAsia="黑体"/>
          <w:b w:val="0"/>
        </w:rPr>
        <w:t>政府性基金预算支出决算情况说明</w:t>
      </w:r>
      <w:bookmarkEnd w:id="40"/>
      <w:bookmarkEnd w:id="41"/>
    </w:p>
    <w:p w14:paraId="177F6FCD">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20C90FF">
      <w:pPr>
        <w:spacing w:line="600" w:lineRule="exact"/>
        <w:ind w:firstLine="640"/>
        <w:rPr>
          <w:rFonts w:ascii="仿宋_GB2312" w:eastAsia="仿宋_GB2312"/>
          <w:sz w:val="32"/>
          <w:szCs w:val="32"/>
        </w:rPr>
      </w:pPr>
    </w:p>
    <w:p w14:paraId="5047FAEE">
      <w:pPr>
        <w:numPr>
          <w:ilvl w:val="0"/>
          <w:numId w:val="2"/>
        </w:numPr>
        <w:spacing w:line="600" w:lineRule="exact"/>
        <w:ind w:firstLine="640"/>
        <w:outlineLvl w:val="1"/>
        <w:rPr>
          <w:rStyle w:val="23"/>
          <w:rFonts w:ascii="黑体" w:hAnsi="黑体" w:eastAsia="黑体"/>
          <w:b w:val="0"/>
        </w:rPr>
      </w:pPr>
      <w:bookmarkStart w:id="42" w:name="_Toc15377219"/>
      <w:bookmarkStart w:id="43" w:name="_Toc15396611"/>
      <w:r>
        <w:rPr>
          <w:rStyle w:val="23"/>
          <w:rFonts w:hint="eastAsia" w:ascii="黑体" w:hAnsi="黑体" w:eastAsia="黑体"/>
          <w:b w:val="0"/>
        </w:rPr>
        <w:t>国有资本经营预算支出决算情况说明</w:t>
      </w:r>
      <w:bookmarkEnd w:id="42"/>
      <w:bookmarkEnd w:id="43"/>
    </w:p>
    <w:p w14:paraId="4B9A55C5">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586DDFA9">
      <w:pPr>
        <w:spacing w:line="580" w:lineRule="exact"/>
        <w:jc w:val="center"/>
        <w:rPr>
          <w:rFonts w:ascii="方正小标宋简体" w:hAnsi="方正小标宋简体" w:eastAsia="方正小标宋简体" w:cs="方正小标宋简体"/>
          <w:sz w:val="44"/>
          <w:szCs w:val="44"/>
        </w:rPr>
      </w:pPr>
    </w:p>
    <w:p w14:paraId="037428E2">
      <w:pPr>
        <w:numPr>
          <w:ilvl w:val="0"/>
          <w:numId w:val="2"/>
        </w:numPr>
        <w:spacing w:line="600" w:lineRule="exact"/>
        <w:ind w:firstLine="640"/>
        <w:outlineLvl w:val="1"/>
        <w:rPr>
          <w:rStyle w:val="23"/>
          <w:rFonts w:ascii="黑体" w:hAnsi="黑体" w:eastAsia="黑体"/>
          <w:b w:val="0"/>
        </w:rPr>
      </w:pPr>
      <w:bookmarkStart w:id="44" w:name="_Toc15377221"/>
      <w:bookmarkStart w:id="45" w:name="_Toc15396612"/>
      <w:r>
        <w:rPr>
          <w:rStyle w:val="23"/>
          <w:rFonts w:hint="eastAsia" w:ascii="黑体" w:hAnsi="黑体" w:eastAsia="黑体"/>
          <w:b w:val="0"/>
        </w:rPr>
        <w:t>其他重要事项的情况说明</w:t>
      </w:r>
      <w:bookmarkEnd w:id="44"/>
      <w:bookmarkEnd w:id="45"/>
    </w:p>
    <w:p w14:paraId="6EE9D3DB">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153FEBA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阿坝州松潘县机关事业养老保险中心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（或与2022年度决算数持平）。主要原因是</w:t>
      </w:r>
      <w:r>
        <w:rPr>
          <w:rFonts w:hint="eastAsia" w:ascii="仿宋_GB2312" w:eastAsia="仿宋_GB2312"/>
          <w:sz w:val="32"/>
          <w:szCs w:val="32"/>
          <w:lang w:eastAsia="zh-CN"/>
        </w:rPr>
        <w:t>无支出</w:t>
      </w:r>
      <w:r>
        <w:rPr>
          <w:rFonts w:hint="eastAsia" w:ascii="仿宋_GB2312" w:eastAsia="仿宋_GB2312"/>
          <w:sz w:val="32"/>
          <w:szCs w:val="32"/>
        </w:rPr>
        <w:t>。</w:t>
      </w:r>
    </w:p>
    <w:p w14:paraId="5D25FD44">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633490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555348A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阿坝州松潘县机关事业养老保险中心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57A9BA91">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3FAF75A">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553DB13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阿坝州松潘县机关事业养老保险中心</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41CC2981">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5997D4B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FA98DB2">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项目（项目名称）等</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0</w:t>
      </w:r>
      <w:r>
        <w:rPr>
          <w:rFonts w:hint="eastAsia" w:ascii="仿宋_GB2312" w:eastAsia="仿宋_GB2312"/>
          <w:sz w:val="32"/>
          <w:szCs w:val="32"/>
        </w:rPr>
        <w:t>个项目开展绩效自评，绩效自评表详见第四部分附件。</w:t>
      </w:r>
    </w:p>
    <w:p w14:paraId="6A611BB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5EB5F126">
      <w:pPr>
        <w:numPr>
          <w:ilvl w:val="0"/>
          <w:numId w:val="3"/>
        </w:numPr>
        <w:spacing w:line="600" w:lineRule="exact"/>
        <w:ind w:firstLine="660" w:firstLineChars="150"/>
        <w:jc w:val="center"/>
        <w:outlineLvl w:val="0"/>
        <w:rPr>
          <w:rStyle w:val="22"/>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2"/>
          <w:rFonts w:hint="eastAsia" w:ascii="黑体" w:hAnsi="黑体" w:eastAsia="黑体"/>
          <w:b w:val="0"/>
        </w:rPr>
        <w:t>词解释</w:t>
      </w:r>
      <w:bookmarkEnd w:id="49"/>
      <w:bookmarkEnd w:id="50"/>
    </w:p>
    <w:p w14:paraId="6D361E04">
      <w:pPr>
        <w:spacing w:line="600" w:lineRule="exact"/>
        <w:jc w:val="left"/>
        <w:rPr>
          <w:rFonts w:ascii="宋体"/>
          <w:b/>
          <w:sz w:val="44"/>
          <w:szCs w:val="44"/>
        </w:rPr>
      </w:pPr>
    </w:p>
    <w:p w14:paraId="5B0DAE93">
      <w:pPr>
        <w:pStyle w:val="40"/>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718CDF3C">
      <w:pPr>
        <w:pStyle w:val="4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.年末结转和结余：指单位按有关规定结转到下年或以后年度继续使用的资金。</w:t>
      </w:r>
    </w:p>
    <w:p w14:paraId="1018F5E1">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一般公共服务（类）…（款）…（项）：指……。</w:t>
      </w:r>
    </w:p>
    <w:p w14:paraId="01B95C0E">
      <w:pPr>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社会保障和就业（类）…（款）…（项）：指……。</w:t>
      </w:r>
    </w:p>
    <w:p w14:paraId="52A9DAB6">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卫生健康（类）…（款）…（项）：指……。</w:t>
      </w:r>
    </w:p>
    <w:p w14:paraId="102015C1">
      <w:pPr>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住房保障（类）…（款）…（项）：指……。</w:t>
      </w:r>
    </w:p>
    <w:p w14:paraId="2DE63CDD">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6772AA2">
      <w:pPr>
        <w:pStyle w:val="4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A450338">
      <w:pPr>
        <w:pStyle w:val="4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26E22DF">
      <w:pPr>
        <w:spacing w:line="600" w:lineRule="exact"/>
        <w:jc w:val="center"/>
        <w:outlineLvl w:val="0"/>
        <w:rPr>
          <w:rFonts w:hint="eastAsia" w:ascii="黑体" w:hAnsi="黑体" w:eastAsia="黑体"/>
          <w:sz w:val="44"/>
          <w:szCs w:val="44"/>
        </w:rPr>
      </w:pPr>
      <w:bookmarkStart w:id="51" w:name="_Toc15396614"/>
      <w:bookmarkStart w:id="52" w:name="_Toc15377226"/>
    </w:p>
    <w:p w14:paraId="68A16BD3">
      <w:pPr>
        <w:spacing w:line="600" w:lineRule="exact"/>
        <w:jc w:val="center"/>
        <w:outlineLvl w:val="0"/>
        <w:rPr>
          <w:rFonts w:hint="eastAsia" w:ascii="黑体" w:hAnsi="黑体" w:eastAsia="黑体"/>
          <w:sz w:val="44"/>
          <w:szCs w:val="44"/>
        </w:rPr>
      </w:pPr>
    </w:p>
    <w:p w14:paraId="60FE02B9">
      <w:pPr>
        <w:spacing w:line="600" w:lineRule="exact"/>
        <w:jc w:val="center"/>
        <w:outlineLvl w:val="0"/>
        <w:rPr>
          <w:rFonts w:hint="eastAsia" w:ascii="黑体" w:hAnsi="黑体" w:eastAsia="黑体"/>
          <w:sz w:val="44"/>
          <w:szCs w:val="44"/>
        </w:rPr>
      </w:pPr>
    </w:p>
    <w:p w14:paraId="60980E1E">
      <w:pPr>
        <w:spacing w:line="600" w:lineRule="exact"/>
        <w:jc w:val="center"/>
        <w:outlineLvl w:val="0"/>
        <w:rPr>
          <w:rFonts w:hint="eastAsia" w:ascii="黑体" w:hAnsi="黑体" w:eastAsia="黑体"/>
          <w:sz w:val="44"/>
          <w:szCs w:val="44"/>
        </w:rPr>
      </w:pPr>
    </w:p>
    <w:p w14:paraId="4A113659">
      <w:pPr>
        <w:spacing w:line="600" w:lineRule="exact"/>
        <w:jc w:val="center"/>
        <w:outlineLvl w:val="0"/>
        <w:rPr>
          <w:rFonts w:hint="eastAsia" w:ascii="黑体" w:hAnsi="黑体" w:eastAsia="黑体"/>
          <w:sz w:val="44"/>
          <w:szCs w:val="44"/>
        </w:rPr>
      </w:pPr>
    </w:p>
    <w:p w14:paraId="55500971">
      <w:pPr>
        <w:spacing w:line="600" w:lineRule="exact"/>
        <w:jc w:val="center"/>
        <w:outlineLvl w:val="0"/>
        <w:rPr>
          <w:rFonts w:hint="eastAsia" w:ascii="黑体" w:hAnsi="黑体" w:eastAsia="黑体"/>
          <w:sz w:val="44"/>
          <w:szCs w:val="44"/>
        </w:rPr>
      </w:pPr>
    </w:p>
    <w:p w14:paraId="3A8D558F">
      <w:pPr>
        <w:spacing w:line="600" w:lineRule="exact"/>
        <w:jc w:val="center"/>
        <w:outlineLvl w:val="0"/>
        <w:rPr>
          <w:rFonts w:hint="eastAsia" w:ascii="黑体" w:hAnsi="黑体" w:eastAsia="黑体"/>
          <w:sz w:val="44"/>
          <w:szCs w:val="44"/>
        </w:rPr>
      </w:pPr>
    </w:p>
    <w:p w14:paraId="7C97D456">
      <w:pPr>
        <w:spacing w:line="600" w:lineRule="exact"/>
        <w:jc w:val="center"/>
        <w:outlineLvl w:val="0"/>
        <w:rPr>
          <w:rFonts w:hint="eastAsia" w:ascii="黑体" w:hAnsi="黑体" w:eastAsia="黑体"/>
          <w:sz w:val="44"/>
          <w:szCs w:val="44"/>
        </w:rPr>
      </w:pPr>
    </w:p>
    <w:p w14:paraId="6D1869A4">
      <w:pPr>
        <w:spacing w:line="600" w:lineRule="exact"/>
        <w:jc w:val="center"/>
        <w:outlineLvl w:val="0"/>
        <w:rPr>
          <w:rFonts w:hint="eastAsia" w:ascii="黑体" w:hAnsi="黑体" w:eastAsia="黑体"/>
          <w:sz w:val="44"/>
          <w:szCs w:val="44"/>
        </w:rPr>
      </w:pPr>
    </w:p>
    <w:p w14:paraId="3F2F4D38">
      <w:pPr>
        <w:spacing w:line="600" w:lineRule="exact"/>
        <w:jc w:val="center"/>
        <w:outlineLvl w:val="0"/>
        <w:rPr>
          <w:rFonts w:hint="eastAsia" w:ascii="黑体" w:hAnsi="黑体" w:eastAsia="黑体"/>
          <w:sz w:val="44"/>
          <w:szCs w:val="44"/>
        </w:rPr>
      </w:pPr>
    </w:p>
    <w:p w14:paraId="30ED487C">
      <w:pPr>
        <w:spacing w:line="600" w:lineRule="exact"/>
        <w:jc w:val="center"/>
        <w:outlineLvl w:val="0"/>
        <w:rPr>
          <w:rFonts w:hint="eastAsia" w:ascii="黑体" w:hAnsi="黑体" w:eastAsia="黑体"/>
          <w:sz w:val="44"/>
          <w:szCs w:val="44"/>
        </w:rPr>
      </w:pPr>
    </w:p>
    <w:p w14:paraId="2EBD2FAE">
      <w:pPr>
        <w:spacing w:line="600" w:lineRule="exact"/>
        <w:jc w:val="center"/>
        <w:outlineLvl w:val="0"/>
        <w:rPr>
          <w:rFonts w:hint="eastAsia" w:ascii="黑体" w:hAnsi="黑体" w:eastAsia="黑体"/>
          <w:sz w:val="44"/>
          <w:szCs w:val="44"/>
        </w:rPr>
      </w:pPr>
    </w:p>
    <w:p w14:paraId="07E1480F">
      <w:pPr>
        <w:spacing w:line="600" w:lineRule="exact"/>
        <w:jc w:val="center"/>
        <w:outlineLvl w:val="0"/>
        <w:rPr>
          <w:rFonts w:hint="eastAsia" w:ascii="黑体" w:hAnsi="黑体" w:eastAsia="黑体"/>
          <w:sz w:val="44"/>
          <w:szCs w:val="44"/>
        </w:rPr>
      </w:pPr>
    </w:p>
    <w:p w14:paraId="38220253">
      <w:pPr>
        <w:spacing w:line="600" w:lineRule="exact"/>
        <w:jc w:val="center"/>
        <w:outlineLvl w:val="0"/>
        <w:rPr>
          <w:rFonts w:hint="eastAsia" w:ascii="黑体" w:hAnsi="黑体" w:eastAsia="黑体"/>
          <w:sz w:val="44"/>
          <w:szCs w:val="44"/>
        </w:rPr>
      </w:pPr>
    </w:p>
    <w:p w14:paraId="6BA38A59">
      <w:pPr>
        <w:spacing w:line="600" w:lineRule="exact"/>
        <w:jc w:val="center"/>
        <w:outlineLvl w:val="0"/>
        <w:rPr>
          <w:rFonts w:hint="eastAsia" w:ascii="黑体" w:hAnsi="黑体" w:eastAsia="黑体"/>
          <w:sz w:val="44"/>
          <w:szCs w:val="44"/>
        </w:rPr>
      </w:pPr>
    </w:p>
    <w:p w14:paraId="064E8501">
      <w:pPr>
        <w:spacing w:line="600" w:lineRule="exact"/>
        <w:jc w:val="center"/>
        <w:outlineLvl w:val="0"/>
        <w:rPr>
          <w:rFonts w:hint="eastAsia" w:ascii="黑体" w:hAnsi="黑体" w:eastAsia="黑体"/>
          <w:sz w:val="44"/>
          <w:szCs w:val="44"/>
        </w:rPr>
      </w:pPr>
    </w:p>
    <w:p w14:paraId="35F00B3D">
      <w:pPr>
        <w:spacing w:line="600" w:lineRule="exact"/>
        <w:jc w:val="center"/>
        <w:outlineLvl w:val="0"/>
        <w:rPr>
          <w:rFonts w:hint="eastAsia" w:ascii="黑体" w:hAnsi="黑体" w:eastAsia="黑体"/>
          <w:sz w:val="44"/>
          <w:szCs w:val="44"/>
        </w:rPr>
      </w:pPr>
    </w:p>
    <w:p w14:paraId="0B7B3226">
      <w:pPr>
        <w:spacing w:line="600" w:lineRule="exact"/>
        <w:jc w:val="center"/>
        <w:outlineLvl w:val="0"/>
        <w:rPr>
          <w:rFonts w:hint="eastAsia" w:ascii="黑体" w:hAnsi="黑体" w:eastAsia="黑体"/>
          <w:sz w:val="44"/>
          <w:szCs w:val="44"/>
        </w:rPr>
      </w:pPr>
    </w:p>
    <w:p w14:paraId="304B75C3">
      <w:pPr>
        <w:spacing w:line="600" w:lineRule="exact"/>
        <w:jc w:val="center"/>
        <w:outlineLvl w:val="0"/>
        <w:rPr>
          <w:rFonts w:hint="eastAsia" w:ascii="黑体" w:hAnsi="黑体" w:eastAsia="黑体"/>
          <w:sz w:val="44"/>
          <w:szCs w:val="44"/>
        </w:rPr>
      </w:pPr>
    </w:p>
    <w:p w14:paraId="3C6A4838">
      <w:pPr>
        <w:spacing w:line="600" w:lineRule="exact"/>
        <w:jc w:val="center"/>
        <w:outlineLvl w:val="0"/>
        <w:rPr>
          <w:rFonts w:hint="eastAsia" w:ascii="黑体" w:hAnsi="黑体" w:eastAsia="黑体"/>
          <w:sz w:val="44"/>
          <w:szCs w:val="44"/>
        </w:rPr>
      </w:pPr>
    </w:p>
    <w:p w14:paraId="56B0F0D1">
      <w:pPr>
        <w:spacing w:line="600" w:lineRule="exact"/>
        <w:jc w:val="center"/>
        <w:outlineLvl w:val="0"/>
        <w:rPr>
          <w:rFonts w:hint="eastAsia" w:ascii="黑体" w:hAnsi="黑体" w:eastAsia="黑体"/>
          <w:sz w:val="44"/>
          <w:szCs w:val="44"/>
        </w:rPr>
      </w:pPr>
    </w:p>
    <w:p w14:paraId="49FF7D88">
      <w:pPr>
        <w:spacing w:line="600" w:lineRule="exact"/>
        <w:jc w:val="center"/>
        <w:outlineLvl w:val="0"/>
        <w:rPr>
          <w:rStyle w:val="22"/>
          <w:rFonts w:ascii="黑体" w:hAnsi="黑体" w:eastAsia="黑体"/>
          <w:b w:val="0"/>
        </w:rPr>
      </w:pPr>
      <w:r>
        <w:rPr>
          <w:rFonts w:hint="eastAsia" w:ascii="黑体" w:hAnsi="黑体" w:eastAsia="黑体"/>
          <w:sz w:val="44"/>
          <w:szCs w:val="44"/>
        </w:rPr>
        <w:t>第</w:t>
      </w:r>
      <w:r>
        <w:rPr>
          <w:rStyle w:val="22"/>
          <w:rFonts w:hint="eastAsia" w:ascii="黑体" w:hAnsi="黑体" w:eastAsia="黑体"/>
          <w:b w:val="0"/>
        </w:rPr>
        <w:t>四部分 附件</w:t>
      </w:r>
      <w:bookmarkEnd w:id="51"/>
    </w:p>
    <w:p w14:paraId="57766631">
      <w:pPr>
        <w:spacing w:line="600" w:lineRule="exact"/>
        <w:ind w:firstLine="640" w:firstLineChars="200"/>
        <w:jc w:val="both"/>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14:paraId="54B9D173">
      <w:pPr>
        <w:pStyle w:val="8"/>
        <w:spacing w:line="560" w:lineRule="exact"/>
        <w:ind w:left="0" w:leftChars="0" w:firstLine="0" w:firstLineChars="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tbl>
      <w:tblPr>
        <w:tblStyle w:val="17"/>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2D1B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10"/>
            <w:vAlign w:val="center"/>
          </w:tcPr>
          <w:p w14:paraId="1478639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5DBC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vAlign w:val="center"/>
          </w:tcPr>
          <w:p w14:paraId="07111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6A90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vAlign w:val="center"/>
          </w:tcPr>
          <w:p w14:paraId="414EA239">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739F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vAlign w:val="center"/>
          </w:tcPr>
          <w:p w14:paraId="6FC78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724BE0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松潘县</w:t>
            </w:r>
            <w:r>
              <w:rPr>
                <w:rFonts w:hint="eastAsia" w:eastAsia="宋体" w:cs="Times New Roman"/>
                <w:i w:val="0"/>
                <w:color w:val="000000"/>
                <w:kern w:val="0"/>
                <w:sz w:val="24"/>
                <w:szCs w:val="24"/>
                <w:u w:val="none"/>
                <w:lang w:val="en-US" w:eastAsia="zh-CN" w:bidi="ar"/>
              </w:rPr>
              <w:t>机关事业养老保险中心</w:t>
            </w:r>
          </w:p>
        </w:tc>
      </w:tr>
      <w:tr w14:paraId="3F4C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6AA04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1A5B8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37CE8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14:paraId="12F43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0E07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3942F9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4C3BCD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96.06</w:t>
            </w:r>
          </w:p>
        </w:tc>
        <w:tc>
          <w:tcPr>
            <w:tcW w:w="2244" w:type="dxa"/>
            <w:gridSpan w:val="2"/>
            <w:tcBorders>
              <w:top w:val="single" w:color="000000" w:sz="4" w:space="0"/>
              <w:left w:val="single" w:color="000000" w:sz="4" w:space="0"/>
              <w:bottom w:val="single" w:color="000000" w:sz="4" w:space="0"/>
              <w:right w:val="single" w:color="000000" w:sz="4" w:space="0"/>
            </w:tcBorders>
            <w:vAlign w:val="center"/>
          </w:tcPr>
          <w:p w14:paraId="6EE9A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96.06</w:t>
            </w:r>
          </w:p>
        </w:tc>
        <w:tc>
          <w:tcPr>
            <w:tcW w:w="4387" w:type="dxa"/>
            <w:gridSpan w:val="5"/>
            <w:tcBorders>
              <w:top w:val="single" w:color="000000" w:sz="4" w:space="0"/>
              <w:left w:val="single" w:color="000000" w:sz="4" w:space="0"/>
              <w:bottom w:val="single" w:color="000000" w:sz="4" w:space="0"/>
              <w:right w:val="single" w:color="000000" w:sz="4" w:space="0"/>
            </w:tcBorders>
            <w:vAlign w:val="center"/>
          </w:tcPr>
          <w:p w14:paraId="3D680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726F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vAlign w:val="center"/>
          </w:tcPr>
          <w:p w14:paraId="4A5353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3546D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vAlign w:val="center"/>
          </w:tcPr>
          <w:p w14:paraId="26AF7A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宣</w:t>
            </w:r>
            <w:r>
              <w:rPr>
                <w:rFonts w:hint="eastAsia" w:ascii="Times New Roman" w:hAnsi="Times New Roman" w:eastAsia="宋体" w:cs="Times New Roman"/>
                <w:i w:val="0"/>
                <w:color w:val="000000"/>
                <w:kern w:val="0"/>
                <w:sz w:val="24"/>
                <w:szCs w:val="24"/>
                <w:u w:val="none"/>
                <w:lang w:val="en-US" w:eastAsia="zh-CN" w:bidi="ar"/>
              </w:rPr>
              <w:t>传、贯彻、执行党和国家有关机关事业职工基本养老、职业年金的方针、政策、</w:t>
            </w:r>
            <w:r>
              <w:rPr>
                <w:rFonts w:hint="eastAsia" w:cs="Times New Roman"/>
                <w:i w:val="0"/>
                <w:color w:val="000000"/>
                <w:kern w:val="0"/>
                <w:sz w:val="24"/>
                <w:szCs w:val="24"/>
                <w:u w:val="none"/>
                <w:lang w:val="en-US" w:eastAsia="zh-CN" w:bidi="ar"/>
              </w:rPr>
              <w:t>法律法规</w:t>
            </w:r>
            <w:r>
              <w:rPr>
                <w:rFonts w:hint="eastAsia" w:ascii="Times New Roman" w:hAnsi="Times New Roman" w:eastAsia="宋体" w:cs="Times New Roman"/>
                <w:i w:val="0"/>
                <w:color w:val="000000"/>
                <w:kern w:val="0"/>
                <w:sz w:val="24"/>
                <w:szCs w:val="24"/>
                <w:u w:val="none"/>
                <w:lang w:val="en-US" w:eastAsia="zh-CN" w:bidi="ar"/>
              </w:rPr>
              <w:t>和上级指示精神；经办机关事业职工养老保险业务</w:t>
            </w:r>
          </w:p>
        </w:tc>
      </w:tr>
      <w:tr w14:paraId="2D98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7D4C9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76FAC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76E3A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70641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4C74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1F9E45D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5265B1F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工资发放、社会保障缴费、公用经费支出</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10658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按时足额发放人员工资，按时足额缴纳人员社会保障缴费、保障机关运转。</w:t>
            </w:r>
          </w:p>
        </w:tc>
      </w:tr>
      <w:tr w14:paraId="43B1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C5038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vAlign w:val="center"/>
          </w:tcPr>
          <w:p w14:paraId="12FE4F8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保障职工基本养老、职业年金正常开展</w:t>
            </w:r>
          </w:p>
        </w:tc>
        <w:tc>
          <w:tcPr>
            <w:tcW w:w="6631" w:type="dxa"/>
            <w:gridSpan w:val="7"/>
            <w:tcBorders>
              <w:top w:val="single" w:color="000000" w:sz="4" w:space="0"/>
              <w:left w:val="single" w:color="000000" w:sz="4" w:space="0"/>
              <w:bottom w:val="single" w:color="000000" w:sz="4" w:space="0"/>
              <w:right w:val="single" w:color="000000" w:sz="4" w:space="0"/>
            </w:tcBorders>
            <w:vAlign w:val="center"/>
          </w:tcPr>
          <w:p w14:paraId="1402DC4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做好职工基本养老、职业年金日常工作的正常运行</w:t>
            </w:r>
          </w:p>
        </w:tc>
      </w:tr>
      <w:tr w14:paraId="4B11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vAlign w:val="center"/>
          </w:tcPr>
          <w:p w14:paraId="11890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0094D1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vAlign w:val="center"/>
          </w:tcPr>
          <w:p w14:paraId="511CE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7F022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12C4B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62791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2DBB3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vAlign w:val="center"/>
          </w:tcPr>
          <w:p w14:paraId="7C9DB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vAlign w:val="center"/>
          </w:tcPr>
          <w:p w14:paraId="77B8D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vAlign w:val="center"/>
          </w:tcPr>
          <w:p w14:paraId="77193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vAlign w:val="center"/>
          </w:tcPr>
          <w:p w14:paraId="6F8D7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13229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7E2C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5A7107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0196A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49DDD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087BE1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保证各项机保工作正常有序开展</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10D21F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62743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59E18B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5F1ADF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20</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left w:val="single" w:color="000000" w:sz="4" w:space="0"/>
              <w:bottom w:val="single" w:color="000000" w:sz="4" w:space="0"/>
              <w:right w:val="single" w:color="000000" w:sz="4" w:space="0"/>
            </w:tcBorders>
            <w:vAlign w:val="center"/>
          </w:tcPr>
          <w:p w14:paraId="37A0E9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100%</w:t>
            </w:r>
          </w:p>
        </w:tc>
      </w:tr>
      <w:tr w14:paraId="4500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65607D7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36FEEE4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085660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7739625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确保机保工作高质高效完成</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0243234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40B848C1">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33C4E69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1CA4C61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vAlign w:val="center"/>
          </w:tcPr>
          <w:p w14:paraId="1BF705F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100%</w:t>
            </w:r>
          </w:p>
        </w:tc>
      </w:tr>
      <w:tr w14:paraId="29D8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2CE6BD3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vAlign w:val="center"/>
          </w:tcPr>
          <w:p w14:paraId="6F62D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vAlign w:val="center"/>
          </w:tcPr>
          <w:p w14:paraId="16488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1F90AF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6E2D0D8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保障事业单位参保率</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2C0A3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5CAC9C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243ADB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73ABD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20</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vAlign w:val="center"/>
          </w:tcPr>
          <w:p w14:paraId="3964F2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0"/>
                <w:sz w:val="24"/>
                <w:szCs w:val="24"/>
                <w:u w:val="none"/>
                <w:lang w:val="en-US" w:eastAsia="zh-CN" w:bidi="ar"/>
              </w:rPr>
              <w:t>100%</w:t>
            </w:r>
          </w:p>
        </w:tc>
      </w:tr>
      <w:tr w14:paraId="56E9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45B6BEF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vAlign w:val="center"/>
          </w:tcPr>
          <w:p w14:paraId="26177AA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14:paraId="0A89E6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经济效益</w:t>
            </w:r>
          </w:p>
          <w:p w14:paraId="52C9D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3696E7E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社会保险执行率</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34829F8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kern w:val="2"/>
                <w:sz w:val="24"/>
                <w:szCs w:val="24"/>
                <w:u w:val="none"/>
                <w:lang w:val="en-US" w:eastAsia="zh-CN" w:bidi="ar-SA"/>
              </w:rPr>
              <w:t>=</w:t>
            </w:r>
          </w:p>
        </w:tc>
        <w:tc>
          <w:tcPr>
            <w:tcW w:w="1289" w:type="dxa"/>
            <w:tcBorders>
              <w:top w:val="single" w:color="000000" w:sz="4" w:space="0"/>
              <w:left w:val="single" w:color="000000" w:sz="4" w:space="0"/>
              <w:bottom w:val="single" w:color="000000" w:sz="4" w:space="0"/>
              <w:right w:val="single" w:color="000000" w:sz="4" w:space="0"/>
            </w:tcBorders>
            <w:vAlign w:val="center"/>
          </w:tcPr>
          <w:p w14:paraId="0AE73D2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vAlign w:val="center"/>
          </w:tcPr>
          <w:p w14:paraId="3B1CD5C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w:t>
            </w:r>
          </w:p>
        </w:tc>
        <w:tc>
          <w:tcPr>
            <w:tcW w:w="926" w:type="dxa"/>
            <w:tcBorders>
              <w:top w:val="single" w:color="000000" w:sz="4" w:space="0"/>
              <w:left w:val="single" w:color="000000" w:sz="4" w:space="0"/>
              <w:bottom w:val="single" w:color="000000" w:sz="4" w:space="0"/>
              <w:right w:val="single" w:color="000000" w:sz="4" w:space="0"/>
            </w:tcBorders>
            <w:vAlign w:val="center"/>
          </w:tcPr>
          <w:p w14:paraId="625EEB4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kern w:val="2"/>
                <w:sz w:val="24"/>
                <w:szCs w:val="24"/>
                <w:u w:val="none"/>
                <w:lang w:val="en-US" w:eastAsia="zh-CN" w:bidi="ar-SA"/>
              </w:rPr>
            </w:pPr>
            <w:r>
              <w:rPr>
                <w:rFonts w:hint="eastAsia"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vAlign w:val="center"/>
          </w:tcPr>
          <w:p w14:paraId="4EA41F0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100%</w:t>
            </w:r>
          </w:p>
        </w:tc>
      </w:tr>
      <w:tr w14:paraId="42B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vAlign w:val="center"/>
          </w:tcPr>
          <w:p w14:paraId="36951E8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vAlign w:val="center"/>
          </w:tcPr>
          <w:p w14:paraId="3B720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vAlign w:val="center"/>
          </w:tcPr>
          <w:p w14:paraId="42670A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vAlign w:val="center"/>
          </w:tcPr>
          <w:p w14:paraId="1FE688F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社会保险参保人员满意</w:t>
            </w:r>
          </w:p>
        </w:tc>
        <w:tc>
          <w:tcPr>
            <w:tcW w:w="1145" w:type="dxa"/>
            <w:gridSpan w:val="2"/>
            <w:tcBorders>
              <w:top w:val="single" w:color="000000" w:sz="4" w:space="0"/>
              <w:left w:val="single" w:color="000000" w:sz="4" w:space="0"/>
              <w:bottom w:val="single" w:color="000000" w:sz="4" w:space="0"/>
              <w:right w:val="single" w:color="000000" w:sz="4" w:space="0"/>
            </w:tcBorders>
            <w:vAlign w:val="center"/>
          </w:tcPr>
          <w:p w14:paraId="75741103">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vAlign w:val="center"/>
          </w:tcPr>
          <w:p w14:paraId="634584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val="en-US" w:eastAsia="zh-CN"/>
              </w:rPr>
              <w:t>优良中低差</w:t>
            </w:r>
          </w:p>
        </w:tc>
        <w:tc>
          <w:tcPr>
            <w:tcW w:w="1058" w:type="dxa"/>
            <w:tcBorders>
              <w:top w:val="single" w:color="000000" w:sz="4" w:space="0"/>
              <w:left w:val="single" w:color="000000" w:sz="4" w:space="0"/>
              <w:bottom w:val="single" w:color="000000" w:sz="4" w:space="0"/>
              <w:right w:val="single" w:color="000000" w:sz="4" w:space="0"/>
            </w:tcBorders>
            <w:vAlign w:val="center"/>
          </w:tcPr>
          <w:p w14:paraId="1CA9117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vAlign w:val="center"/>
          </w:tcPr>
          <w:p w14:paraId="5DE19B2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vAlign w:val="center"/>
          </w:tcPr>
          <w:p w14:paraId="70A03FC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优良</w:t>
            </w:r>
          </w:p>
        </w:tc>
      </w:tr>
    </w:tbl>
    <w:p w14:paraId="041769BD">
      <w:pPr>
        <w:pStyle w:val="8"/>
        <w:ind w:left="0" w:leftChars="0" w:firstLine="0" w:firstLineChars="0"/>
        <w:rPr>
          <w:rFonts w:hint="default" w:ascii="Times New Roman" w:hAnsi="Times New Roman" w:eastAsia="黑体" w:cs="Times New Roman"/>
          <w:sz w:val="24"/>
          <w:szCs w:val="24"/>
          <w:highlight w:val="none"/>
          <w:lang w:val="en-US" w:eastAsia="zh-CN"/>
        </w:rPr>
      </w:pPr>
    </w:p>
    <w:p w14:paraId="6863D2AA">
      <w:pPr>
        <w:pStyle w:val="36"/>
        <w:rPr>
          <w:rFonts w:hint="eastAsia"/>
        </w:rPr>
      </w:pPr>
    </w:p>
    <w:p w14:paraId="53FF91EC">
      <w:pPr>
        <w:pStyle w:val="8"/>
        <w:ind w:firstLine="3570" w:firstLineChars="1700"/>
        <w:jc w:val="both"/>
        <w:rPr>
          <w:rFonts w:hint="default" w:ascii="Times New Roman" w:hAnsi="Times New Roman" w:eastAsia="仿宋_GB2312" w:cs="Times New Roman"/>
          <w:lang w:val="en-US" w:eastAsia="zh-CN"/>
        </w:rPr>
      </w:pPr>
    </w:p>
    <w:p w14:paraId="59FC5DC8">
      <w:pPr>
        <w:pStyle w:val="6"/>
        <w:spacing w:before="93"/>
        <w:rPr>
          <w:rFonts w:hAnsi="Calibri" w:cs="仿宋"/>
          <w:sz w:val="32"/>
          <w:szCs w:val="32"/>
        </w:rPr>
      </w:pPr>
      <w:r>
        <w:rPr>
          <w:rFonts w:hint="eastAsia" w:ascii="Times New Roman" w:hAnsi="Times New Roman" w:cs="Times New Roman"/>
          <w:lang w:val="en-US" w:eastAsia="zh-CN"/>
        </w:rPr>
        <w:t xml:space="preserve">   </w:t>
      </w:r>
    </w:p>
    <w:p w14:paraId="3EC36193">
      <w:pPr>
        <w:spacing w:line="600" w:lineRule="exact"/>
        <w:jc w:val="both"/>
        <w:outlineLvl w:val="0"/>
        <w:rPr>
          <w:rFonts w:ascii="仿宋" w:hAnsi="仿宋" w:eastAsia="仿宋"/>
        </w:rPr>
      </w:pPr>
      <w:r>
        <w:rPr>
          <w:rFonts w:hint="eastAsia" w:ascii="黑体" w:hAnsi="黑体" w:eastAsia="黑体"/>
          <w:sz w:val="44"/>
          <w:szCs w:val="44"/>
        </w:rPr>
        <w:t>第</w:t>
      </w:r>
      <w:r>
        <w:rPr>
          <w:rStyle w:val="22"/>
          <w:rFonts w:hint="eastAsia" w:ascii="黑体" w:hAnsi="黑体" w:eastAsia="黑体"/>
          <w:b w:val="0"/>
        </w:rPr>
        <w:t>五部分 附表</w:t>
      </w:r>
      <w:bookmarkEnd w:id="52"/>
      <w:bookmarkEnd w:id="53"/>
      <w:bookmarkStart w:id="54" w:name="_Toc15396619"/>
    </w:p>
    <w:p w14:paraId="02B4C6C5">
      <w:pPr>
        <w:pStyle w:val="4"/>
        <w:rPr>
          <w:rFonts w:ascii="仿宋" w:hAnsi="仿宋" w:eastAsia="仿宋"/>
        </w:rPr>
      </w:pPr>
      <w:r>
        <w:rPr>
          <w:rFonts w:hint="eastAsia" w:ascii="仿宋" w:hAnsi="仿宋" w:eastAsia="仿宋"/>
          <w:b w:val="0"/>
        </w:rPr>
        <w:t>一、收</w:t>
      </w:r>
      <w:r>
        <w:rPr>
          <w:rStyle w:val="23"/>
          <w:rFonts w:hint="eastAsia" w:ascii="仿宋" w:hAnsi="仿宋" w:eastAsia="仿宋"/>
          <w:b w:val="0"/>
          <w:bCs w:val="0"/>
        </w:rPr>
        <w:t>入支出决算总表</w:t>
      </w:r>
      <w:bookmarkEnd w:id="54"/>
    </w:p>
    <w:p w14:paraId="29705A6D">
      <w:pPr>
        <w:pStyle w:val="4"/>
        <w:rPr>
          <w:rFonts w:ascii="仿宋" w:hAnsi="仿宋" w:eastAsia="仿宋"/>
        </w:rPr>
      </w:pPr>
      <w:bookmarkStart w:id="55" w:name="_Toc15396620"/>
      <w:r>
        <w:rPr>
          <w:rFonts w:hint="eastAsia" w:ascii="仿宋" w:hAnsi="仿宋" w:eastAsia="仿宋"/>
          <w:b w:val="0"/>
        </w:rPr>
        <w:t>二、收</w:t>
      </w:r>
      <w:r>
        <w:rPr>
          <w:rStyle w:val="23"/>
          <w:rFonts w:hint="eastAsia" w:ascii="仿宋" w:hAnsi="仿宋" w:eastAsia="仿宋"/>
          <w:b w:val="0"/>
          <w:bCs w:val="0"/>
        </w:rPr>
        <w:t>入决算表</w:t>
      </w:r>
      <w:bookmarkEnd w:id="55"/>
    </w:p>
    <w:p w14:paraId="04FEE638">
      <w:pPr>
        <w:pStyle w:val="4"/>
        <w:rPr>
          <w:rFonts w:ascii="仿宋" w:hAnsi="仿宋" w:eastAsia="仿宋"/>
        </w:rPr>
      </w:pPr>
      <w:bookmarkStart w:id="56" w:name="_Toc15396621"/>
      <w:r>
        <w:rPr>
          <w:rStyle w:val="23"/>
          <w:rFonts w:hint="eastAsia" w:ascii="仿宋" w:hAnsi="仿宋" w:eastAsia="仿宋"/>
          <w:b w:val="0"/>
          <w:bCs w:val="0"/>
        </w:rPr>
        <w:t>三、</w:t>
      </w:r>
      <w:r>
        <w:rPr>
          <w:rFonts w:hint="eastAsia" w:ascii="仿宋" w:hAnsi="仿宋" w:eastAsia="仿宋"/>
          <w:b w:val="0"/>
        </w:rPr>
        <w:t>支</w:t>
      </w:r>
      <w:r>
        <w:rPr>
          <w:rStyle w:val="23"/>
          <w:rFonts w:hint="eastAsia" w:ascii="仿宋" w:hAnsi="仿宋" w:eastAsia="仿宋"/>
          <w:b w:val="0"/>
          <w:bCs w:val="0"/>
        </w:rPr>
        <w:t>出决算表</w:t>
      </w:r>
      <w:bookmarkEnd w:id="56"/>
    </w:p>
    <w:p w14:paraId="128DF0A6">
      <w:pPr>
        <w:pStyle w:val="4"/>
        <w:rPr>
          <w:rFonts w:ascii="仿宋" w:hAnsi="仿宋" w:eastAsia="仿宋"/>
          <w:b w:val="0"/>
        </w:rPr>
      </w:pPr>
      <w:bookmarkStart w:id="57" w:name="_Toc15396622"/>
      <w:r>
        <w:rPr>
          <w:rStyle w:val="23"/>
          <w:rFonts w:hint="eastAsia" w:ascii="仿宋" w:hAnsi="仿宋" w:eastAsia="仿宋"/>
          <w:b w:val="0"/>
          <w:bCs w:val="0"/>
        </w:rPr>
        <w:t>四、</w:t>
      </w:r>
      <w:r>
        <w:rPr>
          <w:rFonts w:hint="eastAsia" w:ascii="仿宋" w:hAnsi="仿宋" w:eastAsia="仿宋"/>
          <w:b w:val="0"/>
        </w:rPr>
        <w:t>财</w:t>
      </w:r>
      <w:r>
        <w:rPr>
          <w:rStyle w:val="23"/>
          <w:rFonts w:hint="eastAsia" w:ascii="仿宋" w:hAnsi="仿宋" w:eastAsia="仿宋"/>
          <w:b w:val="0"/>
          <w:bCs w:val="0"/>
        </w:rPr>
        <w:t>政拨款收入支出决算总表</w:t>
      </w:r>
      <w:bookmarkEnd w:id="57"/>
    </w:p>
    <w:p w14:paraId="554E1E9B">
      <w:pPr>
        <w:pStyle w:val="4"/>
        <w:rPr>
          <w:rStyle w:val="23"/>
          <w:rFonts w:ascii="仿宋" w:hAnsi="仿宋" w:eastAsia="仿宋"/>
          <w:b w:val="0"/>
          <w:bCs w:val="0"/>
        </w:rPr>
      </w:pPr>
      <w:bookmarkStart w:id="58" w:name="_Toc15396623"/>
      <w:r>
        <w:rPr>
          <w:rStyle w:val="23"/>
          <w:rFonts w:hint="eastAsia" w:ascii="仿宋" w:hAnsi="仿宋" w:eastAsia="仿宋"/>
          <w:b w:val="0"/>
          <w:bCs w:val="0"/>
        </w:rPr>
        <w:t>五、</w:t>
      </w:r>
      <w:r>
        <w:rPr>
          <w:rFonts w:hint="eastAsia" w:ascii="仿宋" w:hAnsi="仿宋" w:eastAsia="仿宋"/>
          <w:b w:val="0"/>
        </w:rPr>
        <w:t>财</w:t>
      </w:r>
      <w:r>
        <w:rPr>
          <w:rStyle w:val="23"/>
          <w:rFonts w:hint="eastAsia" w:ascii="仿宋" w:hAnsi="仿宋" w:eastAsia="仿宋"/>
          <w:b w:val="0"/>
          <w:bCs w:val="0"/>
        </w:rPr>
        <w:t>政拨款支出决算明细表</w:t>
      </w:r>
      <w:bookmarkEnd w:id="58"/>
      <w:bookmarkStart w:id="59" w:name="_Toc15396624"/>
    </w:p>
    <w:p w14:paraId="1DB05017">
      <w:pPr>
        <w:pStyle w:val="4"/>
        <w:rPr>
          <w:rFonts w:ascii="仿宋" w:hAnsi="仿宋" w:eastAsia="仿宋"/>
        </w:rPr>
      </w:pPr>
      <w:r>
        <w:rPr>
          <w:rStyle w:val="23"/>
          <w:rFonts w:hint="eastAsia" w:ascii="仿宋" w:hAnsi="仿宋" w:eastAsia="仿宋"/>
          <w:b w:val="0"/>
          <w:bCs w:val="0"/>
        </w:rPr>
        <w:t>六、</w:t>
      </w:r>
      <w:r>
        <w:rPr>
          <w:rFonts w:hint="eastAsia" w:ascii="仿宋" w:hAnsi="仿宋" w:eastAsia="仿宋"/>
          <w:b w:val="0"/>
        </w:rPr>
        <w:t>一</w:t>
      </w:r>
      <w:r>
        <w:rPr>
          <w:rStyle w:val="23"/>
          <w:rFonts w:hint="eastAsia" w:ascii="仿宋" w:hAnsi="仿宋" w:eastAsia="仿宋"/>
          <w:b w:val="0"/>
          <w:bCs w:val="0"/>
        </w:rPr>
        <w:t>般公共预算财政拨款支出决算表</w:t>
      </w:r>
      <w:bookmarkEnd w:id="59"/>
    </w:p>
    <w:p w14:paraId="4EE171CA">
      <w:pPr>
        <w:pStyle w:val="4"/>
        <w:rPr>
          <w:rFonts w:ascii="仿宋" w:hAnsi="仿宋" w:eastAsia="仿宋"/>
        </w:rPr>
      </w:pPr>
      <w:bookmarkStart w:id="60" w:name="_Toc15396625"/>
      <w:r>
        <w:rPr>
          <w:rStyle w:val="23"/>
          <w:rFonts w:hint="eastAsia" w:ascii="仿宋" w:hAnsi="仿宋" w:eastAsia="仿宋"/>
          <w:b w:val="0"/>
          <w:bCs w:val="0"/>
        </w:rPr>
        <w:t>七、</w:t>
      </w:r>
      <w:r>
        <w:rPr>
          <w:rFonts w:hint="eastAsia" w:ascii="仿宋" w:hAnsi="仿宋" w:eastAsia="仿宋"/>
          <w:b w:val="0"/>
        </w:rPr>
        <w:t>一</w:t>
      </w:r>
      <w:r>
        <w:rPr>
          <w:rStyle w:val="23"/>
          <w:rFonts w:hint="eastAsia" w:ascii="仿宋" w:hAnsi="仿宋" w:eastAsia="仿宋"/>
          <w:b w:val="0"/>
          <w:bCs w:val="0"/>
        </w:rPr>
        <w:t>般公共预算财政拨款支出决算明细表</w:t>
      </w:r>
      <w:bookmarkEnd w:id="60"/>
    </w:p>
    <w:p w14:paraId="20242016">
      <w:pPr>
        <w:pStyle w:val="4"/>
        <w:rPr>
          <w:rFonts w:ascii="仿宋" w:hAnsi="仿宋" w:eastAsia="仿宋"/>
        </w:rPr>
      </w:pPr>
      <w:bookmarkStart w:id="61" w:name="_Toc15396626"/>
      <w:r>
        <w:rPr>
          <w:rStyle w:val="23"/>
          <w:rFonts w:hint="eastAsia" w:ascii="仿宋" w:hAnsi="仿宋" w:eastAsia="仿宋"/>
          <w:b w:val="0"/>
          <w:bCs w:val="0"/>
        </w:rPr>
        <w:t>八、</w:t>
      </w:r>
      <w:r>
        <w:rPr>
          <w:rFonts w:hint="eastAsia" w:ascii="仿宋" w:hAnsi="仿宋" w:eastAsia="仿宋"/>
          <w:b w:val="0"/>
        </w:rPr>
        <w:t>一</w:t>
      </w:r>
      <w:r>
        <w:rPr>
          <w:rStyle w:val="23"/>
          <w:rFonts w:hint="eastAsia" w:ascii="仿宋" w:hAnsi="仿宋" w:eastAsia="仿宋"/>
          <w:b w:val="0"/>
          <w:bCs w:val="0"/>
        </w:rPr>
        <w:t>般公共预算财政拨款基本支出决算表</w:t>
      </w:r>
      <w:bookmarkEnd w:id="61"/>
    </w:p>
    <w:p w14:paraId="1824A48E">
      <w:pPr>
        <w:pStyle w:val="4"/>
        <w:rPr>
          <w:rFonts w:ascii="仿宋" w:hAnsi="仿宋" w:eastAsia="仿宋"/>
        </w:rPr>
      </w:pPr>
      <w:bookmarkStart w:id="62" w:name="_Toc15396627"/>
      <w:r>
        <w:rPr>
          <w:rStyle w:val="23"/>
          <w:rFonts w:hint="eastAsia" w:ascii="仿宋" w:hAnsi="仿宋" w:eastAsia="仿宋"/>
          <w:b w:val="0"/>
          <w:bCs w:val="0"/>
        </w:rPr>
        <w:t>九、</w:t>
      </w:r>
      <w:r>
        <w:rPr>
          <w:rFonts w:hint="eastAsia" w:ascii="仿宋" w:hAnsi="仿宋" w:eastAsia="仿宋"/>
          <w:b w:val="0"/>
        </w:rPr>
        <w:t>一</w:t>
      </w:r>
      <w:r>
        <w:rPr>
          <w:rStyle w:val="23"/>
          <w:rFonts w:hint="eastAsia" w:ascii="仿宋" w:hAnsi="仿宋" w:eastAsia="仿宋"/>
          <w:b w:val="0"/>
          <w:bCs w:val="0"/>
        </w:rPr>
        <w:t>般公共预算财政拨款项目支出决算表</w:t>
      </w:r>
      <w:bookmarkEnd w:id="62"/>
    </w:p>
    <w:p w14:paraId="7B5A579F">
      <w:pPr>
        <w:pStyle w:val="4"/>
        <w:rPr>
          <w:rFonts w:ascii="仿宋" w:hAnsi="仿宋" w:eastAsia="仿宋"/>
        </w:rPr>
      </w:pPr>
      <w:bookmarkStart w:id="63" w:name="_Toc15396628"/>
      <w:r>
        <w:rPr>
          <w:rStyle w:val="23"/>
          <w:rFonts w:hint="eastAsia" w:ascii="仿宋" w:hAnsi="仿宋" w:eastAsia="仿宋"/>
          <w:b w:val="0"/>
          <w:bCs w:val="0"/>
        </w:rPr>
        <w:t>十、</w:t>
      </w:r>
      <w:bookmarkEnd w:id="63"/>
      <w:r>
        <w:rPr>
          <w:rFonts w:hint="eastAsia" w:ascii="仿宋" w:hAnsi="仿宋" w:eastAsia="仿宋"/>
          <w:b w:val="0"/>
        </w:rPr>
        <w:t>政</w:t>
      </w:r>
      <w:r>
        <w:rPr>
          <w:rStyle w:val="23"/>
          <w:rFonts w:hint="eastAsia" w:ascii="仿宋" w:hAnsi="仿宋" w:eastAsia="仿宋"/>
          <w:b w:val="0"/>
          <w:bCs w:val="0"/>
        </w:rPr>
        <w:t>府性基金预算财政拨款收入支出决算表</w:t>
      </w:r>
    </w:p>
    <w:p w14:paraId="4025F75C">
      <w:pPr>
        <w:pStyle w:val="4"/>
        <w:rPr>
          <w:rFonts w:ascii="仿宋" w:hAnsi="仿宋" w:eastAsia="仿宋"/>
        </w:rPr>
      </w:pPr>
      <w:bookmarkStart w:id="64" w:name="_Toc15396629"/>
      <w:r>
        <w:rPr>
          <w:rStyle w:val="23"/>
          <w:rFonts w:hint="eastAsia" w:ascii="仿宋" w:hAnsi="仿宋" w:eastAsia="仿宋"/>
          <w:b w:val="0"/>
          <w:bCs w:val="0"/>
        </w:rPr>
        <w:t>十一、</w:t>
      </w:r>
      <w:bookmarkEnd w:id="64"/>
      <w:r>
        <w:rPr>
          <w:rFonts w:hint="eastAsia" w:ascii="仿宋" w:hAnsi="仿宋" w:eastAsia="仿宋"/>
          <w:b w:val="0"/>
        </w:rPr>
        <w:t>国</w:t>
      </w:r>
      <w:r>
        <w:rPr>
          <w:rStyle w:val="23"/>
          <w:rFonts w:hint="eastAsia" w:ascii="仿宋" w:hAnsi="仿宋" w:eastAsia="仿宋"/>
          <w:b w:val="0"/>
          <w:bCs w:val="0"/>
        </w:rPr>
        <w:t>有资本经营预算财政拨款收入支出决算表</w:t>
      </w:r>
    </w:p>
    <w:p w14:paraId="5CA69E9C">
      <w:pPr>
        <w:pStyle w:val="4"/>
        <w:rPr>
          <w:rFonts w:ascii="仿宋" w:hAnsi="仿宋" w:eastAsia="仿宋"/>
        </w:rPr>
      </w:pPr>
      <w:bookmarkStart w:id="65" w:name="_Toc15396630"/>
      <w:r>
        <w:rPr>
          <w:rStyle w:val="23"/>
          <w:rFonts w:hint="eastAsia" w:ascii="仿宋" w:hAnsi="仿宋" w:eastAsia="仿宋"/>
          <w:b w:val="0"/>
          <w:bCs w:val="0"/>
        </w:rPr>
        <w:t>十二、</w:t>
      </w:r>
      <w:bookmarkEnd w:id="65"/>
      <w:r>
        <w:rPr>
          <w:rStyle w:val="23"/>
          <w:rFonts w:hint="eastAsia" w:ascii="仿宋" w:hAnsi="仿宋" w:eastAsia="仿宋"/>
          <w:b w:val="0"/>
          <w:bCs w:val="0"/>
        </w:rPr>
        <w:t>国有资本经营预算财政拨款支出决算表</w:t>
      </w:r>
    </w:p>
    <w:p w14:paraId="0363F3E4">
      <w:pPr>
        <w:pStyle w:val="4"/>
        <w:rPr>
          <w:rFonts w:eastAsia="仿宋"/>
        </w:rPr>
      </w:pPr>
      <w:bookmarkStart w:id="66" w:name="_Toc15396631"/>
      <w:r>
        <w:rPr>
          <w:rStyle w:val="23"/>
          <w:rFonts w:hint="eastAsia" w:ascii="仿宋" w:hAnsi="仿宋" w:eastAsia="仿宋"/>
          <w:b w:val="0"/>
          <w:bCs w:val="0"/>
        </w:rPr>
        <w:t>十三、</w:t>
      </w:r>
      <w:bookmarkEnd w:id="66"/>
      <w:r>
        <w:rPr>
          <w:rStyle w:val="23"/>
          <w:rFonts w:hint="eastAsia" w:ascii="仿宋" w:hAnsi="仿宋" w:eastAsia="仿宋"/>
          <w:b w:val="0"/>
          <w:bCs w:val="0"/>
        </w:rPr>
        <w:t>财政拨款“三公”经费支出决算表</w:t>
      </w:r>
    </w:p>
    <w:p w14:paraId="5C154F58">
      <w:pPr>
        <w:pStyle w:val="4"/>
        <w:rPr>
          <w:rFonts w:eastAsia="仿宋"/>
        </w:rPr>
      </w:pPr>
      <w:bookmarkStart w:id="67" w:name="_GoBack"/>
      <w:bookmarkEnd w:id="67"/>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9A22">
    <w:pPr>
      <w:pStyle w:val="11"/>
      <w:jc w:val="center"/>
    </w:pPr>
    <w:r>
      <w:fldChar w:fldCharType="begin"/>
    </w:r>
    <w:r>
      <w:instrText xml:space="preserve">PAGE   \* MERGEFORMAT</w:instrText>
    </w:r>
    <w:r>
      <w:fldChar w:fldCharType="separate"/>
    </w:r>
    <w:r>
      <w:rPr>
        <w:lang w:val="zh-CN"/>
      </w:rPr>
      <w:t>15</w:t>
    </w:r>
    <w:r>
      <w:fldChar w:fldCharType="end"/>
    </w:r>
  </w:p>
  <w:p w14:paraId="04E193B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942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23E056C"/>
    <w:rsid w:val="08E4264E"/>
    <w:rsid w:val="09FB33BD"/>
    <w:rsid w:val="146A79E0"/>
    <w:rsid w:val="258F5DCF"/>
    <w:rsid w:val="32A66D30"/>
    <w:rsid w:val="40B96A80"/>
    <w:rsid w:val="457A7226"/>
    <w:rsid w:val="4B2D5366"/>
    <w:rsid w:val="4DF947AF"/>
    <w:rsid w:val="55FB4E6F"/>
    <w:rsid w:val="6B2A561A"/>
    <w:rsid w:val="6C366168"/>
    <w:rsid w:val="723D360C"/>
    <w:rsid w:val="745B7B5D"/>
    <w:rsid w:val="78273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2"/>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3"/>
    <w:qFormat/>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4"/>
    <w:qFormat/>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5"/>
    <w:qFormat/>
    <w:uiPriority w:val="0"/>
    <w:pPr>
      <w:spacing w:before="93" w:beforeLines="30"/>
    </w:pPr>
    <w:rPr>
      <w:rFonts w:ascii="仿宋_GB2312" w:hAnsi="Times New Roman" w:eastAsia="仿宋_GB2312"/>
      <w:sz w:val="24"/>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qFormat/>
    <w:uiPriority w:val="0"/>
    <w:pPr>
      <w:tabs>
        <w:tab w:val="right" w:leader="dot" w:pos="8296"/>
      </w:tabs>
      <w:ind w:left="840" w:leftChars="400"/>
    </w:pPr>
  </w:style>
  <w:style w:type="paragraph" w:styleId="10">
    <w:name w:val="Balloon Text"/>
    <w:basedOn w:val="1"/>
    <w:link w:val="26"/>
    <w:qFormat/>
    <w:uiPriority w:val="0"/>
    <w:rPr>
      <w:rFonts w:ascii="Times New Roman" w:hAnsi="Times New Roman"/>
      <w:kern w:val="2"/>
      <w:sz w:val="18"/>
      <w:szCs w:val="18"/>
    </w:rPr>
  </w:style>
  <w:style w:type="paragraph" w:styleId="11">
    <w:name w:val="footer"/>
    <w:basedOn w:val="1"/>
    <w:link w:val="27"/>
    <w:qFormat/>
    <w:uiPriority w:val="0"/>
    <w:pPr>
      <w:tabs>
        <w:tab w:val="center" w:pos="4153"/>
        <w:tab w:val="right" w:pos="8306"/>
      </w:tabs>
      <w:snapToGrid w:val="0"/>
      <w:jc w:val="left"/>
    </w:pPr>
    <w:rPr>
      <w:sz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tabs>
        <w:tab w:val="right" w:leader="dot" w:pos="8296"/>
      </w:tabs>
      <w:spacing w:before="93" w:beforeLines="0"/>
      <w:jc w:val="center"/>
    </w:pPr>
    <w:rPr>
      <w:rFonts w:ascii="仿宋" w:hAnsi="仿宋" w:eastAsia="仿宋"/>
      <w:sz w:val="28"/>
      <w:szCs w:val="28"/>
    </w:rPr>
  </w:style>
  <w:style w:type="paragraph" w:styleId="14">
    <w:name w:val="toc 2"/>
    <w:basedOn w:val="1"/>
    <w:next w:val="1"/>
    <w:qFormat/>
    <w:uiPriority w:val="0"/>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字符"/>
    <w:basedOn w:val="19"/>
    <w:link w:val="3"/>
    <w:qFormat/>
    <w:uiPriority w:val="0"/>
    <w:rPr>
      <w:rFonts w:ascii="Times New Roman" w:hAnsi="Times New Roman"/>
      <w:b/>
      <w:bCs/>
      <w:kern w:val="44"/>
      <w:sz w:val="44"/>
      <w:szCs w:val="44"/>
    </w:rPr>
  </w:style>
  <w:style w:type="character" w:customStyle="1" w:styleId="23">
    <w:name w:val="标题 2 字符"/>
    <w:basedOn w:val="19"/>
    <w:link w:val="4"/>
    <w:qFormat/>
    <w:uiPriority w:val="0"/>
    <w:rPr>
      <w:rFonts w:ascii="Cambria" w:hAnsi="Cambria" w:eastAsia="宋体" w:cs="黑体"/>
      <w:b/>
      <w:bCs/>
      <w:kern w:val="2"/>
      <w:sz w:val="32"/>
      <w:szCs w:val="32"/>
    </w:rPr>
  </w:style>
  <w:style w:type="character" w:customStyle="1" w:styleId="24">
    <w:name w:val="标题 3 字符"/>
    <w:basedOn w:val="19"/>
    <w:link w:val="5"/>
    <w:qFormat/>
    <w:uiPriority w:val="0"/>
    <w:rPr>
      <w:rFonts w:ascii="Times New Roman" w:hAnsi="Times New Roman"/>
      <w:b/>
      <w:bCs/>
      <w:kern w:val="2"/>
      <w:sz w:val="32"/>
      <w:szCs w:val="32"/>
    </w:rPr>
  </w:style>
  <w:style w:type="character" w:customStyle="1" w:styleId="25">
    <w:name w:val="正文文本 字符"/>
    <w:link w:val="6"/>
    <w:qFormat/>
    <w:uiPriority w:val="0"/>
    <w:rPr>
      <w:rFonts w:ascii="仿宋_GB2312" w:hAnsi="Times New Roman" w:eastAsia="仿宋_GB2312"/>
      <w:sz w:val="24"/>
    </w:rPr>
  </w:style>
  <w:style w:type="character" w:customStyle="1" w:styleId="26">
    <w:name w:val="批注框文本 字符"/>
    <w:basedOn w:val="19"/>
    <w:link w:val="10"/>
    <w:qFormat/>
    <w:uiPriority w:val="0"/>
    <w:rPr>
      <w:rFonts w:ascii="Times New Roman" w:hAnsi="Times New Roman"/>
      <w:kern w:val="2"/>
      <w:sz w:val="18"/>
      <w:szCs w:val="18"/>
    </w:rPr>
  </w:style>
  <w:style w:type="character" w:customStyle="1" w:styleId="27">
    <w:name w:val="页脚 字符"/>
    <w:link w:val="11"/>
    <w:qFormat/>
    <w:uiPriority w:val="0"/>
    <w:rPr>
      <w:sz w:val="18"/>
    </w:rPr>
  </w:style>
  <w:style w:type="character" w:customStyle="1" w:styleId="28">
    <w:name w:val="页眉 字符"/>
    <w:link w:val="12"/>
    <w:qFormat/>
    <w:uiPriority w:val="0"/>
    <w:rPr>
      <w:sz w:val="18"/>
    </w:rPr>
  </w:style>
  <w:style w:type="character" w:customStyle="1" w:styleId="29">
    <w:name w:val="Body Text Char"/>
    <w:basedOn w:val="19"/>
    <w:qFormat/>
    <w:uiPriority w:val="0"/>
    <w:rPr>
      <w:rFonts w:ascii="Times New Roman" w:hAnsi="Times New Roman"/>
      <w:szCs w:val="24"/>
    </w:rPr>
  </w:style>
  <w:style w:type="character" w:customStyle="1" w:styleId="30">
    <w:name w:val="Header Char"/>
    <w:basedOn w:val="19"/>
    <w:qFormat/>
    <w:uiPriority w:val="0"/>
    <w:rPr>
      <w:rFonts w:ascii="Times New Roman" w:hAnsi="Times New Roman"/>
      <w:sz w:val="18"/>
      <w:szCs w:val="18"/>
    </w:rPr>
  </w:style>
  <w:style w:type="character" w:customStyle="1" w:styleId="31">
    <w:name w:val="Footer Char"/>
    <w:basedOn w:val="19"/>
    <w:qFormat/>
    <w:uiPriority w:val="0"/>
    <w:rPr>
      <w:rFonts w:ascii="Times New Roman" w:hAnsi="Times New Roman"/>
      <w:sz w:val="18"/>
      <w:szCs w:val="18"/>
    </w:rPr>
  </w:style>
  <w:style w:type="character" w:customStyle="1" w:styleId="32">
    <w:name w:val="15"/>
    <w:basedOn w:val="19"/>
    <w:qFormat/>
    <w:uiPriority w:val="0"/>
    <w:rPr>
      <w:rFonts w:hint="default" w:ascii="Times New Roman" w:hAnsi="Times New Roman" w:cs="Times New Roman"/>
      <w:b/>
    </w:rPr>
  </w:style>
  <w:style w:type="paragraph" w:customStyle="1" w:styleId="33">
    <w:name w:val="TOC 标题2"/>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4">
    <w:name w:val="Body Text Indent"/>
    <w:basedOn w:val="1"/>
    <w:qFormat/>
    <w:uiPriority w:val="0"/>
    <w:pPr>
      <w:spacing w:after="120" w:afterLines="0"/>
      <w:ind w:left="200" w:leftChars="200"/>
    </w:pPr>
    <w:rPr>
      <w:rFonts w:ascii="仿宋_GB2312"/>
      <w:szCs w:val="32"/>
    </w:rPr>
  </w:style>
  <w:style w:type="paragraph" w:customStyle="1" w:styleId="35">
    <w:name w:val="Body Text First Indent 2"/>
    <w:basedOn w:val="34"/>
    <w:qFormat/>
    <w:uiPriority w:val="0"/>
    <w:pPr>
      <w:ind w:firstLine="420" w:firstLineChars="200"/>
    </w:pPr>
  </w:style>
  <w:style w:type="paragraph" w:customStyle="1" w:styleId="36">
    <w:name w:val="标题 5（有编号）（绿盟科技）"/>
    <w:next w:val="1"/>
    <w:qFormat/>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List Paragraph"/>
    <w:basedOn w:val="1"/>
    <w:qFormat/>
    <w:uiPriority w:val="0"/>
    <w:pPr>
      <w:ind w:firstLine="420" w:firstLineChars="200"/>
    </w:p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Default"/>
    <w:qFormat/>
    <w:uiPriority w:val="0"/>
    <w:pPr>
      <w:widowControl w:val="0"/>
      <w:autoSpaceDE w:val="0"/>
      <w:autoSpaceDN w:val="0"/>
      <w:adjustRightInd w:val="0"/>
    </w:pPr>
    <w:rPr>
      <w:rFonts w:ascii="仿宋" w:hAnsi="Calibri" w:eastAsia="仿宋" w:cs="仿宋"/>
      <w:color w:val="000000"/>
      <w:sz w:val="24"/>
      <w:szCs w:val="24"/>
    </w:rPr>
  </w:style>
  <w:style w:type="paragraph" w:customStyle="1" w:styleId="41">
    <w:name w:val="TOC 标题1"/>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2">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43">
    <w:name w:val="四号正文"/>
    <w:basedOn w:val="1"/>
    <w:qFormat/>
    <w:uiPriority w:val="0"/>
    <w:pPr>
      <w:spacing w:line="360" w:lineRule="auto"/>
    </w:pPr>
    <w:rPr>
      <w:rFonts w:ascii="??" w:hAnsi="??"/>
      <w:color w:val="000000"/>
      <w:kern w:val="0"/>
      <w:sz w:val="28"/>
      <w:szCs w:val="21"/>
      <w:lang w:val="zh-CN"/>
    </w:rPr>
  </w:style>
  <w:style w:type="paragraph" w:customStyle="1" w:styleId="44">
    <w:name w:val="常用样式（方正仿宋简）"/>
    <w:basedOn w:val="1"/>
    <w:qFormat/>
    <w:uiPriority w:val="0"/>
    <w:pPr>
      <w:spacing w:before="0" w:beforeAutospacing="0" w:after="0" w:afterAutospacing="0" w:line="560" w:lineRule="exact"/>
      <w:ind w:left="0" w:right="0" w:firstLine="640" w:firstLineChars="200"/>
      <w:jc w:val="left"/>
    </w:pPr>
    <w:rPr>
      <w:rFonts w:hint="default" w:ascii="Times New Roman" w:hAnsi="Times New Roman" w:eastAsia="方正仿宋简体" w:cs="宋体"/>
      <w:kern w:val="0"/>
      <w:sz w:val="32"/>
      <w:szCs w:val="32"/>
      <w:lang w:val="en-US" w:eastAsia="zh-CN" w:bidi="ar"/>
    </w:rPr>
  </w:style>
  <w:style w:type="character" w:customStyle="1" w:styleId="45">
    <w:name w:val="16"/>
    <w:basedOn w:val="1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12256</Words>
  <Characters>15566</Characters>
  <Lines>54</Lines>
  <Paragraphs>15</Paragraphs>
  <TotalTime>0</TotalTime>
  <ScaleCrop>false</ScaleCrop>
  <LinksUpToDate>false</LinksUpToDate>
  <CharactersWithSpaces>15593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2024-09-19T08:46:59Z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D8A32AB990944A658D2128B53D9A7735_13</vt:lpwstr>
  </property>
</Properties>
</file>