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1C18E3">
      <w:pPr>
        <w:spacing w:line="600" w:lineRule="exact"/>
        <w:jc w:val="left"/>
        <w:outlineLvl w:val="0"/>
        <w:rPr>
          <w:rFonts w:ascii="方正小标宋简体" w:hAnsi="宋体" w:eastAsia="方正小标宋简体"/>
          <w:szCs w:val="21"/>
        </w:rPr>
      </w:pPr>
      <w:bookmarkStart w:id="0" w:name="_Toc15306267"/>
    </w:p>
    <w:p w14:paraId="1444B7AF">
      <w:pPr>
        <w:pStyle w:val="2"/>
        <w:spacing w:before="93"/>
      </w:pPr>
    </w:p>
    <w:p w14:paraId="62E5EDAB">
      <w:pPr>
        <w:spacing w:line="600" w:lineRule="exact"/>
        <w:jc w:val="center"/>
        <w:outlineLvl w:val="0"/>
        <w:rPr>
          <w:rFonts w:ascii="方正小标宋简体" w:hAnsi="宋体" w:eastAsia="方正小标宋简体"/>
          <w:sz w:val="72"/>
          <w:szCs w:val="72"/>
        </w:rPr>
      </w:pPr>
    </w:p>
    <w:p w14:paraId="303EDA6A">
      <w:pPr>
        <w:spacing w:line="600" w:lineRule="exact"/>
        <w:jc w:val="center"/>
        <w:outlineLvl w:val="0"/>
        <w:rPr>
          <w:rFonts w:ascii="方正小标宋简体" w:hAnsi="宋体" w:eastAsia="方正小标宋简体"/>
          <w:sz w:val="72"/>
          <w:szCs w:val="72"/>
        </w:rPr>
      </w:pPr>
    </w:p>
    <w:p w14:paraId="74016F2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77193"/>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1271BF19">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96476"/>
      <w:bookmarkStart w:id="8" w:name="_Toc15378442"/>
      <w:bookmarkStart w:id="9" w:name="_Toc15377426"/>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阿坝州松潘县</w:t>
      </w:r>
    </w:p>
    <w:p w14:paraId="146C8F8A">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社会保险事务中心</w:t>
      </w:r>
    </w:p>
    <w:p w14:paraId="5F4C43B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69A5311A">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lang w:eastAsia="zh-CN"/>
        </w:rPr>
        <w:t>（</w:t>
      </w:r>
      <w:r>
        <w:rPr>
          <w:rFonts w:hint="eastAsia" w:ascii="方正小标宋简体" w:hAnsi="宋体" w:eastAsia="方正小标宋简体"/>
          <w:sz w:val="52"/>
          <w:szCs w:val="52"/>
        </w:rPr>
        <w:t>单位公开</w:t>
      </w:r>
      <w:r>
        <w:rPr>
          <w:rFonts w:hint="eastAsia" w:ascii="方正小标宋简体" w:hAnsi="宋体" w:eastAsia="方正小标宋简体"/>
          <w:sz w:val="52"/>
          <w:szCs w:val="52"/>
          <w:lang w:eastAsia="zh-CN"/>
        </w:rPr>
        <w:t>）</w:t>
      </w:r>
    </w:p>
    <w:p w14:paraId="139CDA7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B45C285">
      <w:pPr>
        <w:widowControl/>
        <w:jc w:val="center"/>
        <w:rPr>
          <w:rFonts w:ascii="黑体" w:hAnsi="黑体" w:eastAsia="黑体" w:cstheme="minorBidi"/>
          <w:sz w:val="28"/>
          <w:szCs w:val="28"/>
        </w:rPr>
      </w:pPr>
    </w:p>
    <w:p w14:paraId="32731883">
      <w:pPr>
        <w:pStyle w:val="12"/>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p>
    <w:p w14:paraId="30D63856"/>
    <w:p w14:paraId="532FB294">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7D04CAB1">
      <w:pPr>
        <w:pStyle w:val="14"/>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6C4384A6">
      <w:pPr>
        <w:pStyle w:val="14"/>
        <w:adjustRightInd w:val="0"/>
        <w:snapToGrid w:val="0"/>
        <w:spacing w:line="440" w:lineRule="exact"/>
        <w:jc w:val="left"/>
        <w:rPr>
          <w:rFonts w:hint="default"/>
          <w:lang w:val="en-US"/>
        </w:rPr>
      </w:pPr>
      <w:r>
        <w:rPr>
          <w:rFonts w:hint="eastAsia"/>
          <w:sz w:val="24"/>
        </w:rPr>
        <w:t>二、机构设置</w:t>
      </w:r>
      <w:r>
        <w:rPr>
          <w:rFonts w:hint="eastAsia"/>
          <w:sz w:val="24"/>
          <w:lang w:val="en-US" w:eastAsia="zh-CN"/>
        </w:rPr>
        <w:t>........................................................................................................5</w:t>
      </w:r>
    </w:p>
    <w:p w14:paraId="2967189F">
      <w:pPr>
        <w:pStyle w:val="12"/>
        <w:adjustRightInd w:val="0"/>
        <w:snapToGrid w:val="0"/>
        <w:spacing w:before="0" w:line="440" w:lineRule="exact"/>
        <w:jc w:val="left"/>
        <w:rPr>
          <w:sz w:val="24"/>
          <w:szCs w:val="24"/>
          <w:lang w:val="en-US"/>
        </w:rPr>
      </w:pPr>
      <w:r>
        <w:rPr>
          <w:rFonts w:hint="eastAsia"/>
          <w:sz w:val="24"/>
        </w:rPr>
        <w:t>第二部分 2023年度单位决算情况说明</w:t>
      </w:r>
      <w:r>
        <w:rPr>
          <w:rFonts w:hint="eastAsia"/>
          <w:sz w:val="24"/>
          <w:lang w:val="en-US" w:eastAsia="zh-CN"/>
        </w:rPr>
        <w:t>..................................9</w:t>
      </w:r>
    </w:p>
    <w:p w14:paraId="397D5264">
      <w:pPr>
        <w:pStyle w:val="14"/>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........................................................................9</w:t>
      </w:r>
    </w:p>
    <w:p w14:paraId="039BA03F">
      <w:pPr>
        <w:pStyle w:val="14"/>
        <w:adjustRightInd w:val="0"/>
        <w:snapToGrid w:val="0"/>
        <w:spacing w:line="440" w:lineRule="exact"/>
        <w:jc w:val="left"/>
        <w:rPr>
          <w:rFonts w:hint="eastAsia"/>
          <w:sz w:val="24"/>
          <w:lang w:val="en-US" w:eastAsia="zh-CN"/>
        </w:rPr>
      </w:pPr>
      <w:r>
        <w:rPr>
          <w:rFonts w:hint="eastAsia"/>
          <w:sz w:val="24"/>
        </w:rPr>
        <w:t>二、收入决算情况说明</w:t>
      </w:r>
      <w:r>
        <w:rPr>
          <w:rFonts w:hint="eastAsia"/>
          <w:sz w:val="24"/>
          <w:lang w:val="en-US" w:eastAsia="zh-CN"/>
        </w:rPr>
        <w:t>........................................................................................9</w:t>
      </w:r>
    </w:p>
    <w:p w14:paraId="5F2271F0">
      <w:pPr>
        <w:pStyle w:val="14"/>
        <w:adjustRightInd w:val="0"/>
        <w:snapToGrid w:val="0"/>
        <w:spacing w:line="440" w:lineRule="exact"/>
        <w:jc w:val="left"/>
        <w:rPr>
          <w:rFonts w:hint="eastAsia"/>
          <w:sz w:val="24"/>
          <w:lang w:val="en-US" w:eastAsia="zh-CN"/>
        </w:rPr>
      </w:pPr>
      <w:r>
        <w:rPr>
          <w:rFonts w:hint="eastAsia"/>
          <w:sz w:val="24"/>
        </w:rPr>
        <w:t>三、支出决算情况说明</w:t>
      </w:r>
      <w:r>
        <w:rPr>
          <w:rFonts w:hint="eastAsia"/>
          <w:sz w:val="24"/>
          <w:lang w:val="en-US" w:eastAsia="zh-CN"/>
        </w:rPr>
        <w:t>........................................................................................9</w:t>
      </w:r>
    </w:p>
    <w:p w14:paraId="46170316">
      <w:pPr>
        <w:pStyle w:val="14"/>
        <w:adjustRightInd w:val="0"/>
        <w:snapToGrid w:val="0"/>
        <w:spacing w:line="440" w:lineRule="exact"/>
        <w:jc w:val="left"/>
        <w:rPr>
          <w:rFonts w:ascii="仿宋" w:hAnsi="仿宋" w:eastAsia="仿宋" w:cstheme="minorBidi"/>
          <w:sz w:val="24"/>
          <w:lang w:val="en-US"/>
        </w:rPr>
      </w:pPr>
      <w:r>
        <w:rPr>
          <w:rFonts w:hint="eastAsia"/>
          <w:sz w:val="24"/>
        </w:rPr>
        <w:t>四、财政拨款收入支出决算总体情况说明</w:t>
      </w:r>
      <w:r>
        <w:rPr>
          <w:rFonts w:hint="eastAsia"/>
          <w:sz w:val="24"/>
          <w:lang w:val="en-US" w:eastAsia="zh-CN"/>
        </w:rPr>
        <w:t>......................................................10</w:t>
      </w:r>
    </w:p>
    <w:p w14:paraId="5FC2A529">
      <w:pPr>
        <w:pStyle w:val="14"/>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...............................................10</w:t>
      </w:r>
    </w:p>
    <w:p w14:paraId="09C2555D">
      <w:pPr>
        <w:pStyle w:val="14"/>
        <w:adjustRightInd w:val="0"/>
        <w:snapToGrid w:val="0"/>
        <w:spacing w:line="440" w:lineRule="exact"/>
        <w:jc w:val="left"/>
        <w:rPr>
          <w:rFonts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.......................................11</w:t>
      </w:r>
    </w:p>
    <w:p w14:paraId="7E91B13E">
      <w:pPr>
        <w:pStyle w:val="14"/>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...............................................12</w:t>
      </w:r>
    </w:p>
    <w:p w14:paraId="3423FB3D">
      <w:pPr>
        <w:pStyle w:val="14"/>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............................................................14</w:t>
      </w:r>
    </w:p>
    <w:p w14:paraId="704BDDA2">
      <w:pPr>
        <w:pStyle w:val="14"/>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sz w:val="24"/>
          <w:lang w:val="en-US" w:eastAsia="zh-CN"/>
        </w:rPr>
        <w:t>........................................................14</w:t>
      </w:r>
    </w:p>
    <w:p w14:paraId="0EBC42FE">
      <w:pPr>
        <w:pStyle w:val="14"/>
        <w:adjustRightInd w:val="0"/>
        <w:snapToGrid w:val="0"/>
        <w:spacing w:line="440" w:lineRule="exact"/>
        <w:jc w:val="left"/>
        <w:rPr>
          <w:rFonts w:hint="default"/>
          <w:sz w:val="24"/>
          <w:lang w:val="en-US"/>
        </w:rPr>
      </w:pPr>
      <w:r>
        <w:rPr>
          <w:rFonts w:hint="eastAsia"/>
          <w:sz w:val="24"/>
        </w:rPr>
        <w:t>十、其他重要事项的情况说明</w:t>
      </w:r>
      <w:r>
        <w:rPr>
          <w:rFonts w:hint="eastAsia"/>
          <w:sz w:val="24"/>
          <w:lang w:val="en-US" w:eastAsia="zh-CN"/>
        </w:rPr>
        <w:t>............................................................................14</w:t>
      </w:r>
    </w:p>
    <w:p w14:paraId="3441919F">
      <w:pPr>
        <w:pStyle w:val="12"/>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..................................................16</w:t>
      </w:r>
    </w:p>
    <w:p w14:paraId="73C10FB7">
      <w:pPr>
        <w:pStyle w:val="12"/>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sz w:val="24"/>
          <w:lang w:val="en-US" w:eastAsia="zh-CN"/>
        </w:rPr>
        <w:t>......................................................18</w:t>
      </w:r>
    </w:p>
    <w:p w14:paraId="5ABA4371">
      <w:pPr>
        <w:pStyle w:val="12"/>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......................................................27</w:t>
      </w:r>
    </w:p>
    <w:p w14:paraId="7852D0AA">
      <w:pPr>
        <w:pStyle w:val="14"/>
        <w:adjustRightInd w:val="0"/>
        <w:snapToGrid w:val="0"/>
        <w:spacing w:line="440" w:lineRule="exact"/>
        <w:jc w:val="left"/>
        <w:rPr>
          <w:rFonts w:hint="default"/>
          <w:sz w:val="24"/>
          <w:lang w:val="en-US"/>
        </w:rPr>
      </w:pPr>
      <w:r>
        <w:rPr>
          <w:rFonts w:hint="eastAsia"/>
          <w:sz w:val="24"/>
        </w:rPr>
        <w:t>一、收入支出决算总表</w:t>
      </w:r>
      <w:r>
        <w:rPr>
          <w:rFonts w:hint="eastAsia"/>
          <w:sz w:val="24"/>
          <w:lang w:val="en-US" w:eastAsia="zh-CN"/>
        </w:rPr>
        <w:t>.......................................................................................27</w:t>
      </w:r>
    </w:p>
    <w:p w14:paraId="3E4A26D1">
      <w:pPr>
        <w:pStyle w:val="14"/>
        <w:adjustRightInd w:val="0"/>
        <w:snapToGrid w:val="0"/>
        <w:spacing w:line="440" w:lineRule="exact"/>
        <w:jc w:val="left"/>
        <w:rPr>
          <w:rFonts w:hint="default"/>
          <w:sz w:val="24"/>
          <w:lang w:val="en-US"/>
        </w:rPr>
      </w:pPr>
      <w:r>
        <w:rPr>
          <w:rFonts w:hint="eastAsia"/>
          <w:sz w:val="24"/>
        </w:rPr>
        <w:t>二、收入决算表</w:t>
      </w:r>
      <w:r>
        <w:rPr>
          <w:rFonts w:hint="eastAsia"/>
          <w:sz w:val="24"/>
          <w:lang w:val="en-US" w:eastAsia="zh-CN"/>
        </w:rPr>
        <w:t>...................................................................................................27</w:t>
      </w:r>
    </w:p>
    <w:p w14:paraId="12068854">
      <w:pPr>
        <w:pStyle w:val="14"/>
        <w:adjustRightInd w:val="0"/>
        <w:snapToGrid w:val="0"/>
        <w:spacing w:line="440" w:lineRule="exact"/>
        <w:jc w:val="left"/>
        <w:rPr>
          <w:rFonts w:hint="default"/>
          <w:sz w:val="24"/>
          <w:lang w:val="en-US"/>
        </w:rPr>
      </w:pPr>
      <w:r>
        <w:rPr>
          <w:rFonts w:hint="eastAsia"/>
          <w:sz w:val="24"/>
        </w:rPr>
        <w:t>三、支出决算表</w:t>
      </w:r>
      <w:r>
        <w:rPr>
          <w:rFonts w:hint="eastAsia"/>
          <w:sz w:val="24"/>
          <w:lang w:val="en-US" w:eastAsia="zh-CN"/>
        </w:rPr>
        <w:t>...................................................................................................27</w:t>
      </w:r>
    </w:p>
    <w:p w14:paraId="02DC0D01">
      <w:pPr>
        <w:pStyle w:val="14"/>
        <w:adjustRightInd w:val="0"/>
        <w:snapToGrid w:val="0"/>
        <w:spacing w:line="440" w:lineRule="exact"/>
        <w:jc w:val="left"/>
        <w:rPr>
          <w:rFonts w:hint="default"/>
          <w:sz w:val="24"/>
          <w:lang w:val="en-US"/>
        </w:rPr>
      </w:pPr>
      <w:r>
        <w:rPr>
          <w:rFonts w:hint="eastAsia"/>
          <w:sz w:val="24"/>
        </w:rPr>
        <w:t>四、财政拨款收入支出决算总表</w:t>
      </w:r>
      <w:r>
        <w:rPr>
          <w:rFonts w:hint="eastAsia"/>
          <w:sz w:val="24"/>
          <w:lang w:val="en-US" w:eastAsia="zh-CN"/>
        </w:rPr>
        <w:t>.......................................................................27</w:t>
      </w:r>
    </w:p>
    <w:p w14:paraId="0184D4BD">
      <w:pPr>
        <w:pStyle w:val="14"/>
        <w:adjustRightInd w:val="0"/>
        <w:snapToGrid w:val="0"/>
        <w:spacing w:line="440" w:lineRule="exact"/>
        <w:jc w:val="left"/>
        <w:rPr>
          <w:rFonts w:hint="default"/>
          <w:sz w:val="24"/>
          <w:lang w:val="en-US"/>
        </w:rPr>
      </w:pPr>
      <w:r>
        <w:rPr>
          <w:rFonts w:hint="eastAsia"/>
          <w:sz w:val="24"/>
        </w:rPr>
        <w:t>五、财政拨款支出决算明细表</w:t>
      </w:r>
      <w:r>
        <w:rPr>
          <w:rFonts w:hint="eastAsia"/>
          <w:sz w:val="24"/>
          <w:lang w:val="en-US" w:eastAsia="zh-CN"/>
        </w:rPr>
        <w:t>...........................................................................27</w:t>
      </w:r>
    </w:p>
    <w:p w14:paraId="79ACBCF3">
      <w:pPr>
        <w:pStyle w:val="14"/>
        <w:adjustRightInd w:val="0"/>
        <w:snapToGrid w:val="0"/>
        <w:spacing w:line="440" w:lineRule="exact"/>
        <w:jc w:val="left"/>
        <w:rPr>
          <w:rFonts w:hint="default"/>
          <w:sz w:val="24"/>
          <w:lang w:val="en-US"/>
        </w:rPr>
      </w:pPr>
      <w:r>
        <w:rPr>
          <w:rFonts w:hint="eastAsia"/>
          <w:sz w:val="24"/>
        </w:rPr>
        <w:t>六、一般公共预算财政拨款支出决算表</w:t>
      </w:r>
      <w:r>
        <w:rPr>
          <w:rFonts w:hint="eastAsia"/>
          <w:sz w:val="24"/>
          <w:lang w:val="en-US" w:eastAsia="zh-CN"/>
        </w:rPr>
        <w:t>............................................................27</w:t>
      </w:r>
    </w:p>
    <w:p w14:paraId="77A11ECD">
      <w:pPr>
        <w:pStyle w:val="14"/>
        <w:adjustRightInd w:val="0"/>
        <w:snapToGrid w:val="0"/>
        <w:spacing w:line="440" w:lineRule="exact"/>
        <w:jc w:val="left"/>
        <w:rPr>
          <w:rFonts w:hint="default"/>
          <w:sz w:val="24"/>
          <w:lang w:val="en-US"/>
        </w:rPr>
      </w:pPr>
      <w:r>
        <w:rPr>
          <w:rFonts w:hint="eastAsia"/>
          <w:sz w:val="24"/>
        </w:rPr>
        <w:t>七、一般公共预算财政拨款支出决算明细表</w:t>
      </w:r>
      <w:r>
        <w:rPr>
          <w:rFonts w:hint="eastAsia"/>
          <w:sz w:val="24"/>
          <w:lang w:val="en-US" w:eastAsia="zh-CN"/>
        </w:rPr>
        <w:t>.....................................................27</w:t>
      </w:r>
    </w:p>
    <w:p w14:paraId="4304FB1F">
      <w:pPr>
        <w:pStyle w:val="14"/>
        <w:adjustRightInd w:val="0"/>
        <w:snapToGrid w:val="0"/>
        <w:spacing w:line="440" w:lineRule="exact"/>
        <w:jc w:val="left"/>
        <w:rPr>
          <w:rFonts w:hint="default"/>
          <w:sz w:val="24"/>
          <w:lang w:val="en-US"/>
        </w:rPr>
      </w:pPr>
      <w:r>
        <w:rPr>
          <w:rFonts w:hint="eastAsia"/>
          <w:sz w:val="24"/>
        </w:rPr>
        <w:t>八、一般公共预算财政拨款基本支出决算明细表</w:t>
      </w:r>
      <w:r>
        <w:rPr>
          <w:rFonts w:hint="eastAsia"/>
          <w:sz w:val="24"/>
          <w:lang w:val="en-US" w:eastAsia="zh-CN"/>
        </w:rPr>
        <w:t>............................................27</w:t>
      </w:r>
    </w:p>
    <w:p w14:paraId="20E49381">
      <w:pPr>
        <w:pStyle w:val="14"/>
        <w:adjustRightInd w:val="0"/>
        <w:snapToGrid w:val="0"/>
        <w:spacing w:line="440" w:lineRule="exact"/>
        <w:jc w:val="left"/>
        <w:rPr>
          <w:rFonts w:hint="default"/>
          <w:sz w:val="24"/>
          <w:lang w:val="en-US"/>
        </w:rPr>
      </w:pPr>
      <w:r>
        <w:rPr>
          <w:rFonts w:hint="eastAsia"/>
          <w:sz w:val="24"/>
        </w:rPr>
        <w:t>九、一般公共预算财政拨款项目支出决算表</w:t>
      </w:r>
      <w:r>
        <w:rPr>
          <w:rFonts w:hint="eastAsia"/>
          <w:sz w:val="24"/>
          <w:lang w:val="en-US" w:eastAsia="zh-CN"/>
        </w:rPr>
        <w:t>.....................................................27</w:t>
      </w:r>
    </w:p>
    <w:p w14:paraId="0315158B">
      <w:pPr>
        <w:pStyle w:val="14"/>
        <w:adjustRightInd w:val="0"/>
        <w:snapToGrid w:val="0"/>
        <w:spacing w:line="440" w:lineRule="exact"/>
        <w:jc w:val="left"/>
        <w:rPr>
          <w:rFonts w:hint="default"/>
          <w:sz w:val="24"/>
          <w:lang w:val="en-US"/>
        </w:rPr>
      </w:pPr>
      <w:r>
        <w:rPr>
          <w:rFonts w:hint="eastAsia"/>
          <w:sz w:val="24"/>
        </w:rPr>
        <w:t>十、政府性基金预算财政拨款收入支出决算表</w:t>
      </w:r>
      <w:r>
        <w:rPr>
          <w:rFonts w:hint="eastAsia"/>
          <w:sz w:val="24"/>
          <w:lang w:val="en-US" w:eastAsia="zh-CN"/>
        </w:rPr>
        <w:t>................................................27</w:t>
      </w:r>
    </w:p>
    <w:p w14:paraId="52A9ECE0">
      <w:pPr>
        <w:pStyle w:val="14"/>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hint="eastAsia"/>
          <w:sz w:val="24"/>
          <w:lang w:val="en-US" w:eastAsia="zh-CN"/>
        </w:rPr>
        <w:t>........................................27</w:t>
      </w:r>
    </w:p>
    <w:p w14:paraId="11730164">
      <w:pPr>
        <w:pStyle w:val="14"/>
        <w:adjustRightInd w:val="0"/>
        <w:snapToGrid w:val="0"/>
        <w:spacing w:line="440" w:lineRule="exact"/>
        <w:jc w:val="left"/>
        <w:rPr>
          <w:rFonts w:hint="default"/>
          <w:sz w:val="24"/>
          <w:lang w:val="en-US"/>
        </w:rPr>
      </w:pPr>
      <w:r>
        <w:rPr>
          <w:rFonts w:hint="eastAsia"/>
          <w:sz w:val="24"/>
        </w:rPr>
        <w:t>十二、国有资本经营预算财政拨款支出决算表</w:t>
      </w:r>
      <w:r>
        <w:rPr>
          <w:rFonts w:hint="eastAsia"/>
          <w:sz w:val="24"/>
          <w:lang w:val="en-US" w:eastAsia="zh-CN"/>
        </w:rPr>
        <w:t>.................................................27</w:t>
      </w:r>
    </w:p>
    <w:p w14:paraId="360F1339">
      <w:pPr>
        <w:pStyle w:val="14"/>
        <w:adjustRightInd w:val="0"/>
        <w:snapToGrid w:val="0"/>
        <w:spacing w:line="440" w:lineRule="exact"/>
        <w:jc w:val="left"/>
        <w:rPr>
          <w:sz w:val="24"/>
          <w:lang w:val="en-US"/>
        </w:rPr>
      </w:pPr>
      <w:r>
        <w:rPr>
          <w:rFonts w:hint="eastAsia"/>
          <w:sz w:val="24"/>
        </w:rPr>
        <w:t>十三、财政拨款“三公”经费支出决算表</w:t>
      </w:r>
      <w:r>
        <w:rPr>
          <w:rFonts w:hint="eastAsia"/>
          <w:sz w:val="24"/>
          <w:lang w:val="en-US" w:eastAsia="zh-CN"/>
        </w:rPr>
        <w:t>.........................................................27</w:t>
      </w:r>
    </w:p>
    <w:p w14:paraId="0A7E3FDE">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4775BA5">
      <w:pPr>
        <w:pStyle w:val="3"/>
        <w:jc w:val="center"/>
        <w:rPr>
          <w:rStyle w:val="21"/>
          <w:rFonts w:ascii="黑体" w:hAnsi="黑体" w:eastAsia="黑体"/>
          <w:b/>
          <w:bCs w:val="0"/>
        </w:rPr>
      </w:pPr>
      <w:r>
        <w:rPr>
          <w:rFonts w:hint="eastAsia" w:ascii="黑体" w:hAnsi="黑体" w:eastAsia="黑体"/>
          <w:b w:val="0"/>
        </w:rPr>
        <w:t>第一部分 单位</w:t>
      </w:r>
      <w:r>
        <w:rPr>
          <w:rStyle w:val="21"/>
          <w:rFonts w:hint="eastAsia" w:ascii="黑体" w:hAnsi="黑体" w:eastAsia="黑体"/>
          <w:b w:val="0"/>
          <w:bCs w:val="0"/>
        </w:rPr>
        <w:t>概况</w:t>
      </w:r>
      <w:bookmarkEnd w:id="12"/>
      <w:bookmarkEnd w:id="13"/>
    </w:p>
    <w:p w14:paraId="0C8DF421">
      <w:pPr>
        <w:widowControl/>
        <w:jc w:val="left"/>
        <w:rPr>
          <w:rFonts w:ascii="黑体" w:eastAsia="黑体"/>
          <w:sz w:val="32"/>
          <w:szCs w:val="32"/>
        </w:rPr>
      </w:pPr>
    </w:p>
    <w:p w14:paraId="69EB5433">
      <w:pPr>
        <w:pStyle w:val="4"/>
        <w:numPr>
          <w:ilvl w:val="0"/>
          <w:numId w:val="1"/>
        </w:numPr>
        <w:rPr>
          <w:rStyle w:val="22"/>
          <w:rFonts w:ascii="黑体" w:hAnsi="黑体" w:eastAsia="黑体"/>
          <w:b w:val="0"/>
          <w:bCs w:val="0"/>
        </w:rPr>
      </w:pPr>
      <w:bookmarkStart w:id="14" w:name="_Toc15396600"/>
      <w:bookmarkStart w:id="15" w:name="_Toc15377197"/>
      <w:r>
        <w:rPr>
          <w:rStyle w:val="22"/>
          <w:rFonts w:hint="eastAsia" w:ascii="黑体" w:hAnsi="黑体" w:eastAsia="黑体"/>
          <w:b w:val="0"/>
          <w:bCs w:val="0"/>
        </w:rPr>
        <w:t>主要职责</w:t>
      </w:r>
    </w:p>
    <w:p w14:paraId="5FE20235">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主要职能。宣传、贯彻、执行党和国家有关城镇企业职工基本养老、工伤保险的方针、政策、法律法规和上级指示精神；经办城镇各类企业职工及个体劳动者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建立、管理参保单位、人员基本资料、数据、档案；做好离退休人员管理服务工作；管理、经办各类企事业单位职工工伤、生育保险业务。即：办理参加工伤保险、生育保险登记，受理缴费申报，核定缴费基数；负责审核按时拨付工伤保险待遇；建立、管理参保单位基本资料、数据、档案。</w:t>
      </w:r>
    </w:p>
    <w:p w14:paraId="47A49862">
      <w:pPr>
        <w:pStyle w:val="15"/>
        <w:keepNext w:val="0"/>
        <w:keepLines w:val="0"/>
        <w:widowControl/>
        <w:suppressLineNumbers w:val="0"/>
        <w:snapToGrid w:val="0"/>
        <w:spacing w:before="0" w:beforeAutospacing="0" w:after="0" w:afterAutospacing="1"/>
        <w:ind w:left="0" w:right="0" w:firstLine="320" w:firstLineChars="1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fill="FFFFFF"/>
          <w:lang w:val="en-US" w:eastAsia="zh-CN" w:bidi="ar"/>
        </w:rPr>
        <w:t>2．本单位本年度纳入本套决算编制范围的独立编制机构数共1个，比上年增加0个；独立核算机构数共1个，比上年增加0个</w:t>
      </w:r>
      <w:r>
        <w:rPr>
          <w:rStyle w:val="31"/>
          <w:rFonts w:hint="eastAsia" w:ascii="仿宋_GB2312" w:hAnsi="仿宋_GB2312" w:eastAsia="仿宋_GB2312" w:cs="仿宋_GB2312"/>
          <w:b/>
          <w:color w:val="auto"/>
          <w:sz w:val="32"/>
          <w:szCs w:val="32"/>
          <w:shd w:val="clear" w:fill="FFFFFF"/>
          <w:lang w:val="en-US" w:eastAsia="zh-CN" w:bidi="ar"/>
        </w:rPr>
        <w:t>。</w:t>
      </w:r>
    </w:p>
    <w:p w14:paraId="12A24A06">
      <w:pPr>
        <w:pStyle w:val="15"/>
        <w:keepNext w:val="0"/>
        <w:keepLines w:val="0"/>
        <w:widowControl/>
        <w:suppressLineNumbers w:val="0"/>
        <w:snapToGrid w:val="0"/>
        <w:spacing w:before="0" w:beforeAutospacing="0" w:after="0" w:afterAutospacing="1"/>
        <w:ind w:left="0" w:right="0" w:firstLine="320" w:firstLineChars="1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fill="FFFFFF"/>
          <w:lang w:val="en-US" w:eastAsia="zh-CN" w:bidi="ar"/>
        </w:rPr>
        <w:t xml:space="preserve"> 3． 本单位本年度年末实有人数为11人，比上年增加1人；年末实有离退休人数为2人，比上年增加0人。 </w:t>
      </w:r>
    </w:p>
    <w:p w14:paraId="013184D6"/>
    <w:p w14:paraId="6805F9F0">
      <w:pPr>
        <w:pStyle w:val="4"/>
        <w:rPr>
          <w:rFonts w:ascii="黑体" w:hAnsi="黑体" w:eastAsia="黑体"/>
          <w:b w:val="0"/>
        </w:rPr>
      </w:pPr>
      <w:r>
        <w:rPr>
          <w:rFonts w:hint="eastAsia" w:ascii="黑体" w:hAnsi="黑体" w:eastAsia="黑体"/>
          <w:b w:val="0"/>
        </w:rPr>
        <w:t>二、机构设置</w:t>
      </w:r>
    </w:p>
    <w:bookmarkEnd w:id="14"/>
    <w:bookmarkEnd w:id="15"/>
    <w:p w14:paraId="022E71A6">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松潘县</w:t>
      </w:r>
      <w:r>
        <w:rPr>
          <w:rFonts w:hint="eastAsia" w:ascii="仿宋" w:hAnsi="仿宋" w:eastAsia="仿宋" w:cs="仿宋"/>
          <w:sz w:val="32"/>
          <w:szCs w:val="32"/>
          <w:lang w:eastAsia="zh-CN"/>
        </w:rPr>
        <w:t>社会保险事务中心</w:t>
      </w:r>
      <w:r>
        <w:rPr>
          <w:rFonts w:hint="eastAsia" w:ascii="仿宋" w:hAnsi="仿宋" w:eastAsia="仿宋" w:cs="仿宋"/>
          <w:sz w:val="32"/>
          <w:szCs w:val="32"/>
        </w:rPr>
        <w:t>设</w:t>
      </w:r>
      <w:r>
        <w:rPr>
          <w:rFonts w:hint="eastAsia" w:ascii="仿宋" w:hAnsi="仿宋" w:eastAsia="仿宋" w:cs="仿宋"/>
          <w:sz w:val="32"/>
          <w:szCs w:val="32"/>
          <w:lang w:val="en-US" w:eastAsia="zh-CN"/>
        </w:rPr>
        <w:t>5</w:t>
      </w:r>
      <w:r>
        <w:rPr>
          <w:rFonts w:hint="eastAsia" w:ascii="仿宋" w:hAnsi="仿宋" w:eastAsia="仿宋" w:cs="仿宋"/>
          <w:sz w:val="32"/>
          <w:szCs w:val="32"/>
        </w:rPr>
        <w:t>个内设机构：</w:t>
      </w:r>
    </w:p>
    <w:p w14:paraId="76EEEA2F">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（一）办公室</w:t>
      </w:r>
    </w:p>
    <w:p w14:paraId="1BC5B274">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1、负责局机关日常事务，承担综合性协调工作；</w:t>
      </w:r>
    </w:p>
    <w:p w14:paraId="66BD4573">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2、负责领导重要批示和会议决定事项的督办工作负责组织召开会议及文秘、保密、信息、信访、宣传和接待联络工作；拟定单位工作制度、工作计划、工作总结并负责监督检查；</w:t>
      </w:r>
    </w:p>
    <w:p w14:paraId="25C7DA62">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3、负责局机关文印、收发、房产、办公设施、车辆等管理及保障工作；</w:t>
      </w:r>
    </w:p>
    <w:p w14:paraId="2C9EF2D6">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4、负责承办局机关党风廉政建设、精神文明建设、干部考核工作；</w:t>
      </w:r>
    </w:p>
    <w:p w14:paraId="40237A50">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财务股</w:t>
      </w:r>
    </w:p>
    <w:p w14:paraId="7046C3C3">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1、认真贯彻执行国家有关社会保险基金财务管理</w:t>
      </w:r>
      <w:r>
        <w:rPr>
          <w:rFonts w:hint="eastAsia" w:ascii="仿宋" w:hAnsi="仿宋" w:eastAsia="仿宋" w:cs="仿宋"/>
          <w:sz w:val="32"/>
          <w:szCs w:val="32"/>
          <w:lang w:eastAsia="zh-CN"/>
        </w:rPr>
        <w:t>法律法规</w:t>
      </w:r>
      <w:r>
        <w:rPr>
          <w:rFonts w:hint="eastAsia" w:ascii="仿宋" w:hAnsi="仿宋" w:eastAsia="仿宋" w:cs="仿宋"/>
          <w:sz w:val="32"/>
          <w:szCs w:val="32"/>
        </w:rPr>
        <w:t>；</w:t>
      </w:r>
    </w:p>
    <w:p w14:paraId="01E9A1C2">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2、负责各项社会保险基金财务收入、支出预算决算；负责社会保险基金的拨付计划执行情况以及财务分析，提出改进意见；负责报告社保基金收支、结存情况；</w:t>
      </w:r>
    </w:p>
    <w:p w14:paraId="76D88E1A">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3、负责各项社会保险基金待遇审核支付工作；</w:t>
      </w:r>
    </w:p>
    <w:p w14:paraId="49DBABCC">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4、负责各项社会保险基金的日常</w:t>
      </w:r>
      <w:r>
        <w:rPr>
          <w:rFonts w:hint="eastAsia" w:ascii="仿宋" w:hAnsi="仿宋" w:eastAsia="仿宋" w:cs="仿宋"/>
          <w:sz w:val="32"/>
          <w:szCs w:val="32"/>
          <w:lang w:eastAsia="zh-CN"/>
        </w:rPr>
        <w:t>账务</w:t>
      </w:r>
      <w:r>
        <w:rPr>
          <w:rFonts w:hint="eastAsia" w:ascii="仿宋" w:hAnsi="仿宋" w:eastAsia="仿宋" w:cs="仿宋"/>
          <w:sz w:val="32"/>
          <w:szCs w:val="32"/>
        </w:rPr>
        <w:t>处理；负责票据的领用、核销、保管工作和财务资料装订整理、归档工作；</w:t>
      </w:r>
    </w:p>
    <w:p w14:paraId="693D50BC">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5、负责实施社会保险基金收支两条线的财政专户管理制度，准确及时反映各项社会保险基金收支运营情况、合理、规范、安全使用基金，按期上解基金；</w:t>
      </w:r>
    </w:p>
    <w:p w14:paraId="61BB0A65">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6、负责社会保险基金会计资料的收集、整理、编制，上报社会保险基金会计报表；</w:t>
      </w:r>
    </w:p>
    <w:p w14:paraId="24471EAD">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7、负责对各项社会保险基金运行情况提供分析、研究和预测，提出调整建议和实施方案；</w:t>
      </w:r>
    </w:p>
    <w:p w14:paraId="6F09E121">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统筹股</w:t>
      </w:r>
    </w:p>
    <w:p w14:paraId="0F2AC1FB">
      <w:pPr>
        <w:ind w:firstLine="800" w:firstLineChars="250"/>
        <w:rPr>
          <w:rFonts w:hint="eastAsia" w:ascii="仿宋" w:hAnsi="仿宋" w:eastAsia="仿宋" w:cs="仿宋"/>
          <w:sz w:val="32"/>
          <w:szCs w:val="32"/>
        </w:rPr>
      </w:pPr>
      <w:r>
        <w:rPr>
          <w:rFonts w:hint="eastAsia" w:ascii="仿宋" w:hAnsi="仿宋" w:eastAsia="仿宋" w:cs="仿宋"/>
          <w:sz w:val="32"/>
          <w:szCs w:val="32"/>
        </w:rPr>
        <w:t>1负责宣传贯彻执行国家、省、州有关养老保险征收管理的各项</w:t>
      </w:r>
      <w:r>
        <w:rPr>
          <w:rFonts w:hint="eastAsia" w:ascii="仿宋" w:hAnsi="仿宋" w:eastAsia="仿宋" w:cs="仿宋"/>
          <w:sz w:val="32"/>
          <w:szCs w:val="32"/>
          <w:lang w:eastAsia="zh-CN"/>
        </w:rPr>
        <w:t>法律法规</w:t>
      </w:r>
      <w:r>
        <w:rPr>
          <w:rFonts w:hint="eastAsia" w:ascii="仿宋" w:hAnsi="仿宋" w:eastAsia="仿宋" w:cs="仿宋"/>
          <w:sz w:val="32"/>
          <w:szCs w:val="32"/>
        </w:rPr>
        <w:t>和政策；</w:t>
      </w:r>
    </w:p>
    <w:p w14:paraId="20CC9FF9">
      <w:pPr>
        <w:ind w:firstLine="800" w:firstLineChars="250"/>
        <w:rPr>
          <w:rFonts w:hint="eastAsia" w:ascii="仿宋" w:hAnsi="仿宋" w:eastAsia="仿宋" w:cs="仿宋"/>
          <w:sz w:val="32"/>
          <w:szCs w:val="32"/>
        </w:rPr>
      </w:pPr>
      <w:r>
        <w:rPr>
          <w:rFonts w:hint="eastAsia" w:ascii="仿宋" w:hAnsi="仿宋" w:eastAsia="仿宋" w:cs="仿宋"/>
          <w:sz w:val="32"/>
          <w:szCs w:val="32"/>
        </w:rPr>
        <w:t>2、负责组织本科室业务操作中的各项规章制度、目标管理方案及全年工作计划的拟定，针对存在的问题及时改进工作；</w:t>
      </w:r>
    </w:p>
    <w:p w14:paraId="61DEC246">
      <w:pPr>
        <w:ind w:firstLine="800" w:firstLineChars="250"/>
        <w:rPr>
          <w:rFonts w:hint="eastAsia" w:ascii="仿宋" w:hAnsi="仿宋" w:eastAsia="仿宋" w:cs="仿宋"/>
          <w:sz w:val="32"/>
          <w:szCs w:val="32"/>
        </w:rPr>
      </w:pPr>
      <w:r>
        <w:rPr>
          <w:rFonts w:hint="eastAsia" w:ascii="仿宋" w:hAnsi="仿宋" w:eastAsia="仿宋" w:cs="仿宋"/>
          <w:sz w:val="32"/>
          <w:szCs w:val="32"/>
        </w:rPr>
        <w:t>3、负责办理各类用人单位、个体户、灵活就业人员参加养老保险登记、审核、变更和注销登记业务；负责养老保险登记证的核发及养老保险年检工作；</w:t>
      </w:r>
    </w:p>
    <w:p w14:paraId="3A4F9CFC">
      <w:pPr>
        <w:ind w:firstLine="800" w:firstLineChars="250"/>
        <w:rPr>
          <w:rFonts w:hint="eastAsia" w:ascii="仿宋" w:hAnsi="仿宋" w:eastAsia="仿宋" w:cs="仿宋"/>
          <w:sz w:val="32"/>
          <w:szCs w:val="32"/>
        </w:rPr>
      </w:pPr>
      <w:r>
        <w:rPr>
          <w:rFonts w:hint="eastAsia" w:ascii="仿宋" w:hAnsi="仿宋" w:eastAsia="仿宋" w:cs="仿宋"/>
          <w:sz w:val="32"/>
          <w:szCs w:val="32"/>
        </w:rPr>
        <w:t>4、负责参保单位、个体户和灵活就业人员参保档案的建立和归档管理；</w:t>
      </w:r>
    </w:p>
    <w:p w14:paraId="3EE42DEE">
      <w:pPr>
        <w:ind w:firstLine="800" w:firstLineChars="250"/>
        <w:rPr>
          <w:rFonts w:hint="eastAsia" w:ascii="仿宋" w:hAnsi="仿宋" w:eastAsia="仿宋" w:cs="仿宋"/>
          <w:sz w:val="32"/>
          <w:szCs w:val="32"/>
        </w:rPr>
      </w:pPr>
      <w:r>
        <w:rPr>
          <w:rFonts w:hint="eastAsia" w:ascii="仿宋" w:hAnsi="仿宋" w:eastAsia="仿宋" w:cs="仿宋"/>
          <w:sz w:val="32"/>
          <w:szCs w:val="32"/>
        </w:rPr>
        <w:t>5、负责办理参保单位、个体灵活就业人员养老保险费申报审核、缴费结算和数据录入业务；负责养老保险费缓缴办理及欠缴社会保险费单位及个人的催缴工作；</w:t>
      </w:r>
    </w:p>
    <w:p w14:paraId="56A499A7">
      <w:pPr>
        <w:ind w:firstLine="800" w:firstLineChars="250"/>
        <w:rPr>
          <w:rFonts w:hint="eastAsia" w:ascii="仿宋" w:hAnsi="仿宋" w:eastAsia="仿宋" w:cs="仿宋"/>
          <w:sz w:val="32"/>
          <w:szCs w:val="32"/>
        </w:rPr>
      </w:pPr>
      <w:r>
        <w:rPr>
          <w:rFonts w:hint="eastAsia" w:ascii="仿宋" w:hAnsi="仿宋" w:eastAsia="仿宋" w:cs="仿宋"/>
          <w:sz w:val="32"/>
          <w:szCs w:val="32"/>
        </w:rPr>
        <w:t>6、负责参保人员养老保险关系建立、转移、中断、接续、终止的经</w:t>
      </w:r>
      <w:r>
        <w:rPr>
          <w:rFonts w:hint="eastAsia" w:ascii="仿宋" w:hAnsi="仿宋" w:eastAsia="仿宋" w:cs="仿宋"/>
          <w:sz w:val="32"/>
          <w:szCs w:val="32"/>
          <w:lang w:eastAsia="zh-CN"/>
        </w:rPr>
        <w:t>办</w:t>
      </w:r>
      <w:r>
        <w:rPr>
          <w:rFonts w:hint="eastAsia" w:ascii="仿宋" w:hAnsi="仿宋" w:eastAsia="仿宋" w:cs="仿宋"/>
          <w:sz w:val="32"/>
          <w:szCs w:val="32"/>
        </w:rPr>
        <w:t>业务；</w:t>
      </w:r>
    </w:p>
    <w:p w14:paraId="4B1C4863">
      <w:pPr>
        <w:ind w:firstLine="800" w:firstLineChars="250"/>
        <w:rPr>
          <w:rFonts w:hint="eastAsia" w:ascii="仿宋" w:hAnsi="仿宋" w:eastAsia="仿宋" w:cs="仿宋"/>
          <w:sz w:val="32"/>
          <w:szCs w:val="32"/>
        </w:rPr>
      </w:pPr>
      <w:r>
        <w:rPr>
          <w:rFonts w:hint="eastAsia" w:ascii="仿宋" w:hAnsi="仿宋" w:eastAsia="仿宋" w:cs="仿宋"/>
          <w:sz w:val="32"/>
          <w:szCs w:val="32"/>
        </w:rPr>
        <w:t>7、负责养老保险</w:t>
      </w:r>
      <w:r>
        <w:rPr>
          <w:rFonts w:hint="eastAsia" w:ascii="仿宋" w:hAnsi="仿宋" w:eastAsia="仿宋" w:cs="仿宋"/>
          <w:sz w:val="32"/>
          <w:szCs w:val="32"/>
          <w:lang w:eastAsia="zh-CN"/>
        </w:rPr>
        <w:t>个人账户的</w:t>
      </w:r>
      <w:r>
        <w:rPr>
          <w:rFonts w:hint="eastAsia" w:ascii="仿宋" w:hAnsi="仿宋" w:eastAsia="仿宋" w:cs="仿宋"/>
          <w:sz w:val="32"/>
          <w:szCs w:val="32"/>
        </w:rPr>
        <w:t>建立、变更和管理工作；</w:t>
      </w:r>
    </w:p>
    <w:p w14:paraId="1CB94F6C">
      <w:pPr>
        <w:ind w:firstLine="800" w:firstLineChars="250"/>
        <w:rPr>
          <w:rFonts w:hint="eastAsia" w:ascii="仿宋" w:hAnsi="仿宋" w:eastAsia="仿宋" w:cs="仿宋"/>
          <w:sz w:val="32"/>
          <w:szCs w:val="32"/>
        </w:rPr>
      </w:pPr>
      <w:r>
        <w:rPr>
          <w:rFonts w:hint="eastAsia" w:ascii="仿宋" w:hAnsi="仿宋" w:eastAsia="仿宋" w:cs="仿宋"/>
          <w:sz w:val="32"/>
          <w:szCs w:val="32"/>
        </w:rPr>
        <w:t>8、负责企业养老保险参保人员数据的录入和管理工作；</w:t>
      </w:r>
    </w:p>
    <w:p w14:paraId="1ACE1263">
      <w:pPr>
        <w:ind w:firstLine="800" w:firstLineChars="250"/>
        <w:rPr>
          <w:rFonts w:hint="eastAsia" w:ascii="仿宋" w:hAnsi="仿宋" w:eastAsia="仿宋" w:cs="仿宋"/>
          <w:sz w:val="32"/>
          <w:szCs w:val="32"/>
        </w:rPr>
      </w:pPr>
      <w:r>
        <w:rPr>
          <w:rFonts w:hint="eastAsia" w:ascii="仿宋" w:hAnsi="仿宋" w:eastAsia="仿宋" w:cs="仿宋"/>
          <w:sz w:val="32"/>
          <w:szCs w:val="32"/>
        </w:rPr>
        <w:t>9、负责“金保”工程应用程序系统运行、维护和管理等工作。</w:t>
      </w:r>
    </w:p>
    <w:p w14:paraId="0767264A">
      <w:pPr>
        <w:ind w:firstLine="800" w:firstLineChars="250"/>
        <w:rPr>
          <w:rFonts w:hint="eastAsia" w:ascii="仿宋" w:hAnsi="仿宋" w:eastAsia="仿宋" w:cs="仿宋"/>
          <w:sz w:val="32"/>
          <w:szCs w:val="32"/>
        </w:rPr>
      </w:pPr>
      <w:r>
        <w:rPr>
          <w:rFonts w:hint="eastAsia" w:ascii="仿宋" w:hAnsi="仿宋" w:eastAsia="仿宋" w:cs="仿宋"/>
          <w:sz w:val="32"/>
          <w:szCs w:val="32"/>
        </w:rPr>
        <w:t>10、负责编制、报送本股室应上报的各类报表；</w:t>
      </w:r>
    </w:p>
    <w:p w14:paraId="16E8D634">
      <w:pPr>
        <w:ind w:firstLine="800" w:firstLineChars="250"/>
        <w:rPr>
          <w:rFonts w:hint="eastAsia" w:ascii="仿宋" w:hAnsi="仿宋" w:eastAsia="仿宋" w:cs="仿宋"/>
          <w:sz w:val="32"/>
          <w:szCs w:val="32"/>
        </w:rPr>
      </w:pPr>
      <w:r>
        <w:rPr>
          <w:rFonts w:hint="eastAsia" w:ascii="仿宋" w:hAnsi="仿宋" w:eastAsia="仿宋" w:cs="仿宋"/>
          <w:sz w:val="32"/>
          <w:szCs w:val="32"/>
        </w:rPr>
        <w:t>11、承办企业职工养老保险信息网络的规划、建设、管理、使用、维护与升级等工作；</w:t>
      </w:r>
    </w:p>
    <w:p w14:paraId="1C301C19">
      <w:pPr>
        <w:spacing w:line="578" w:lineRule="exact"/>
        <w:ind w:firstLine="640" w:firstLineChars="200"/>
        <w:rPr>
          <w:rFonts w:hint="eastAsia" w:ascii="仿宋" w:hAnsi="仿宋" w:eastAsia="仿宋" w:cs="仿宋"/>
          <w:sz w:val="32"/>
          <w:szCs w:val="32"/>
        </w:rPr>
      </w:pPr>
      <w:bookmarkStart w:id="16" w:name="_Toc15377204"/>
      <w:bookmarkStart w:id="17" w:name="_Toc15396602"/>
      <w:r>
        <w:rPr>
          <w:rFonts w:hint="eastAsia" w:ascii="仿宋" w:hAnsi="仿宋" w:eastAsia="仿宋" w:cs="仿宋"/>
          <w:sz w:val="32"/>
          <w:szCs w:val="32"/>
        </w:rPr>
        <w:t>（四）待遇股</w:t>
      </w:r>
    </w:p>
    <w:p w14:paraId="3E948295">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国家、省、州有关退休管理、养老待遇等社会保险政策的宣传和政策解释；按月核算符合退休条件人员的养老金，做到准确无误；按月提供退休人员养老金支付花名册、汇总表，做到准确、及时、足额调整和发放，同时负责退休人员的日常管理。核算退休人员死亡丧葬费、抚恤金</w:t>
      </w:r>
      <w:r>
        <w:rPr>
          <w:rFonts w:hint="eastAsia" w:ascii="仿宋" w:hAnsi="仿宋" w:eastAsia="仿宋" w:cs="仿宋"/>
          <w:sz w:val="32"/>
          <w:szCs w:val="32"/>
          <w:lang w:eastAsia="zh-CN"/>
        </w:rPr>
        <w:t>和个人账户</w:t>
      </w:r>
      <w:r>
        <w:rPr>
          <w:rFonts w:hint="eastAsia" w:ascii="仿宋" w:hAnsi="仿宋" w:eastAsia="仿宋" w:cs="仿宋"/>
          <w:sz w:val="32"/>
          <w:szCs w:val="32"/>
        </w:rPr>
        <w:t>余额，做到支付有据，支付准确无误；负责工伤保险待遇的计算、审核及调整工作；防范虚报冒领工伤保险待遇，办理工伤保险待遇发放过程中的来信、来访工作，为待遇领取对象提供查询服务。负责企业在职人员企业养老保险终止待遇核定（养老保险死亡待遇申领），办理在职人员死亡一次性待遇申领工作。</w:t>
      </w:r>
    </w:p>
    <w:p w14:paraId="4CDA03B8">
      <w:pPr>
        <w:numPr>
          <w:ilvl w:val="0"/>
          <w:numId w:val="2"/>
        </w:numPr>
        <w:spacing w:line="578" w:lineRule="exact"/>
        <w:ind w:firstLine="640" w:firstLineChars="200"/>
        <w:rPr>
          <w:rFonts w:hint="default" w:ascii="仿宋" w:hAnsi="仿宋" w:eastAsia="仿宋" w:cs="仿宋"/>
          <w:sz w:val="32"/>
          <w:szCs w:val="32"/>
        </w:rPr>
      </w:pPr>
      <w:r>
        <w:rPr>
          <w:rFonts w:hint="default" w:ascii="仿宋" w:hAnsi="仿宋" w:eastAsia="仿宋" w:cs="仿宋"/>
          <w:sz w:val="32"/>
          <w:szCs w:val="32"/>
        </w:rPr>
        <w:t>稽核股</w:t>
      </w:r>
    </w:p>
    <w:p w14:paraId="70019A31">
      <w:pPr>
        <w:numPr>
          <w:ilvl w:val="0"/>
          <w:numId w:val="0"/>
        </w:num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本局基金稽核工作，拟定年度稽核计划、报送稽核工作总结；负责稽核参保单位参保和缴纳社会保险费的情况（包括参保人员和缴费基数），是否存在瞒报、少报、漏报情况，缴费单位和缴费个人申报的社会保险缴费人数、缴费基数是否符合国家规定；是否按时足额缴纳社会保险费；负责稽核企业欠缴社会保险费及其缴费能力的情况；负责稽核单位欠费补缴和灵活就业人员补缴的情况；对虚报、冒领社会保险待遇现象进行监督检查，并对冒领情况实施追缴；国家规定的或者社会保障</w:t>
      </w:r>
    </w:p>
    <w:p w14:paraId="3CB2F5B1">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行政部门交办的其他稽核事项。</w:t>
      </w:r>
    </w:p>
    <w:p w14:paraId="33C7DC61">
      <w:pPr>
        <w:pStyle w:val="3"/>
        <w:ind w:right="440"/>
        <w:jc w:val="both"/>
        <w:rPr>
          <w:rFonts w:hint="eastAsia" w:ascii="黑体" w:hAnsi="黑体" w:eastAsia="黑体"/>
          <w:b w:val="0"/>
        </w:rPr>
      </w:pPr>
    </w:p>
    <w:p w14:paraId="61D273D1">
      <w:pPr>
        <w:pStyle w:val="3"/>
        <w:ind w:right="440"/>
        <w:jc w:val="both"/>
        <w:rPr>
          <w:rFonts w:hint="eastAsia" w:ascii="黑体" w:hAnsi="黑体" w:eastAsia="黑体"/>
          <w:b w:val="0"/>
        </w:rPr>
      </w:pPr>
    </w:p>
    <w:p w14:paraId="0677D210">
      <w:pPr>
        <w:pStyle w:val="3"/>
        <w:ind w:right="440"/>
        <w:jc w:val="both"/>
        <w:rPr>
          <w:rFonts w:hint="eastAsia" w:ascii="黑体" w:hAnsi="黑体" w:eastAsia="黑体"/>
          <w:b w:val="0"/>
        </w:rPr>
      </w:pPr>
    </w:p>
    <w:p w14:paraId="4FADFC7F">
      <w:pPr>
        <w:pStyle w:val="3"/>
        <w:ind w:right="440"/>
        <w:jc w:val="both"/>
        <w:rPr>
          <w:rFonts w:hint="eastAsia" w:ascii="黑体" w:hAnsi="黑体" w:eastAsia="黑体"/>
          <w:b w:val="0"/>
        </w:rPr>
      </w:pPr>
    </w:p>
    <w:p w14:paraId="2A0FECBD">
      <w:pPr>
        <w:pStyle w:val="3"/>
        <w:ind w:right="440"/>
        <w:jc w:val="both"/>
        <w:rPr>
          <w:rFonts w:hint="eastAsia" w:ascii="黑体" w:hAnsi="黑体" w:eastAsia="黑体"/>
          <w:b w:val="0"/>
        </w:rPr>
      </w:pPr>
    </w:p>
    <w:p w14:paraId="5A2CD139">
      <w:pPr>
        <w:pStyle w:val="3"/>
        <w:ind w:right="440"/>
        <w:jc w:val="both"/>
        <w:rPr>
          <w:rFonts w:hint="eastAsia" w:ascii="黑体" w:hAnsi="黑体" w:eastAsia="黑体"/>
          <w:b w:val="0"/>
        </w:rPr>
      </w:pPr>
    </w:p>
    <w:bookmarkEnd w:id="16"/>
    <w:bookmarkEnd w:id="17"/>
    <w:p w14:paraId="4D039389"/>
    <w:p w14:paraId="75FC1977">
      <w:pPr>
        <w:pStyle w:val="2"/>
      </w:pPr>
    </w:p>
    <w:p w14:paraId="33B37F84">
      <w:pPr>
        <w:pStyle w:val="2"/>
      </w:pPr>
    </w:p>
    <w:p w14:paraId="53CFD565">
      <w:pPr>
        <w:pStyle w:val="2"/>
      </w:pPr>
    </w:p>
    <w:p w14:paraId="101064FF">
      <w:pPr>
        <w:pStyle w:val="3"/>
        <w:ind w:right="440"/>
        <w:jc w:val="both"/>
        <w:rPr>
          <w:rStyle w:val="22"/>
          <w:rFonts w:ascii="黑体" w:hAnsi="黑体" w:eastAsia="黑体"/>
          <w:b w:val="0"/>
          <w:bCs/>
        </w:rPr>
      </w:pPr>
      <w:bookmarkStart w:id="18" w:name="_Toc15377205"/>
      <w:bookmarkStart w:id="19" w:name="_Toc15396603"/>
      <w:r>
        <w:rPr>
          <w:rFonts w:hint="eastAsia" w:ascii="黑体" w:hAnsi="黑体" w:eastAsia="黑体"/>
          <w:b w:val="0"/>
        </w:rPr>
        <w:t>第二部分 2023年度</w:t>
      </w:r>
      <w:r>
        <w:rPr>
          <w:rStyle w:val="21"/>
          <w:rFonts w:hint="eastAsia" w:ascii="黑体" w:hAnsi="黑体" w:eastAsia="黑体"/>
          <w:b w:val="0"/>
          <w:bCs/>
        </w:rPr>
        <w:t>单位决算情况说明</w:t>
      </w:r>
    </w:p>
    <w:p w14:paraId="60562C6F">
      <w:pPr>
        <w:pStyle w:val="37"/>
        <w:numPr>
          <w:ilvl w:val="0"/>
          <w:numId w:val="3"/>
        </w:numPr>
        <w:spacing w:line="600" w:lineRule="exact"/>
        <w:ind w:firstLineChars="0"/>
        <w:outlineLvl w:val="1"/>
        <w:rPr>
          <w:rStyle w:val="22"/>
          <w:rFonts w:ascii="黑体" w:hAnsi="黑体" w:eastAsia="黑体"/>
          <w:b w:val="0"/>
        </w:rPr>
      </w:pPr>
      <w:r>
        <w:rPr>
          <w:rFonts w:hint="eastAsia" w:ascii="黑体" w:hAnsi="黑体" w:eastAsia="黑体"/>
          <w:sz w:val="32"/>
          <w:szCs w:val="32"/>
        </w:rPr>
        <w:t>收</w:t>
      </w:r>
      <w:r>
        <w:rPr>
          <w:rStyle w:val="22"/>
          <w:rFonts w:hint="eastAsia" w:ascii="黑体" w:hAnsi="黑体" w:eastAsia="黑体"/>
          <w:b w:val="0"/>
        </w:rPr>
        <w:t>入支出决算总体情况说明</w:t>
      </w:r>
      <w:bookmarkEnd w:id="18"/>
      <w:bookmarkEnd w:id="19"/>
    </w:p>
    <w:p w14:paraId="0BEB49F7">
      <w:pPr>
        <w:spacing w:line="600" w:lineRule="exact"/>
        <w:ind w:firstLine="640" w:firstLineChars="200"/>
        <w:rPr>
          <w:rFonts w:ascii="仿宋_GB2312" w:eastAsia="仿宋_GB2312"/>
          <w:sz w:val="32"/>
          <w:szCs w:val="32"/>
        </w:rPr>
      </w:pPr>
      <w:r>
        <w:rPr>
          <w:rFonts w:hint="eastAsia" w:ascii="仿宋" w:hAnsi="仿宋" w:eastAsia="仿宋"/>
          <w:sz w:val="32"/>
          <w:szCs w:val="32"/>
        </w:rPr>
        <w:t>2023年度收、支总计均为</w:t>
      </w:r>
      <w:r>
        <w:rPr>
          <w:rFonts w:hint="eastAsia" w:ascii="仿宋" w:hAnsi="仿宋" w:eastAsia="仿宋"/>
          <w:b/>
          <w:sz w:val="32"/>
          <w:szCs w:val="32"/>
        </w:rPr>
        <w:t>500.95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297.41</w:t>
      </w:r>
      <w:r>
        <w:rPr>
          <w:rFonts w:hint="eastAsia" w:ascii="仿宋" w:hAnsi="仿宋" w:eastAsia="仿宋"/>
          <w:sz w:val="32"/>
          <w:szCs w:val="32"/>
        </w:rPr>
        <w:t>万元，增长</w:t>
      </w:r>
      <w:r>
        <w:rPr>
          <w:rFonts w:hint="eastAsia" w:ascii="仿宋" w:hAnsi="仿宋" w:eastAsia="仿宋"/>
          <w:sz w:val="32"/>
          <w:szCs w:val="32"/>
          <w:lang w:val="en-US" w:eastAsia="zh-CN"/>
        </w:rPr>
        <w:t>146.12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auto"/>
          <w:sz w:val="32"/>
          <w:szCs w:val="32"/>
          <w:lang w:val="en-US" w:eastAsia="zh-CN"/>
        </w:rPr>
        <w:t>成兰铁路建设项目被征地农民失业保险滞纳金费用及人员增加和增加了职工基础绩效奖金资金</w:t>
      </w:r>
      <w:r>
        <w:rPr>
          <w:rFonts w:hint="eastAsia" w:ascii="仿宋" w:hAnsi="仿宋" w:eastAsia="仿宋"/>
          <w:sz w:val="32"/>
          <w:szCs w:val="32"/>
        </w:rPr>
        <w:t>。</w:t>
      </w:r>
    </w:p>
    <w:p w14:paraId="196A5EFF">
      <w:pPr>
        <w:pStyle w:val="37"/>
        <w:numPr>
          <w:ilvl w:val="0"/>
          <w:numId w:val="3"/>
        </w:numPr>
        <w:spacing w:line="600" w:lineRule="exact"/>
        <w:ind w:firstLineChars="0"/>
        <w:outlineLvl w:val="1"/>
        <w:rPr>
          <w:rStyle w:val="22"/>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2"/>
          <w:rFonts w:hint="eastAsia" w:ascii="黑体" w:hAnsi="黑体" w:eastAsia="黑体"/>
          <w:b w:val="0"/>
        </w:rPr>
        <w:t>入决算情况说明</w:t>
      </w:r>
      <w:bookmarkEnd w:id="20"/>
      <w:bookmarkEnd w:id="21"/>
    </w:p>
    <w:p w14:paraId="27D3282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489.35</w:t>
      </w:r>
      <w:r>
        <w:rPr>
          <w:rFonts w:hint="eastAsia" w:ascii="仿宋" w:hAnsi="仿宋" w:eastAsia="仿宋"/>
          <w:sz w:val="32"/>
          <w:szCs w:val="32"/>
        </w:rPr>
        <w:t>万元，其中：一般公共预算财政拨款收入</w:t>
      </w:r>
      <w:r>
        <w:rPr>
          <w:rFonts w:ascii="仿宋" w:hAnsi="仿宋" w:eastAsia="仿宋"/>
          <w:b/>
          <w:sz w:val="32"/>
          <w:szCs w:val="32"/>
        </w:rPr>
        <w:t>489.35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79E3E4BE">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1DA326D8">
      <w:pPr>
        <w:pStyle w:val="37"/>
        <w:numPr>
          <w:ilvl w:val="0"/>
          <w:numId w:val="3"/>
        </w:numPr>
        <w:spacing w:line="600" w:lineRule="exact"/>
        <w:ind w:firstLineChars="0"/>
        <w:outlineLvl w:val="1"/>
        <w:rPr>
          <w:rStyle w:val="22"/>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2"/>
          <w:rFonts w:hint="eastAsia" w:ascii="黑体" w:hAnsi="黑体" w:eastAsia="黑体"/>
          <w:b w:val="0"/>
        </w:rPr>
        <w:t>出决算情况说明</w:t>
      </w:r>
      <w:bookmarkEnd w:id="22"/>
      <w:bookmarkEnd w:id="23"/>
    </w:p>
    <w:p w14:paraId="11A0B327">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500.95</w:t>
      </w:r>
      <w:r>
        <w:rPr>
          <w:rFonts w:hint="eastAsia" w:ascii="仿宋" w:hAnsi="仿宋" w:eastAsia="仿宋"/>
          <w:sz w:val="32"/>
          <w:szCs w:val="32"/>
        </w:rPr>
        <w:t>万元，其中：基本支出</w:t>
      </w:r>
      <w:r>
        <w:rPr>
          <w:rFonts w:ascii="仿宋" w:hAnsi="仿宋" w:eastAsia="仿宋"/>
          <w:b/>
          <w:sz w:val="32"/>
          <w:szCs w:val="32"/>
        </w:rPr>
        <w:t>205.13</w:t>
      </w:r>
      <w:r>
        <w:rPr>
          <w:rFonts w:hint="eastAsia" w:ascii="仿宋" w:hAnsi="仿宋" w:eastAsia="仿宋"/>
          <w:sz w:val="32"/>
          <w:szCs w:val="32"/>
        </w:rPr>
        <w:t>万元，占</w:t>
      </w:r>
      <w:r>
        <w:rPr>
          <w:rFonts w:ascii="仿宋" w:hAnsi="仿宋" w:eastAsia="仿宋"/>
          <w:b/>
          <w:sz w:val="32"/>
          <w:szCs w:val="32"/>
        </w:rPr>
        <w:t>40.94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295.82</w:t>
      </w:r>
      <w:r>
        <w:rPr>
          <w:rFonts w:hint="eastAsia" w:ascii="仿宋" w:hAnsi="仿宋" w:eastAsia="仿宋"/>
          <w:sz w:val="32"/>
          <w:szCs w:val="32"/>
        </w:rPr>
        <w:t>万元，占</w:t>
      </w:r>
      <w:r>
        <w:rPr>
          <w:rFonts w:ascii="仿宋" w:hAnsi="仿宋" w:eastAsia="仿宋"/>
          <w:b/>
          <w:sz w:val="32"/>
          <w:szCs w:val="32"/>
        </w:rPr>
        <w:t>59.05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169537F">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42FB1D9B">
      <w:pPr>
        <w:spacing w:line="600" w:lineRule="exact"/>
        <w:ind w:firstLine="640" w:firstLineChars="200"/>
        <w:outlineLvl w:val="1"/>
        <w:rPr>
          <w:rStyle w:val="22"/>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2"/>
          <w:rFonts w:hint="eastAsia" w:ascii="黑体" w:hAnsi="黑体" w:eastAsia="黑体"/>
          <w:b w:val="0"/>
        </w:rPr>
        <w:t>政拨款收入支出决算总体情况说明</w:t>
      </w:r>
      <w:bookmarkEnd w:id="24"/>
      <w:bookmarkEnd w:id="25"/>
    </w:p>
    <w:p w14:paraId="6503E6B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500.95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297.41</w:t>
      </w:r>
      <w:r>
        <w:rPr>
          <w:rFonts w:hint="eastAsia" w:ascii="仿宋" w:hAnsi="仿宋" w:eastAsia="仿宋"/>
          <w:sz w:val="32"/>
          <w:szCs w:val="32"/>
        </w:rPr>
        <w:t>万元，增长</w:t>
      </w:r>
      <w:r>
        <w:rPr>
          <w:rFonts w:hint="eastAsia" w:ascii="仿宋" w:hAnsi="仿宋" w:eastAsia="仿宋"/>
          <w:sz w:val="32"/>
          <w:szCs w:val="32"/>
          <w:lang w:val="en-US" w:eastAsia="zh-CN"/>
        </w:rPr>
        <w:t>146.12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auto"/>
          <w:sz w:val="32"/>
          <w:szCs w:val="32"/>
          <w:lang w:val="en-US" w:eastAsia="zh-CN"/>
        </w:rPr>
        <w:t>成兰铁路建设项目被征地农民失业保险滞纳金费用及人员增加和增加了职工基础绩效奖金资金</w:t>
      </w:r>
      <w:r>
        <w:rPr>
          <w:rFonts w:hint="eastAsia" w:ascii="仿宋" w:hAnsi="仿宋" w:eastAsia="仿宋"/>
          <w:sz w:val="32"/>
          <w:szCs w:val="32"/>
        </w:rPr>
        <w:t>。</w:t>
      </w:r>
    </w:p>
    <w:p w14:paraId="3EF30107">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2216D391">
      <w:pPr>
        <w:spacing w:line="600" w:lineRule="exact"/>
        <w:ind w:firstLine="640" w:firstLineChars="200"/>
        <w:outlineLvl w:val="1"/>
        <w:rPr>
          <w:rStyle w:val="22"/>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b w:val="0"/>
        </w:rPr>
        <w:t>般公共预算财政拨款支出决算情况说明</w:t>
      </w:r>
      <w:bookmarkEnd w:id="26"/>
      <w:bookmarkEnd w:id="27"/>
    </w:p>
    <w:p w14:paraId="511AE596">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467A058">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500.95</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297.41</w:t>
      </w:r>
      <w:r>
        <w:rPr>
          <w:rFonts w:hint="eastAsia" w:ascii="仿宋" w:hAnsi="仿宋" w:eastAsia="仿宋"/>
          <w:sz w:val="32"/>
          <w:szCs w:val="32"/>
        </w:rPr>
        <w:t>万元，增长</w:t>
      </w:r>
      <w:r>
        <w:rPr>
          <w:rFonts w:hint="eastAsia" w:ascii="仿宋" w:hAnsi="仿宋" w:eastAsia="仿宋"/>
          <w:sz w:val="32"/>
          <w:szCs w:val="32"/>
          <w:lang w:val="en-US" w:eastAsia="zh-CN"/>
        </w:rPr>
        <w:t>146.12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auto"/>
          <w:sz w:val="32"/>
          <w:szCs w:val="32"/>
          <w:lang w:val="en-US" w:eastAsia="zh-CN"/>
        </w:rPr>
        <w:t>成兰铁路建设项目被征地农民失业保险滞纳金费用及人员增加和增加了职工基础绩效奖金资金</w:t>
      </w:r>
      <w:r>
        <w:rPr>
          <w:rFonts w:hint="eastAsia" w:ascii="仿宋" w:hAnsi="仿宋" w:eastAsia="仿宋"/>
          <w:sz w:val="32"/>
          <w:szCs w:val="32"/>
        </w:rPr>
        <w:t>。</w:t>
      </w:r>
    </w:p>
    <w:p w14:paraId="1CACEE16">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0FB2BB5">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500.95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475.92</w:t>
      </w:r>
      <w:r>
        <w:rPr>
          <w:rFonts w:hint="eastAsia" w:ascii="仿宋" w:hAnsi="仿宋" w:eastAsia="仿宋"/>
          <w:sz w:val="32"/>
          <w:szCs w:val="32"/>
        </w:rPr>
        <w:t>万元，占</w:t>
      </w:r>
      <w:r>
        <w:rPr>
          <w:rFonts w:hint="eastAsia" w:ascii="仿宋" w:hAnsi="仿宋" w:eastAsia="仿宋"/>
          <w:sz w:val="32"/>
          <w:szCs w:val="32"/>
          <w:lang w:val="en-US" w:eastAsia="zh-CN"/>
        </w:rPr>
        <w:t>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10.21</w:t>
      </w:r>
      <w:r>
        <w:rPr>
          <w:rFonts w:hint="eastAsia" w:ascii="仿宋" w:hAnsi="仿宋" w:eastAsia="仿宋"/>
          <w:sz w:val="32"/>
          <w:szCs w:val="32"/>
        </w:rPr>
        <w:t>万元，占</w:t>
      </w:r>
      <w:r>
        <w:rPr>
          <w:rFonts w:hint="eastAsia" w:ascii="仿宋" w:hAnsi="仿宋" w:eastAsia="仿宋"/>
          <w:sz w:val="32"/>
          <w:szCs w:val="32"/>
          <w:lang w:val="en-US" w:eastAsia="zh-CN"/>
        </w:rPr>
        <w:t>2.04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14.82</w:t>
      </w:r>
      <w:r>
        <w:rPr>
          <w:rFonts w:hint="eastAsia" w:ascii="仿宋" w:hAnsi="仿宋" w:eastAsia="仿宋"/>
          <w:sz w:val="32"/>
          <w:szCs w:val="32"/>
        </w:rPr>
        <w:t>万元，占</w:t>
      </w:r>
      <w:r>
        <w:rPr>
          <w:rFonts w:hint="eastAsia" w:ascii="仿宋" w:hAnsi="仿宋" w:eastAsia="仿宋"/>
          <w:sz w:val="32"/>
          <w:szCs w:val="32"/>
          <w:lang w:val="en-US" w:eastAsia="zh-CN"/>
        </w:rPr>
        <w:t>2.96</w:t>
      </w:r>
      <w:r>
        <w:rPr>
          <w:rFonts w:ascii="仿宋" w:hAnsi="仿宋" w:eastAsia="仿宋"/>
          <w:sz w:val="32"/>
          <w:szCs w:val="32"/>
        </w:rPr>
        <w:t>%</w:t>
      </w:r>
      <w:r>
        <w:rPr>
          <w:rFonts w:hint="eastAsia" w:ascii="仿宋" w:hAnsi="仿宋" w:eastAsia="仿宋"/>
          <w:sz w:val="32"/>
          <w:szCs w:val="32"/>
        </w:rPr>
        <w:t>。</w:t>
      </w:r>
    </w:p>
    <w:p w14:paraId="56803B08">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14:paraId="23D6F86E">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74FD4AF1">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2023年度一般公共预算支出决算数为</w:t>
      </w:r>
      <w:r>
        <w:rPr>
          <w:rFonts w:ascii="仿宋" w:hAnsi="仿宋" w:eastAsia="仿宋"/>
          <w:b/>
          <w:sz w:val="32"/>
          <w:szCs w:val="32"/>
        </w:rPr>
        <w:t>500.95</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75D35CB7">
      <w:pPr>
        <w:pStyle w:val="15"/>
        <w:spacing w:beforeAutospacing="0" w:afterAutospacing="0" w:line="520" w:lineRule="atLeast"/>
        <w:ind w:firstLine="480"/>
        <w:rPr>
          <w:rFonts w:hint="eastAsia" w:ascii="仿宋_GB2312" w:hAnsi="仿宋_GB2312" w:eastAsia="仿宋_GB2312" w:cs="仿宋_GB2312"/>
          <w:color w:val="auto"/>
          <w:sz w:val="32"/>
          <w:szCs w:val="32"/>
          <w:lang w:val="en-US" w:eastAsia="zh-CN"/>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208</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01</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475.92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252.22</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eastAsia="zh-CN"/>
        </w:rPr>
        <w:t>大于</w:t>
      </w:r>
      <w:r>
        <w:rPr>
          <w:rStyle w:val="19"/>
          <w:rFonts w:hint="eastAsia" w:ascii="仿宋" w:hAnsi="仿宋" w:eastAsia="仿宋"/>
          <w:b w:val="0"/>
          <w:bCs/>
          <w:sz w:val="32"/>
          <w:szCs w:val="32"/>
        </w:rPr>
        <w:t>预算数的主要原因是</w:t>
      </w:r>
      <w:r>
        <w:rPr>
          <w:rStyle w:val="19"/>
          <w:rFonts w:hint="eastAsia" w:ascii="仿宋" w:hAnsi="仿宋" w:eastAsia="仿宋"/>
          <w:b w:val="0"/>
          <w:bCs/>
          <w:sz w:val="32"/>
          <w:szCs w:val="32"/>
          <w:lang w:eastAsia="zh-CN"/>
        </w:rPr>
        <w:t>：</w:t>
      </w:r>
      <w:r>
        <w:rPr>
          <w:rFonts w:hint="eastAsia" w:ascii="仿宋_GB2312" w:hAnsi="仿宋_GB2312" w:eastAsia="仿宋_GB2312" w:cs="仿宋_GB2312"/>
          <w:color w:val="auto"/>
          <w:sz w:val="32"/>
          <w:szCs w:val="32"/>
          <w:lang w:val="en-US" w:eastAsia="zh-CN"/>
        </w:rPr>
        <w:t>本单位本年度社会保障和就业支出预算数188.69万元，本年度社会保障和就业支出决算数475.92万元，比预算数增加287.23万元，增加原因主要是成兰铁路建设项目被征地农民失业保险滞纳金费用及人员增加和增加了职工基础绩效奖金资金。</w:t>
      </w:r>
    </w:p>
    <w:p w14:paraId="1AC70A39">
      <w:pPr>
        <w:spacing w:line="600" w:lineRule="exact"/>
        <w:ind w:firstLine="643" w:firstLineChars="200"/>
        <w:rPr>
          <w:rFonts w:ascii="仿宋" w:hAnsi="仿宋" w:eastAsia="仿宋"/>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val="en-US" w:eastAsia="zh-CN"/>
        </w:rPr>
        <w:t>210</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10.21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105.8</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eastAsia="zh-CN"/>
        </w:rPr>
        <w:t>大</w:t>
      </w:r>
      <w:r>
        <w:rPr>
          <w:rStyle w:val="19"/>
          <w:rFonts w:hint="eastAsia" w:ascii="仿宋" w:hAnsi="仿宋" w:eastAsia="仿宋"/>
          <w:b w:val="0"/>
          <w:bCs/>
          <w:sz w:val="32"/>
          <w:szCs w:val="32"/>
        </w:rPr>
        <w:t>于预算数的主要原因是</w:t>
      </w:r>
      <w:r>
        <w:rPr>
          <w:rFonts w:hint="eastAsia" w:ascii="仿宋_GB2312" w:hAnsi="仿宋_GB2312" w:eastAsia="仿宋_GB2312" w:cs="仿宋_GB2312"/>
          <w:color w:val="auto"/>
          <w:sz w:val="32"/>
          <w:szCs w:val="32"/>
          <w:lang w:val="en-US" w:eastAsia="zh-CN"/>
        </w:rPr>
        <w:t>卫生健康支出预算数9.65万元，本年卫生健康支出决算数10.21万元，比预算数增加0.55万元，增加原因主要是人员增加及缴费基数调整增加</w:t>
      </w:r>
      <w:r>
        <w:rPr>
          <w:rStyle w:val="19"/>
          <w:rFonts w:hint="eastAsia" w:ascii="仿宋" w:hAnsi="仿宋" w:eastAsia="仿宋"/>
          <w:b w:val="0"/>
          <w:bCs/>
          <w:sz w:val="32"/>
          <w:szCs w:val="32"/>
        </w:rPr>
        <w:t>。</w:t>
      </w:r>
    </w:p>
    <w:p w14:paraId="736119C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00F7089A">
      <w:pPr>
        <w:spacing w:line="600" w:lineRule="exact"/>
        <w:ind w:firstLine="640"/>
        <w:rPr>
          <w:rFonts w:ascii="仿宋" w:hAnsi="仿宋" w:eastAsia="仿宋"/>
          <w:b/>
          <w:sz w:val="32"/>
          <w:szCs w:val="32"/>
        </w:rPr>
      </w:pPr>
    </w:p>
    <w:p w14:paraId="446E9E1C">
      <w:pPr>
        <w:tabs>
          <w:tab w:val="right" w:pos="8306"/>
        </w:tabs>
        <w:spacing w:line="600" w:lineRule="exact"/>
        <w:ind w:firstLine="640"/>
        <w:outlineLvl w:val="1"/>
        <w:rPr>
          <w:rStyle w:val="22"/>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b w:val="0"/>
        </w:rPr>
        <w:t>般公共预算财政拨款基本支出决算情况说明</w:t>
      </w:r>
      <w:bookmarkEnd w:id="34"/>
      <w:bookmarkEnd w:id="35"/>
      <w:r>
        <w:rPr>
          <w:rStyle w:val="22"/>
          <w:rFonts w:ascii="黑体" w:hAnsi="黑体" w:eastAsia="黑体"/>
          <w:b w:val="0"/>
        </w:rPr>
        <w:tab/>
      </w:r>
    </w:p>
    <w:p w14:paraId="3CA43AD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205.13</w:t>
      </w:r>
      <w:r>
        <w:rPr>
          <w:rFonts w:hint="eastAsia" w:ascii="仿宋" w:hAnsi="仿宋" w:eastAsia="仿宋"/>
          <w:sz w:val="32"/>
          <w:szCs w:val="32"/>
        </w:rPr>
        <w:t>万元，其中：</w:t>
      </w:r>
    </w:p>
    <w:p w14:paraId="4936B6D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196.28</w:t>
      </w:r>
      <w:r>
        <w:rPr>
          <w:rFonts w:hint="eastAsia" w:ascii="仿宋" w:hAnsi="仿宋" w:eastAsia="仿宋"/>
          <w:sz w:val="32"/>
          <w:szCs w:val="32"/>
        </w:rPr>
        <w:t>万元，主要包括：基本工资、津贴补贴、奖金、机关事业单位基本养老保险缴费、职业年金缴费、其他社会保障缴费、离休费、退休费、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8.84</w:t>
      </w:r>
      <w:r>
        <w:rPr>
          <w:rFonts w:hint="eastAsia" w:ascii="仿宋" w:hAnsi="仿宋" w:eastAsia="仿宋"/>
          <w:sz w:val="32"/>
          <w:szCs w:val="32"/>
        </w:rPr>
        <w:t>万元，主要包括：办公费、水费、电费、邮电费、差旅费、培训费、工会经费支出等。</w:t>
      </w:r>
    </w:p>
    <w:p w14:paraId="0B78C870">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5BF59BD7">
      <w:pPr>
        <w:spacing w:line="600" w:lineRule="exact"/>
        <w:ind w:firstLine="640"/>
        <w:rPr>
          <w:rFonts w:ascii="仿宋" w:hAnsi="仿宋" w:eastAsia="仿宋"/>
          <w:b/>
          <w:sz w:val="32"/>
          <w:szCs w:val="32"/>
        </w:rPr>
      </w:pPr>
    </w:p>
    <w:p w14:paraId="54AD4400">
      <w:pPr>
        <w:spacing w:line="600" w:lineRule="exact"/>
        <w:ind w:firstLine="640"/>
        <w:outlineLvl w:val="1"/>
        <w:rPr>
          <w:rStyle w:val="22"/>
          <w:rFonts w:ascii="黑体" w:hAnsi="黑体" w:eastAsia="黑体"/>
          <w:b w:val="0"/>
        </w:rPr>
      </w:pPr>
      <w:bookmarkStart w:id="36" w:name="_Toc15396609"/>
      <w:bookmarkStart w:id="37" w:name="_Toc15377215"/>
      <w:r>
        <w:rPr>
          <w:rFonts w:hint="eastAsia" w:ascii="黑体" w:eastAsia="黑体"/>
          <w:sz w:val="32"/>
          <w:szCs w:val="32"/>
        </w:rPr>
        <w:t>七、</w:t>
      </w:r>
      <w:r>
        <w:rPr>
          <w:rStyle w:val="22"/>
          <w:rFonts w:hint="eastAsia" w:ascii="黑体" w:hAnsi="黑体" w:eastAsia="黑体"/>
          <w:b w:val="0"/>
        </w:rPr>
        <w:t>财政拨款</w:t>
      </w:r>
      <w:r>
        <w:rPr>
          <w:rStyle w:val="22"/>
          <w:rFonts w:hint="eastAsia" w:ascii="黑体" w:hAnsi="黑体" w:eastAsia="黑体"/>
        </w:rPr>
        <w:t>“</w:t>
      </w:r>
      <w:r>
        <w:rPr>
          <w:rStyle w:val="22"/>
          <w:rFonts w:hint="eastAsia" w:ascii="黑体" w:hAnsi="黑体" w:eastAsia="黑体"/>
          <w:b w:val="0"/>
        </w:rPr>
        <w:t>三公”经费支出决算情况说明</w:t>
      </w:r>
      <w:bookmarkEnd w:id="36"/>
      <w:bookmarkEnd w:id="37"/>
    </w:p>
    <w:p w14:paraId="3D1AB098">
      <w:pPr>
        <w:spacing w:line="600" w:lineRule="exact"/>
        <w:ind w:firstLine="640"/>
        <w:outlineLvl w:val="2"/>
        <w:rPr>
          <w:rFonts w:ascii="仿宋" w:hAnsi="仿宋" w:eastAsia="仿宋"/>
          <w:b/>
          <w:sz w:val="32"/>
          <w:szCs w:val="32"/>
        </w:rPr>
      </w:pPr>
      <w:bookmarkStart w:id="38" w:name="_Toc15377216"/>
      <w:bookmarkStart w:id="39" w:name="_Toc15377221"/>
      <w:bookmarkStart w:id="40" w:name="_Toc15396612"/>
      <w:r>
        <w:rPr>
          <w:rFonts w:hint="eastAsia" w:ascii="仿宋" w:hAnsi="仿宋" w:eastAsia="仿宋"/>
          <w:b/>
          <w:sz w:val="32"/>
          <w:szCs w:val="32"/>
        </w:rPr>
        <w:t>（一）“三公”经费财政拨款支出决算总体情况说明</w:t>
      </w:r>
      <w:bookmarkEnd w:id="38"/>
    </w:p>
    <w:p w14:paraId="1C53144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无支出</w:t>
      </w:r>
      <w:r>
        <w:rPr>
          <w:rFonts w:hint="eastAsia" w:ascii="仿宋" w:hAnsi="仿宋" w:eastAsia="仿宋"/>
          <w:sz w:val="32"/>
          <w:szCs w:val="32"/>
        </w:rPr>
        <w:t>。</w:t>
      </w:r>
    </w:p>
    <w:p w14:paraId="7225248F">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C5567B5">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60B733D5">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4C3D67B1">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BDC09BC">
      <w:pPr>
        <w:spacing w:line="600" w:lineRule="exact"/>
        <w:ind w:firstLine="640"/>
        <w:rPr>
          <w:rFonts w:ascii="仿宋_GB2312" w:eastAsia="仿宋_GB2312"/>
          <w:b/>
          <w:sz w:val="32"/>
          <w:szCs w:val="32"/>
        </w:rPr>
      </w:pPr>
      <w:bookmarkStart w:id="42" w:name="_Toc15396610"/>
      <w:bookmarkStart w:id="43"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4C440119">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14:paraId="3631145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539A3C5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80B67B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1857C48D">
      <w:pPr>
        <w:spacing w:line="600" w:lineRule="exact"/>
        <w:ind w:firstLine="640"/>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 w:val="0"/>
          <w:bCs/>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1DD3BB0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万元，具体内容包括（接待具体项目、金额）。</w:t>
      </w:r>
    </w:p>
    <w:p w14:paraId="5A27F568">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A2EEB6C">
      <w:pPr>
        <w:spacing w:line="600" w:lineRule="exact"/>
        <w:ind w:firstLine="640"/>
        <w:outlineLvl w:val="1"/>
        <w:rPr>
          <w:rFonts w:ascii="黑体" w:eastAsia="黑体"/>
          <w:sz w:val="32"/>
          <w:szCs w:val="32"/>
        </w:rPr>
      </w:pPr>
    </w:p>
    <w:p w14:paraId="18815C2A">
      <w:pPr>
        <w:spacing w:line="600" w:lineRule="exact"/>
        <w:ind w:firstLine="640"/>
        <w:outlineLvl w:val="1"/>
        <w:rPr>
          <w:rStyle w:val="22"/>
          <w:rFonts w:ascii="黑体" w:hAnsi="黑体" w:eastAsia="黑体"/>
        </w:rPr>
      </w:pPr>
      <w:r>
        <w:rPr>
          <w:rFonts w:hint="eastAsia" w:ascii="黑体" w:eastAsia="黑体"/>
          <w:sz w:val="32"/>
          <w:szCs w:val="32"/>
        </w:rPr>
        <w:t>八、</w:t>
      </w:r>
      <w:r>
        <w:rPr>
          <w:rStyle w:val="22"/>
          <w:rFonts w:hint="eastAsia" w:ascii="黑体" w:hAnsi="黑体" w:eastAsia="黑体"/>
          <w:b w:val="0"/>
        </w:rPr>
        <w:t>政府性基金预算支出决算情况说明</w:t>
      </w:r>
      <w:bookmarkEnd w:id="42"/>
      <w:bookmarkEnd w:id="43"/>
    </w:p>
    <w:p w14:paraId="5E74D041">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23798B9">
      <w:pPr>
        <w:spacing w:line="600" w:lineRule="exact"/>
        <w:ind w:firstLine="640"/>
        <w:rPr>
          <w:rFonts w:ascii="仿宋_GB2312" w:eastAsia="仿宋_GB2312"/>
          <w:sz w:val="32"/>
          <w:szCs w:val="32"/>
        </w:rPr>
      </w:pPr>
    </w:p>
    <w:p w14:paraId="50EACDB6">
      <w:pPr>
        <w:numPr>
          <w:ilvl w:val="0"/>
          <w:numId w:val="4"/>
        </w:numPr>
        <w:spacing w:line="600" w:lineRule="exact"/>
        <w:ind w:firstLine="640"/>
        <w:outlineLvl w:val="1"/>
        <w:rPr>
          <w:rStyle w:val="22"/>
          <w:rFonts w:ascii="黑体" w:hAnsi="黑体" w:eastAsia="黑体"/>
          <w:b w:val="0"/>
        </w:rPr>
      </w:pPr>
      <w:bookmarkStart w:id="44" w:name="_Toc15377219"/>
      <w:bookmarkStart w:id="45" w:name="_Toc15396611"/>
      <w:r>
        <w:rPr>
          <w:rStyle w:val="22"/>
          <w:rFonts w:hint="eastAsia" w:ascii="黑体" w:hAnsi="黑体" w:eastAsia="黑体"/>
          <w:b w:val="0"/>
        </w:rPr>
        <w:t>国有资本经营预算支出决算情况说明</w:t>
      </w:r>
      <w:bookmarkEnd w:id="44"/>
      <w:bookmarkEnd w:id="45"/>
    </w:p>
    <w:p w14:paraId="4BBE39F2">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128E8BA">
      <w:pPr>
        <w:spacing w:line="580" w:lineRule="exact"/>
        <w:jc w:val="center"/>
        <w:rPr>
          <w:rFonts w:ascii="方正小标宋简体" w:hAnsi="方正小标宋简体" w:eastAsia="方正小标宋简体" w:cs="方正小标宋简体"/>
          <w:sz w:val="44"/>
          <w:szCs w:val="44"/>
        </w:rPr>
      </w:pPr>
    </w:p>
    <w:p w14:paraId="3654FC14">
      <w:pPr>
        <w:numPr>
          <w:ilvl w:val="0"/>
          <w:numId w:val="4"/>
        </w:numPr>
        <w:spacing w:line="600" w:lineRule="exact"/>
        <w:ind w:firstLine="640"/>
        <w:outlineLvl w:val="1"/>
        <w:rPr>
          <w:rStyle w:val="22"/>
          <w:rFonts w:ascii="黑体" w:hAnsi="黑体" w:eastAsia="黑体"/>
          <w:b w:val="0"/>
        </w:rPr>
      </w:pPr>
      <w:r>
        <w:rPr>
          <w:rStyle w:val="22"/>
          <w:rFonts w:hint="eastAsia" w:ascii="黑体" w:hAnsi="黑体" w:eastAsia="黑体"/>
          <w:b w:val="0"/>
        </w:rPr>
        <w:t>其他重要事项的情况说明</w:t>
      </w:r>
      <w:bookmarkEnd w:id="39"/>
      <w:bookmarkEnd w:id="40"/>
    </w:p>
    <w:p w14:paraId="104AD6C4">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F9B3E78">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阿坝州松潘县社会保险</w:t>
      </w:r>
      <w:r>
        <w:rPr>
          <w:rFonts w:hint="eastAsia" w:ascii="仿宋_GB2312" w:eastAsia="仿宋_GB2312"/>
          <w:b/>
          <w:sz w:val="32"/>
          <w:szCs w:val="32"/>
          <w:lang w:eastAsia="zh-CN"/>
        </w:rPr>
        <w:t>事务中心</w:t>
      </w:r>
      <w:r>
        <w:rPr>
          <w:rFonts w:hint="eastAsia" w:ascii="仿宋_GB2312" w:eastAsia="仿宋_GB2312"/>
          <w:sz w:val="32"/>
          <w:szCs w:val="32"/>
        </w:rPr>
        <w:t>机关运行经费支出</w:t>
      </w:r>
      <w:r>
        <w:rPr>
          <w:rFonts w:ascii="仿宋" w:hAnsi="仿宋" w:eastAsia="仿宋"/>
          <w:b/>
          <w:sz w:val="32"/>
          <w:szCs w:val="32"/>
        </w:rPr>
        <w:t>8.84</w:t>
      </w:r>
      <w:r>
        <w:rPr>
          <w:rFonts w:hint="eastAsia" w:ascii="仿宋_GB2312" w:eastAsia="仿宋_GB2312"/>
          <w:sz w:val="32"/>
          <w:szCs w:val="32"/>
        </w:rPr>
        <w:t>万元，比2022年度增加</w:t>
      </w:r>
      <w:r>
        <w:rPr>
          <w:rFonts w:hint="eastAsia" w:ascii="仿宋_GB2312" w:eastAsia="仿宋_GB2312"/>
          <w:sz w:val="32"/>
          <w:szCs w:val="32"/>
          <w:lang w:val="en-US" w:eastAsia="zh-CN"/>
        </w:rPr>
        <w:t>2.16</w:t>
      </w:r>
      <w:r>
        <w:rPr>
          <w:rFonts w:hint="eastAsia" w:ascii="仿宋_GB2312" w:eastAsia="仿宋_GB2312"/>
          <w:sz w:val="32"/>
          <w:szCs w:val="32"/>
        </w:rPr>
        <w:t>万元，增长</w:t>
      </w:r>
      <w:r>
        <w:rPr>
          <w:rFonts w:hint="eastAsia" w:ascii="仿宋_GB2312" w:eastAsia="仿宋_GB2312"/>
          <w:sz w:val="32"/>
          <w:szCs w:val="32"/>
          <w:lang w:val="en-US" w:eastAsia="zh-CN"/>
        </w:rPr>
        <w:t>31.86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主要</w:t>
      </w:r>
      <w:r>
        <w:rPr>
          <w:rFonts w:hint="eastAsia" w:ascii="仿宋_GB2312" w:hAnsi="仿宋_GB2312" w:eastAsia="仿宋_GB2312" w:cs="仿宋_GB2312"/>
          <w:color w:val="auto"/>
          <w:sz w:val="32"/>
          <w:szCs w:val="32"/>
          <w:lang w:val="en-US" w:eastAsia="zh-CN"/>
        </w:rPr>
        <w:t>人员增加</w:t>
      </w:r>
      <w:r>
        <w:rPr>
          <w:rFonts w:hint="eastAsia" w:ascii="仿宋_GB2312" w:eastAsia="仿宋_GB2312"/>
          <w:sz w:val="32"/>
          <w:szCs w:val="32"/>
        </w:rPr>
        <w:t>。</w:t>
      </w:r>
    </w:p>
    <w:p w14:paraId="45B616CC">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5F24E20D">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3D4CFA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阿坝州松潘县社会保险</w:t>
      </w:r>
      <w:r>
        <w:rPr>
          <w:rFonts w:hint="eastAsia" w:ascii="仿宋_GB2312" w:eastAsia="仿宋_GB2312"/>
          <w:b/>
          <w:sz w:val="32"/>
          <w:szCs w:val="32"/>
          <w:lang w:eastAsia="zh-CN"/>
        </w:rPr>
        <w:t>事务中心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8F86D2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24DEAD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1930A7A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阿坝州松潘县社会保险</w:t>
      </w:r>
      <w:r>
        <w:rPr>
          <w:rFonts w:hint="eastAsia" w:ascii="仿宋_GB2312" w:eastAsia="仿宋_GB2312"/>
          <w:b/>
          <w:sz w:val="32"/>
          <w:szCs w:val="32"/>
          <w:lang w:eastAsia="zh-CN"/>
        </w:rPr>
        <w:t>事务中心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ascii="仿宋_GB2312" w:eastAsia="仿宋_GB2312"/>
          <w:sz w:val="32"/>
          <w:szCs w:val="32"/>
        </w:rPr>
        <w:t>**</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C7E31DE">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6E7169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53E4009">
      <w:pPr>
        <w:pageBreakBefore w:val="0"/>
        <w:numPr>
          <w:ilvl w:val="0"/>
          <w:numId w:val="0"/>
        </w:numPr>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5个</w:t>
      </w: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（改制企业离退休人员非统项目补贴</w:t>
      </w:r>
      <w:r>
        <w:rPr>
          <w:rFonts w:hint="default" w:ascii="Times New Roman" w:hAnsi="Times New Roman" w:eastAsia="仿宋_GB2312" w:cs="Times New Roman"/>
          <w:sz w:val="32"/>
          <w:szCs w:val="32"/>
          <w:lang w:val="en-US" w:eastAsia="zh-CN"/>
        </w:rPr>
        <w:t>9.87万元</w:t>
      </w:r>
      <w:r>
        <w:rPr>
          <w:rFonts w:hint="default" w:ascii="Times New Roman" w:hAnsi="Times New Roman" w:eastAsia="仿宋_GB2312" w:cs="Times New Roman"/>
          <w:sz w:val="32"/>
          <w:szCs w:val="32"/>
          <w:lang w:val="zh-CN" w:eastAsia="zh-CN"/>
        </w:rPr>
        <w:t>、财政补差退休人员工资</w:t>
      </w:r>
      <w:r>
        <w:rPr>
          <w:rFonts w:hint="default" w:ascii="Times New Roman" w:hAnsi="Times New Roman" w:eastAsia="仿宋_GB2312" w:cs="Times New Roman"/>
          <w:sz w:val="32"/>
          <w:szCs w:val="32"/>
          <w:lang w:val="en-US" w:eastAsia="zh-CN"/>
        </w:rPr>
        <w:t>2.06万元</w:t>
      </w:r>
      <w:r>
        <w:rPr>
          <w:rFonts w:hint="default" w:ascii="Times New Roman" w:hAnsi="Times New Roman" w:eastAsia="仿宋_GB2312" w:cs="Times New Roman"/>
          <w:sz w:val="32"/>
          <w:szCs w:val="32"/>
          <w:lang w:val="zh-CN" w:eastAsia="zh-CN"/>
        </w:rPr>
        <w:t>、社保工作经费</w:t>
      </w:r>
      <w:r>
        <w:rPr>
          <w:rFonts w:hint="default" w:ascii="Times New Roman" w:hAnsi="Times New Roman" w:eastAsia="仿宋_GB2312" w:cs="Times New Roman"/>
          <w:sz w:val="32"/>
          <w:szCs w:val="32"/>
          <w:lang w:val="en-US" w:eastAsia="zh-CN"/>
        </w:rPr>
        <w:t>2万元</w:t>
      </w:r>
      <w:r>
        <w:rPr>
          <w:rFonts w:hint="default" w:ascii="Times New Roman" w:hAnsi="Times New Roman" w:eastAsia="仿宋_GB2312" w:cs="Times New Roman"/>
          <w:sz w:val="32"/>
          <w:szCs w:val="32"/>
          <w:lang w:val="zh-CN" w:eastAsia="zh-CN"/>
        </w:rPr>
        <w:t>、省级财政社保公共服务能力建设资金</w:t>
      </w:r>
      <w:r>
        <w:rPr>
          <w:rFonts w:hint="default" w:ascii="Times New Roman" w:hAnsi="Times New Roman" w:eastAsia="仿宋_GB2312" w:cs="Times New Roman"/>
          <w:sz w:val="32"/>
          <w:szCs w:val="32"/>
          <w:lang w:val="en-US" w:eastAsia="zh-CN"/>
        </w:rPr>
        <w:t>5万元</w:t>
      </w:r>
      <w:r>
        <w:rPr>
          <w:rFonts w:hint="default" w:ascii="Times New Roman" w:hAnsi="Times New Roman" w:eastAsia="仿宋_GB2312" w:cs="Times New Roman"/>
          <w:sz w:val="32"/>
          <w:szCs w:val="32"/>
          <w:lang w:val="zh-CN" w:eastAsia="zh-CN"/>
        </w:rPr>
        <w:t>、春节慰问金</w:t>
      </w:r>
      <w:r>
        <w:rPr>
          <w:rFonts w:hint="default" w:ascii="Times New Roman" w:hAnsi="Times New Roman" w:eastAsia="仿宋_GB2312" w:cs="Times New Roman"/>
          <w:sz w:val="32"/>
          <w:szCs w:val="32"/>
          <w:lang w:val="en-US" w:eastAsia="zh-CN"/>
        </w:rPr>
        <w:t>9.6万元</w:t>
      </w:r>
      <w:r>
        <w:rPr>
          <w:rFonts w:hint="default" w:ascii="Times New Roman" w:hAnsi="Times New Roman" w:eastAsia="仿宋_GB2312" w:cs="Times New Roman"/>
          <w:sz w:val="32"/>
          <w:szCs w:val="32"/>
          <w:lang w:val="zh-CN" w:eastAsia="zh-CN"/>
        </w:rPr>
        <w:t>）涉及预算总金额</w:t>
      </w:r>
      <w:r>
        <w:rPr>
          <w:rFonts w:hint="default" w:ascii="Times New Roman" w:hAnsi="Times New Roman" w:eastAsia="仿宋_GB2312" w:cs="Times New Roman"/>
          <w:sz w:val="32"/>
          <w:szCs w:val="32"/>
          <w:lang w:val="en-US" w:eastAsia="zh-CN"/>
        </w:rPr>
        <w:t>28.53</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%，其中：</w:t>
      </w:r>
      <w:r>
        <w:rPr>
          <w:rFonts w:hint="default" w:ascii="Times New Roman" w:hAnsi="Times New Roman" w:eastAsia="仿宋_GB2312" w:cs="Times New Roman"/>
          <w:sz w:val="32"/>
          <w:szCs w:val="32"/>
          <w:lang w:val="zh-CN" w:eastAsia="zh-CN"/>
        </w:rPr>
        <w:t>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r>
        <w:rPr>
          <w:rFonts w:hint="default" w:ascii="Times New Roman" w:hAnsi="Times New Roman" w:eastAsia="仿宋_GB2312" w:cs="Times New Roman"/>
          <w:sz w:val="32"/>
          <w:szCs w:val="32"/>
          <w:lang w:val="en-US" w:eastAsia="zh-CN"/>
        </w:rPr>
        <w:t>阶段（一次性）项目绩效分析。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个，分别是关于财政清算格让足机保待遇资金</w:t>
      </w:r>
      <w:r>
        <w:rPr>
          <w:rFonts w:hint="default" w:ascii="Times New Roman" w:hAnsi="Times New Roman" w:eastAsia="仿宋_GB2312" w:cs="Times New Roman"/>
          <w:sz w:val="32"/>
          <w:szCs w:val="32"/>
          <w:lang w:val="en-US" w:eastAsia="zh-CN"/>
        </w:rPr>
        <w:t>5.94万元</w:t>
      </w:r>
      <w:r>
        <w:rPr>
          <w:rFonts w:hint="default" w:ascii="Times New Roman" w:hAnsi="Times New Roman" w:eastAsia="仿宋_GB2312" w:cs="Times New Roman"/>
          <w:sz w:val="32"/>
          <w:szCs w:val="32"/>
          <w:lang w:val="zh-CN" w:eastAsia="zh-CN"/>
        </w:rPr>
        <w:t>、关于成兰铁路建设项目被征地农民失业保险滞纳金费用</w:t>
      </w:r>
      <w:r>
        <w:rPr>
          <w:rFonts w:hint="default" w:ascii="Times New Roman" w:hAnsi="Times New Roman" w:eastAsia="仿宋_GB2312" w:cs="Times New Roman"/>
          <w:sz w:val="32"/>
          <w:szCs w:val="32"/>
          <w:lang w:val="en-US" w:eastAsia="zh-CN"/>
        </w:rPr>
        <w:t>261.35万元</w:t>
      </w:r>
      <w:r>
        <w:rPr>
          <w:rFonts w:hint="default" w:ascii="Times New Roman" w:hAnsi="Times New Roman" w:eastAsia="仿宋_GB2312" w:cs="Times New Roman"/>
          <w:sz w:val="32"/>
          <w:szCs w:val="32"/>
          <w:lang w:val="zh-CN" w:eastAsia="zh-CN"/>
        </w:rPr>
        <w:t>）涉及预算总金额</w:t>
      </w:r>
      <w:r>
        <w:rPr>
          <w:rFonts w:hint="default" w:ascii="Times New Roman" w:hAnsi="Times New Roman" w:eastAsia="仿宋_GB2312" w:cs="Times New Roman"/>
          <w:sz w:val="32"/>
          <w:szCs w:val="32"/>
          <w:lang w:val="en-US" w:eastAsia="zh-CN"/>
        </w:rPr>
        <w:t xml:space="preserve"> 267.29</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%，其中：</w:t>
      </w:r>
      <w:r>
        <w:rPr>
          <w:rFonts w:hint="default" w:ascii="Times New Roman" w:hAnsi="Times New Roman" w:eastAsia="仿宋_GB2312" w:cs="Times New Roman"/>
          <w:sz w:val="32"/>
          <w:szCs w:val="32"/>
          <w:lang w:val="zh-CN" w:eastAsia="zh-CN"/>
        </w:rPr>
        <w:t>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r>
        <w:rPr>
          <w:rFonts w:hint="eastAsia" w:ascii="仿宋_GB2312" w:eastAsia="仿宋_GB2312"/>
          <w:sz w:val="32"/>
          <w:szCs w:val="32"/>
          <w:lang w:eastAsia="zh-CN"/>
        </w:rPr>
        <w:t>并针对每个</w:t>
      </w:r>
      <w:r>
        <w:rPr>
          <w:rFonts w:hint="eastAsia" w:ascii="仿宋_GB2312" w:eastAsia="仿宋_GB2312"/>
          <w:sz w:val="32"/>
          <w:szCs w:val="32"/>
        </w:rPr>
        <w:t>项目开展了预算事前绩效评估，对</w:t>
      </w:r>
      <w:r>
        <w:rPr>
          <w:rFonts w:hint="eastAsia" w:ascii="仿宋_GB2312" w:eastAsia="仿宋_GB2312"/>
          <w:sz w:val="32"/>
          <w:szCs w:val="32"/>
          <w:lang w:val="en-US" w:eastAsia="zh-CN"/>
        </w:rPr>
        <w:t>7</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7</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7</w:t>
      </w:r>
      <w:r>
        <w:rPr>
          <w:rFonts w:hint="eastAsia" w:ascii="仿宋_GB2312" w:eastAsia="仿宋_GB2312"/>
          <w:sz w:val="32"/>
          <w:szCs w:val="32"/>
        </w:rPr>
        <w:t>个项目开展绩效自评，绩效自评表详见第四部分附件。</w:t>
      </w:r>
    </w:p>
    <w:p w14:paraId="015A03BF">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9887C14">
      <w:pPr>
        <w:numPr>
          <w:ilvl w:val="0"/>
          <w:numId w:val="5"/>
        </w:numPr>
        <w:spacing w:line="600" w:lineRule="exact"/>
        <w:ind w:firstLine="660" w:firstLineChars="150"/>
        <w:jc w:val="center"/>
        <w:outlineLvl w:val="0"/>
        <w:rPr>
          <w:rStyle w:val="21"/>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1"/>
          <w:rFonts w:hint="eastAsia" w:ascii="黑体" w:hAnsi="黑体" w:eastAsia="黑体"/>
          <w:b w:val="0"/>
        </w:rPr>
        <w:t>词解释</w:t>
      </w:r>
      <w:bookmarkEnd w:id="49"/>
      <w:bookmarkEnd w:id="50"/>
    </w:p>
    <w:p w14:paraId="15C37658">
      <w:pPr>
        <w:spacing w:line="600" w:lineRule="exact"/>
        <w:jc w:val="left"/>
        <w:rPr>
          <w:rFonts w:ascii="宋体"/>
          <w:b/>
          <w:sz w:val="44"/>
          <w:szCs w:val="44"/>
        </w:rPr>
      </w:pPr>
    </w:p>
    <w:p w14:paraId="1529E39A">
      <w:pPr>
        <w:pStyle w:val="3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F6BBF82">
      <w:pPr>
        <w:pStyle w:val="3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B0882A9">
      <w:pPr>
        <w:pStyle w:val="3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14:paraId="71B1D20C">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56C67E68">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社会保障和就业（类）…（款）…（项）：指……。</w:t>
      </w:r>
    </w:p>
    <w:p w14:paraId="619486FD">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卫生健康（类）…（款）…（项）：指……。</w:t>
      </w:r>
    </w:p>
    <w:p w14:paraId="3F9CDDF4">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住房保障（类）…（款）…（项）：指……。</w:t>
      </w:r>
    </w:p>
    <w:p w14:paraId="37D82D5A">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75FECFF">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39CF32B">
      <w:pPr>
        <w:pStyle w:val="3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95C7F5">
      <w:pPr>
        <w:pStyle w:val="3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B15333">
      <w:pPr>
        <w:spacing w:line="600" w:lineRule="exact"/>
        <w:jc w:val="center"/>
        <w:outlineLvl w:val="0"/>
        <w:rPr>
          <w:rFonts w:hint="eastAsia" w:ascii="黑体" w:hAnsi="黑体" w:eastAsia="黑体"/>
          <w:sz w:val="44"/>
          <w:szCs w:val="44"/>
        </w:rPr>
      </w:pPr>
      <w:bookmarkStart w:id="51" w:name="_Toc15396614"/>
      <w:bookmarkStart w:id="52" w:name="_Toc15377226"/>
    </w:p>
    <w:p w14:paraId="03D8171A">
      <w:pPr>
        <w:spacing w:line="600" w:lineRule="exact"/>
        <w:jc w:val="center"/>
        <w:outlineLvl w:val="0"/>
        <w:rPr>
          <w:rFonts w:hint="eastAsia" w:ascii="黑体" w:hAnsi="黑体" w:eastAsia="黑体"/>
          <w:sz w:val="44"/>
          <w:szCs w:val="44"/>
        </w:rPr>
      </w:pPr>
    </w:p>
    <w:p w14:paraId="7A7FEEBD">
      <w:pPr>
        <w:spacing w:line="600" w:lineRule="exact"/>
        <w:jc w:val="center"/>
        <w:outlineLvl w:val="0"/>
        <w:rPr>
          <w:rFonts w:hint="eastAsia" w:ascii="黑体" w:hAnsi="黑体" w:eastAsia="黑体"/>
          <w:sz w:val="44"/>
          <w:szCs w:val="44"/>
        </w:rPr>
      </w:pPr>
    </w:p>
    <w:p w14:paraId="5867E1FF">
      <w:pPr>
        <w:spacing w:line="600" w:lineRule="exact"/>
        <w:jc w:val="center"/>
        <w:outlineLvl w:val="0"/>
        <w:rPr>
          <w:rFonts w:hint="eastAsia" w:ascii="黑体" w:hAnsi="黑体" w:eastAsia="黑体"/>
          <w:sz w:val="44"/>
          <w:szCs w:val="44"/>
        </w:rPr>
      </w:pPr>
    </w:p>
    <w:p w14:paraId="3ABD65CF">
      <w:pPr>
        <w:spacing w:line="600" w:lineRule="exact"/>
        <w:jc w:val="center"/>
        <w:outlineLvl w:val="0"/>
        <w:rPr>
          <w:rFonts w:hint="eastAsia" w:ascii="黑体" w:hAnsi="黑体" w:eastAsia="黑体"/>
          <w:sz w:val="44"/>
          <w:szCs w:val="44"/>
        </w:rPr>
      </w:pPr>
    </w:p>
    <w:p w14:paraId="4B0DEFD9">
      <w:pPr>
        <w:spacing w:line="600" w:lineRule="exact"/>
        <w:jc w:val="center"/>
        <w:outlineLvl w:val="0"/>
        <w:rPr>
          <w:rFonts w:hint="eastAsia" w:ascii="黑体" w:hAnsi="黑体" w:eastAsia="黑体"/>
          <w:sz w:val="44"/>
          <w:szCs w:val="44"/>
        </w:rPr>
      </w:pPr>
    </w:p>
    <w:p w14:paraId="25988749">
      <w:pPr>
        <w:spacing w:line="600" w:lineRule="exact"/>
        <w:jc w:val="center"/>
        <w:outlineLvl w:val="0"/>
        <w:rPr>
          <w:rFonts w:hint="eastAsia" w:ascii="黑体" w:hAnsi="黑体" w:eastAsia="黑体"/>
          <w:sz w:val="44"/>
          <w:szCs w:val="44"/>
        </w:rPr>
      </w:pPr>
    </w:p>
    <w:p w14:paraId="78CD2CB5">
      <w:pPr>
        <w:spacing w:line="600" w:lineRule="exact"/>
        <w:jc w:val="center"/>
        <w:outlineLvl w:val="0"/>
        <w:rPr>
          <w:rFonts w:hint="eastAsia" w:ascii="黑体" w:hAnsi="黑体" w:eastAsia="黑体"/>
          <w:sz w:val="44"/>
          <w:szCs w:val="44"/>
        </w:rPr>
      </w:pPr>
    </w:p>
    <w:p w14:paraId="0A992CA8">
      <w:pPr>
        <w:spacing w:line="600" w:lineRule="exact"/>
        <w:jc w:val="center"/>
        <w:outlineLvl w:val="0"/>
        <w:rPr>
          <w:rFonts w:hint="eastAsia" w:ascii="黑体" w:hAnsi="黑体" w:eastAsia="黑体"/>
          <w:sz w:val="44"/>
          <w:szCs w:val="44"/>
        </w:rPr>
      </w:pPr>
    </w:p>
    <w:p w14:paraId="561A0CC6">
      <w:pPr>
        <w:spacing w:line="600" w:lineRule="exact"/>
        <w:jc w:val="center"/>
        <w:outlineLvl w:val="0"/>
        <w:rPr>
          <w:rFonts w:hint="eastAsia" w:ascii="黑体" w:hAnsi="黑体" w:eastAsia="黑体"/>
          <w:sz w:val="44"/>
          <w:szCs w:val="44"/>
        </w:rPr>
      </w:pPr>
    </w:p>
    <w:p w14:paraId="1C77A2AF">
      <w:pPr>
        <w:spacing w:line="600" w:lineRule="exact"/>
        <w:jc w:val="center"/>
        <w:outlineLvl w:val="0"/>
        <w:rPr>
          <w:rFonts w:hint="eastAsia" w:ascii="黑体" w:hAnsi="黑体" w:eastAsia="黑体"/>
          <w:sz w:val="44"/>
          <w:szCs w:val="44"/>
        </w:rPr>
      </w:pPr>
    </w:p>
    <w:p w14:paraId="79C5FDDB">
      <w:pPr>
        <w:spacing w:line="600" w:lineRule="exact"/>
        <w:jc w:val="center"/>
        <w:outlineLvl w:val="0"/>
        <w:rPr>
          <w:rFonts w:hint="eastAsia" w:ascii="黑体" w:hAnsi="黑体" w:eastAsia="黑体"/>
          <w:sz w:val="44"/>
          <w:szCs w:val="44"/>
        </w:rPr>
      </w:pPr>
    </w:p>
    <w:p w14:paraId="09A8CF9B">
      <w:pPr>
        <w:spacing w:line="600" w:lineRule="exact"/>
        <w:jc w:val="center"/>
        <w:outlineLvl w:val="0"/>
        <w:rPr>
          <w:rFonts w:hint="eastAsia" w:ascii="黑体" w:hAnsi="黑体" w:eastAsia="黑体"/>
          <w:sz w:val="44"/>
          <w:szCs w:val="44"/>
        </w:rPr>
      </w:pPr>
    </w:p>
    <w:p w14:paraId="4CDE9166">
      <w:pPr>
        <w:spacing w:line="600" w:lineRule="exact"/>
        <w:jc w:val="center"/>
        <w:outlineLvl w:val="0"/>
        <w:rPr>
          <w:rFonts w:hint="eastAsia" w:ascii="黑体" w:hAnsi="黑体" w:eastAsia="黑体"/>
          <w:sz w:val="44"/>
          <w:szCs w:val="44"/>
        </w:rPr>
      </w:pPr>
    </w:p>
    <w:p w14:paraId="346A4E55">
      <w:pPr>
        <w:spacing w:line="600" w:lineRule="exact"/>
        <w:jc w:val="center"/>
        <w:outlineLvl w:val="0"/>
        <w:rPr>
          <w:rFonts w:hint="eastAsia" w:ascii="黑体" w:hAnsi="黑体" w:eastAsia="黑体"/>
          <w:sz w:val="44"/>
          <w:szCs w:val="44"/>
        </w:rPr>
      </w:pPr>
    </w:p>
    <w:p w14:paraId="1C549460">
      <w:pPr>
        <w:spacing w:line="600" w:lineRule="exact"/>
        <w:jc w:val="center"/>
        <w:outlineLvl w:val="0"/>
        <w:rPr>
          <w:rFonts w:hint="eastAsia" w:ascii="黑体" w:hAnsi="黑体" w:eastAsia="黑体"/>
          <w:sz w:val="44"/>
          <w:szCs w:val="44"/>
        </w:rPr>
      </w:pPr>
    </w:p>
    <w:p w14:paraId="788595DE">
      <w:pPr>
        <w:spacing w:line="600" w:lineRule="exact"/>
        <w:jc w:val="center"/>
        <w:outlineLvl w:val="0"/>
        <w:rPr>
          <w:rStyle w:val="21"/>
          <w:rFonts w:ascii="黑体" w:hAnsi="黑体" w:eastAsia="黑体"/>
          <w:b w:val="0"/>
        </w:rPr>
      </w:pPr>
      <w:r>
        <w:rPr>
          <w:rFonts w:hint="eastAsia" w:ascii="黑体" w:hAnsi="黑体" w:eastAsia="黑体"/>
          <w:sz w:val="44"/>
          <w:szCs w:val="44"/>
        </w:rPr>
        <w:t>第</w:t>
      </w:r>
      <w:r>
        <w:rPr>
          <w:rStyle w:val="21"/>
          <w:rFonts w:hint="eastAsia" w:ascii="黑体" w:hAnsi="黑体" w:eastAsia="黑体"/>
          <w:b w:val="0"/>
        </w:rPr>
        <w:t>四部分 附件</w:t>
      </w:r>
      <w:bookmarkEnd w:id="51"/>
    </w:p>
    <w:p w14:paraId="12A39644">
      <w:pPr>
        <w:spacing w:line="572" w:lineRule="exact"/>
        <w:jc w:val="left"/>
        <w:outlineLvl w:val="0"/>
        <w:rPr>
          <w:rFonts w:ascii="仿宋_GB2312" w:hAnsi="仿宋_GB2312" w:eastAsia="仿宋_GB2312" w:cs="仿宋_GB2312"/>
          <w:sz w:val="32"/>
          <w:szCs w:val="32"/>
        </w:rPr>
      </w:pPr>
    </w:p>
    <w:p w14:paraId="2BC79096">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2198E162">
      <w:pPr>
        <w:pStyle w:val="7"/>
        <w:spacing w:line="560" w:lineRule="exact"/>
        <w:ind w:left="0" w:leftChars="0" w:firstLine="640"/>
        <w:rPr>
          <w:sz w:val="32"/>
        </w:rPr>
      </w:pPr>
    </w:p>
    <w:p w14:paraId="0E7262B1">
      <w:pPr>
        <w:pStyle w:val="7"/>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bookmarkEnd w:id="52"/>
    <w:bookmarkEnd w:id="53"/>
    <w:tbl>
      <w:tblPr>
        <w:tblStyle w:val="16"/>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7256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vAlign w:val="center"/>
          </w:tcPr>
          <w:p w14:paraId="1C0907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5641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vAlign w:val="center"/>
          </w:tcPr>
          <w:p w14:paraId="0C3E2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679D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vAlign w:val="center"/>
          </w:tcPr>
          <w:p w14:paraId="1AB4B1B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5A5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vAlign w:val="center"/>
          </w:tcPr>
          <w:p w14:paraId="36AE7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7F12D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松潘县</w:t>
            </w:r>
            <w:r>
              <w:rPr>
                <w:rFonts w:hint="eastAsia" w:eastAsia="宋体" w:cs="Times New Roman"/>
                <w:i w:val="0"/>
                <w:color w:val="000000"/>
                <w:kern w:val="0"/>
                <w:sz w:val="24"/>
                <w:szCs w:val="24"/>
                <w:u w:val="none"/>
                <w:lang w:val="en-US" w:eastAsia="zh-CN" w:bidi="ar"/>
              </w:rPr>
              <w:t>社会保险事务</w:t>
            </w:r>
            <w:r>
              <w:rPr>
                <w:rFonts w:hint="default" w:ascii="Times New Roman" w:hAnsi="Times New Roman" w:eastAsia="宋体" w:cs="Times New Roman"/>
                <w:i w:val="0"/>
                <w:color w:val="000000"/>
                <w:kern w:val="0"/>
                <w:sz w:val="24"/>
                <w:szCs w:val="24"/>
                <w:u w:val="none"/>
                <w:lang w:val="en-US" w:eastAsia="zh-CN" w:bidi="ar"/>
              </w:rPr>
              <w:t>中心</w:t>
            </w:r>
          </w:p>
        </w:tc>
      </w:tr>
      <w:tr w14:paraId="0BF6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2BB45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7E261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0BE2F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14:paraId="299DA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7352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60FAE8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51D0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489.35</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6AB85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489.35</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14:paraId="2A840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2632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45836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19298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vAlign w:val="center"/>
          </w:tcPr>
          <w:tbl>
            <w:tblPr>
              <w:tblStyle w:val="16"/>
              <w:tblW w:w="13605" w:type="dxa"/>
              <w:tblCellSpacing w:w="0" w:type="dxa"/>
              <w:tblInd w:w="0" w:type="dxa"/>
              <w:shd w:val="clear" w:color="auto" w:fill="FFFFFF"/>
              <w:tblLayout w:type="fixed"/>
              <w:tblCellMar>
                <w:top w:w="0" w:type="dxa"/>
                <w:left w:w="0" w:type="dxa"/>
                <w:bottom w:w="0" w:type="dxa"/>
                <w:right w:w="0" w:type="dxa"/>
              </w:tblCellMar>
            </w:tblPr>
            <w:tblGrid>
              <w:gridCol w:w="13563"/>
              <w:gridCol w:w="42"/>
            </w:tblGrid>
            <w:tr w14:paraId="5EBB9885">
              <w:tblPrEx>
                <w:shd w:val="clear" w:color="auto" w:fill="FFFFFF"/>
                <w:tblCellMar>
                  <w:top w:w="0" w:type="dxa"/>
                  <w:left w:w="0" w:type="dxa"/>
                  <w:bottom w:w="0" w:type="dxa"/>
                  <w:right w:w="0" w:type="dxa"/>
                </w:tblCellMar>
              </w:tblPrEx>
              <w:trPr>
                <w:trHeight w:val="390" w:hRule="atLeast"/>
                <w:tblCellSpacing w:w="0" w:type="dxa"/>
              </w:trPr>
              <w:tc>
                <w:tcPr>
                  <w:tcW w:w="13563" w:type="dxa"/>
                  <w:tcBorders>
                    <w:top w:val="single" w:color="D9DEED" w:sz="6" w:space="0"/>
                    <w:right w:val="single" w:color="D9DEED" w:sz="6" w:space="0"/>
                  </w:tcBorders>
                  <w:shd w:val="clear" w:color="auto" w:fill="FFFFFF"/>
                  <w:vAlign w:val="center"/>
                </w:tcPr>
                <w:p w14:paraId="628B59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组织实施养老、失业、工伤等社会保险及其补充保险政策和标准</w:t>
                  </w:r>
                  <w:r>
                    <w:rPr>
                      <w:rFonts w:hint="eastAsia" w:ascii="Times New Roman" w:hAnsi="Times New Roman" w:eastAsia="宋体" w:cs="Times New Roman"/>
                      <w:i w:val="0"/>
                      <w:color w:val="000000"/>
                      <w:kern w:val="0"/>
                      <w:sz w:val="24"/>
                      <w:szCs w:val="24"/>
                      <w:u w:val="none"/>
                      <w:lang w:val="en-US" w:eastAsia="zh-CN" w:bidi="ar"/>
                    </w:rPr>
                    <w:t>及养老待遇发放等工作</w:t>
                  </w:r>
                </w:p>
              </w:tc>
              <w:tc>
                <w:tcPr>
                  <w:tcW w:w="42" w:type="dxa"/>
                  <w:tcBorders>
                    <w:top w:val="single" w:color="D9DEED" w:sz="6" w:space="0"/>
                    <w:right w:val="single" w:color="D9DEED" w:sz="6" w:space="0"/>
                  </w:tcBorders>
                  <w:shd w:val="clear" w:color="auto" w:fill="FFFFFF"/>
                  <w:vAlign w:val="center"/>
                </w:tcPr>
                <w:p w14:paraId="2391F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r>
          </w:tbl>
          <w:p w14:paraId="02A6C8E7">
            <w:pPr>
              <w:keepNext w:val="0"/>
              <w:keepLines w:val="0"/>
              <w:widowControl/>
              <w:suppressLineNumbers w:val="0"/>
              <w:jc w:val="left"/>
            </w:pPr>
          </w:p>
          <w:p w14:paraId="56F1EC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w:t>
            </w:r>
            <w:r>
              <w:rPr>
                <w:rFonts w:hint="default" w:ascii="Times New Roman" w:hAnsi="Times New Roman" w:eastAsia="宋体" w:cs="Times New Roman"/>
                <w:i w:val="0"/>
                <w:color w:val="000000"/>
                <w:kern w:val="0"/>
                <w:sz w:val="24"/>
                <w:szCs w:val="24"/>
                <w:u w:val="none"/>
                <w:lang w:val="en-US" w:eastAsia="zh-CN" w:bidi="ar"/>
              </w:rPr>
              <w:t>提高预算</w:t>
            </w:r>
            <w:r>
              <w:rPr>
                <w:rFonts w:hint="eastAsia" w:eastAsia="宋体" w:cs="Times New Roman"/>
                <w:i w:val="0"/>
                <w:color w:val="000000"/>
                <w:kern w:val="0"/>
                <w:sz w:val="24"/>
                <w:szCs w:val="24"/>
                <w:u w:val="none"/>
                <w:lang w:val="en-US" w:eastAsia="zh-CN" w:bidi="ar"/>
              </w:rPr>
              <w:t>社保工作</w:t>
            </w:r>
            <w:r>
              <w:rPr>
                <w:rFonts w:hint="default" w:ascii="Times New Roman" w:hAnsi="Times New Roman" w:eastAsia="宋体" w:cs="Times New Roman"/>
                <w:i w:val="0"/>
                <w:color w:val="000000"/>
                <w:kern w:val="0"/>
                <w:sz w:val="24"/>
                <w:szCs w:val="24"/>
                <w:u w:val="none"/>
                <w:lang w:val="en-US" w:eastAsia="zh-CN" w:bidi="ar"/>
              </w:rPr>
              <w:t>质量，严格执行预算，保障单位日常运转。</w:t>
            </w:r>
          </w:p>
        </w:tc>
      </w:tr>
      <w:tr w14:paraId="48FF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05AAA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27C98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5C62B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6B92D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2696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9CC61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26BD7B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工资发放、社会保障缴费、公用经费支出</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4584AD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按时足额发放人员工资，按时足额缴纳人员社会保障缴费、保障机关运转。</w:t>
            </w:r>
          </w:p>
        </w:tc>
      </w:tr>
      <w:tr w14:paraId="331A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92ACF4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0FFA230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保障社保工作正常开展</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76BFFE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做好社保日常工作的正常运行</w:t>
            </w:r>
          </w:p>
        </w:tc>
      </w:tr>
      <w:tr w14:paraId="0BC1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6A7F2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7E23C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vAlign w:val="center"/>
          </w:tcPr>
          <w:p w14:paraId="3268F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58197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27F5F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3FD20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20ACD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14:paraId="346CB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14:paraId="64E14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vAlign w:val="center"/>
          </w:tcPr>
          <w:p w14:paraId="167E5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vAlign w:val="center"/>
          </w:tcPr>
          <w:p w14:paraId="48005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CF28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2BDB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C5A6F9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32D58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20786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49756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保证各项社保工作正常有序开展</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6A5796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0725E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748D07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190229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vAlign w:val="center"/>
          </w:tcPr>
          <w:p w14:paraId="674E99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60A3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1F3B4F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66D0560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7A155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66CC003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确保社保工作高质高效完成</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1767EB5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DF5259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2B6C383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4FA30F5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vAlign w:val="center"/>
          </w:tcPr>
          <w:p w14:paraId="1EB059F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100%</w:t>
            </w:r>
          </w:p>
        </w:tc>
      </w:tr>
      <w:tr w14:paraId="093C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3E90B6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5F7BE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vAlign w:val="center"/>
          </w:tcPr>
          <w:p w14:paraId="04D3D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2D706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4C4311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提高社保政策宣传率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3B3E23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A2637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0C64BA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6E5660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20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vAlign w:val="center"/>
          </w:tcPr>
          <w:p w14:paraId="0E68EA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100%</w:t>
            </w:r>
          </w:p>
        </w:tc>
      </w:tr>
      <w:tr w14:paraId="7FA7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985D37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4F5DDCF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59ADE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经济效益</w:t>
            </w:r>
          </w:p>
          <w:p w14:paraId="4029E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2C8C34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社会保险执行率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7A532BB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2"/>
                <w:sz w:val="24"/>
                <w:szCs w:val="24"/>
                <w:u w:val="none"/>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3EE72C9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2AA2918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026B6E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vAlign w:val="center"/>
          </w:tcPr>
          <w:p w14:paraId="4827A41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100%</w:t>
            </w:r>
          </w:p>
        </w:tc>
      </w:tr>
      <w:tr w14:paraId="6440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DC7E4F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2F2C1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144DF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079EF86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服务对象满意</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6294339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6DCDEB4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优良中低差</w:t>
            </w:r>
          </w:p>
        </w:tc>
        <w:tc>
          <w:tcPr>
            <w:tcW w:w="1058" w:type="dxa"/>
            <w:tcBorders>
              <w:top w:val="single" w:color="000000" w:sz="4" w:space="0"/>
              <w:left w:val="single" w:color="000000" w:sz="4" w:space="0"/>
              <w:bottom w:val="single" w:color="000000" w:sz="4" w:space="0"/>
              <w:right w:val="single" w:color="000000" w:sz="4" w:space="0"/>
            </w:tcBorders>
            <w:vAlign w:val="center"/>
          </w:tcPr>
          <w:p w14:paraId="593697E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33D528B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vAlign w:val="center"/>
          </w:tcPr>
          <w:p w14:paraId="3A2A09A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优良</w:t>
            </w:r>
          </w:p>
        </w:tc>
      </w:tr>
    </w:tbl>
    <w:p w14:paraId="4FFCB6EC">
      <w:pPr>
        <w:pStyle w:val="7"/>
        <w:ind w:left="0" w:leftChars="0" w:firstLine="0" w:firstLineChars="0"/>
        <w:rPr>
          <w:rFonts w:hint="default" w:ascii="Times New Roman" w:hAnsi="Times New Roman" w:eastAsia="黑体" w:cs="Times New Roman"/>
          <w:sz w:val="24"/>
          <w:szCs w:val="24"/>
          <w:highlight w:val="none"/>
          <w:lang w:val="en-US" w:eastAsia="zh-CN"/>
        </w:rPr>
      </w:pPr>
    </w:p>
    <w:p w14:paraId="11E64482">
      <w:pPr>
        <w:pStyle w:val="7"/>
        <w:ind w:left="0" w:leftChars="0" w:firstLine="0" w:firstLineChars="0"/>
        <w:rPr>
          <w:rFonts w:hint="default" w:ascii="Times New Roman" w:hAnsi="Times New Roman" w:cs="Times New Roman"/>
        </w:rPr>
      </w:pPr>
    </w:p>
    <w:tbl>
      <w:tblPr>
        <w:tblStyle w:val="16"/>
        <w:tblpPr w:leftFromText="180" w:rightFromText="180" w:vertAnchor="text" w:horzAnchor="page" w:tblpX="1" w:tblpY="527"/>
        <w:tblOverlap w:val="never"/>
        <w:tblW w:w="13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0"/>
        <w:gridCol w:w="1840"/>
        <w:gridCol w:w="1616"/>
        <w:gridCol w:w="2049"/>
        <w:gridCol w:w="616"/>
        <w:gridCol w:w="1523"/>
        <w:gridCol w:w="1437"/>
        <w:gridCol w:w="1029"/>
        <w:gridCol w:w="470"/>
        <w:gridCol w:w="443"/>
        <w:gridCol w:w="2323"/>
      </w:tblGrid>
      <w:tr w14:paraId="02C9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522F74">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7BD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8B1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6A05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51322421T000000049071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社保工作经费</w:t>
            </w:r>
          </w:p>
        </w:tc>
      </w:tr>
      <w:tr w14:paraId="5979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73D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8DD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498A8368">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6B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3CA0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1F4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7E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B1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135F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8DB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0B98">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8464">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66D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社保工作经费共计2万元，主要用于社保工作的日常开展。</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C182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对照年度目标，社保工作的日常工作经费预算执行数2万元，完成相关任务目标的100%。</w:t>
            </w:r>
          </w:p>
        </w:tc>
      </w:tr>
      <w:tr w14:paraId="0822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A661">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D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9C32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保障社保工作顺利开展及有关社会养老保险的政策宣传咨询工作；</w:t>
            </w:r>
          </w:p>
        </w:tc>
      </w:tr>
      <w:tr w14:paraId="5B6A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E9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4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7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E0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D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7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E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649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E308">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A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B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860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3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D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AE3D">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3FCC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08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1E9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5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D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2B1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1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3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A6D0">
            <w:pPr>
              <w:rPr>
                <w:rFonts w:hint="eastAsia" w:ascii="黑体" w:hAnsi="黑体" w:eastAsia="黑体" w:cs="黑体"/>
                <w:i/>
                <w:color w:val="000000"/>
                <w:sz w:val="18"/>
                <w:szCs w:val="18"/>
                <w:u w:val="none"/>
              </w:rPr>
            </w:pPr>
          </w:p>
        </w:tc>
      </w:tr>
      <w:tr w14:paraId="7803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7D5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6B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66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8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1913">
            <w:pPr>
              <w:rPr>
                <w:rFonts w:hint="eastAsia" w:ascii="黑体" w:hAnsi="黑体" w:eastAsia="黑体" w:cs="黑体"/>
                <w:i/>
                <w:color w:val="000000"/>
                <w:sz w:val="18"/>
                <w:szCs w:val="18"/>
                <w:u w:val="none"/>
              </w:rPr>
            </w:pPr>
          </w:p>
        </w:tc>
      </w:tr>
      <w:tr w14:paraId="6B3B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54FB">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E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4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51D3">
            <w:pPr>
              <w:rPr>
                <w:rFonts w:hint="eastAsia" w:ascii="黑体" w:hAnsi="黑体" w:eastAsia="黑体" w:cs="黑体"/>
                <w:i/>
                <w:color w:val="000000"/>
                <w:sz w:val="18"/>
                <w:szCs w:val="18"/>
                <w:u w:val="none"/>
              </w:rPr>
            </w:pPr>
          </w:p>
        </w:tc>
      </w:tr>
      <w:tr w14:paraId="4E30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F9F0">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5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ACCD">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2D80">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D72B7">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1C6">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A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F908">
            <w:pPr>
              <w:rPr>
                <w:rFonts w:hint="eastAsia" w:ascii="黑体" w:hAnsi="黑体" w:eastAsia="黑体" w:cs="黑体"/>
                <w:i/>
                <w:color w:val="000000"/>
                <w:sz w:val="18"/>
                <w:szCs w:val="18"/>
                <w:u w:val="none"/>
              </w:rPr>
            </w:pPr>
          </w:p>
        </w:tc>
      </w:tr>
      <w:tr w14:paraId="192F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8B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5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1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A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5D9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EDC9">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3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8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各类社保工作满意度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A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D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6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4348">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0F86">
            <w:pPr>
              <w:jc w:val="center"/>
              <w:rPr>
                <w:rFonts w:hint="eastAsia" w:ascii="宋体" w:hAnsi="宋体" w:eastAsia="宋体" w:cs="宋体"/>
                <w:i w:val="0"/>
                <w:color w:val="000000"/>
                <w:sz w:val="18"/>
                <w:szCs w:val="18"/>
                <w:u w:val="none"/>
              </w:rPr>
            </w:pPr>
          </w:p>
        </w:tc>
      </w:tr>
      <w:tr w14:paraId="1185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1E3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6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4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481">
            <w:pPr>
              <w:rPr>
                <w:rFonts w:hint="eastAsia" w:ascii="宋体" w:hAnsi="宋体" w:eastAsia="宋体" w:cs="宋体"/>
                <w:i w:val="0"/>
                <w:color w:val="000000"/>
                <w:sz w:val="18"/>
                <w:szCs w:val="18"/>
                <w:u w:val="none"/>
              </w:rPr>
            </w:pPr>
          </w:p>
        </w:tc>
      </w:tr>
      <w:tr w14:paraId="4539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A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35BEF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该项目自查得分93.5分，得分情况主要依据政策及项目实施保障制度。项目预期产出和效果是能满足社保日常工作需求。</w:t>
            </w:r>
          </w:p>
        </w:tc>
      </w:tr>
      <w:tr w14:paraId="6ACC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15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B75B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C98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C0FE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254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21FC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2A138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1F4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1EE7E545">
            <w:pPr>
              <w:rPr>
                <w:rFonts w:hint="eastAsia" w:ascii="宋体" w:hAnsi="宋体" w:eastAsia="宋体" w:cs="宋体"/>
                <w:i w:val="0"/>
                <w:color w:val="000000"/>
                <w:sz w:val="18"/>
                <w:szCs w:val="18"/>
                <w:u w:val="none"/>
              </w:rPr>
            </w:pPr>
          </w:p>
        </w:tc>
        <w:tc>
          <w:tcPr>
            <w:tcW w:w="1840" w:type="dxa"/>
            <w:shd w:val="clear" w:color="auto" w:fill="auto"/>
            <w:vAlign w:val="center"/>
          </w:tcPr>
          <w:p w14:paraId="5A0D0B42">
            <w:pPr>
              <w:rPr>
                <w:rFonts w:hint="eastAsia" w:ascii="宋体" w:hAnsi="宋体" w:eastAsia="宋体" w:cs="宋体"/>
                <w:i w:val="0"/>
                <w:color w:val="000000"/>
                <w:sz w:val="18"/>
                <w:szCs w:val="18"/>
                <w:u w:val="none"/>
              </w:rPr>
            </w:pPr>
          </w:p>
        </w:tc>
        <w:tc>
          <w:tcPr>
            <w:tcW w:w="1616" w:type="dxa"/>
            <w:shd w:val="clear" w:color="auto" w:fill="auto"/>
            <w:vAlign w:val="center"/>
          </w:tcPr>
          <w:p w14:paraId="613C978A">
            <w:pPr>
              <w:rPr>
                <w:rFonts w:hint="eastAsia" w:ascii="宋体" w:hAnsi="宋体" w:eastAsia="宋体" w:cs="宋体"/>
                <w:i w:val="0"/>
                <w:color w:val="000000"/>
                <w:sz w:val="18"/>
                <w:szCs w:val="18"/>
                <w:u w:val="none"/>
              </w:rPr>
            </w:pPr>
          </w:p>
        </w:tc>
        <w:tc>
          <w:tcPr>
            <w:tcW w:w="2049" w:type="dxa"/>
            <w:shd w:val="clear" w:color="auto" w:fill="auto"/>
            <w:vAlign w:val="center"/>
          </w:tcPr>
          <w:p w14:paraId="6987EEC4">
            <w:pPr>
              <w:rPr>
                <w:rFonts w:hint="eastAsia" w:ascii="宋体" w:hAnsi="宋体" w:eastAsia="宋体" w:cs="宋体"/>
                <w:i w:val="0"/>
                <w:color w:val="000000"/>
                <w:sz w:val="18"/>
                <w:szCs w:val="18"/>
                <w:u w:val="none"/>
              </w:rPr>
            </w:pPr>
          </w:p>
        </w:tc>
        <w:tc>
          <w:tcPr>
            <w:tcW w:w="616" w:type="dxa"/>
            <w:shd w:val="clear" w:color="auto" w:fill="auto"/>
            <w:vAlign w:val="center"/>
          </w:tcPr>
          <w:p w14:paraId="00082439">
            <w:pPr>
              <w:rPr>
                <w:rFonts w:hint="eastAsia" w:ascii="宋体" w:hAnsi="宋体" w:eastAsia="宋体" w:cs="宋体"/>
                <w:i w:val="0"/>
                <w:color w:val="000000"/>
                <w:sz w:val="18"/>
                <w:szCs w:val="18"/>
                <w:u w:val="none"/>
              </w:rPr>
            </w:pPr>
          </w:p>
        </w:tc>
        <w:tc>
          <w:tcPr>
            <w:tcW w:w="1523" w:type="dxa"/>
            <w:shd w:val="clear" w:color="auto" w:fill="auto"/>
            <w:vAlign w:val="center"/>
          </w:tcPr>
          <w:p w14:paraId="1B587A9C">
            <w:pPr>
              <w:rPr>
                <w:rFonts w:hint="eastAsia" w:ascii="宋体" w:hAnsi="宋体" w:eastAsia="宋体" w:cs="宋体"/>
                <w:i w:val="0"/>
                <w:color w:val="000000"/>
                <w:sz w:val="18"/>
                <w:szCs w:val="18"/>
                <w:u w:val="none"/>
              </w:rPr>
            </w:pPr>
          </w:p>
        </w:tc>
        <w:tc>
          <w:tcPr>
            <w:tcW w:w="1437" w:type="dxa"/>
            <w:shd w:val="clear" w:color="auto" w:fill="auto"/>
            <w:vAlign w:val="center"/>
          </w:tcPr>
          <w:p w14:paraId="57FC4AA9">
            <w:pPr>
              <w:rPr>
                <w:rFonts w:hint="eastAsia" w:ascii="宋体" w:hAnsi="宋体" w:eastAsia="宋体" w:cs="宋体"/>
                <w:i w:val="0"/>
                <w:color w:val="000000"/>
                <w:sz w:val="18"/>
                <w:szCs w:val="18"/>
                <w:u w:val="none"/>
              </w:rPr>
            </w:pPr>
          </w:p>
        </w:tc>
        <w:tc>
          <w:tcPr>
            <w:tcW w:w="1029" w:type="dxa"/>
            <w:shd w:val="clear" w:color="auto" w:fill="auto"/>
            <w:vAlign w:val="center"/>
          </w:tcPr>
          <w:p w14:paraId="00137006">
            <w:pPr>
              <w:rPr>
                <w:rFonts w:hint="eastAsia" w:ascii="宋体" w:hAnsi="宋体" w:eastAsia="宋体" w:cs="宋体"/>
                <w:i w:val="0"/>
                <w:color w:val="000000"/>
                <w:sz w:val="18"/>
                <w:szCs w:val="18"/>
                <w:u w:val="none"/>
              </w:rPr>
            </w:pPr>
          </w:p>
        </w:tc>
        <w:tc>
          <w:tcPr>
            <w:tcW w:w="470" w:type="dxa"/>
            <w:shd w:val="clear" w:color="auto" w:fill="auto"/>
            <w:vAlign w:val="center"/>
          </w:tcPr>
          <w:p w14:paraId="611782B7">
            <w:pPr>
              <w:rPr>
                <w:rFonts w:hint="eastAsia" w:ascii="宋体" w:hAnsi="宋体" w:eastAsia="宋体" w:cs="宋体"/>
                <w:i w:val="0"/>
                <w:color w:val="000000"/>
                <w:sz w:val="18"/>
                <w:szCs w:val="18"/>
                <w:u w:val="none"/>
              </w:rPr>
            </w:pPr>
          </w:p>
        </w:tc>
        <w:tc>
          <w:tcPr>
            <w:tcW w:w="443" w:type="dxa"/>
            <w:shd w:val="clear" w:color="auto" w:fill="auto"/>
            <w:vAlign w:val="center"/>
          </w:tcPr>
          <w:p w14:paraId="56830A5D">
            <w:pPr>
              <w:rPr>
                <w:rFonts w:hint="eastAsia" w:ascii="宋体" w:hAnsi="宋体" w:eastAsia="宋体" w:cs="宋体"/>
                <w:i w:val="0"/>
                <w:color w:val="000000"/>
                <w:sz w:val="18"/>
                <w:szCs w:val="18"/>
                <w:u w:val="none"/>
              </w:rPr>
            </w:pPr>
          </w:p>
        </w:tc>
        <w:tc>
          <w:tcPr>
            <w:tcW w:w="2323" w:type="dxa"/>
            <w:shd w:val="clear" w:color="auto" w:fill="auto"/>
            <w:vAlign w:val="center"/>
          </w:tcPr>
          <w:p w14:paraId="21C88761">
            <w:pPr>
              <w:rPr>
                <w:rFonts w:hint="eastAsia" w:ascii="宋体" w:hAnsi="宋体" w:eastAsia="宋体" w:cs="宋体"/>
                <w:i w:val="0"/>
                <w:color w:val="000000"/>
                <w:sz w:val="18"/>
                <w:szCs w:val="18"/>
                <w:u w:val="none"/>
              </w:rPr>
            </w:pPr>
          </w:p>
        </w:tc>
      </w:tr>
      <w:tr w14:paraId="17FD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D1D86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EAF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DF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3CE6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51322421T000000049079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财政补差退休人员工资</w:t>
            </w:r>
          </w:p>
        </w:tc>
      </w:tr>
      <w:tr w14:paraId="26B8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0EE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91E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211EAC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FF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50D0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F39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5CB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9D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8255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A3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6099">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917B">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F76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保障财政补差退休人员正常工资发放2.06万元。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7FA3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对照年度目标，2023年共计发放财政补差退休人员工资2.06万元。完成相关任务目标的100%。</w:t>
            </w:r>
          </w:p>
        </w:tc>
      </w:tr>
      <w:tr w14:paraId="355C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CFF5">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13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69F7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为全面推动社保日常工作开展，维护财政补差人员合法权益，财政补差人员退休补差部分工资一直由我中心代发，每年需由县财政局予以补贴。</w:t>
            </w:r>
            <w:r>
              <w:rPr>
                <w:rFonts w:hint="eastAsia" w:ascii="宋体" w:hAnsi="宋体" w:cs="宋体"/>
                <w:i w:val="0"/>
                <w:color w:val="000000"/>
                <w:kern w:val="0"/>
                <w:sz w:val="18"/>
                <w:szCs w:val="18"/>
                <w:u w:val="none"/>
                <w:lang w:val="en-US" w:eastAsia="zh-CN" w:bidi="ar"/>
              </w:rPr>
              <w:t>确保</w:t>
            </w:r>
            <w:r>
              <w:rPr>
                <w:rFonts w:ascii="宋体" w:hAnsi="宋体" w:eastAsia="宋体" w:cs="宋体"/>
                <w:i w:val="0"/>
                <w:color w:val="000000"/>
                <w:kern w:val="0"/>
                <w:sz w:val="18"/>
                <w:szCs w:val="18"/>
                <w:u w:val="none"/>
                <w:lang w:val="en-US" w:eastAsia="zh-CN" w:bidi="ar"/>
              </w:rPr>
              <w:t>财政补差人员补贴正常发放。2023年财政补差人员工资发放预算执行数是2.06万元。</w:t>
            </w:r>
          </w:p>
        </w:tc>
      </w:tr>
      <w:tr w14:paraId="799D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2E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A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ED0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8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8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F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1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0F8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3318">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11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0C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EF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5916">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C56F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36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C6E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A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A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B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C9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9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0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6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07C6">
            <w:pPr>
              <w:rPr>
                <w:rFonts w:hint="eastAsia" w:ascii="黑体" w:hAnsi="黑体" w:eastAsia="黑体" w:cs="黑体"/>
                <w:i/>
                <w:color w:val="000000"/>
                <w:sz w:val="18"/>
                <w:szCs w:val="18"/>
                <w:u w:val="none"/>
              </w:rPr>
            </w:pPr>
          </w:p>
        </w:tc>
      </w:tr>
      <w:tr w14:paraId="3820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777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2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1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1C0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3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D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0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4137">
            <w:pPr>
              <w:rPr>
                <w:rFonts w:hint="eastAsia" w:ascii="黑体" w:hAnsi="黑体" w:eastAsia="黑体" w:cs="黑体"/>
                <w:i/>
                <w:color w:val="000000"/>
                <w:sz w:val="18"/>
                <w:szCs w:val="18"/>
                <w:u w:val="none"/>
              </w:rPr>
            </w:pPr>
          </w:p>
        </w:tc>
      </w:tr>
      <w:tr w14:paraId="3875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3697">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D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8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99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E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6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2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212F">
            <w:pPr>
              <w:rPr>
                <w:rFonts w:hint="eastAsia" w:ascii="黑体" w:hAnsi="黑体" w:eastAsia="黑体" w:cs="黑体"/>
                <w:i/>
                <w:color w:val="000000"/>
                <w:sz w:val="18"/>
                <w:szCs w:val="18"/>
                <w:u w:val="none"/>
              </w:rPr>
            </w:pPr>
          </w:p>
        </w:tc>
      </w:tr>
      <w:tr w14:paraId="1AAD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0F58">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1D5">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A547">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39E41">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29C3">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5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BD16">
            <w:pPr>
              <w:rPr>
                <w:rFonts w:hint="eastAsia" w:ascii="黑体" w:hAnsi="黑体" w:eastAsia="黑体" w:cs="黑体"/>
                <w:i/>
                <w:color w:val="000000"/>
                <w:sz w:val="18"/>
                <w:szCs w:val="18"/>
                <w:u w:val="none"/>
              </w:rPr>
            </w:pPr>
          </w:p>
        </w:tc>
      </w:tr>
      <w:tr w14:paraId="2719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42F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6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1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8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2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4F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C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4FA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DE98">
            <w:pPr>
              <w:jc w:val="center"/>
              <w:rPr>
                <w:rFonts w:hint="eastAsia" w:ascii="宋体" w:hAnsi="宋体" w:eastAsia="宋体" w:cs="宋体"/>
                <w:i w:val="0"/>
                <w:color w:val="000000"/>
                <w:sz w:val="18"/>
                <w:szCs w:val="18"/>
                <w:u w:val="none"/>
              </w:rPr>
            </w:pP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C0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8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财政补差退休人员发放人数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C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49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23E">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4771">
            <w:pPr>
              <w:jc w:val="center"/>
              <w:rPr>
                <w:rFonts w:hint="eastAsia" w:ascii="微软雅黑" w:hAnsi="微软雅黑" w:eastAsia="微软雅黑" w:cs="微软雅黑"/>
                <w:i/>
                <w:color w:val="000000"/>
                <w:sz w:val="16"/>
                <w:szCs w:val="16"/>
                <w:u w:val="none"/>
              </w:rPr>
            </w:pPr>
          </w:p>
        </w:tc>
      </w:tr>
      <w:tr w14:paraId="3336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5188">
            <w:pPr>
              <w:jc w:val="cente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4DDB">
            <w:pPr>
              <w:jc w:val="center"/>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F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6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经费足额拨付率、财政补差工资及时发放率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5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B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0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98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F1F">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FABA">
            <w:pPr>
              <w:jc w:val="center"/>
              <w:rPr>
                <w:rFonts w:hint="eastAsia" w:ascii="微软雅黑" w:hAnsi="微软雅黑" w:eastAsia="微软雅黑" w:cs="微软雅黑"/>
                <w:i/>
                <w:color w:val="000000"/>
                <w:sz w:val="16"/>
                <w:szCs w:val="16"/>
                <w:u w:val="none"/>
              </w:rPr>
            </w:pPr>
          </w:p>
        </w:tc>
      </w:tr>
      <w:tr w14:paraId="6C2D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5B8E">
            <w:pPr>
              <w:jc w:val="cente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99F3">
            <w:pPr>
              <w:jc w:val="center"/>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8B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本年度12月底之前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E8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4C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1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E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81B1">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881B">
            <w:pPr>
              <w:jc w:val="center"/>
              <w:rPr>
                <w:rFonts w:hint="eastAsia" w:ascii="微软雅黑" w:hAnsi="微软雅黑" w:eastAsia="微软雅黑" w:cs="微软雅黑"/>
                <w:i/>
                <w:color w:val="000000"/>
                <w:sz w:val="16"/>
                <w:szCs w:val="16"/>
                <w:u w:val="none"/>
              </w:rPr>
            </w:pPr>
          </w:p>
        </w:tc>
      </w:tr>
      <w:tr w14:paraId="07DA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341B">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提升社会稳定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E0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6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FB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F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B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DF5">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AE63">
            <w:pPr>
              <w:jc w:val="center"/>
              <w:rPr>
                <w:rFonts w:hint="eastAsia" w:ascii="微软雅黑" w:hAnsi="微软雅黑" w:eastAsia="微软雅黑" w:cs="微软雅黑"/>
                <w:i/>
                <w:color w:val="000000"/>
                <w:sz w:val="16"/>
                <w:szCs w:val="16"/>
                <w:u w:val="none"/>
              </w:rPr>
            </w:pPr>
          </w:p>
        </w:tc>
      </w:tr>
      <w:tr w14:paraId="62A5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9EB1">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FF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8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财政补差退休人员满意度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F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F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7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1A9">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BC04">
            <w:pPr>
              <w:jc w:val="center"/>
              <w:rPr>
                <w:rFonts w:hint="eastAsia" w:ascii="微软雅黑" w:hAnsi="微软雅黑" w:eastAsia="微软雅黑" w:cs="微软雅黑"/>
                <w:i/>
                <w:color w:val="000000"/>
                <w:sz w:val="16"/>
                <w:szCs w:val="16"/>
                <w:u w:val="none"/>
              </w:rPr>
            </w:pPr>
          </w:p>
        </w:tc>
      </w:tr>
      <w:tr w14:paraId="38CB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D5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9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BAB">
            <w:pPr>
              <w:rPr>
                <w:rFonts w:hint="eastAsia" w:ascii="宋体" w:hAnsi="宋体" w:eastAsia="宋体" w:cs="宋体"/>
                <w:i w:val="0"/>
                <w:color w:val="000000"/>
                <w:sz w:val="18"/>
                <w:szCs w:val="18"/>
                <w:u w:val="none"/>
              </w:rPr>
            </w:pPr>
          </w:p>
        </w:tc>
      </w:tr>
      <w:tr w14:paraId="589A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D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11C19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根据《社会保险基金财务制度》第六条规定“基金纳入单独的社会保障基金财政专户（以下简称财务项目自查得分93.1分，得分情况主要依据政策及项目实施保障制度。项目预期产出和效果是能满足社保日常工作需求。政专户），实行收支两条线管理，专款专用，任何地区、部门、单位和个人均不得挤占、挪用，也不得用于平衡财政预算。”以此立项，确保财政补差人员工资正常发放。</w:t>
            </w:r>
          </w:p>
        </w:tc>
      </w:tr>
      <w:tr w14:paraId="58FC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0060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840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E1D46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6BF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D776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348A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A1D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5C65D4EA">
            <w:pPr>
              <w:rPr>
                <w:rFonts w:hint="eastAsia" w:ascii="宋体" w:hAnsi="宋体" w:eastAsia="宋体" w:cs="宋体"/>
                <w:i w:val="0"/>
                <w:color w:val="000000"/>
                <w:sz w:val="18"/>
                <w:szCs w:val="18"/>
                <w:u w:val="none"/>
              </w:rPr>
            </w:pPr>
          </w:p>
        </w:tc>
        <w:tc>
          <w:tcPr>
            <w:tcW w:w="1840" w:type="dxa"/>
            <w:shd w:val="clear" w:color="auto" w:fill="auto"/>
            <w:vAlign w:val="center"/>
          </w:tcPr>
          <w:p w14:paraId="69B98940">
            <w:pPr>
              <w:rPr>
                <w:rFonts w:hint="eastAsia" w:ascii="宋体" w:hAnsi="宋体" w:eastAsia="宋体" w:cs="宋体"/>
                <w:i w:val="0"/>
                <w:color w:val="000000"/>
                <w:sz w:val="18"/>
                <w:szCs w:val="18"/>
                <w:u w:val="none"/>
              </w:rPr>
            </w:pPr>
          </w:p>
        </w:tc>
        <w:tc>
          <w:tcPr>
            <w:tcW w:w="1616" w:type="dxa"/>
            <w:shd w:val="clear" w:color="auto" w:fill="auto"/>
            <w:vAlign w:val="center"/>
          </w:tcPr>
          <w:p w14:paraId="775D7D47">
            <w:pPr>
              <w:rPr>
                <w:rFonts w:hint="eastAsia" w:ascii="宋体" w:hAnsi="宋体" w:eastAsia="宋体" w:cs="宋体"/>
                <w:i w:val="0"/>
                <w:color w:val="000000"/>
                <w:sz w:val="18"/>
                <w:szCs w:val="18"/>
                <w:u w:val="none"/>
              </w:rPr>
            </w:pPr>
          </w:p>
        </w:tc>
        <w:tc>
          <w:tcPr>
            <w:tcW w:w="2049" w:type="dxa"/>
            <w:shd w:val="clear" w:color="auto" w:fill="auto"/>
            <w:vAlign w:val="center"/>
          </w:tcPr>
          <w:p w14:paraId="1586E0DD">
            <w:pPr>
              <w:rPr>
                <w:rFonts w:hint="eastAsia" w:ascii="宋体" w:hAnsi="宋体" w:eastAsia="宋体" w:cs="宋体"/>
                <w:i w:val="0"/>
                <w:color w:val="000000"/>
                <w:sz w:val="18"/>
                <w:szCs w:val="18"/>
                <w:u w:val="none"/>
              </w:rPr>
            </w:pPr>
          </w:p>
        </w:tc>
        <w:tc>
          <w:tcPr>
            <w:tcW w:w="616" w:type="dxa"/>
            <w:shd w:val="clear" w:color="auto" w:fill="auto"/>
            <w:vAlign w:val="center"/>
          </w:tcPr>
          <w:p w14:paraId="4125B007">
            <w:pPr>
              <w:rPr>
                <w:rFonts w:hint="eastAsia" w:ascii="宋体" w:hAnsi="宋体" w:eastAsia="宋体" w:cs="宋体"/>
                <w:i w:val="0"/>
                <w:color w:val="000000"/>
                <w:sz w:val="18"/>
                <w:szCs w:val="18"/>
                <w:u w:val="none"/>
              </w:rPr>
            </w:pPr>
          </w:p>
        </w:tc>
        <w:tc>
          <w:tcPr>
            <w:tcW w:w="1523" w:type="dxa"/>
            <w:shd w:val="clear" w:color="auto" w:fill="auto"/>
            <w:vAlign w:val="center"/>
          </w:tcPr>
          <w:p w14:paraId="36B2FA48">
            <w:pPr>
              <w:rPr>
                <w:rFonts w:hint="eastAsia" w:ascii="宋体" w:hAnsi="宋体" w:eastAsia="宋体" w:cs="宋体"/>
                <w:i w:val="0"/>
                <w:color w:val="000000"/>
                <w:sz w:val="18"/>
                <w:szCs w:val="18"/>
                <w:u w:val="none"/>
              </w:rPr>
            </w:pPr>
          </w:p>
        </w:tc>
        <w:tc>
          <w:tcPr>
            <w:tcW w:w="1437" w:type="dxa"/>
            <w:shd w:val="clear" w:color="auto" w:fill="auto"/>
            <w:vAlign w:val="center"/>
          </w:tcPr>
          <w:p w14:paraId="0274B2B1">
            <w:pPr>
              <w:rPr>
                <w:rFonts w:hint="eastAsia" w:ascii="宋体" w:hAnsi="宋体" w:eastAsia="宋体" w:cs="宋体"/>
                <w:i w:val="0"/>
                <w:color w:val="000000"/>
                <w:sz w:val="18"/>
                <w:szCs w:val="18"/>
                <w:u w:val="none"/>
              </w:rPr>
            </w:pPr>
          </w:p>
        </w:tc>
        <w:tc>
          <w:tcPr>
            <w:tcW w:w="1029" w:type="dxa"/>
            <w:shd w:val="clear" w:color="auto" w:fill="auto"/>
            <w:vAlign w:val="center"/>
          </w:tcPr>
          <w:p w14:paraId="3E7061AE">
            <w:pPr>
              <w:rPr>
                <w:rFonts w:hint="eastAsia" w:ascii="宋体" w:hAnsi="宋体" w:eastAsia="宋体" w:cs="宋体"/>
                <w:i w:val="0"/>
                <w:color w:val="000000"/>
                <w:sz w:val="18"/>
                <w:szCs w:val="18"/>
                <w:u w:val="none"/>
              </w:rPr>
            </w:pPr>
          </w:p>
        </w:tc>
        <w:tc>
          <w:tcPr>
            <w:tcW w:w="470" w:type="dxa"/>
            <w:shd w:val="clear" w:color="auto" w:fill="auto"/>
            <w:vAlign w:val="center"/>
          </w:tcPr>
          <w:p w14:paraId="7DD02BAD">
            <w:pPr>
              <w:rPr>
                <w:rFonts w:hint="eastAsia" w:ascii="宋体" w:hAnsi="宋体" w:eastAsia="宋体" w:cs="宋体"/>
                <w:i w:val="0"/>
                <w:color w:val="000000"/>
                <w:sz w:val="18"/>
                <w:szCs w:val="18"/>
                <w:u w:val="none"/>
              </w:rPr>
            </w:pPr>
          </w:p>
        </w:tc>
        <w:tc>
          <w:tcPr>
            <w:tcW w:w="443" w:type="dxa"/>
            <w:shd w:val="clear" w:color="auto" w:fill="auto"/>
            <w:vAlign w:val="center"/>
          </w:tcPr>
          <w:p w14:paraId="34345A1B">
            <w:pPr>
              <w:rPr>
                <w:rFonts w:hint="eastAsia" w:ascii="宋体" w:hAnsi="宋体" w:eastAsia="宋体" w:cs="宋体"/>
                <w:i w:val="0"/>
                <w:color w:val="000000"/>
                <w:sz w:val="18"/>
                <w:szCs w:val="18"/>
                <w:u w:val="none"/>
              </w:rPr>
            </w:pPr>
          </w:p>
        </w:tc>
        <w:tc>
          <w:tcPr>
            <w:tcW w:w="2323" w:type="dxa"/>
            <w:shd w:val="clear" w:color="auto" w:fill="auto"/>
            <w:vAlign w:val="center"/>
          </w:tcPr>
          <w:p w14:paraId="665C1C41">
            <w:pPr>
              <w:rPr>
                <w:rFonts w:hint="eastAsia" w:ascii="宋体" w:hAnsi="宋体" w:eastAsia="宋体" w:cs="宋体"/>
                <w:i w:val="0"/>
                <w:color w:val="000000"/>
                <w:sz w:val="18"/>
                <w:szCs w:val="18"/>
                <w:u w:val="none"/>
              </w:rPr>
            </w:pPr>
          </w:p>
        </w:tc>
      </w:tr>
      <w:tr w14:paraId="7EBF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067B3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C91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049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F17F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51322422T000000284290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改制企业离退休人员非统项目补贴</w:t>
            </w:r>
          </w:p>
        </w:tc>
      </w:tr>
      <w:tr w14:paraId="7046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8F3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12A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5E2607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A9E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0FD2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C18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3E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4D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DD81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A45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36F2">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B094">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EC9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保证2004年前企业改制离退休人员补贴。预算执行数9.87万元。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151F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对照年度目标，2023年共计发放企业改制离退休人员补贴9.87万元。完成相关任务目标的100%。</w:t>
            </w:r>
          </w:p>
        </w:tc>
      </w:tr>
      <w:tr w14:paraId="70AD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E05B">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C2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6F97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为全面推动社保日常工作开展，维护改制企业离退休人员合法权益，我局已于2019年底将改制企业非统项目资金代发完毕。因非统项目资金不能</w:t>
            </w:r>
            <w:r>
              <w:rPr>
                <w:rFonts w:hint="eastAsia" w:ascii="宋体" w:hAnsi="宋体" w:cs="宋体"/>
                <w:i w:val="0"/>
                <w:color w:val="000000"/>
                <w:kern w:val="0"/>
                <w:sz w:val="18"/>
                <w:szCs w:val="18"/>
                <w:u w:val="none"/>
                <w:lang w:val="en-US" w:eastAsia="zh-CN" w:bidi="ar"/>
              </w:rPr>
              <w:t>在</w:t>
            </w:r>
            <w:r>
              <w:rPr>
                <w:rFonts w:ascii="宋体" w:hAnsi="宋体" w:eastAsia="宋体" w:cs="宋体"/>
                <w:i w:val="0"/>
                <w:color w:val="000000"/>
                <w:kern w:val="0"/>
                <w:sz w:val="18"/>
                <w:szCs w:val="18"/>
                <w:u w:val="none"/>
                <w:lang w:val="en-US" w:eastAsia="zh-CN" w:bidi="ar"/>
              </w:rPr>
              <w:t>养老基金中列支，需由县财政局予以补贴。确保改制企业离退休人员补贴正常发放。该项目制定了实施计划，成立了以主任为组长，分管财务副主任为副组长、退管人员为成员的自评领导小组。同时按照项目的组织、实施进行自评。</w:t>
            </w:r>
          </w:p>
        </w:tc>
      </w:tr>
      <w:tr w14:paraId="64F6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F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5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2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6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48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50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6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C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7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B60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24FD">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4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B5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8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C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88B">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8F3E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4D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666F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A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2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10.53</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3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37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A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BA93">
            <w:pPr>
              <w:rPr>
                <w:rFonts w:hint="eastAsia" w:ascii="黑体" w:hAnsi="黑体" w:eastAsia="黑体" w:cs="黑体"/>
                <w:i/>
                <w:color w:val="000000"/>
                <w:sz w:val="18"/>
                <w:szCs w:val="18"/>
                <w:u w:val="none"/>
              </w:rPr>
            </w:pPr>
          </w:p>
        </w:tc>
      </w:tr>
      <w:tr w14:paraId="6C20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7BE8">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A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72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5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C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B066">
            <w:pPr>
              <w:rPr>
                <w:rFonts w:hint="eastAsia" w:ascii="黑体" w:hAnsi="黑体" w:eastAsia="黑体" w:cs="黑体"/>
                <w:i/>
                <w:color w:val="000000"/>
                <w:sz w:val="18"/>
                <w:szCs w:val="18"/>
                <w:u w:val="none"/>
              </w:rPr>
            </w:pPr>
          </w:p>
        </w:tc>
      </w:tr>
      <w:tr w14:paraId="241D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5C2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0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65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7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D5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0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BCE8">
            <w:pPr>
              <w:rPr>
                <w:rFonts w:hint="eastAsia" w:ascii="黑体" w:hAnsi="黑体" w:eastAsia="黑体" w:cs="黑体"/>
                <w:i/>
                <w:color w:val="000000"/>
                <w:sz w:val="18"/>
                <w:szCs w:val="18"/>
                <w:u w:val="none"/>
              </w:rPr>
            </w:pPr>
          </w:p>
        </w:tc>
      </w:tr>
      <w:tr w14:paraId="256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DA7B">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C438">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BBB3">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217AE">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191">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5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CC77">
            <w:pPr>
              <w:rPr>
                <w:rFonts w:hint="eastAsia" w:ascii="黑体" w:hAnsi="黑体" w:eastAsia="黑体" w:cs="黑体"/>
                <w:i/>
                <w:color w:val="000000"/>
                <w:sz w:val="18"/>
                <w:szCs w:val="18"/>
                <w:u w:val="none"/>
              </w:rPr>
            </w:pPr>
          </w:p>
        </w:tc>
      </w:tr>
      <w:tr w14:paraId="35C3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774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5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2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8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DA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0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744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8234">
            <w:pPr>
              <w:jc w:val="center"/>
              <w:rPr>
                <w:rFonts w:hint="eastAsia" w:ascii="宋体" w:hAnsi="宋体" w:eastAsia="宋体" w:cs="宋体"/>
                <w:i w:val="0"/>
                <w:color w:val="000000"/>
                <w:sz w:val="18"/>
                <w:szCs w:val="18"/>
                <w:u w:val="none"/>
              </w:rPr>
            </w:pP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8C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7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改制企业离退休人数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6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1284</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F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8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1ED">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93B">
            <w:pPr>
              <w:jc w:val="center"/>
              <w:rPr>
                <w:rFonts w:hint="eastAsia" w:ascii="微软雅黑" w:hAnsi="微软雅黑" w:eastAsia="微软雅黑" w:cs="微软雅黑"/>
                <w:i/>
                <w:color w:val="000000"/>
                <w:sz w:val="16"/>
                <w:szCs w:val="16"/>
                <w:u w:val="none"/>
              </w:rPr>
            </w:pPr>
          </w:p>
        </w:tc>
      </w:tr>
      <w:tr w14:paraId="7376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5F56">
            <w:pPr>
              <w:jc w:val="cente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D329">
            <w:pPr>
              <w:jc w:val="center"/>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5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1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高质量完成补贴发放率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4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8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8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1C87">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60BD">
            <w:pPr>
              <w:jc w:val="center"/>
              <w:rPr>
                <w:rFonts w:hint="eastAsia" w:ascii="微软雅黑" w:hAnsi="微软雅黑" w:eastAsia="微软雅黑" w:cs="微软雅黑"/>
                <w:i/>
                <w:color w:val="000000"/>
                <w:sz w:val="16"/>
                <w:szCs w:val="16"/>
                <w:u w:val="none"/>
              </w:rPr>
            </w:pPr>
          </w:p>
        </w:tc>
      </w:tr>
      <w:tr w14:paraId="731C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BC70">
            <w:pPr>
              <w:jc w:val="cente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FE69">
            <w:pPr>
              <w:jc w:val="center"/>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1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0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资金足额拨付及时率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B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1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3C3">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821">
            <w:pPr>
              <w:jc w:val="center"/>
              <w:rPr>
                <w:rFonts w:hint="eastAsia" w:ascii="微软雅黑" w:hAnsi="微软雅黑" w:eastAsia="微软雅黑" w:cs="微软雅黑"/>
                <w:i/>
                <w:color w:val="000000"/>
                <w:sz w:val="16"/>
                <w:szCs w:val="16"/>
                <w:u w:val="none"/>
              </w:rPr>
            </w:pPr>
          </w:p>
        </w:tc>
      </w:tr>
      <w:tr w14:paraId="3F80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08B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9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C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幸福感、获得感加强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7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1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稳中有升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B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4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15F">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0EC5">
            <w:pPr>
              <w:jc w:val="center"/>
              <w:rPr>
                <w:rFonts w:hint="eastAsia" w:ascii="微软雅黑" w:hAnsi="微软雅黑" w:eastAsia="微软雅黑" w:cs="微软雅黑"/>
                <w:i/>
                <w:color w:val="000000"/>
                <w:sz w:val="16"/>
                <w:szCs w:val="16"/>
                <w:u w:val="none"/>
              </w:rPr>
            </w:pPr>
          </w:p>
        </w:tc>
      </w:tr>
      <w:tr w14:paraId="14F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DCB0">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A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4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改制企业离退人员满意度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2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7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8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F02">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FA0">
            <w:pPr>
              <w:jc w:val="center"/>
              <w:rPr>
                <w:rFonts w:hint="eastAsia" w:ascii="微软雅黑" w:hAnsi="微软雅黑" w:eastAsia="微软雅黑" w:cs="微软雅黑"/>
                <w:i/>
                <w:color w:val="000000"/>
                <w:sz w:val="16"/>
                <w:szCs w:val="16"/>
                <w:u w:val="none"/>
              </w:rPr>
            </w:pPr>
          </w:p>
        </w:tc>
      </w:tr>
      <w:tr w14:paraId="5EA4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9A2C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F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FC9">
            <w:pPr>
              <w:rPr>
                <w:rFonts w:hint="eastAsia" w:ascii="宋体" w:hAnsi="宋体" w:eastAsia="宋体" w:cs="宋体"/>
                <w:i w:val="0"/>
                <w:color w:val="000000"/>
                <w:sz w:val="18"/>
                <w:szCs w:val="18"/>
                <w:u w:val="none"/>
              </w:rPr>
            </w:pPr>
          </w:p>
        </w:tc>
      </w:tr>
      <w:tr w14:paraId="34FF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2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D5A46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资金来源为：财政拨款。资金渠道的合法合规，评估内容具有公共性，属于公共财政支持范围，筹资渠道符合法律法规规定，筹资结构合理，资金来源渠道明确。该项目自查得分93.1分，得分情况主要依据政策及项目实施保障制度。项目预期产出和效果是能满足档案日常工作需求。</w:t>
            </w:r>
          </w:p>
        </w:tc>
      </w:tr>
      <w:tr w14:paraId="611A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0A84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D3B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F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41AA7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DA8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7D9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C99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B8A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73F9A213">
            <w:pPr>
              <w:rPr>
                <w:rFonts w:hint="eastAsia" w:ascii="宋体" w:hAnsi="宋体" w:eastAsia="宋体" w:cs="宋体"/>
                <w:i w:val="0"/>
                <w:color w:val="000000"/>
                <w:sz w:val="18"/>
                <w:szCs w:val="18"/>
                <w:u w:val="none"/>
              </w:rPr>
            </w:pPr>
          </w:p>
        </w:tc>
        <w:tc>
          <w:tcPr>
            <w:tcW w:w="1840" w:type="dxa"/>
            <w:shd w:val="clear" w:color="auto" w:fill="auto"/>
            <w:vAlign w:val="center"/>
          </w:tcPr>
          <w:p w14:paraId="12C92CD2">
            <w:pPr>
              <w:rPr>
                <w:rFonts w:hint="eastAsia" w:ascii="宋体" w:hAnsi="宋体" w:eastAsia="宋体" w:cs="宋体"/>
                <w:i w:val="0"/>
                <w:color w:val="000000"/>
                <w:sz w:val="18"/>
                <w:szCs w:val="18"/>
                <w:u w:val="none"/>
              </w:rPr>
            </w:pPr>
          </w:p>
        </w:tc>
        <w:tc>
          <w:tcPr>
            <w:tcW w:w="1616" w:type="dxa"/>
            <w:shd w:val="clear" w:color="auto" w:fill="auto"/>
            <w:vAlign w:val="center"/>
          </w:tcPr>
          <w:p w14:paraId="62D7B337">
            <w:pPr>
              <w:rPr>
                <w:rFonts w:hint="eastAsia" w:ascii="宋体" w:hAnsi="宋体" w:eastAsia="宋体" w:cs="宋体"/>
                <w:i w:val="0"/>
                <w:color w:val="000000"/>
                <w:sz w:val="18"/>
                <w:szCs w:val="18"/>
                <w:u w:val="none"/>
              </w:rPr>
            </w:pPr>
          </w:p>
        </w:tc>
        <w:tc>
          <w:tcPr>
            <w:tcW w:w="2049" w:type="dxa"/>
            <w:shd w:val="clear" w:color="auto" w:fill="auto"/>
            <w:vAlign w:val="center"/>
          </w:tcPr>
          <w:p w14:paraId="1FDDC8C5">
            <w:pPr>
              <w:rPr>
                <w:rFonts w:hint="eastAsia" w:ascii="宋体" w:hAnsi="宋体" w:eastAsia="宋体" w:cs="宋体"/>
                <w:i w:val="0"/>
                <w:color w:val="000000"/>
                <w:sz w:val="18"/>
                <w:szCs w:val="18"/>
                <w:u w:val="none"/>
              </w:rPr>
            </w:pPr>
          </w:p>
        </w:tc>
        <w:tc>
          <w:tcPr>
            <w:tcW w:w="616" w:type="dxa"/>
            <w:shd w:val="clear" w:color="auto" w:fill="auto"/>
            <w:vAlign w:val="center"/>
          </w:tcPr>
          <w:p w14:paraId="7C744033">
            <w:pPr>
              <w:rPr>
                <w:rFonts w:hint="eastAsia" w:ascii="宋体" w:hAnsi="宋体" w:eastAsia="宋体" w:cs="宋体"/>
                <w:i w:val="0"/>
                <w:color w:val="000000"/>
                <w:sz w:val="18"/>
                <w:szCs w:val="18"/>
                <w:u w:val="none"/>
              </w:rPr>
            </w:pPr>
          </w:p>
        </w:tc>
        <w:tc>
          <w:tcPr>
            <w:tcW w:w="1523" w:type="dxa"/>
            <w:shd w:val="clear" w:color="auto" w:fill="auto"/>
            <w:vAlign w:val="center"/>
          </w:tcPr>
          <w:p w14:paraId="30C52B42">
            <w:pPr>
              <w:rPr>
                <w:rFonts w:hint="eastAsia" w:ascii="宋体" w:hAnsi="宋体" w:eastAsia="宋体" w:cs="宋体"/>
                <w:i w:val="0"/>
                <w:color w:val="000000"/>
                <w:sz w:val="18"/>
                <w:szCs w:val="18"/>
                <w:u w:val="none"/>
              </w:rPr>
            </w:pPr>
          </w:p>
        </w:tc>
        <w:tc>
          <w:tcPr>
            <w:tcW w:w="1437" w:type="dxa"/>
            <w:shd w:val="clear" w:color="auto" w:fill="auto"/>
            <w:vAlign w:val="center"/>
          </w:tcPr>
          <w:p w14:paraId="091FFB17">
            <w:pPr>
              <w:rPr>
                <w:rFonts w:hint="eastAsia" w:ascii="宋体" w:hAnsi="宋体" w:eastAsia="宋体" w:cs="宋体"/>
                <w:i w:val="0"/>
                <w:color w:val="000000"/>
                <w:sz w:val="18"/>
                <w:szCs w:val="18"/>
                <w:u w:val="none"/>
              </w:rPr>
            </w:pPr>
          </w:p>
        </w:tc>
        <w:tc>
          <w:tcPr>
            <w:tcW w:w="1029" w:type="dxa"/>
            <w:shd w:val="clear" w:color="auto" w:fill="auto"/>
            <w:vAlign w:val="center"/>
          </w:tcPr>
          <w:p w14:paraId="09CC986E">
            <w:pPr>
              <w:rPr>
                <w:rFonts w:hint="eastAsia" w:ascii="宋体" w:hAnsi="宋体" w:eastAsia="宋体" w:cs="宋体"/>
                <w:i w:val="0"/>
                <w:color w:val="000000"/>
                <w:sz w:val="18"/>
                <w:szCs w:val="18"/>
                <w:u w:val="none"/>
              </w:rPr>
            </w:pPr>
          </w:p>
        </w:tc>
        <w:tc>
          <w:tcPr>
            <w:tcW w:w="470" w:type="dxa"/>
            <w:shd w:val="clear" w:color="auto" w:fill="auto"/>
            <w:vAlign w:val="center"/>
          </w:tcPr>
          <w:p w14:paraId="657D9B5E">
            <w:pPr>
              <w:rPr>
                <w:rFonts w:hint="eastAsia" w:ascii="宋体" w:hAnsi="宋体" w:eastAsia="宋体" w:cs="宋体"/>
                <w:i w:val="0"/>
                <w:color w:val="000000"/>
                <w:sz w:val="18"/>
                <w:szCs w:val="18"/>
                <w:u w:val="none"/>
              </w:rPr>
            </w:pPr>
          </w:p>
        </w:tc>
        <w:tc>
          <w:tcPr>
            <w:tcW w:w="443" w:type="dxa"/>
            <w:shd w:val="clear" w:color="auto" w:fill="auto"/>
            <w:vAlign w:val="center"/>
          </w:tcPr>
          <w:p w14:paraId="2834EC16">
            <w:pPr>
              <w:rPr>
                <w:rFonts w:hint="eastAsia" w:ascii="宋体" w:hAnsi="宋体" w:eastAsia="宋体" w:cs="宋体"/>
                <w:i w:val="0"/>
                <w:color w:val="000000"/>
                <w:sz w:val="18"/>
                <w:szCs w:val="18"/>
                <w:u w:val="none"/>
              </w:rPr>
            </w:pPr>
          </w:p>
        </w:tc>
        <w:tc>
          <w:tcPr>
            <w:tcW w:w="2323" w:type="dxa"/>
            <w:shd w:val="clear" w:color="auto" w:fill="auto"/>
            <w:vAlign w:val="center"/>
          </w:tcPr>
          <w:p w14:paraId="34715F03">
            <w:pPr>
              <w:rPr>
                <w:rFonts w:hint="eastAsia" w:ascii="宋体" w:hAnsi="宋体" w:eastAsia="宋体" w:cs="宋体"/>
                <w:i w:val="0"/>
                <w:color w:val="000000"/>
                <w:sz w:val="18"/>
                <w:szCs w:val="18"/>
                <w:u w:val="none"/>
              </w:rPr>
            </w:pPr>
          </w:p>
        </w:tc>
      </w:tr>
      <w:tr w14:paraId="6E69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DDA35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F98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43D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DE4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51322422T000005282561-春节慰问金</w:t>
            </w:r>
          </w:p>
        </w:tc>
      </w:tr>
      <w:tr w14:paraId="6D91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07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6A3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428C21B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5D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2370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600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3E2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42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A351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ADA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3F0E">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A049">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98B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春节慰问补贴金2023年企业离退休人员192人，每人500元，共计9.6万元。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943B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对照年度目标，2023年共计发放企业离退休人员春节慰问金9.6万元，完成相关任务目标的100%。</w:t>
            </w:r>
          </w:p>
        </w:tc>
      </w:tr>
      <w:tr w14:paraId="2BD4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9382">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9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0AE5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为全面推动社保日常工作开展，关</w:t>
            </w:r>
            <w:r>
              <w:rPr>
                <w:rFonts w:hint="eastAsia" w:ascii="宋体" w:hAnsi="宋体" w:cs="宋体"/>
                <w:i w:val="0"/>
                <w:color w:val="000000"/>
                <w:kern w:val="0"/>
                <w:sz w:val="18"/>
                <w:szCs w:val="18"/>
                <w:u w:val="none"/>
                <w:lang w:val="en-US" w:eastAsia="zh-CN" w:bidi="ar"/>
              </w:rPr>
              <w:t>心关</w:t>
            </w:r>
            <w:r>
              <w:rPr>
                <w:rFonts w:ascii="宋体" w:hAnsi="宋体" w:eastAsia="宋体" w:cs="宋体"/>
                <w:i w:val="0"/>
                <w:color w:val="000000"/>
                <w:kern w:val="0"/>
                <w:sz w:val="18"/>
                <w:szCs w:val="18"/>
                <w:u w:val="none"/>
                <w:lang w:val="en-US" w:eastAsia="zh-CN" w:bidi="ar"/>
              </w:rPr>
              <w:t>爱企业离退休人员，我局每年年底将对企业离退休人员进行春节慰问送温暖活动。需由县财政局申请予以春节慰问补贴金2023年企业离退休人员190人，每人500元，共计95000元。保证春节慰问补贴正常发放。</w:t>
            </w:r>
          </w:p>
        </w:tc>
      </w:tr>
      <w:tr w14:paraId="5AD4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E8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8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01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09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F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908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387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F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8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8B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D3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B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C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FA3C">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0313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1A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438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3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0B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4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009E">
            <w:pPr>
              <w:rPr>
                <w:rFonts w:hint="eastAsia" w:ascii="黑体" w:hAnsi="黑体" w:eastAsia="黑体" w:cs="黑体"/>
                <w:i/>
                <w:color w:val="000000"/>
                <w:sz w:val="18"/>
                <w:szCs w:val="18"/>
                <w:u w:val="none"/>
              </w:rPr>
            </w:pPr>
          </w:p>
        </w:tc>
      </w:tr>
      <w:tr w14:paraId="56A7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10A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D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9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64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C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5690">
            <w:pPr>
              <w:rPr>
                <w:rFonts w:hint="eastAsia" w:ascii="黑体" w:hAnsi="黑体" w:eastAsia="黑体" w:cs="黑体"/>
                <w:i/>
                <w:color w:val="000000"/>
                <w:sz w:val="18"/>
                <w:szCs w:val="18"/>
                <w:u w:val="none"/>
              </w:rPr>
            </w:pPr>
          </w:p>
        </w:tc>
      </w:tr>
      <w:tr w14:paraId="589C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5510">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3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2D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5B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4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D210">
            <w:pPr>
              <w:rPr>
                <w:rFonts w:hint="eastAsia" w:ascii="黑体" w:hAnsi="黑体" w:eastAsia="黑体" w:cs="黑体"/>
                <w:i/>
                <w:color w:val="000000"/>
                <w:sz w:val="18"/>
                <w:szCs w:val="18"/>
                <w:u w:val="none"/>
              </w:rPr>
            </w:pPr>
          </w:p>
        </w:tc>
      </w:tr>
      <w:tr w14:paraId="6E73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BC34">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9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3FF">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E96A">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A220C">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A101">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B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BF31">
            <w:pPr>
              <w:rPr>
                <w:rFonts w:hint="eastAsia" w:ascii="黑体" w:hAnsi="黑体" w:eastAsia="黑体" w:cs="黑体"/>
                <w:i/>
                <w:color w:val="000000"/>
                <w:sz w:val="18"/>
                <w:szCs w:val="18"/>
                <w:u w:val="none"/>
              </w:rPr>
            </w:pPr>
          </w:p>
        </w:tc>
      </w:tr>
      <w:tr w14:paraId="2B90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4F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0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F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7A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DC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5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4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6F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512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6C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6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春节慰问金按时足额发放比率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E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D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1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D94">
            <w:pPr>
              <w:rPr>
                <w:rFonts w:hint="eastAsia" w:ascii="宋体" w:hAnsi="宋体" w:eastAsia="宋体" w:cs="宋体"/>
                <w:i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A090">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74A">
            <w:pPr>
              <w:jc w:val="center"/>
              <w:rPr>
                <w:rFonts w:hint="eastAsia" w:ascii="宋体" w:hAnsi="宋体" w:eastAsia="宋体" w:cs="宋体"/>
                <w:i w:val="0"/>
                <w:color w:val="000000"/>
                <w:sz w:val="18"/>
                <w:szCs w:val="18"/>
                <w:u w:val="none"/>
              </w:rPr>
            </w:pPr>
          </w:p>
        </w:tc>
      </w:tr>
      <w:tr w14:paraId="5A42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0B9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5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87AC">
            <w:pPr>
              <w:rPr>
                <w:rFonts w:hint="eastAsia" w:ascii="宋体" w:hAnsi="宋体" w:eastAsia="宋体" w:cs="宋体"/>
                <w:i w:val="0"/>
                <w:color w:val="000000"/>
                <w:sz w:val="18"/>
                <w:szCs w:val="18"/>
                <w:u w:val="none"/>
              </w:rPr>
            </w:pPr>
          </w:p>
        </w:tc>
      </w:tr>
      <w:tr w14:paraId="13FF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3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E7254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根据《松潘县人民政府办公室关于同意改制企业离退休人员社会保障金划拨比例的批复》（松府办函〔2021〕18号）文件精神，以此立项，确保企业离退休人员春节慰问金正常发放。该项目自查得分90.1分，得分情况主要依据政策及项目实施保障制度。项目预期产出和效果是能满足档案日常工作需求。</w:t>
            </w:r>
          </w:p>
        </w:tc>
      </w:tr>
      <w:tr w14:paraId="58E9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8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47EEC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DA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5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CB17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38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FA1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4B5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0B9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7CE7A23A">
            <w:pPr>
              <w:rPr>
                <w:rFonts w:hint="eastAsia" w:ascii="宋体" w:hAnsi="宋体" w:eastAsia="宋体" w:cs="宋体"/>
                <w:i w:val="0"/>
                <w:color w:val="000000"/>
                <w:sz w:val="18"/>
                <w:szCs w:val="18"/>
                <w:u w:val="none"/>
              </w:rPr>
            </w:pPr>
          </w:p>
        </w:tc>
        <w:tc>
          <w:tcPr>
            <w:tcW w:w="1840" w:type="dxa"/>
            <w:shd w:val="clear" w:color="auto" w:fill="auto"/>
            <w:vAlign w:val="center"/>
          </w:tcPr>
          <w:p w14:paraId="531C11AB">
            <w:pPr>
              <w:rPr>
                <w:rFonts w:hint="eastAsia" w:ascii="宋体" w:hAnsi="宋体" w:eastAsia="宋体" w:cs="宋体"/>
                <w:i w:val="0"/>
                <w:color w:val="000000"/>
                <w:sz w:val="18"/>
                <w:szCs w:val="18"/>
                <w:u w:val="none"/>
              </w:rPr>
            </w:pPr>
          </w:p>
        </w:tc>
        <w:tc>
          <w:tcPr>
            <w:tcW w:w="1616" w:type="dxa"/>
            <w:shd w:val="clear" w:color="auto" w:fill="auto"/>
            <w:vAlign w:val="center"/>
          </w:tcPr>
          <w:p w14:paraId="1FED8DF5">
            <w:pPr>
              <w:rPr>
                <w:rFonts w:hint="eastAsia" w:ascii="宋体" w:hAnsi="宋体" w:eastAsia="宋体" w:cs="宋体"/>
                <w:i w:val="0"/>
                <w:color w:val="000000"/>
                <w:sz w:val="18"/>
                <w:szCs w:val="18"/>
                <w:u w:val="none"/>
              </w:rPr>
            </w:pPr>
          </w:p>
        </w:tc>
        <w:tc>
          <w:tcPr>
            <w:tcW w:w="2049" w:type="dxa"/>
            <w:shd w:val="clear" w:color="auto" w:fill="auto"/>
            <w:vAlign w:val="center"/>
          </w:tcPr>
          <w:p w14:paraId="4E850246">
            <w:pPr>
              <w:rPr>
                <w:rFonts w:hint="eastAsia" w:ascii="宋体" w:hAnsi="宋体" w:eastAsia="宋体" w:cs="宋体"/>
                <w:i w:val="0"/>
                <w:color w:val="000000"/>
                <w:sz w:val="18"/>
                <w:szCs w:val="18"/>
                <w:u w:val="none"/>
              </w:rPr>
            </w:pPr>
          </w:p>
        </w:tc>
        <w:tc>
          <w:tcPr>
            <w:tcW w:w="616" w:type="dxa"/>
            <w:shd w:val="clear" w:color="auto" w:fill="auto"/>
            <w:vAlign w:val="center"/>
          </w:tcPr>
          <w:p w14:paraId="08362067">
            <w:pPr>
              <w:rPr>
                <w:rFonts w:hint="eastAsia" w:ascii="宋体" w:hAnsi="宋体" w:eastAsia="宋体" w:cs="宋体"/>
                <w:i w:val="0"/>
                <w:color w:val="000000"/>
                <w:sz w:val="18"/>
                <w:szCs w:val="18"/>
                <w:u w:val="none"/>
              </w:rPr>
            </w:pPr>
          </w:p>
        </w:tc>
        <w:tc>
          <w:tcPr>
            <w:tcW w:w="1523" w:type="dxa"/>
            <w:shd w:val="clear" w:color="auto" w:fill="auto"/>
            <w:vAlign w:val="center"/>
          </w:tcPr>
          <w:p w14:paraId="2F8813F7">
            <w:pPr>
              <w:rPr>
                <w:rFonts w:hint="eastAsia" w:ascii="宋体" w:hAnsi="宋体" w:eastAsia="宋体" w:cs="宋体"/>
                <w:i w:val="0"/>
                <w:color w:val="000000"/>
                <w:sz w:val="18"/>
                <w:szCs w:val="18"/>
                <w:u w:val="none"/>
              </w:rPr>
            </w:pPr>
          </w:p>
        </w:tc>
        <w:tc>
          <w:tcPr>
            <w:tcW w:w="1437" w:type="dxa"/>
            <w:shd w:val="clear" w:color="auto" w:fill="auto"/>
            <w:vAlign w:val="center"/>
          </w:tcPr>
          <w:p w14:paraId="02868FC8">
            <w:pPr>
              <w:rPr>
                <w:rFonts w:hint="eastAsia" w:ascii="宋体" w:hAnsi="宋体" w:eastAsia="宋体" w:cs="宋体"/>
                <w:i w:val="0"/>
                <w:color w:val="000000"/>
                <w:sz w:val="18"/>
                <w:szCs w:val="18"/>
                <w:u w:val="none"/>
              </w:rPr>
            </w:pPr>
          </w:p>
        </w:tc>
        <w:tc>
          <w:tcPr>
            <w:tcW w:w="1029" w:type="dxa"/>
            <w:shd w:val="clear" w:color="auto" w:fill="auto"/>
            <w:vAlign w:val="center"/>
          </w:tcPr>
          <w:p w14:paraId="700EB646">
            <w:pPr>
              <w:rPr>
                <w:rFonts w:hint="eastAsia" w:ascii="宋体" w:hAnsi="宋体" w:eastAsia="宋体" w:cs="宋体"/>
                <w:i w:val="0"/>
                <w:color w:val="000000"/>
                <w:sz w:val="18"/>
                <w:szCs w:val="18"/>
                <w:u w:val="none"/>
              </w:rPr>
            </w:pPr>
          </w:p>
        </w:tc>
        <w:tc>
          <w:tcPr>
            <w:tcW w:w="470" w:type="dxa"/>
            <w:shd w:val="clear" w:color="auto" w:fill="auto"/>
            <w:vAlign w:val="center"/>
          </w:tcPr>
          <w:p w14:paraId="5DE7673E">
            <w:pPr>
              <w:rPr>
                <w:rFonts w:hint="eastAsia" w:ascii="宋体" w:hAnsi="宋体" w:eastAsia="宋体" w:cs="宋体"/>
                <w:i w:val="0"/>
                <w:color w:val="000000"/>
                <w:sz w:val="18"/>
                <w:szCs w:val="18"/>
                <w:u w:val="none"/>
              </w:rPr>
            </w:pPr>
          </w:p>
        </w:tc>
        <w:tc>
          <w:tcPr>
            <w:tcW w:w="443" w:type="dxa"/>
            <w:shd w:val="clear" w:color="auto" w:fill="auto"/>
            <w:vAlign w:val="center"/>
          </w:tcPr>
          <w:p w14:paraId="0162554A">
            <w:pPr>
              <w:rPr>
                <w:rFonts w:hint="eastAsia" w:ascii="宋体" w:hAnsi="宋体" w:eastAsia="宋体" w:cs="宋体"/>
                <w:i w:val="0"/>
                <w:color w:val="000000"/>
                <w:sz w:val="18"/>
                <w:szCs w:val="18"/>
                <w:u w:val="none"/>
              </w:rPr>
            </w:pPr>
          </w:p>
        </w:tc>
        <w:tc>
          <w:tcPr>
            <w:tcW w:w="2323" w:type="dxa"/>
            <w:shd w:val="clear" w:color="auto" w:fill="auto"/>
            <w:vAlign w:val="center"/>
          </w:tcPr>
          <w:p w14:paraId="718E6732">
            <w:pPr>
              <w:rPr>
                <w:rFonts w:hint="eastAsia" w:ascii="宋体" w:hAnsi="宋体" w:eastAsia="宋体" w:cs="宋体"/>
                <w:i w:val="0"/>
                <w:color w:val="000000"/>
                <w:sz w:val="18"/>
                <w:szCs w:val="18"/>
                <w:u w:val="none"/>
              </w:rPr>
            </w:pPr>
          </w:p>
        </w:tc>
      </w:tr>
      <w:tr w14:paraId="06D4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10D84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19E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152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920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51322422T000006777759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省级财政社保公共服务能力建设资金（</w:t>
            </w:r>
            <w:r>
              <w:rPr>
                <w:rFonts w:hint="eastAsia" w:ascii="宋体" w:hAnsi="宋体" w:cs="宋体"/>
                <w:i w:val="0"/>
                <w:color w:val="000000"/>
                <w:kern w:val="0"/>
                <w:sz w:val="18"/>
                <w:szCs w:val="18"/>
                <w:u w:val="none"/>
                <w:lang w:val="en-US" w:eastAsia="zh-CN" w:bidi="ar"/>
              </w:rPr>
              <w:t>社保中心</w:t>
            </w:r>
            <w:r>
              <w:rPr>
                <w:rFonts w:ascii="宋体" w:hAnsi="宋体" w:eastAsia="宋体" w:cs="宋体"/>
                <w:i w:val="0"/>
                <w:color w:val="000000"/>
                <w:kern w:val="0"/>
                <w:sz w:val="18"/>
                <w:szCs w:val="18"/>
                <w:u w:val="none"/>
                <w:lang w:val="en-US" w:eastAsia="zh-CN" w:bidi="ar"/>
              </w:rPr>
              <w:t>）</w:t>
            </w:r>
          </w:p>
        </w:tc>
      </w:tr>
      <w:tr w14:paraId="0338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93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284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189A42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0F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7709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8F2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5A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CEA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F6FD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85D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9845">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EA2E">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4A9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企业职工基本养老保险、工伤保险省级统筹顺利推进，参保覆盖人数持续增长，待遇水平稳步提高，基金运行总体平稳；强化社会保险基金预决算管理工作，完善社保基金预决算管理办法，做好基金预决算及预算执行情况动态分析，切实构建社会保险基金预决算监督管理的长效机制。2023年预算执行数5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1C83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对照年度目标，2023年完成省级财政下达社保公共服务能力建设资金5万元。相关任务目标的100%。</w:t>
            </w:r>
          </w:p>
        </w:tc>
      </w:tr>
      <w:tr w14:paraId="27D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59D8">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6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8519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全面推动社保日常工作开展，确保企业职工基本养老保险、工伤保险省级统筹顺利推进，参保覆盖人数持续增长，待遇水平稳步提高，基金运行总体平稳；强化社会保险基金预决算管理工作，完善社保基金预决算管理办法，做好基金预决算及预算执行情况动态分析，切实构建社会保险基金预决算监督管理的长效机制。</w:t>
            </w:r>
          </w:p>
        </w:tc>
      </w:tr>
      <w:tr w14:paraId="43DA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16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FC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1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66E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D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D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B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998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4B0F">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5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C9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6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AD7">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80C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43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AFB4">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C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32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BB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8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3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0C68">
            <w:pPr>
              <w:rPr>
                <w:rFonts w:hint="eastAsia" w:ascii="黑体" w:hAnsi="黑体" w:eastAsia="黑体" w:cs="黑体"/>
                <w:i/>
                <w:color w:val="000000"/>
                <w:sz w:val="18"/>
                <w:szCs w:val="18"/>
                <w:u w:val="none"/>
              </w:rPr>
            </w:pPr>
          </w:p>
        </w:tc>
      </w:tr>
      <w:tr w14:paraId="2A4E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C648">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1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24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4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5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B706">
            <w:pPr>
              <w:rPr>
                <w:rFonts w:hint="eastAsia" w:ascii="黑体" w:hAnsi="黑体" w:eastAsia="黑体" w:cs="黑体"/>
                <w:i/>
                <w:color w:val="000000"/>
                <w:sz w:val="18"/>
                <w:szCs w:val="18"/>
                <w:u w:val="none"/>
              </w:rPr>
            </w:pPr>
          </w:p>
        </w:tc>
      </w:tr>
      <w:tr w14:paraId="2BFF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6F61">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9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45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6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61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250B">
            <w:pPr>
              <w:rPr>
                <w:rFonts w:hint="eastAsia" w:ascii="黑体" w:hAnsi="黑体" w:eastAsia="黑体" w:cs="黑体"/>
                <w:i/>
                <w:color w:val="000000"/>
                <w:sz w:val="18"/>
                <w:szCs w:val="18"/>
                <w:u w:val="none"/>
              </w:rPr>
            </w:pPr>
          </w:p>
        </w:tc>
      </w:tr>
      <w:tr w14:paraId="71AF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08C7">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A74D">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DDE5">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57B24">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552C">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6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70F9">
            <w:pPr>
              <w:rPr>
                <w:rFonts w:hint="eastAsia" w:ascii="黑体" w:hAnsi="黑体" w:eastAsia="黑体" w:cs="黑体"/>
                <w:i/>
                <w:color w:val="000000"/>
                <w:sz w:val="18"/>
                <w:szCs w:val="18"/>
                <w:u w:val="none"/>
              </w:rPr>
            </w:pPr>
          </w:p>
        </w:tc>
      </w:tr>
      <w:tr w14:paraId="6055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A9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F5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D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50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AB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7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62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3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F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48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836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7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B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5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群众获得感、幸福感</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76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73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B9CF">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6F4">
            <w:pPr>
              <w:jc w:val="center"/>
              <w:rPr>
                <w:rFonts w:hint="eastAsia" w:ascii="宋体" w:hAnsi="宋体" w:eastAsia="宋体" w:cs="宋体"/>
                <w:i w:val="0"/>
                <w:color w:val="000000"/>
                <w:sz w:val="18"/>
                <w:szCs w:val="18"/>
                <w:u w:val="none"/>
              </w:rPr>
            </w:pPr>
          </w:p>
        </w:tc>
      </w:tr>
      <w:tr w14:paraId="5DC2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3E7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2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D3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588">
            <w:pPr>
              <w:rPr>
                <w:rFonts w:hint="eastAsia" w:ascii="宋体" w:hAnsi="宋体" w:eastAsia="宋体" w:cs="宋体"/>
                <w:i w:val="0"/>
                <w:color w:val="000000"/>
                <w:sz w:val="18"/>
                <w:szCs w:val="18"/>
                <w:u w:val="none"/>
              </w:rPr>
            </w:pPr>
          </w:p>
        </w:tc>
      </w:tr>
      <w:tr w14:paraId="4E2C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D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00A5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主要用于确保企业职工基本养老保险、工伤保险省级统筹顺利推进，参保覆盖人数持续增长，待遇水平稳步提高，基金运行总体平稳；强化社会保险基金预决算管理工作，完善社保基金预决算管理办法，做好基金预决算及预算执行情况动态分析，切实构建社会保险基金预决算监督管理的长效机制。项目自查得分95.1分，得分情况主要依据政策及项目实施保障制度。项目预期产出和效果是能满足日常工作需求。</w:t>
            </w:r>
          </w:p>
        </w:tc>
      </w:tr>
      <w:tr w14:paraId="5875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D2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8AC9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C4C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6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9C47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956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809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83D7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8DB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0AF15754">
            <w:pPr>
              <w:rPr>
                <w:rFonts w:hint="eastAsia" w:ascii="宋体" w:hAnsi="宋体" w:eastAsia="宋体" w:cs="宋体"/>
                <w:i w:val="0"/>
                <w:color w:val="000000"/>
                <w:sz w:val="18"/>
                <w:szCs w:val="18"/>
                <w:u w:val="none"/>
              </w:rPr>
            </w:pPr>
          </w:p>
        </w:tc>
        <w:tc>
          <w:tcPr>
            <w:tcW w:w="1840" w:type="dxa"/>
            <w:shd w:val="clear" w:color="auto" w:fill="auto"/>
            <w:vAlign w:val="center"/>
          </w:tcPr>
          <w:p w14:paraId="3A4F8EBD">
            <w:pPr>
              <w:rPr>
                <w:rFonts w:hint="eastAsia" w:ascii="宋体" w:hAnsi="宋体" w:eastAsia="宋体" w:cs="宋体"/>
                <w:i w:val="0"/>
                <w:color w:val="000000"/>
                <w:sz w:val="18"/>
                <w:szCs w:val="18"/>
                <w:u w:val="none"/>
              </w:rPr>
            </w:pPr>
          </w:p>
        </w:tc>
        <w:tc>
          <w:tcPr>
            <w:tcW w:w="1616" w:type="dxa"/>
            <w:shd w:val="clear" w:color="auto" w:fill="auto"/>
            <w:vAlign w:val="center"/>
          </w:tcPr>
          <w:p w14:paraId="09AA2A66">
            <w:pPr>
              <w:rPr>
                <w:rFonts w:hint="eastAsia" w:ascii="宋体" w:hAnsi="宋体" w:eastAsia="宋体" w:cs="宋体"/>
                <w:i w:val="0"/>
                <w:color w:val="000000"/>
                <w:sz w:val="18"/>
                <w:szCs w:val="18"/>
                <w:u w:val="none"/>
              </w:rPr>
            </w:pPr>
          </w:p>
        </w:tc>
        <w:tc>
          <w:tcPr>
            <w:tcW w:w="2049" w:type="dxa"/>
            <w:shd w:val="clear" w:color="auto" w:fill="auto"/>
            <w:vAlign w:val="center"/>
          </w:tcPr>
          <w:p w14:paraId="6A53D6F8">
            <w:pPr>
              <w:rPr>
                <w:rFonts w:hint="eastAsia" w:ascii="宋体" w:hAnsi="宋体" w:eastAsia="宋体" w:cs="宋体"/>
                <w:i w:val="0"/>
                <w:color w:val="000000"/>
                <w:sz w:val="18"/>
                <w:szCs w:val="18"/>
                <w:u w:val="none"/>
              </w:rPr>
            </w:pPr>
          </w:p>
        </w:tc>
        <w:tc>
          <w:tcPr>
            <w:tcW w:w="616" w:type="dxa"/>
            <w:shd w:val="clear" w:color="auto" w:fill="auto"/>
            <w:vAlign w:val="center"/>
          </w:tcPr>
          <w:p w14:paraId="3218436A">
            <w:pPr>
              <w:rPr>
                <w:rFonts w:hint="eastAsia" w:ascii="宋体" w:hAnsi="宋体" w:eastAsia="宋体" w:cs="宋体"/>
                <w:i w:val="0"/>
                <w:color w:val="000000"/>
                <w:sz w:val="18"/>
                <w:szCs w:val="18"/>
                <w:u w:val="none"/>
              </w:rPr>
            </w:pPr>
          </w:p>
        </w:tc>
        <w:tc>
          <w:tcPr>
            <w:tcW w:w="1523" w:type="dxa"/>
            <w:shd w:val="clear" w:color="auto" w:fill="auto"/>
            <w:vAlign w:val="center"/>
          </w:tcPr>
          <w:p w14:paraId="756B0995">
            <w:pPr>
              <w:rPr>
                <w:rFonts w:hint="eastAsia" w:ascii="宋体" w:hAnsi="宋体" w:eastAsia="宋体" w:cs="宋体"/>
                <w:i w:val="0"/>
                <w:color w:val="000000"/>
                <w:sz w:val="18"/>
                <w:szCs w:val="18"/>
                <w:u w:val="none"/>
              </w:rPr>
            </w:pPr>
          </w:p>
        </w:tc>
        <w:tc>
          <w:tcPr>
            <w:tcW w:w="1437" w:type="dxa"/>
            <w:shd w:val="clear" w:color="auto" w:fill="auto"/>
            <w:vAlign w:val="center"/>
          </w:tcPr>
          <w:p w14:paraId="5FB9CC62">
            <w:pPr>
              <w:rPr>
                <w:rFonts w:hint="eastAsia" w:ascii="宋体" w:hAnsi="宋体" w:eastAsia="宋体" w:cs="宋体"/>
                <w:i w:val="0"/>
                <w:color w:val="000000"/>
                <w:sz w:val="18"/>
                <w:szCs w:val="18"/>
                <w:u w:val="none"/>
              </w:rPr>
            </w:pPr>
          </w:p>
        </w:tc>
        <w:tc>
          <w:tcPr>
            <w:tcW w:w="1029" w:type="dxa"/>
            <w:shd w:val="clear" w:color="auto" w:fill="auto"/>
            <w:vAlign w:val="center"/>
          </w:tcPr>
          <w:p w14:paraId="0A48AC53">
            <w:pPr>
              <w:rPr>
                <w:rFonts w:hint="eastAsia" w:ascii="宋体" w:hAnsi="宋体" w:eastAsia="宋体" w:cs="宋体"/>
                <w:i w:val="0"/>
                <w:color w:val="000000"/>
                <w:sz w:val="18"/>
                <w:szCs w:val="18"/>
                <w:u w:val="none"/>
              </w:rPr>
            </w:pPr>
          </w:p>
        </w:tc>
        <w:tc>
          <w:tcPr>
            <w:tcW w:w="470" w:type="dxa"/>
            <w:shd w:val="clear" w:color="auto" w:fill="auto"/>
            <w:vAlign w:val="center"/>
          </w:tcPr>
          <w:p w14:paraId="1B6D683B">
            <w:pPr>
              <w:rPr>
                <w:rFonts w:hint="eastAsia" w:ascii="宋体" w:hAnsi="宋体" w:eastAsia="宋体" w:cs="宋体"/>
                <w:i w:val="0"/>
                <w:color w:val="000000"/>
                <w:sz w:val="18"/>
                <w:szCs w:val="18"/>
                <w:u w:val="none"/>
              </w:rPr>
            </w:pPr>
          </w:p>
        </w:tc>
        <w:tc>
          <w:tcPr>
            <w:tcW w:w="443" w:type="dxa"/>
            <w:shd w:val="clear" w:color="auto" w:fill="auto"/>
            <w:vAlign w:val="center"/>
          </w:tcPr>
          <w:p w14:paraId="58D2DD8B">
            <w:pPr>
              <w:rPr>
                <w:rFonts w:hint="eastAsia" w:ascii="宋体" w:hAnsi="宋体" w:eastAsia="宋体" w:cs="宋体"/>
                <w:i w:val="0"/>
                <w:color w:val="000000"/>
                <w:sz w:val="18"/>
                <w:szCs w:val="18"/>
                <w:u w:val="none"/>
              </w:rPr>
            </w:pPr>
          </w:p>
        </w:tc>
        <w:tc>
          <w:tcPr>
            <w:tcW w:w="2323" w:type="dxa"/>
            <w:shd w:val="clear" w:color="auto" w:fill="auto"/>
            <w:vAlign w:val="center"/>
          </w:tcPr>
          <w:p w14:paraId="449139B5">
            <w:pPr>
              <w:rPr>
                <w:rFonts w:hint="eastAsia" w:ascii="宋体" w:hAnsi="宋体" w:eastAsia="宋体" w:cs="宋体"/>
                <w:i w:val="0"/>
                <w:color w:val="000000"/>
                <w:sz w:val="18"/>
                <w:szCs w:val="18"/>
                <w:u w:val="none"/>
              </w:rPr>
            </w:pPr>
          </w:p>
        </w:tc>
      </w:tr>
      <w:tr w14:paraId="719B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516BC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263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F3F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FFF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51322424T000010212646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关于财政清算格让足机保待遇资金</w:t>
            </w:r>
          </w:p>
        </w:tc>
      </w:tr>
      <w:tr w14:paraId="100F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1DB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A96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03DE512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28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4B9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0B1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DA2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F22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804A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47E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550D">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8C56">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9DA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关于财政清算格让足机保待遇资金5.94万元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40D6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对照年度目标，清算格让足机保待遇资金5.94万元，完成相关任务目标的100%。</w:t>
            </w:r>
          </w:p>
        </w:tc>
      </w:tr>
      <w:tr w14:paraId="680C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CCE1">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4B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BFE9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关于财政清算格让足机保待遇资金5.94万元</w:t>
            </w:r>
          </w:p>
        </w:tc>
      </w:tr>
      <w:tr w14:paraId="7BD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EE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E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7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3F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5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6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C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8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11C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AC8F">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F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8A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5.94</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16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8CB">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1AEF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8D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B744">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1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5.94</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824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5E79">
            <w:pPr>
              <w:rPr>
                <w:rFonts w:hint="eastAsia" w:ascii="黑体" w:hAnsi="黑体" w:eastAsia="黑体" w:cs="黑体"/>
                <w:i/>
                <w:color w:val="000000"/>
                <w:sz w:val="18"/>
                <w:szCs w:val="18"/>
                <w:u w:val="none"/>
              </w:rPr>
            </w:pPr>
          </w:p>
        </w:tc>
      </w:tr>
      <w:tr w14:paraId="6E1D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88C2">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F5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13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1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5695">
            <w:pPr>
              <w:rPr>
                <w:rFonts w:hint="eastAsia" w:ascii="黑体" w:hAnsi="黑体" w:eastAsia="黑体" w:cs="黑体"/>
                <w:i/>
                <w:color w:val="000000"/>
                <w:sz w:val="18"/>
                <w:szCs w:val="18"/>
                <w:u w:val="none"/>
              </w:rPr>
            </w:pPr>
          </w:p>
        </w:tc>
      </w:tr>
      <w:tr w14:paraId="4897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B580">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E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C9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3B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F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6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080E3">
            <w:pPr>
              <w:rPr>
                <w:rFonts w:hint="eastAsia" w:ascii="黑体" w:hAnsi="黑体" w:eastAsia="黑体" w:cs="黑体"/>
                <w:i/>
                <w:color w:val="000000"/>
                <w:sz w:val="18"/>
                <w:szCs w:val="18"/>
                <w:u w:val="none"/>
              </w:rPr>
            </w:pPr>
          </w:p>
        </w:tc>
      </w:tr>
      <w:tr w14:paraId="5852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435D">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A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3E4E">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91A">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EFE3C">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F7AF">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2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64D1">
            <w:pPr>
              <w:rPr>
                <w:rFonts w:hint="eastAsia" w:ascii="黑体" w:hAnsi="黑体" w:eastAsia="黑体" w:cs="黑体"/>
                <w:i/>
                <w:color w:val="000000"/>
                <w:sz w:val="18"/>
                <w:szCs w:val="18"/>
                <w:u w:val="none"/>
              </w:rPr>
            </w:pPr>
          </w:p>
        </w:tc>
      </w:tr>
      <w:tr w14:paraId="5C8F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7A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2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8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7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3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7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E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2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6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C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C61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D6BF">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8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C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退回养老金待遇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FA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22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59400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92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0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0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AE96">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8D7A">
            <w:pPr>
              <w:jc w:val="center"/>
              <w:rPr>
                <w:rFonts w:hint="eastAsia" w:ascii="宋体" w:hAnsi="宋体" w:eastAsia="宋体" w:cs="宋体"/>
                <w:i w:val="0"/>
                <w:color w:val="000000"/>
                <w:sz w:val="18"/>
                <w:szCs w:val="18"/>
                <w:u w:val="none"/>
              </w:rPr>
            </w:pPr>
          </w:p>
        </w:tc>
      </w:tr>
      <w:tr w14:paraId="253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B972">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6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1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群众获得感、幸福感</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3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B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2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E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F87">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9D1C">
            <w:pPr>
              <w:jc w:val="center"/>
              <w:rPr>
                <w:rFonts w:hint="eastAsia" w:ascii="宋体" w:hAnsi="宋体" w:eastAsia="宋体" w:cs="宋体"/>
                <w:i w:val="0"/>
                <w:color w:val="000000"/>
                <w:sz w:val="18"/>
                <w:szCs w:val="18"/>
                <w:u w:val="none"/>
              </w:rPr>
            </w:pPr>
          </w:p>
        </w:tc>
      </w:tr>
      <w:tr w14:paraId="51D2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25C3">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9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F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退休人员满意度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5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4A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75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2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C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0B6">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AD0">
            <w:pPr>
              <w:jc w:val="center"/>
              <w:rPr>
                <w:rFonts w:hint="eastAsia" w:ascii="宋体" w:hAnsi="宋体" w:eastAsia="宋体" w:cs="宋体"/>
                <w:i w:val="0"/>
                <w:color w:val="000000"/>
                <w:sz w:val="18"/>
                <w:szCs w:val="18"/>
                <w:u w:val="none"/>
              </w:rPr>
            </w:pPr>
          </w:p>
        </w:tc>
      </w:tr>
      <w:tr w14:paraId="4435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08E1">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F0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30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6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退回养老金待遇金额</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4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6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F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A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C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1F9">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F59A">
            <w:pPr>
              <w:jc w:val="center"/>
              <w:rPr>
                <w:rFonts w:hint="eastAsia" w:ascii="宋体" w:hAnsi="宋体" w:eastAsia="宋体" w:cs="宋体"/>
                <w:i w:val="0"/>
                <w:color w:val="000000"/>
                <w:sz w:val="18"/>
                <w:szCs w:val="18"/>
                <w:u w:val="none"/>
              </w:rPr>
            </w:pPr>
          </w:p>
        </w:tc>
      </w:tr>
      <w:tr w14:paraId="566C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AB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E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08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6738">
            <w:pPr>
              <w:rPr>
                <w:rFonts w:hint="eastAsia" w:ascii="宋体" w:hAnsi="宋体" w:eastAsia="宋体" w:cs="宋体"/>
                <w:i w:val="0"/>
                <w:color w:val="000000"/>
                <w:sz w:val="18"/>
                <w:szCs w:val="18"/>
                <w:u w:val="none"/>
              </w:rPr>
            </w:pPr>
          </w:p>
        </w:tc>
      </w:tr>
      <w:tr w14:paraId="54BB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C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5575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项目自查得分95.1分，得分情况主要依据政策及项目实施保障制度。项目预期产出和效果是能满足日常工作需求。</w:t>
            </w:r>
          </w:p>
        </w:tc>
      </w:tr>
      <w:tr w14:paraId="4679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48BF2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5FE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7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78338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4B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ADC9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9CA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EEF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10A79478">
            <w:pPr>
              <w:rPr>
                <w:rFonts w:hint="eastAsia" w:ascii="宋体" w:hAnsi="宋体" w:eastAsia="宋体" w:cs="宋体"/>
                <w:i w:val="0"/>
                <w:color w:val="000000"/>
                <w:sz w:val="18"/>
                <w:szCs w:val="18"/>
                <w:u w:val="none"/>
              </w:rPr>
            </w:pPr>
          </w:p>
        </w:tc>
        <w:tc>
          <w:tcPr>
            <w:tcW w:w="1840" w:type="dxa"/>
            <w:shd w:val="clear" w:color="auto" w:fill="auto"/>
            <w:vAlign w:val="center"/>
          </w:tcPr>
          <w:p w14:paraId="3BE8E28D">
            <w:pPr>
              <w:rPr>
                <w:rFonts w:hint="eastAsia" w:ascii="宋体" w:hAnsi="宋体" w:eastAsia="宋体" w:cs="宋体"/>
                <w:i w:val="0"/>
                <w:color w:val="000000"/>
                <w:sz w:val="18"/>
                <w:szCs w:val="18"/>
                <w:u w:val="none"/>
              </w:rPr>
            </w:pPr>
          </w:p>
        </w:tc>
        <w:tc>
          <w:tcPr>
            <w:tcW w:w="1616" w:type="dxa"/>
            <w:shd w:val="clear" w:color="auto" w:fill="auto"/>
            <w:vAlign w:val="center"/>
          </w:tcPr>
          <w:p w14:paraId="10F0287E">
            <w:pPr>
              <w:rPr>
                <w:rFonts w:hint="eastAsia" w:ascii="宋体" w:hAnsi="宋体" w:eastAsia="宋体" w:cs="宋体"/>
                <w:i w:val="0"/>
                <w:color w:val="000000"/>
                <w:sz w:val="18"/>
                <w:szCs w:val="18"/>
                <w:u w:val="none"/>
              </w:rPr>
            </w:pPr>
          </w:p>
        </w:tc>
        <w:tc>
          <w:tcPr>
            <w:tcW w:w="2049" w:type="dxa"/>
            <w:shd w:val="clear" w:color="auto" w:fill="auto"/>
            <w:vAlign w:val="center"/>
          </w:tcPr>
          <w:p w14:paraId="2162A5CF">
            <w:pPr>
              <w:rPr>
                <w:rFonts w:hint="eastAsia" w:ascii="宋体" w:hAnsi="宋体" w:eastAsia="宋体" w:cs="宋体"/>
                <w:i w:val="0"/>
                <w:color w:val="000000"/>
                <w:sz w:val="18"/>
                <w:szCs w:val="18"/>
                <w:u w:val="none"/>
              </w:rPr>
            </w:pPr>
          </w:p>
        </w:tc>
        <w:tc>
          <w:tcPr>
            <w:tcW w:w="616" w:type="dxa"/>
            <w:shd w:val="clear" w:color="auto" w:fill="auto"/>
            <w:vAlign w:val="center"/>
          </w:tcPr>
          <w:p w14:paraId="6A2B7351">
            <w:pPr>
              <w:rPr>
                <w:rFonts w:hint="eastAsia" w:ascii="宋体" w:hAnsi="宋体" w:eastAsia="宋体" w:cs="宋体"/>
                <w:i w:val="0"/>
                <w:color w:val="000000"/>
                <w:sz w:val="18"/>
                <w:szCs w:val="18"/>
                <w:u w:val="none"/>
              </w:rPr>
            </w:pPr>
          </w:p>
        </w:tc>
        <w:tc>
          <w:tcPr>
            <w:tcW w:w="1523" w:type="dxa"/>
            <w:shd w:val="clear" w:color="auto" w:fill="auto"/>
            <w:vAlign w:val="center"/>
          </w:tcPr>
          <w:p w14:paraId="765F01AF">
            <w:pPr>
              <w:rPr>
                <w:rFonts w:hint="eastAsia" w:ascii="宋体" w:hAnsi="宋体" w:eastAsia="宋体" w:cs="宋体"/>
                <w:i w:val="0"/>
                <w:color w:val="000000"/>
                <w:sz w:val="18"/>
                <w:szCs w:val="18"/>
                <w:u w:val="none"/>
              </w:rPr>
            </w:pPr>
          </w:p>
        </w:tc>
        <w:tc>
          <w:tcPr>
            <w:tcW w:w="1437" w:type="dxa"/>
            <w:shd w:val="clear" w:color="auto" w:fill="auto"/>
            <w:vAlign w:val="center"/>
          </w:tcPr>
          <w:p w14:paraId="443E1916">
            <w:pPr>
              <w:rPr>
                <w:rFonts w:hint="eastAsia" w:ascii="宋体" w:hAnsi="宋体" w:eastAsia="宋体" w:cs="宋体"/>
                <w:i w:val="0"/>
                <w:color w:val="000000"/>
                <w:sz w:val="18"/>
                <w:szCs w:val="18"/>
                <w:u w:val="none"/>
              </w:rPr>
            </w:pPr>
          </w:p>
        </w:tc>
        <w:tc>
          <w:tcPr>
            <w:tcW w:w="1029" w:type="dxa"/>
            <w:shd w:val="clear" w:color="auto" w:fill="auto"/>
            <w:vAlign w:val="center"/>
          </w:tcPr>
          <w:p w14:paraId="791800D5">
            <w:pPr>
              <w:rPr>
                <w:rFonts w:hint="eastAsia" w:ascii="宋体" w:hAnsi="宋体" w:eastAsia="宋体" w:cs="宋体"/>
                <w:i w:val="0"/>
                <w:color w:val="000000"/>
                <w:sz w:val="18"/>
                <w:szCs w:val="18"/>
                <w:u w:val="none"/>
              </w:rPr>
            </w:pPr>
          </w:p>
        </w:tc>
        <w:tc>
          <w:tcPr>
            <w:tcW w:w="470" w:type="dxa"/>
            <w:shd w:val="clear" w:color="auto" w:fill="auto"/>
            <w:vAlign w:val="center"/>
          </w:tcPr>
          <w:p w14:paraId="4C88729A">
            <w:pPr>
              <w:rPr>
                <w:rFonts w:hint="eastAsia" w:ascii="宋体" w:hAnsi="宋体" w:eastAsia="宋体" w:cs="宋体"/>
                <w:i w:val="0"/>
                <w:color w:val="000000"/>
                <w:sz w:val="18"/>
                <w:szCs w:val="18"/>
                <w:u w:val="none"/>
              </w:rPr>
            </w:pPr>
          </w:p>
        </w:tc>
        <w:tc>
          <w:tcPr>
            <w:tcW w:w="443" w:type="dxa"/>
            <w:shd w:val="clear" w:color="auto" w:fill="auto"/>
            <w:vAlign w:val="center"/>
          </w:tcPr>
          <w:p w14:paraId="7D4F5F5A">
            <w:pPr>
              <w:rPr>
                <w:rFonts w:hint="eastAsia" w:ascii="宋体" w:hAnsi="宋体" w:eastAsia="宋体" w:cs="宋体"/>
                <w:i w:val="0"/>
                <w:color w:val="000000"/>
                <w:sz w:val="18"/>
                <w:szCs w:val="18"/>
                <w:u w:val="none"/>
              </w:rPr>
            </w:pPr>
          </w:p>
        </w:tc>
        <w:tc>
          <w:tcPr>
            <w:tcW w:w="2323" w:type="dxa"/>
            <w:shd w:val="clear" w:color="auto" w:fill="auto"/>
            <w:vAlign w:val="center"/>
          </w:tcPr>
          <w:p w14:paraId="6A1D6A1A">
            <w:pPr>
              <w:rPr>
                <w:rFonts w:hint="eastAsia" w:ascii="宋体" w:hAnsi="宋体" w:eastAsia="宋体" w:cs="宋体"/>
                <w:i w:val="0"/>
                <w:color w:val="000000"/>
                <w:sz w:val="18"/>
                <w:szCs w:val="18"/>
                <w:u w:val="none"/>
              </w:rPr>
            </w:pPr>
          </w:p>
        </w:tc>
      </w:tr>
      <w:tr w14:paraId="46A1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39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C8FE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100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FAF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D9FB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51322424T000011083645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关于成兰铁路建设项目被征地农民失业保险滞纳金费用</w:t>
            </w:r>
          </w:p>
        </w:tc>
      </w:tr>
      <w:tr w14:paraId="2FF1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D5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359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松潘县人力资源和社会保障局本级</w:t>
            </w:r>
          </w:p>
        </w:tc>
        <w:tc>
          <w:tcPr>
            <w:tcW w:w="1029" w:type="dxa"/>
            <w:shd w:val="clear" w:color="auto" w:fill="auto"/>
            <w:vAlign w:val="center"/>
          </w:tcPr>
          <w:p w14:paraId="3BF292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2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89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松潘县社会保险事务中心</w:t>
            </w:r>
          </w:p>
        </w:tc>
      </w:tr>
      <w:tr w14:paraId="33BD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A9F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F1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B1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E4BB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8B8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D847">
            <w:pPr>
              <w:rPr>
                <w:rFonts w:hint="eastAsia" w:ascii="宋体" w:hAnsi="宋体" w:eastAsia="宋体" w:cs="宋体"/>
                <w:i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664D">
            <w:pPr>
              <w:rPr>
                <w:rFonts w:hint="eastAsia" w:ascii="宋体" w:hAnsi="宋体" w:eastAsia="宋体" w:cs="宋体"/>
                <w:i w:val="0"/>
                <w:color w:val="000000"/>
                <w:sz w:val="18"/>
                <w:szCs w:val="18"/>
                <w:u w:val="none"/>
              </w:rPr>
            </w:pPr>
          </w:p>
        </w:tc>
        <w:tc>
          <w:tcPr>
            <w:tcW w:w="7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FBE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被征地农民失业保险费缴纳人员为645人</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预算执行金额261.35万元。</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188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对照年度目标，2023年支付成兰铁路建设项目被征地农民失业保险滞纳金费用261.35万元，完成相关任务目标的100%。</w:t>
            </w:r>
          </w:p>
        </w:tc>
      </w:tr>
      <w:tr w14:paraId="4F16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9E69">
            <w:pP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95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5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E7E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阿坝州人民政府批转州劳动和社会保障局关于〈阿坝州失地无业农民再就业和失业保险工作实施意见〉的通知》（阿府函〔2004〕206号）及《国土资源部关于〈新建成都至兰州铁路成都至川主寺（黄胜关）段工程建设用地〉的批复》（国土资函〔2012〕1009号）文件规定，按照《松潘县自然资源局关于〈松潘县人力资源和社会保障局关于提供成兰铁路被征地农民花名册等相关资料〉的复函》（松自然资函〔2021〕186号），被征地农民失业保险费缴纳人员为645人</w:t>
            </w:r>
          </w:p>
        </w:tc>
      </w:tr>
      <w:tr w14:paraId="2B90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D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D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A6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1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2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7CD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D40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0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18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2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261.35</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0D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4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E416">
            <w:pPr>
              <w:jc w:val="center"/>
              <w:rPr>
                <w:rFonts w:hint="eastAsia" w:ascii="宋体" w:hAnsi="宋体" w:eastAsia="宋体" w:cs="宋体"/>
                <w:i w:val="0"/>
                <w:color w:val="000000"/>
                <w:sz w:val="18"/>
                <w:szCs w:val="18"/>
                <w:u w:val="none"/>
              </w:rPr>
            </w:pP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574E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3A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A38D">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3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7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5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261.35</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F4E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1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A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23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9501">
            <w:pPr>
              <w:rPr>
                <w:rFonts w:hint="eastAsia" w:ascii="黑体" w:hAnsi="黑体" w:eastAsia="黑体" w:cs="黑体"/>
                <w:i/>
                <w:color w:val="000000"/>
                <w:sz w:val="18"/>
                <w:szCs w:val="18"/>
                <w:u w:val="none"/>
              </w:rPr>
            </w:pPr>
          </w:p>
        </w:tc>
      </w:tr>
      <w:tr w14:paraId="33E9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F782">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A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F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0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423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3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64B5">
            <w:pPr>
              <w:rPr>
                <w:rFonts w:hint="eastAsia" w:ascii="黑体" w:hAnsi="黑体" w:eastAsia="黑体" w:cs="黑体"/>
                <w:i/>
                <w:color w:val="000000"/>
                <w:sz w:val="18"/>
                <w:szCs w:val="18"/>
                <w:u w:val="none"/>
              </w:rPr>
            </w:pPr>
          </w:p>
        </w:tc>
      </w:tr>
      <w:tr w14:paraId="678F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B70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0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6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5ED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8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F9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D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C494">
            <w:pPr>
              <w:rPr>
                <w:rFonts w:hint="eastAsia" w:ascii="黑体" w:hAnsi="黑体" w:eastAsia="黑体" w:cs="黑体"/>
                <w:i/>
                <w:color w:val="000000"/>
                <w:sz w:val="18"/>
                <w:szCs w:val="18"/>
                <w:u w:val="none"/>
              </w:rPr>
            </w:pPr>
          </w:p>
        </w:tc>
      </w:tr>
      <w:tr w14:paraId="30FB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A4BF">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6E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0584">
            <w:pPr>
              <w:jc w:val="center"/>
              <w:rPr>
                <w:rFonts w:hint="eastAsia" w:ascii="微软雅黑" w:hAnsi="微软雅黑" w:eastAsia="微软雅黑" w:cs="微软雅黑"/>
                <w:i/>
                <w:color w:val="000000"/>
                <w:sz w:val="16"/>
                <w:szCs w:val="16"/>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D02">
            <w:pPr>
              <w:jc w:val="center"/>
              <w:rPr>
                <w:rFonts w:hint="eastAsia" w:ascii="微软雅黑" w:hAnsi="微软雅黑" w:eastAsia="微软雅黑" w:cs="微软雅黑"/>
                <w:i/>
                <w:color w:val="000000"/>
                <w:sz w:val="16"/>
                <w:szCs w:val="16"/>
                <w:u w:val="none"/>
              </w:rPr>
            </w:pP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18523">
            <w:pPr>
              <w:jc w:val="center"/>
              <w:rPr>
                <w:rFonts w:hint="eastAsia" w:ascii="微软雅黑" w:hAnsi="微软雅黑" w:eastAsia="微软雅黑" w:cs="微软雅黑"/>
                <w:i/>
                <w:color w:val="000000"/>
                <w:sz w:val="16"/>
                <w:szCs w:val="16"/>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095">
            <w:pPr>
              <w:jc w:val="center"/>
              <w:rPr>
                <w:rFonts w:hint="eastAsia" w:ascii="微软雅黑" w:hAnsi="微软雅黑" w:eastAsia="微软雅黑" w:cs="微软雅黑"/>
                <w:i/>
                <w:color w:val="000000"/>
                <w:sz w:val="16"/>
                <w:szCs w:val="16"/>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3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C111">
            <w:pPr>
              <w:rPr>
                <w:rFonts w:hint="eastAsia" w:ascii="黑体" w:hAnsi="黑体" w:eastAsia="黑体" w:cs="黑体"/>
                <w:i/>
                <w:color w:val="000000"/>
                <w:sz w:val="18"/>
                <w:szCs w:val="18"/>
                <w:u w:val="none"/>
              </w:rPr>
            </w:pPr>
          </w:p>
        </w:tc>
      </w:tr>
      <w:tr w14:paraId="384A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33E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B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6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2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F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1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8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3FA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348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9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9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C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本年度12月中旬之前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4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C5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DE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E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3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C43">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FC52">
            <w:pPr>
              <w:jc w:val="center"/>
              <w:rPr>
                <w:rFonts w:hint="eastAsia" w:ascii="宋体" w:hAnsi="宋体" w:eastAsia="宋体" w:cs="宋体"/>
                <w:i w:val="0"/>
                <w:color w:val="000000"/>
                <w:sz w:val="18"/>
                <w:szCs w:val="18"/>
                <w:u w:val="none"/>
              </w:rPr>
            </w:pPr>
          </w:p>
        </w:tc>
      </w:tr>
      <w:tr w14:paraId="53F1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D7B3">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D7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足额拨付率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7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4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8B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2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6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642">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755">
            <w:pPr>
              <w:jc w:val="center"/>
              <w:rPr>
                <w:rFonts w:hint="eastAsia" w:ascii="宋体" w:hAnsi="宋体" w:eastAsia="宋体" w:cs="宋体"/>
                <w:i w:val="0"/>
                <w:color w:val="000000"/>
                <w:sz w:val="18"/>
                <w:szCs w:val="18"/>
                <w:u w:val="none"/>
              </w:rPr>
            </w:pPr>
          </w:p>
        </w:tc>
      </w:tr>
      <w:tr w14:paraId="170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913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3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被征地农民失业保险缴纳人数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F5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8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3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32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19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592F">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6006">
            <w:pPr>
              <w:jc w:val="center"/>
              <w:rPr>
                <w:rFonts w:hint="eastAsia" w:ascii="宋体" w:hAnsi="宋体" w:eastAsia="宋体" w:cs="宋体"/>
                <w:i w:val="0"/>
                <w:color w:val="000000"/>
                <w:sz w:val="18"/>
                <w:szCs w:val="18"/>
                <w:u w:val="none"/>
              </w:rPr>
            </w:pPr>
          </w:p>
        </w:tc>
      </w:tr>
      <w:tr w14:paraId="103E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0E93">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F3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6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提升社会稳定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B6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6A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0F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6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CC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0E86">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4D3">
            <w:pPr>
              <w:jc w:val="center"/>
              <w:rPr>
                <w:rFonts w:hint="eastAsia" w:ascii="宋体" w:hAnsi="宋体" w:eastAsia="宋体" w:cs="宋体"/>
                <w:i w:val="0"/>
                <w:color w:val="000000"/>
                <w:sz w:val="18"/>
                <w:szCs w:val="18"/>
                <w:u w:val="none"/>
              </w:rPr>
            </w:pPr>
          </w:p>
        </w:tc>
      </w:tr>
      <w:tr w14:paraId="0293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CF45">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9F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4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失地农民安居乐业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6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A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F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31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7254">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10B">
            <w:pPr>
              <w:jc w:val="center"/>
              <w:rPr>
                <w:rFonts w:hint="eastAsia" w:ascii="宋体" w:hAnsi="宋体" w:eastAsia="宋体" w:cs="宋体"/>
                <w:i w:val="0"/>
                <w:color w:val="000000"/>
                <w:sz w:val="18"/>
                <w:szCs w:val="18"/>
                <w:u w:val="none"/>
              </w:rPr>
            </w:pPr>
          </w:p>
        </w:tc>
      </w:tr>
      <w:tr w14:paraId="17C6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A42E">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3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7D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2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失地农民人员满意度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EA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BD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53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5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C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E86">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AF1A">
            <w:pPr>
              <w:jc w:val="center"/>
              <w:rPr>
                <w:rFonts w:hint="eastAsia" w:ascii="宋体" w:hAnsi="宋体" w:eastAsia="宋体" w:cs="宋体"/>
                <w:i w:val="0"/>
                <w:color w:val="000000"/>
                <w:sz w:val="18"/>
                <w:szCs w:val="18"/>
                <w:u w:val="none"/>
              </w:rPr>
            </w:pPr>
          </w:p>
        </w:tc>
      </w:tr>
      <w:tr w14:paraId="4DDB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0206">
            <w:pPr>
              <w:jc w:val="center"/>
              <w:rPr>
                <w:rFonts w:hint="eastAsia" w:ascii="宋体" w:hAnsi="宋体" w:eastAsia="宋体" w:cs="宋体"/>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F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按时足额发放</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B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1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55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E3BE">
            <w:pPr>
              <w:jc w:val="center"/>
              <w:rPr>
                <w:rFonts w:hint="eastAsia" w:ascii="宋体" w:hAnsi="宋体" w:eastAsia="宋体" w:cs="宋体"/>
                <w:i w:val="0"/>
                <w:color w:val="000000"/>
                <w:sz w:val="18"/>
                <w:szCs w:val="18"/>
                <w:u w:val="none"/>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5B99">
            <w:pPr>
              <w:jc w:val="center"/>
              <w:rPr>
                <w:rFonts w:hint="eastAsia" w:ascii="宋体" w:hAnsi="宋体" w:eastAsia="宋体" w:cs="宋体"/>
                <w:i w:val="0"/>
                <w:color w:val="000000"/>
                <w:sz w:val="18"/>
                <w:szCs w:val="18"/>
                <w:u w:val="none"/>
              </w:rPr>
            </w:pPr>
          </w:p>
        </w:tc>
      </w:tr>
      <w:tr w14:paraId="366D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1068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5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2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DF4">
            <w:pPr>
              <w:rPr>
                <w:rFonts w:hint="eastAsia" w:ascii="宋体" w:hAnsi="宋体" w:eastAsia="宋体" w:cs="宋体"/>
                <w:i w:val="0"/>
                <w:color w:val="000000"/>
                <w:sz w:val="18"/>
                <w:szCs w:val="18"/>
                <w:u w:val="none"/>
              </w:rPr>
            </w:pPr>
          </w:p>
        </w:tc>
      </w:tr>
      <w:tr w14:paraId="2EBB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1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36FFC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项目自查得分95.1分，得分情况主要依据政策及项目实施保障制度。项目预期产出和效果是能满足日常工作需求。</w:t>
            </w:r>
          </w:p>
        </w:tc>
      </w:tr>
      <w:tr w14:paraId="3054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282CF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86D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EC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1EBEE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24A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7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D13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7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F323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F21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0" w:type="dxa"/>
            <w:shd w:val="clear" w:color="auto" w:fill="auto"/>
            <w:vAlign w:val="center"/>
          </w:tcPr>
          <w:p w14:paraId="29D19480">
            <w:pPr>
              <w:rPr>
                <w:rFonts w:hint="eastAsia" w:ascii="宋体" w:hAnsi="宋体" w:eastAsia="宋体" w:cs="宋体"/>
                <w:i w:val="0"/>
                <w:color w:val="000000"/>
                <w:sz w:val="18"/>
                <w:szCs w:val="18"/>
                <w:u w:val="none"/>
              </w:rPr>
            </w:pPr>
          </w:p>
        </w:tc>
        <w:tc>
          <w:tcPr>
            <w:tcW w:w="1840" w:type="dxa"/>
            <w:shd w:val="clear" w:color="auto" w:fill="auto"/>
            <w:vAlign w:val="center"/>
          </w:tcPr>
          <w:p w14:paraId="0C974CCC">
            <w:pPr>
              <w:rPr>
                <w:rFonts w:hint="eastAsia" w:ascii="宋体" w:hAnsi="宋体" w:eastAsia="宋体" w:cs="宋体"/>
                <w:i w:val="0"/>
                <w:color w:val="000000"/>
                <w:sz w:val="18"/>
                <w:szCs w:val="18"/>
                <w:u w:val="none"/>
              </w:rPr>
            </w:pPr>
          </w:p>
        </w:tc>
        <w:tc>
          <w:tcPr>
            <w:tcW w:w="1616" w:type="dxa"/>
            <w:shd w:val="clear" w:color="auto" w:fill="auto"/>
            <w:vAlign w:val="center"/>
          </w:tcPr>
          <w:p w14:paraId="6044F813">
            <w:pPr>
              <w:rPr>
                <w:rFonts w:hint="eastAsia" w:ascii="宋体" w:hAnsi="宋体" w:eastAsia="宋体" w:cs="宋体"/>
                <w:i w:val="0"/>
                <w:color w:val="000000"/>
                <w:sz w:val="18"/>
                <w:szCs w:val="18"/>
                <w:u w:val="none"/>
              </w:rPr>
            </w:pPr>
          </w:p>
        </w:tc>
        <w:tc>
          <w:tcPr>
            <w:tcW w:w="2049" w:type="dxa"/>
            <w:shd w:val="clear" w:color="auto" w:fill="auto"/>
            <w:vAlign w:val="center"/>
          </w:tcPr>
          <w:p w14:paraId="6950B701">
            <w:pPr>
              <w:rPr>
                <w:rFonts w:hint="eastAsia" w:ascii="宋体" w:hAnsi="宋体" w:eastAsia="宋体" w:cs="宋体"/>
                <w:i w:val="0"/>
                <w:color w:val="000000"/>
                <w:sz w:val="18"/>
                <w:szCs w:val="18"/>
                <w:u w:val="none"/>
              </w:rPr>
            </w:pPr>
          </w:p>
        </w:tc>
        <w:tc>
          <w:tcPr>
            <w:tcW w:w="616" w:type="dxa"/>
            <w:shd w:val="clear" w:color="auto" w:fill="auto"/>
            <w:vAlign w:val="center"/>
          </w:tcPr>
          <w:p w14:paraId="65B41ECF">
            <w:pPr>
              <w:rPr>
                <w:rFonts w:hint="eastAsia" w:ascii="宋体" w:hAnsi="宋体" w:eastAsia="宋体" w:cs="宋体"/>
                <w:i w:val="0"/>
                <w:color w:val="000000"/>
                <w:sz w:val="18"/>
                <w:szCs w:val="18"/>
                <w:u w:val="none"/>
              </w:rPr>
            </w:pPr>
          </w:p>
        </w:tc>
        <w:tc>
          <w:tcPr>
            <w:tcW w:w="1523" w:type="dxa"/>
            <w:shd w:val="clear" w:color="auto" w:fill="auto"/>
            <w:vAlign w:val="center"/>
          </w:tcPr>
          <w:p w14:paraId="1800C14E">
            <w:pPr>
              <w:rPr>
                <w:rFonts w:hint="eastAsia" w:ascii="宋体" w:hAnsi="宋体" w:eastAsia="宋体" w:cs="宋体"/>
                <w:i w:val="0"/>
                <w:color w:val="000000"/>
                <w:sz w:val="18"/>
                <w:szCs w:val="18"/>
                <w:u w:val="none"/>
              </w:rPr>
            </w:pPr>
          </w:p>
        </w:tc>
        <w:tc>
          <w:tcPr>
            <w:tcW w:w="1437" w:type="dxa"/>
            <w:shd w:val="clear" w:color="auto" w:fill="auto"/>
            <w:vAlign w:val="center"/>
          </w:tcPr>
          <w:p w14:paraId="2FD1004B">
            <w:pPr>
              <w:rPr>
                <w:rFonts w:hint="eastAsia" w:ascii="宋体" w:hAnsi="宋体" w:eastAsia="宋体" w:cs="宋体"/>
                <w:i w:val="0"/>
                <w:color w:val="000000"/>
                <w:sz w:val="18"/>
                <w:szCs w:val="18"/>
                <w:u w:val="none"/>
              </w:rPr>
            </w:pPr>
          </w:p>
        </w:tc>
        <w:tc>
          <w:tcPr>
            <w:tcW w:w="1029" w:type="dxa"/>
            <w:shd w:val="clear" w:color="auto" w:fill="auto"/>
            <w:vAlign w:val="center"/>
          </w:tcPr>
          <w:p w14:paraId="2862D240">
            <w:pPr>
              <w:rPr>
                <w:rFonts w:hint="eastAsia" w:ascii="宋体" w:hAnsi="宋体" w:eastAsia="宋体" w:cs="宋体"/>
                <w:i w:val="0"/>
                <w:color w:val="000000"/>
                <w:sz w:val="18"/>
                <w:szCs w:val="18"/>
                <w:u w:val="none"/>
              </w:rPr>
            </w:pPr>
          </w:p>
        </w:tc>
        <w:tc>
          <w:tcPr>
            <w:tcW w:w="470" w:type="dxa"/>
            <w:shd w:val="clear" w:color="auto" w:fill="auto"/>
            <w:vAlign w:val="center"/>
          </w:tcPr>
          <w:p w14:paraId="17534476">
            <w:pPr>
              <w:rPr>
                <w:rFonts w:hint="eastAsia" w:ascii="宋体" w:hAnsi="宋体" w:eastAsia="宋体" w:cs="宋体"/>
                <w:i w:val="0"/>
                <w:color w:val="000000"/>
                <w:sz w:val="18"/>
                <w:szCs w:val="18"/>
                <w:u w:val="none"/>
              </w:rPr>
            </w:pPr>
          </w:p>
        </w:tc>
        <w:tc>
          <w:tcPr>
            <w:tcW w:w="443" w:type="dxa"/>
            <w:shd w:val="clear" w:color="auto" w:fill="auto"/>
            <w:vAlign w:val="center"/>
          </w:tcPr>
          <w:p w14:paraId="0826025A">
            <w:pPr>
              <w:rPr>
                <w:rFonts w:hint="eastAsia" w:ascii="宋体" w:hAnsi="宋体" w:eastAsia="宋体" w:cs="宋体"/>
                <w:i w:val="0"/>
                <w:color w:val="000000"/>
                <w:sz w:val="18"/>
                <w:szCs w:val="18"/>
                <w:u w:val="none"/>
              </w:rPr>
            </w:pPr>
          </w:p>
        </w:tc>
        <w:tc>
          <w:tcPr>
            <w:tcW w:w="2323" w:type="dxa"/>
            <w:shd w:val="clear" w:color="auto" w:fill="auto"/>
            <w:vAlign w:val="center"/>
          </w:tcPr>
          <w:p w14:paraId="001E3075">
            <w:pPr>
              <w:rPr>
                <w:rFonts w:hint="eastAsia" w:ascii="宋体" w:hAnsi="宋体" w:eastAsia="宋体" w:cs="宋体"/>
                <w:i w:val="0"/>
                <w:color w:val="000000"/>
                <w:sz w:val="18"/>
                <w:szCs w:val="18"/>
                <w:u w:val="none"/>
              </w:rPr>
            </w:pPr>
          </w:p>
        </w:tc>
      </w:tr>
      <w:tr w14:paraId="3DB3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3986" w:type="dxa"/>
            <w:gridSpan w:val="11"/>
            <w:shd w:val="clear" w:color="auto" w:fill="auto"/>
            <w:vAlign w:val="center"/>
          </w:tcPr>
          <w:p w14:paraId="7832F1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该报表查询项目信息、绩效目标信息、预算及执行情况，用于预算单位查询导出开展项目自评。</w:t>
            </w:r>
          </w:p>
        </w:tc>
      </w:tr>
      <w:tr w14:paraId="0A23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3986" w:type="dxa"/>
            <w:gridSpan w:val="11"/>
            <w:shd w:val="clear" w:color="auto" w:fill="auto"/>
            <w:vAlign w:val="center"/>
          </w:tcPr>
          <w:p w14:paraId="089983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40C0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3986" w:type="dxa"/>
            <w:gridSpan w:val="11"/>
            <w:shd w:val="clear" w:color="auto" w:fill="auto"/>
            <w:vAlign w:val="center"/>
          </w:tcPr>
          <w:p w14:paraId="697DE5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14:paraId="7DC4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3986" w:type="dxa"/>
            <w:gridSpan w:val="11"/>
            <w:shd w:val="clear" w:color="auto" w:fill="auto"/>
            <w:vAlign w:val="center"/>
          </w:tcPr>
          <w:p w14:paraId="2C5382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bl>
    <w:p w14:paraId="2914E052">
      <w:pPr>
        <w:pStyle w:val="2"/>
        <w:spacing w:before="93"/>
        <w:rPr>
          <w:rFonts w:hAnsi="Calibri" w:cs="仿宋"/>
          <w:sz w:val="32"/>
          <w:szCs w:val="32"/>
        </w:rPr>
      </w:pPr>
    </w:p>
    <w:p w14:paraId="7139ADB3">
      <w:pPr>
        <w:pStyle w:val="2"/>
        <w:spacing w:before="93"/>
        <w:rPr>
          <w:rFonts w:hAnsi="Calibri" w:cs="仿宋"/>
          <w:sz w:val="32"/>
          <w:szCs w:val="32"/>
        </w:rPr>
      </w:pPr>
    </w:p>
    <w:p w14:paraId="465C9673">
      <w:pPr>
        <w:pStyle w:val="2"/>
        <w:spacing w:before="93"/>
        <w:rPr>
          <w:rFonts w:hAnsi="Calibri" w:cs="仿宋"/>
          <w:sz w:val="32"/>
          <w:szCs w:val="32"/>
        </w:rPr>
      </w:pPr>
    </w:p>
    <w:p w14:paraId="56E770C1">
      <w:pPr>
        <w:pStyle w:val="2"/>
        <w:spacing w:before="93"/>
        <w:rPr>
          <w:rFonts w:hAnsi="Calibri" w:cs="仿宋"/>
          <w:sz w:val="32"/>
          <w:szCs w:val="32"/>
        </w:rPr>
      </w:pPr>
    </w:p>
    <w:p w14:paraId="12FE6B1F">
      <w:pPr>
        <w:pStyle w:val="2"/>
        <w:spacing w:before="93"/>
        <w:rPr>
          <w:rFonts w:hAnsi="Calibri" w:cs="仿宋"/>
          <w:sz w:val="32"/>
          <w:szCs w:val="32"/>
        </w:rPr>
      </w:pPr>
    </w:p>
    <w:p w14:paraId="1263F5B0">
      <w:pPr>
        <w:pStyle w:val="2"/>
        <w:spacing w:before="93"/>
        <w:rPr>
          <w:rFonts w:hAnsi="Calibri" w:cs="仿宋"/>
          <w:sz w:val="32"/>
          <w:szCs w:val="32"/>
        </w:rPr>
      </w:pPr>
    </w:p>
    <w:p w14:paraId="258E2F8B">
      <w:pPr>
        <w:spacing w:line="600" w:lineRule="exact"/>
        <w:ind w:firstLine="1320" w:firstLineChars="300"/>
        <w:jc w:val="both"/>
        <w:outlineLvl w:val="0"/>
        <w:rPr>
          <w:rFonts w:hint="eastAsia" w:ascii="黑体" w:hAnsi="黑体" w:eastAsia="黑体"/>
          <w:sz w:val="44"/>
          <w:szCs w:val="44"/>
        </w:rPr>
      </w:pPr>
    </w:p>
    <w:p w14:paraId="5EDC6DC7">
      <w:pPr>
        <w:spacing w:line="600" w:lineRule="exact"/>
        <w:ind w:firstLine="1320" w:firstLineChars="300"/>
        <w:jc w:val="both"/>
        <w:outlineLvl w:val="0"/>
        <w:rPr>
          <w:rFonts w:hint="eastAsia" w:ascii="黑体" w:hAnsi="黑体" w:eastAsia="黑体"/>
          <w:sz w:val="44"/>
          <w:szCs w:val="44"/>
        </w:rPr>
      </w:pPr>
    </w:p>
    <w:p w14:paraId="49D86B45">
      <w:pPr>
        <w:spacing w:line="600" w:lineRule="exact"/>
        <w:ind w:firstLine="1320" w:firstLineChars="300"/>
        <w:jc w:val="both"/>
        <w:outlineLvl w:val="0"/>
        <w:rPr>
          <w:rFonts w:hint="eastAsia" w:ascii="黑体" w:hAnsi="黑体" w:eastAsia="黑体"/>
          <w:sz w:val="44"/>
          <w:szCs w:val="44"/>
        </w:rPr>
      </w:pPr>
    </w:p>
    <w:p w14:paraId="01E4201C">
      <w:pPr>
        <w:spacing w:line="600" w:lineRule="exact"/>
        <w:ind w:firstLine="1320" w:firstLineChars="300"/>
        <w:jc w:val="both"/>
        <w:outlineLvl w:val="0"/>
        <w:rPr>
          <w:rFonts w:hint="eastAsia" w:ascii="黑体" w:hAnsi="黑体" w:eastAsia="黑体"/>
          <w:sz w:val="44"/>
          <w:szCs w:val="44"/>
        </w:rPr>
      </w:pPr>
    </w:p>
    <w:p w14:paraId="232F074F">
      <w:pPr>
        <w:spacing w:line="600" w:lineRule="exact"/>
        <w:ind w:firstLine="1320" w:firstLineChars="300"/>
        <w:jc w:val="both"/>
        <w:outlineLvl w:val="0"/>
        <w:rPr>
          <w:rFonts w:hint="eastAsia" w:ascii="黑体" w:hAnsi="黑体" w:eastAsia="黑体"/>
          <w:sz w:val="44"/>
          <w:szCs w:val="44"/>
        </w:rPr>
      </w:pPr>
    </w:p>
    <w:p w14:paraId="17BC3081">
      <w:pPr>
        <w:spacing w:line="600" w:lineRule="exact"/>
        <w:ind w:firstLine="1320" w:firstLineChars="300"/>
        <w:jc w:val="both"/>
        <w:outlineLvl w:val="0"/>
        <w:rPr>
          <w:rFonts w:hint="eastAsia" w:ascii="黑体" w:hAnsi="黑体" w:eastAsia="黑体"/>
          <w:sz w:val="44"/>
          <w:szCs w:val="44"/>
        </w:rPr>
      </w:pPr>
    </w:p>
    <w:p w14:paraId="5C851CE6">
      <w:pPr>
        <w:spacing w:line="600" w:lineRule="exact"/>
        <w:ind w:firstLine="1320" w:firstLineChars="300"/>
        <w:jc w:val="both"/>
        <w:outlineLvl w:val="0"/>
        <w:rPr>
          <w:rFonts w:hint="eastAsia" w:ascii="黑体" w:hAnsi="黑体" w:eastAsia="黑体"/>
          <w:sz w:val="44"/>
          <w:szCs w:val="44"/>
        </w:rPr>
      </w:pPr>
    </w:p>
    <w:p w14:paraId="52C92CB0">
      <w:pPr>
        <w:spacing w:line="600" w:lineRule="exact"/>
        <w:ind w:firstLine="1320" w:firstLineChars="300"/>
        <w:jc w:val="both"/>
        <w:outlineLvl w:val="0"/>
        <w:rPr>
          <w:rFonts w:hint="eastAsia" w:ascii="黑体" w:hAnsi="黑体" w:eastAsia="黑体"/>
          <w:sz w:val="44"/>
          <w:szCs w:val="44"/>
        </w:rPr>
      </w:pPr>
    </w:p>
    <w:p w14:paraId="6E4CA315">
      <w:pPr>
        <w:spacing w:line="600" w:lineRule="exact"/>
        <w:ind w:firstLine="1320" w:firstLineChars="300"/>
        <w:jc w:val="both"/>
        <w:outlineLvl w:val="0"/>
        <w:rPr>
          <w:rFonts w:hint="eastAsia" w:ascii="黑体" w:hAnsi="黑体" w:eastAsia="黑体"/>
          <w:sz w:val="44"/>
          <w:szCs w:val="44"/>
        </w:rPr>
      </w:pPr>
    </w:p>
    <w:p w14:paraId="3E7B18F6">
      <w:pPr>
        <w:spacing w:line="600" w:lineRule="exact"/>
        <w:ind w:firstLine="1320" w:firstLineChars="300"/>
        <w:jc w:val="both"/>
        <w:outlineLvl w:val="0"/>
        <w:rPr>
          <w:rFonts w:ascii="仿宋" w:hAnsi="仿宋" w:eastAsia="仿宋"/>
        </w:rPr>
      </w:pPr>
      <w:r>
        <w:rPr>
          <w:rFonts w:hint="eastAsia" w:ascii="黑体" w:hAnsi="黑体" w:eastAsia="黑体"/>
          <w:sz w:val="44"/>
          <w:szCs w:val="44"/>
        </w:rPr>
        <w:t>第</w:t>
      </w:r>
      <w:r>
        <w:rPr>
          <w:rStyle w:val="21"/>
          <w:rFonts w:hint="eastAsia" w:ascii="黑体" w:hAnsi="黑体" w:eastAsia="黑体"/>
          <w:b w:val="0"/>
        </w:rPr>
        <w:t>五部分 附表</w:t>
      </w:r>
      <w:bookmarkStart w:id="54" w:name="_Toc15396619"/>
    </w:p>
    <w:p w14:paraId="0E59E362">
      <w:pPr>
        <w:pStyle w:val="4"/>
        <w:rPr>
          <w:rFonts w:ascii="仿宋" w:hAnsi="仿宋" w:eastAsia="仿宋"/>
        </w:rPr>
      </w:pPr>
      <w:r>
        <w:rPr>
          <w:rFonts w:hint="eastAsia" w:ascii="仿宋" w:hAnsi="仿宋" w:eastAsia="仿宋"/>
          <w:b w:val="0"/>
        </w:rPr>
        <w:t>一、收</w:t>
      </w:r>
      <w:r>
        <w:rPr>
          <w:rStyle w:val="22"/>
          <w:rFonts w:hint="eastAsia" w:ascii="仿宋" w:hAnsi="仿宋" w:eastAsia="仿宋"/>
          <w:b w:val="0"/>
          <w:bCs w:val="0"/>
        </w:rPr>
        <w:t>入支出决算总表</w:t>
      </w:r>
      <w:bookmarkEnd w:id="54"/>
    </w:p>
    <w:p w14:paraId="3EC0B2AE">
      <w:pPr>
        <w:pStyle w:val="4"/>
        <w:rPr>
          <w:rFonts w:ascii="仿宋" w:hAnsi="仿宋" w:eastAsia="仿宋"/>
        </w:rPr>
      </w:pPr>
      <w:bookmarkStart w:id="55" w:name="_Toc15396620"/>
      <w:r>
        <w:rPr>
          <w:rFonts w:hint="eastAsia" w:ascii="仿宋" w:hAnsi="仿宋" w:eastAsia="仿宋"/>
          <w:b w:val="0"/>
        </w:rPr>
        <w:t>二、收</w:t>
      </w:r>
      <w:r>
        <w:rPr>
          <w:rStyle w:val="22"/>
          <w:rFonts w:hint="eastAsia" w:ascii="仿宋" w:hAnsi="仿宋" w:eastAsia="仿宋"/>
          <w:b w:val="0"/>
          <w:bCs w:val="0"/>
        </w:rPr>
        <w:t>入决算表</w:t>
      </w:r>
      <w:bookmarkEnd w:id="55"/>
    </w:p>
    <w:p w14:paraId="2F76FDE1">
      <w:pPr>
        <w:pStyle w:val="4"/>
        <w:rPr>
          <w:rFonts w:ascii="仿宋" w:hAnsi="仿宋" w:eastAsia="仿宋"/>
        </w:rPr>
      </w:pPr>
      <w:bookmarkStart w:id="56" w:name="_Toc15396621"/>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56"/>
    </w:p>
    <w:p w14:paraId="2B17DC79">
      <w:pPr>
        <w:pStyle w:val="4"/>
        <w:rPr>
          <w:rFonts w:ascii="仿宋" w:hAnsi="仿宋" w:eastAsia="仿宋"/>
          <w:b w:val="0"/>
        </w:rPr>
      </w:pPr>
      <w:bookmarkStart w:id="57" w:name="_Toc15396622"/>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57"/>
    </w:p>
    <w:p w14:paraId="0C9D1647">
      <w:pPr>
        <w:pStyle w:val="4"/>
        <w:rPr>
          <w:rStyle w:val="22"/>
          <w:rFonts w:ascii="仿宋" w:hAnsi="仿宋" w:eastAsia="仿宋"/>
          <w:b w:val="0"/>
          <w:bCs w:val="0"/>
        </w:rPr>
      </w:pPr>
      <w:bookmarkStart w:id="58" w:name="_Toc15396623"/>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58"/>
      <w:bookmarkStart w:id="59" w:name="_Toc15396624"/>
    </w:p>
    <w:p w14:paraId="2CC56819">
      <w:pPr>
        <w:pStyle w:val="4"/>
        <w:rPr>
          <w:rFonts w:ascii="仿宋" w:hAnsi="仿宋" w:eastAsia="仿宋"/>
        </w:rPr>
      </w:pPr>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59"/>
    </w:p>
    <w:p w14:paraId="599D6FDA">
      <w:pPr>
        <w:pStyle w:val="4"/>
        <w:rPr>
          <w:rFonts w:ascii="仿宋" w:hAnsi="仿宋" w:eastAsia="仿宋"/>
        </w:rPr>
      </w:pPr>
      <w:bookmarkStart w:id="60" w:name="_Toc1539662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60"/>
    </w:p>
    <w:p w14:paraId="2289B3E0">
      <w:pPr>
        <w:pStyle w:val="4"/>
        <w:rPr>
          <w:rFonts w:ascii="仿宋" w:hAnsi="仿宋" w:eastAsia="仿宋"/>
        </w:rPr>
      </w:pPr>
      <w:bookmarkStart w:id="61" w:name="_Toc15396626"/>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61"/>
    </w:p>
    <w:p w14:paraId="663B8D63">
      <w:pPr>
        <w:pStyle w:val="4"/>
        <w:rPr>
          <w:rFonts w:ascii="仿宋" w:hAnsi="仿宋" w:eastAsia="仿宋"/>
        </w:rPr>
      </w:pPr>
      <w:bookmarkStart w:id="62" w:name="_Toc15396627"/>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62"/>
    </w:p>
    <w:p w14:paraId="257190C4">
      <w:pPr>
        <w:pStyle w:val="4"/>
        <w:rPr>
          <w:rFonts w:ascii="仿宋" w:hAnsi="仿宋" w:eastAsia="仿宋"/>
        </w:rPr>
      </w:pPr>
      <w:bookmarkStart w:id="63" w:name="_Toc15396628"/>
      <w:r>
        <w:rPr>
          <w:rStyle w:val="22"/>
          <w:rFonts w:hint="eastAsia" w:ascii="仿宋" w:hAnsi="仿宋" w:eastAsia="仿宋"/>
          <w:b w:val="0"/>
          <w:bCs w:val="0"/>
        </w:rPr>
        <w:t>十、</w:t>
      </w:r>
      <w:bookmarkEnd w:id="63"/>
      <w:r>
        <w:rPr>
          <w:rFonts w:hint="eastAsia" w:ascii="仿宋" w:hAnsi="仿宋" w:eastAsia="仿宋"/>
          <w:b w:val="0"/>
        </w:rPr>
        <w:t>政</w:t>
      </w:r>
      <w:r>
        <w:rPr>
          <w:rStyle w:val="22"/>
          <w:rFonts w:hint="eastAsia" w:ascii="仿宋" w:hAnsi="仿宋" w:eastAsia="仿宋"/>
          <w:b w:val="0"/>
          <w:bCs w:val="0"/>
        </w:rPr>
        <w:t>府性基金预算财政拨款收入支出决算表</w:t>
      </w:r>
    </w:p>
    <w:p w14:paraId="13B98FA0">
      <w:pPr>
        <w:pStyle w:val="4"/>
        <w:rPr>
          <w:rFonts w:ascii="仿宋" w:hAnsi="仿宋" w:eastAsia="仿宋"/>
        </w:rPr>
      </w:pPr>
      <w:bookmarkStart w:id="64" w:name="_Toc15396629"/>
      <w:r>
        <w:rPr>
          <w:rStyle w:val="22"/>
          <w:rFonts w:hint="eastAsia" w:ascii="仿宋" w:hAnsi="仿宋" w:eastAsia="仿宋"/>
          <w:b w:val="0"/>
          <w:bCs w:val="0"/>
        </w:rPr>
        <w:t>十一、</w:t>
      </w:r>
      <w:bookmarkEnd w:id="64"/>
      <w:r>
        <w:rPr>
          <w:rFonts w:hint="eastAsia" w:ascii="仿宋" w:hAnsi="仿宋" w:eastAsia="仿宋"/>
          <w:b w:val="0"/>
        </w:rPr>
        <w:t>国</w:t>
      </w:r>
      <w:r>
        <w:rPr>
          <w:rStyle w:val="22"/>
          <w:rFonts w:hint="eastAsia" w:ascii="仿宋" w:hAnsi="仿宋" w:eastAsia="仿宋"/>
          <w:b w:val="0"/>
          <w:bCs w:val="0"/>
        </w:rPr>
        <w:t>有资本经营预算财政拨款收入支出决算表</w:t>
      </w:r>
    </w:p>
    <w:p w14:paraId="02791880">
      <w:pPr>
        <w:pStyle w:val="4"/>
        <w:rPr>
          <w:rFonts w:ascii="仿宋" w:hAnsi="仿宋" w:eastAsia="仿宋"/>
        </w:rPr>
      </w:pPr>
      <w:bookmarkStart w:id="65" w:name="_Toc15396630"/>
      <w:r>
        <w:rPr>
          <w:rStyle w:val="22"/>
          <w:rFonts w:hint="eastAsia" w:ascii="仿宋" w:hAnsi="仿宋" w:eastAsia="仿宋"/>
          <w:b w:val="0"/>
          <w:bCs w:val="0"/>
        </w:rPr>
        <w:t>十二、</w:t>
      </w:r>
      <w:bookmarkEnd w:id="65"/>
      <w:r>
        <w:rPr>
          <w:rStyle w:val="22"/>
          <w:rFonts w:hint="eastAsia" w:ascii="仿宋" w:hAnsi="仿宋" w:eastAsia="仿宋"/>
          <w:b w:val="0"/>
          <w:bCs w:val="0"/>
        </w:rPr>
        <w:t>国有资本经营预算财政拨款支出决算表</w:t>
      </w:r>
    </w:p>
    <w:p w14:paraId="6A63C7EC">
      <w:pPr>
        <w:pStyle w:val="4"/>
        <w:rPr>
          <w:rFonts w:eastAsia="仿宋"/>
        </w:rPr>
      </w:pPr>
      <w:bookmarkStart w:id="66" w:name="_Toc15396631"/>
      <w:r>
        <w:rPr>
          <w:rStyle w:val="22"/>
          <w:rFonts w:hint="eastAsia" w:ascii="仿宋" w:hAnsi="仿宋" w:eastAsia="仿宋"/>
          <w:b w:val="0"/>
          <w:bCs w:val="0"/>
        </w:rPr>
        <w:t>十三、</w:t>
      </w:r>
      <w:bookmarkEnd w:id="66"/>
      <w:r>
        <w:rPr>
          <w:rStyle w:val="22"/>
          <w:rFonts w:hint="eastAsia" w:ascii="仿宋" w:hAnsi="仿宋" w:eastAsia="仿宋"/>
          <w:b w:val="0"/>
          <w:bCs w:val="0"/>
        </w:rPr>
        <w:t>财政拨款“三公”经费支出决算表</w:t>
      </w:r>
    </w:p>
    <w:p w14:paraId="5815F02C">
      <w:pPr>
        <w:rPr>
          <w:rFonts w:ascii="仿宋" w:hAnsi="仿宋" w:eastAsia="仿宋"/>
        </w:rPr>
      </w:pPr>
    </w:p>
    <w:p w14:paraId="7CF69D6D">
      <w:pPr>
        <w:pStyle w:val="2"/>
        <w:rPr>
          <w:rFonts w:ascii="仿宋" w:hAnsi="仿宋" w:eastAsia="仿宋"/>
        </w:rPr>
      </w:pPr>
    </w:p>
    <w:p w14:paraId="048A159E">
      <w:pPr>
        <w:pStyle w:val="4"/>
        <w:rPr>
          <w:rFonts w:eastAsia="仿宋"/>
        </w:rPr>
      </w:pPr>
      <w:bookmarkStart w:id="67" w:name="_GoBack"/>
      <w:bookmarkEnd w:id="6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10"/>
      <w:jc w:val="center"/>
    </w:pPr>
    <w:r>
      <w:fldChar w:fldCharType="begin"/>
    </w:r>
    <w:r>
      <w:instrText xml:space="preserve">PAGE   \* MERGEFORMAT</w:instrText>
    </w:r>
    <w:r>
      <w:fldChar w:fldCharType="separate"/>
    </w:r>
    <w:r>
      <w:rPr>
        <w:lang w:val="zh-CN"/>
      </w:rPr>
      <w:t>15</w:t>
    </w:r>
    <w:r>
      <w:fldChar w:fldCharType="end"/>
    </w:r>
  </w:p>
  <w:p w14:paraId="04E193B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C003B"/>
    <w:multiLevelType w:val="singleLevel"/>
    <w:tmpl w:val="A98C003B"/>
    <w:lvl w:ilvl="0" w:tentative="0">
      <w:start w:val="5"/>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23E056C"/>
    <w:rsid w:val="08E4264E"/>
    <w:rsid w:val="09FB33BD"/>
    <w:rsid w:val="146A79E0"/>
    <w:rsid w:val="258F5DCF"/>
    <w:rsid w:val="32A66D30"/>
    <w:rsid w:val="40B96A80"/>
    <w:rsid w:val="457A7226"/>
    <w:rsid w:val="4B2D5366"/>
    <w:rsid w:val="4DF947AF"/>
    <w:rsid w:val="6B2A561A"/>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2"/>
    <w:qFormat/>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3"/>
    <w:qFormat/>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link w:val="24"/>
    <w:qFormat/>
    <w:uiPriority w:val="0"/>
    <w:pPr>
      <w:spacing w:before="93" w:beforeLines="30"/>
    </w:pPr>
    <w:rPr>
      <w:rFonts w:ascii="仿宋_GB2312" w:hAnsi="Times New Roman" w:eastAsia="仿宋_GB2312"/>
      <w:sz w:val="24"/>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qFormat/>
    <w:uiPriority w:val="0"/>
    <w:pPr>
      <w:tabs>
        <w:tab w:val="right" w:leader="dot" w:pos="8296"/>
      </w:tabs>
      <w:ind w:left="840" w:leftChars="400"/>
    </w:pPr>
  </w:style>
  <w:style w:type="paragraph" w:styleId="9">
    <w:name w:val="Balloon Text"/>
    <w:basedOn w:val="1"/>
    <w:link w:val="25"/>
    <w:qFormat/>
    <w:uiPriority w:val="0"/>
    <w:rPr>
      <w:rFonts w:ascii="Times New Roman" w:hAnsi="Times New Roman"/>
      <w:kern w:val="2"/>
      <w:sz w:val="18"/>
      <w:szCs w:val="18"/>
    </w:rPr>
  </w:style>
  <w:style w:type="paragraph" w:styleId="10">
    <w:name w:val="footer"/>
    <w:basedOn w:val="1"/>
    <w:link w:val="26"/>
    <w:qFormat/>
    <w:uiPriority w:val="0"/>
    <w:pPr>
      <w:tabs>
        <w:tab w:val="center" w:pos="4153"/>
        <w:tab w:val="right" w:pos="8306"/>
      </w:tabs>
      <w:snapToGrid w:val="0"/>
      <w:jc w:val="left"/>
    </w:pPr>
    <w:rPr>
      <w:sz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1 字符"/>
    <w:basedOn w:val="18"/>
    <w:link w:val="3"/>
    <w:qFormat/>
    <w:uiPriority w:val="0"/>
    <w:rPr>
      <w:rFonts w:ascii="Times New Roman" w:hAnsi="Times New Roman"/>
      <w:b/>
      <w:bCs/>
      <w:kern w:val="44"/>
      <w:sz w:val="44"/>
      <w:szCs w:val="44"/>
    </w:rPr>
  </w:style>
  <w:style w:type="character" w:customStyle="1" w:styleId="22">
    <w:name w:val="标题 2 字符"/>
    <w:basedOn w:val="18"/>
    <w:link w:val="4"/>
    <w:qFormat/>
    <w:uiPriority w:val="0"/>
    <w:rPr>
      <w:rFonts w:ascii="Cambria" w:hAnsi="Cambria" w:eastAsia="宋体" w:cs="黑体"/>
      <w:b/>
      <w:bCs/>
      <w:kern w:val="2"/>
      <w:sz w:val="32"/>
      <w:szCs w:val="32"/>
    </w:rPr>
  </w:style>
  <w:style w:type="character" w:customStyle="1" w:styleId="23">
    <w:name w:val="标题 3 字符"/>
    <w:basedOn w:val="18"/>
    <w:link w:val="5"/>
    <w:qFormat/>
    <w:uiPriority w:val="0"/>
    <w:rPr>
      <w:rFonts w:ascii="Times New Roman" w:hAnsi="Times New Roman"/>
      <w:b/>
      <w:bCs/>
      <w:kern w:val="2"/>
      <w:sz w:val="32"/>
      <w:szCs w:val="32"/>
    </w:rPr>
  </w:style>
  <w:style w:type="character" w:customStyle="1" w:styleId="24">
    <w:name w:val="正文文本 字符"/>
    <w:link w:val="2"/>
    <w:qFormat/>
    <w:uiPriority w:val="0"/>
    <w:rPr>
      <w:rFonts w:ascii="仿宋_GB2312" w:hAnsi="Times New Roman" w:eastAsia="仿宋_GB2312"/>
      <w:sz w:val="24"/>
    </w:rPr>
  </w:style>
  <w:style w:type="character" w:customStyle="1" w:styleId="25">
    <w:name w:val="批注框文本 字符"/>
    <w:basedOn w:val="18"/>
    <w:link w:val="9"/>
    <w:qFormat/>
    <w:uiPriority w:val="0"/>
    <w:rPr>
      <w:rFonts w:ascii="Times New Roman" w:hAnsi="Times New Roman"/>
      <w:kern w:val="2"/>
      <w:sz w:val="18"/>
      <w:szCs w:val="18"/>
    </w:rPr>
  </w:style>
  <w:style w:type="character" w:customStyle="1" w:styleId="26">
    <w:name w:val="页脚 字符"/>
    <w:link w:val="10"/>
    <w:qFormat/>
    <w:uiPriority w:val="0"/>
    <w:rPr>
      <w:sz w:val="18"/>
    </w:rPr>
  </w:style>
  <w:style w:type="character" w:customStyle="1" w:styleId="27">
    <w:name w:val="页眉 字符"/>
    <w:link w:val="11"/>
    <w:qFormat/>
    <w:uiPriority w:val="0"/>
    <w:rPr>
      <w:sz w:val="18"/>
    </w:rPr>
  </w:style>
  <w:style w:type="character" w:customStyle="1" w:styleId="28">
    <w:name w:val="Body Text Char"/>
    <w:basedOn w:val="18"/>
    <w:qFormat/>
    <w:uiPriority w:val="0"/>
    <w:rPr>
      <w:rFonts w:ascii="Times New Roman" w:hAnsi="Times New Roman"/>
      <w:szCs w:val="24"/>
    </w:rPr>
  </w:style>
  <w:style w:type="character" w:customStyle="1" w:styleId="29">
    <w:name w:val="Header Char"/>
    <w:basedOn w:val="18"/>
    <w:qFormat/>
    <w:uiPriority w:val="0"/>
    <w:rPr>
      <w:rFonts w:ascii="Times New Roman" w:hAnsi="Times New Roman"/>
      <w:sz w:val="18"/>
      <w:szCs w:val="18"/>
    </w:rPr>
  </w:style>
  <w:style w:type="character" w:customStyle="1" w:styleId="30">
    <w:name w:val="Footer Char"/>
    <w:basedOn w:val="18"/>
    <w:qFormat/>
    <w:uiPriority w:val="0"/>
    <w:rPr>
      <w:rFonts w:ascii="Times New Roman" w:hAnsi="Times New Roman"/>
      <w:sz w:val="18"/>
      <w:szCs w:val="18"/>
    </w:rPr>
  </w:style>
  <w:style w:type="character" w:customStyle="1" w:styleId="31">
    <w:name w:val="15"/>
    <w:basedOn w:val="18"/>
    <w:qFormat/>
    <w:uiPriority w:val="0"/>
    <w:rPr>
      <w:rFonts w:hint="default" w:ascii="Times New Roman" w:hAnsi="Times New Roman" w:cs="Times New Roman"/>
      <w:b/>
    </w:rPr>
  </w:style>
  <w:style w:type="paragraph" w:customStyle="1" w:styleId="32">
    <w:name w:val="TOC 标题2"/>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3">
    <w:name w:val="Body Text Indent"/>
    <w:basedOn w:val="1"/>
    <w:qFormat/>
    <w:uiPriority w:val="0"/>
    <w:pPr>
      <w:spacing w:after="120" w:afterLines="0"/>
      <w:ind w:left="200" w:leftChars="200"/>
    </w:pPr>
    <w:rPr>
      <w:rFonts w:ascii="仿宋_GB2312"/>
      <w:szCs w:val="32"/>
    </w:rPr>
  </w:style>
  <w:style w:type="paragraph" w:customStyle="1" w:styleId="34">
    <w:name w:val="Body Text First Indent 2"/>
    <w:basedOn w:val="33"/>
    <w:qFormat/>
    <w:uiPriority w:val="0"/>
    <w:pPr>
      <w:ind w:firstLine="420" w:firstLineChars="200"/>
    </w:pPr>
  </w:style>
  <w:style w:type="paragraph" w:customStyle="1" w:styleId="35">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List Paragraph"/>
    <w:basedOn w:val="1"/>
    <w:qFormat/>
    <w:uiPriority w:val="0"/>
    <w:pPr>
      <w:ind w:firstLine="420" w:firstLineChars="200"/>
    </w:p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40">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1">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paragraph" w:customStyle="1" w:styleId="43">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 w:type="character" w:customStyle="1" w:styleId="44">
    <w:name w:val="16"/>
    <w:basedOn w:val="18"/>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4666</Words>
  <Characters>5056</Characters>
  <Lines>54</Lines>
  <Paragraphs>15</Paragraphs>
  <TotalTime>0</TotalTime>
  <ScaleCrop>false</ScaleCrop>
  <LinksUpToDate>false</LinksUpToDate>
  <CharactersWithSpaces>5070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2024-09-19T08:45:07Z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