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27F7">
      <w:pPr>
        <w:spacing w:line="600" w:lineRule="exact"/>
        <w:jc w:val="center"/>
        <w:outlineLvl w:val="9"/>
        <w:rPr>
          <w:rFonts w:ascii="方正小标宋简体" w:hAnsi="宋体" w:eastAsia="方正小标宋简体"/>
          <w:sz w:val="72"/>
          <w:szCs w:val="72"/>
        </w:rPr>
      </w:pPr>
      <w:bookmarkStart w:id="0" w:name="_Toc15396475"/>
      <w:bookmarkStart w:id="1" w:name="_Toc15377193"/>
      <w:bookmarkStart w:id="2" w:name="_Toc15396597"/>
      <w:bookmarkStart w:id="3" w:name="_Toc15377425"/>
      <w:bookmarkStart w:id="4" w:name="_Toc15378441"/>
      <w:bookmarkStart w:id="5" w:name="_Toc15306267"/>
    </w:p>
    <w:p w14:paraId="096A54D2">
      <w:pPr>
        <w:pStyle w:val="5"/>
        <w:spacing w:before="93"/>
      </w:pPr>
    </w:p>
    <w:p w14:paraId="63FBC1AC">
      <w:pPr>
        <w:spacing w:line="600" w:lineRule="exact"/>
        <w:jc w:val="center"/>
        <w:outlineLvl w:val="9"/>
        <w:rPr>
          <w:rFonts w:ascii="方正小标宋简体" w:hAnsi="宋体" w:eastAsia="方正小标宋简体"/>
          <w:sz w:val="72"/>
          <w:szCs w:val="72"/>
        </w:rPr>
      </w:pPr>
    </w:p>
    <w:p w14:paraId="131F1464">
      <w:pPr>
        <w:spacing w:line="600" w:lineRule="exact"/>
        <w:jc w:val="center"/>
        <w:outlineLvl w:val="9"/>
        <w:rPr>
          <w:rFonts w:ascii="方正小标宋简体" w:hAnsi="宋体" w:eastAsia="方正小标宋简体"/>
          <w:sz w:val="72"/>
          <w:szCs w:val="72"/>
        </w:rPr>
      </w:pPr>
    </w:p>
    <w:p w14:paraId="72E6F4A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3514"/>
      <w:bookmarkStart w:id="7" w:name="_Toc25659"/>
      <w:bookmarkStart w:id="8" w:name="_Toc152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p>
    <w:p w14:paraId="4901CCD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9" w:name="_Toc14035"/>
      <w:bookmarkStart w:id="10" w:name="_Toc15378442"/>
      <w:bookmarkStart w:id="11" w:name="_Toc17657"/>
      <w:bookmarkStart w:id="12" w:name="_Toc15396598"/>
      <w:bookmarkStart w:id="13" w:name="_Toc15377426"/>
      <w:bookmarkStart w:id="14" w:name="_Toc15396476"/>
      <w:bookmarkStart w:id="15" w:name="_Toc24565"/>
      <w:bookmarkStart w:id="16" w:name="_Toc15377194"/>
      <w:r>
        <w:rPr>
          <w:rFonts w:hint="eastAsia" w:ascii="方正小标宋简体" w:hAnsi="方正小标宋简体" w:eastAsia="方正小标宋简体" w:cs="方正小标宋简体"/>
          <w:sz w:val="72"/>
          <w:szCs w:val="72"/>
        </w:rPr>
        <w:t>四川省</w:t>
      </w:r>
      <w:bookmarkEnd w:id="5"/>
      <w:bookmarkStart w:id="17" w:name="_Toc15306268"/>
      <w:r>
        <w:rPr>
          <w:rFonts w:hint="eastAsia" w:ascii="方正小标宋简体" w:hAnsi="方正小标宋简体" w:eastAsia="方正小标宋简体" w:cs="方正小标宋简体"/>
          <w:sz w:val="72"/>
          <w:szCs w:val="72"/>
          <w:lang w:eastAsia="zh-CN"/>
        </w:rPr>
        <w:t>阿坝州松潘县供销合作社联合社</w:t>
      </w:r>
      <w:r>
        <w:rPr>
          <w:rFonts w:hint="eastAsia" w:ascii="方正小标宋简体" w:hAnsi="方正小标宋简体" w:eastAsia="方正小标宋简体" w:cs="方正小标宋简体"/>
          <w:sz w:val="72"/>
          <w:szCs w:val="72"/>
        </w:rPr>
        <w:t>部门决算</w:t>
      </w:r>
      <w:bookmarkEnd w:id="9"/>
      <w:bookmarkEnd w:id="10"/>
      <w:bookmarkEnd w:id="11"/>
      <w:bookmarkEnd w:id="12"/>
      <w:bookmarkEnd w:id="13"/>
      <w:bookmarkEnd w:id="14"/>
      <w:bookmarkEnd w:id="15"/>
      <w:bookmarkEnd w:id="16"/>
      <w:bookmarkEnd w:id="17"/>
    </w:p>
    <w:p w14:paraId="64F51877">
      <w:pPr>
        <w:adjustRightInd w:val="0"/>
        <w:snapToGrid w:val="0"/>
        <w:spacing w:line="360" w:lineRule="auto"/>
        <w:jc w:val="center"/>
        <w:outlineLvl w:val="0"/>
        <w:rPr>
          <w:rFonts w:hint="eastAsia" w:ascii="方正小标宋简体" w:hAnsi="宋体" w:eastAsia="方正小标宋简体"/>
          <w:sz w:val="52"/>
          <w:szCs w:val="52"/>
        </w:rPr>
      </w:pPr>
    </w:p>
    <w:p w14:paraId="76D3143C">
      <w:pPr>
        <w:widowControl/>
        <w:adjustRightInd w:val="0"/>
        <w:snapToGrid w:val="0"/>
        <w:spacing w:line="440" w:lineRule="exact"/>
        <w:ind w:firstLine="1980" w:firstLineChars="550"/>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72366"/>
        <w15:color w:val="DBDBDB"/>
        <w:docPartObj>
          <w:docPartGallery w:val="Table of Contents"/>
          <w:docPartUnique/>
        </w:docPartObj>
      </w:sdtPr>
      <w:sdtEndPr>
        <w:rPr>
          <w:rFonts w:ascii="方正小标宋简体" w:hAnsi="宋体" w:eastAsia="方正小标宋简体" w:cs="Times New Roman"/>
          <w:b/>
          <w:kern w:val="2"/>
          <w:sz w:val="21"/>
          <w:szCs w:val="36"/>
          <w:lang w:val="en-US" w:eastAsia="zh-CN" w:bidi="ar-SA"/>
        </w:rPr>
      </w:sdtEndPr>
      <w:sdtContent>
        <w:p w14:paraId="3618C7F8">
          <w:pPr>
            <w:spacing w:before="0" w:beforeLines="0" w:after="0" w:afterLines="0" w:line="240" w:lineRule="auto"/>
            <w:ind w:left="0" w:leftChars="0" w:right="0" w:rightChars="0" w:firstLine="0" w:firstLineChars="0"/>
            <w:jc w:val="center"/>
          </w:pPr>
          <w:r>
            <w:rPr>
              <w:rFonts w:ascii="宋体" w:hAnsi="宋体" w:eastAsia="宋体"/>
              <w:sz w:val="52"/>
              <w:szCs w:val="52"/>
            </w:rPr>
            <w:t>目录</w:t>
          </w:r>
          <w:r>
            <w:rPr>
              <w:rFonts w:ascii="方正小标宋简体" w:hAnsi="宋体" w:eastAsia="方正小标宋简体"/>
              <w:sz w:val="36"/>
              <w:szCs w:val="36"/>
            </w:rPr>
            <w:fldChar w:fldCharType="begin"/>
          </w:r>
          <w:r>
            <w:rPr>
              <w:rFonts w:ascii="方正小标宋简体" w:hAnsi="宋体" w:eastAsia="方正小标宋简体"/>
              <w:sz w:val="36"/>
              <w:szCs w:val="36"/>
            </w:rPr>
            <w:instrText xml:space="preserve">TOC \o "1-2" \h \u </w:instrText>
          </w:r>
          <w:r>
            <w:rPr>
              <w:rFonts w:ascii="方正小标宋简体" w:hAnsi="宋体" w:eastAsia="方正小标宋简体"/>
              <w:sz w:val="36"/>
              <w:szCs w:val="36"/>
            </w:rPr>
            <w:fldChar w:fldCharType="separate"/>
          </w:r>
        </w:p>
        <w:p w14:paraId="6C41822D">
          <w:pPr>
            <w:pStyle w:val="11"/>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_Toc21512 </w:instrText>
          </w:r>
          <w:r>
            <w:rPr>
              <w:rFonts w:ascii="方正小标宋简体" w:hAnsi="宋体" w:eastAsia="方正小标宋简体"/>
              <w:szCs w:val="36"/>
            </w:rP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_Toc21512 \h </w:instrText>
          </w:r>
          <w:r>
            <w:fldChar w:fldCharType="separate"/>
          </w:r>
          <w:r>
            <w:t>3</w:t>
          </w:r>
          <w:r>
            <w:fldChar w:fldCharType="end"/>
          </w:r>
          <w:r>
            <w:rPr>
              <w:rFonts w:ascii="方正小标宋简体" w:hAnsi="宋体" w:eastAsia="方正小标宋简体"/>
              <w:szCs w:val="36"/>
            </w:rPr>
            <w:fldChar w:fldCharType="end"/>
          </w:r>
        </w:p>
        <w:p w14:paraId="01D8BE96">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_Toc246 </w:instrText>
          </w:r>
          <w:r>
            <w:rPr>
              <w:rFonts w:ascii="方正小标宋简体" w:hAnsi="宋体" w:eastAsia="方正小标宋简体"/>
              <w:szCs w:val="36"/>
            </w:rPr>
            <w:fldChar w:fldCharType="separate"/>
          </w:r>
          <w:r>
            <w:rPr>
              <w:rFonts w:hint="eastAsia" w:ascii="黑体" w:hAnsi="黑体" w:eastAsia="黑体"/>
            </w:rPr>
            <w:t>一、 部门职责</w:t>
          </w:r>
          <w:r>
            <w:tab/>
          </w:r>
          <w:r>
            <w:fldChar w:fldCharType="begin"/>
          </w:r>
          <w:r>
            <w:instrText xml:space="preserve"> PAGEREF _Toc246 \h </w:instrText>
          </w:r>
          <w:r>
            <w:fldChar w:fldCharType="separate"/>
          </w:r>
          <w:r>
            <w:t>3</w:t>
          </w:r>
          <w:r>
            <w:fldChar w:fldCharType="end"/>
          </w:r>
          <w:r>
            <w:rPr>
              <w:rFonts w:ascii="方正小标宋简体" w:hAnsi="宋体" w:eastAsia="方正小标宋简体"/>
              <w:szCs w:val="36"/>
            </w:rPr>
            <w:fldChar w:fldCharType="end"/>
          </w:r>
        </w:p>
        <w:p w14:paraId="695A9043">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_Toc25064 </w:instrText>
          </w:r>
          <w:r>
            <w:rPr>
              <w:rFonts w:ascii="方正小标宋简体" w:hAnsi="宋体" w:eastAsia="方正小标宋简体"/>
              <w:szCs w:val="36"/>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_Toc25064 \h </w:instrText>
          </w:r>
          <w:r>
            <w:fldChar w:fldCharType="separate"/>
          </w:r>
          <w:r>
            <w:t>4</w:t>
          </w:r>
          <w:r>
            <w:fldChar w:fldCharType="end"/>
          </w:r>
          <w:r>
            <w:rPr>
              <w:rFonts w:ascii="方正小标宋简体" w:hAnsi="宋体" w:eastAsia="方正小标宋简体"/>
              <w:szCs w:val="36"/>
            </w:rPr>
            <w:fldChar w:fldCharType="end"/>
          </w:r>
        </w:p>
        <w:p w14:paraId="5444D142">
          <w:pPr>
            <w:pStyle w:val="11"/>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_Toc15953 </w:instrText>
          </w:r>
          <w:r>
            <w:rPr>
              <w:rFonts w:ascii="方正小标宋简体" w:hAnsi="宋体" w:eastAsia="方正小标宋简体"/>
              <w:szCs w:val="36"/>
            </w:rP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_Toc15953 \h </w:instrText>
          </w:r>
          <w:r>
            <w:fldChar w:fldCharType="separate"/>
          </w:r>
          <w:r>
            <w:t>5</w:t>
          </w:r>
          <w:r>
            <w:fldChar w:fldCharType="end"/>
          </w:r>
          <w:r>
            <w:rPr>
              <w:rFonts w:ascii="方正小标宋简体" w:hAnsi="宋体" w:eastAsia="方正小标宋简体"/>
              <w:szCs w:val="36"/>
            </w:rPr>
            <w:fldChar w:fldCharType="end"/>
          </w:r>
        </w:p>
        <w:p w14:paraId="3D4381D0">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_Toc18439 </w:instrText>
          </w:r>
          <w:r>
            <w:rPr>
              <w:rFonts w:ascii="方正小标宋简体" w:hAnsi="宋体" w:eastAsia="方正小标宋简体"/>
              <w:szCs w:val="36"/>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_Toc18439 \h </w:instrText>
          </w:r>
          <w:r>
            <w:fldChar w:fldCharType="separate"/>
          </w:r>
          <w:r>
            <w:t>5</w:t>
          </w:r>
          <w:r>
            <w:fldChar w:fldCharType="end"/>
          </w:r>
          <w:r>
            <w:rPr>
              <w:rFonts w:ascii="方正小标宋简体" w:hAnsi="宋体" w:eastAsia="方正小标宋简体"/>
              <w:szCs w:val="36"/>
            </w:rPr>
            <w:fldChar w:fldCharType="end"/>
          </w:r>
        </w:p>
        <w:p w14:paraId="391FCE87">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_Toc14336 </w:instrText>
          </w:r>
          <w:r>
            <w:rPr>
              <w:rFonts w:ascii="方正小标宋简体" w:hAnsi="宋体" w:eastAsia="方正小标宋简体"/>
              <w:szCs w:val="36"/>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_Toc14336 \h </w:instrText>
          </w:r>
          <w:r>
            <w:fldChar w:fldCharType="separate"/>
          </w:r>
          <w:r>
            <w:t>5</w:t>
          </w:r>
          <w:r>
            <w:fldChar w:fldCharType="end"/>
          </w:r>
          <w:r>
            <w:rPr>
              <w:rFonts w:ascii="方正小标宋简体" w:hAnsi="宋体" w:eastAsia="方正小标宋简体"/>
              <w:szCs w:val="36"/>
            </w:rPr>
            <w:fldChar w:fldCharType="end"/>
          </w:r>
        </w:p>
        <w:p w14:paraId="2C0C3EE2">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_Toc17142 </w:instrText>
          </w:r>
          <w:r>
            <w:rPr>
              <w:rFonts w:ascii="方正小标宋简体" w:hAnsi="宋体" w:eastAsia="方正小标宋简体"/>
              <w:szCs w:val="36"/>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_Toc17142 \h </w:instrText>
          </w:r>
          <w:r>
            <w:fldChar w:fldCharType="separate"/>
          </w:r>
          <w:r>
            <w:t>6</w:t>
          </w:r>
          <w:r>
            <w:fldChar w:fldCharType="end"/>
          </w:r>
          <w:r>
            <w:rPr>
              <w:rFonts w:ascii="方正小标宋简体" w:hAnsi="宋体" w:eastAsia="方正小标宋简体"/>
              <w:szCs w:val="36"/>
            </w:rPr>
            <w:fldChar w:fldCharType="end"/>
          </w:r>
        </w:p>
        <w:p w14:paraId="564C7071">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_Toc19174 </w:instrText>
          </w:r>
          <w:r>
            <w:rPr>
              <w:rFonts w:ascii="方正小标宋简体" w:hAnsi="宋体" w:eastAsia="方正小标宋简体"/>
              <w:szCs w:val="36"/>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_Toc19174 \h </w:instrText>
          </w:r>
          <w:r>
            <w:fldChar w:fldCharType="separate"/>
          </w:r>
          <w:r>
            <w:t>6</w:t>
          </w:r>
          <w:r>
            <w:fldChar w:fldCharType="end"/>
          </w:r>
          <w:r>
            <w:rPr>
              <w:rFonts w:ascii="方正小标宋简体" w:hAnsi="宋体" w:eastAsia="方正小标宋简体"/>
              <w:szCs w:val="36"/>
            </w:rPr>
            <w:fldChar w:fldCharType="end"/>
          </w:r>
        </w:p>
        <w:p w14:paraId="46E85DA1">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_Toc19539 </w:instrText>
          </w:r>
          <w:r>
            <w:rPr>
              <w:rFonts w:ascii="方正小标宋简体" w:hAnsi="宋体" w:eastAsia="方正小标宋简体"/>
              <w:szCs w:val="36"/>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_Toc19539 \h </w:instrText>
          </w:r>
          <w:r>
            <w:fldChar w:fldCharType="separate"/>
          </w:r>
          <w:r>
            <w:t>7</w:t>
          </w:r>
          <w:r>
            <w:fldChar w:fldCharType="end"/>
          </w:r>
          <w:r>
            <w:rPr>
              <w:rFonts w:ascii="方正小标宋简体" w:hAnsi="宋体" w:eastAsia="方正小标宋简体"/>
              <w:szCs w:val="36"/>
            </w:rPr>
            <w:fldChar w:fldCharType="end"/>
          </w:r>
        </w:p>
        <w:p w14:paraId="1BA7630D">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_Toc326 </w:instrText>
          </w:r>
          <w:r>
            <w:rPr>
              <w:rFonts w:ascii="方正小标宋简体" w:hAnsi="宋体" w:eastAsia="方正小标宋简体"/>
              <w:szCs w:val="36"/>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_Toc326 \h </w:instrText>
          </w:r>
          <w:r>
            <w:fldChar w:fldCharType="separate"/>
          </w:r>
          <w:r>
            <w:t>8</w:t>
          </w:r>
          <w:r>
            <w:fldChar w:fldCharType="end"/>
          </w:r>
          <w:r>
            <w:rPr>
              <w:rFonts w:ascii="方正小标宋简体" w:hAnsi="宋体" w:eastAsia="方正小标宋简体"/>
              <w:szCs w:val="36"/>
            </w:rPr>
            <w:fldChar w:fldCharType="end"/>
          </w:r>
        </w:p>
        <w:p w14:paraId="7B5A8A04">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_Toc26604 </w:instrText>
          </w:r>
          <w:r>
            <w:rPr>
              <w:rFonts w:ascii="方正小标宋简体" w:hAnsi="宋体" w:eastAsia="方正小标宋简体"/>
              <w:szCs w:val="36"/>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_Toc26604 \h </w:instrText>
          </w:r>
          <w:r>
            <w:fldChar w:fldCharType="separate"/>
          </w:r>
          <w:r>
            <w:t>8</w:t>
          </w:r>
          <w:r>
            <w:fldChar w:fldCharType="end"/>
          </w:r>
          <w:r>
            <w:rPr>
              <w:rFonts w:ascii="方正小标宋简体" w:hAnsi="宋体" w:eastAsia="方正小标宋简体"/>
              <w:szCs w:val="36"/>
            </w:rPr>
            <w:fldChar w:fldCharType="end"/>
          </w:r>
        </w:p>
        <w:p w14:paraId="2F693AED">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_Toc20456 </w:instrText>
          </w:r>
          <w:r>
            <w:rPr>
              <w:rFonts w:ascii="方正小标宋简体" w:hAnsi="宋体" w:eastAsia="方正小标宋简体"/>
              <w:szCs w:val="36"/>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_Toc20456 \h </w:instrText>
          </w:r>
          <w:r>
            <w:fldChar w:fldCharType="separate"/>
          </w:r>
          <w:r>
            <w:t>9</w:t>
          </w:r>
          <w:r>
            <w:fldChar w:fldCharType="end"/>
          </w:r>
          <w:r>
            <w:rPr>
              <w:rFonts w:ascii="方正小标宋简体" w:hAnsi="宋体" w:eastAsia="方正小标宋简体"/>
              <w:szCs w:val="36"/>
            </w:rPr>
            <w:fldChar w:fldCharType="end"/>
          </w:r>
        </w:p>
        <w:p w14:paraId="51CC2234">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_Toc32473 </w:instrText>
          </w:r>
          <w:r>
            <w:rPr>
              <w:rFonts w:ascii="方正小标宋简体" w:hAnsi="宋体" w:eastAsia="方正小标宋简体"/>
              <w:szCs w:val="36"/>
            </w:rPr>
            <w:fldChar w:fldCharType="separate"/>
          </w:r>
          <w:r>
            <w:rPr>
              <w:rFonts w:hint="eastAsia" w:ascii="黑体" w:hAnsi="黑体" w:eastAsia="黑体"/>
            </w:rPr>
            <w:t>九、 国有资本经营预算支出决算情况说明</w:t>
          </w:r>
          <w:r>
            <w:tab/>
          </w:r>
          <w:r>
            <w:fldChar w:fldCharType="begin"/>
          </w:r>
          <w:r>
            <w:instrText xml:space="preserve"> PAGEREF _Toc32473 \h </w:instrText>
          </w:r>
          <w:r>
            <w:fldChar w:fldCharType="separate"/>
          </w:r>
          <w:r>
            <w:t>9</w:t>
          </w:r>
          <w:r>
            <w:fldChar w:fldCharType="end"/>
          </w:r>
          <w:r>
            <w:rPr>
              <w:rFonts w:ascii="方正小标宋简体" w:hAnsi="宋体" w:eastAsia="方正小标宋简体"/>
              <w:szCs w:val="36"/>
            </w:rPr>
            <w:fldChar w:fldCharType="end"/>
          </w:r>
        </w:p>
        <w:p w14:paraId="747E219C">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_Toc19789 </w:instrText>
          </w:r>
          <w:r>
            <w:rPr>
              <w:rFonts w:ascii="方正小标宋简体" w:hAnsi="宋体" w:eastAsia="方正小标宋简体"/>
              <w:szCs w:val="36"/>
            </w:rPr>
            <w:fldChar w:fldCharType="separate"/>
          </w:r>
          <w:r>
            <w:rPr>
              <w:rFonts w:hint="eastAsia" w:ascii="黑体" w:hAnsi="黑体" w:eastAsia="黑体"/>
            </w:rPr>
            <w:t>十、 其他重要事项的情况说明</w:t>
          </w:r>
          <w:r>
            <w:tab/>
          </w:r>
          <w:r>
            <w:fldChar w:fldCharType="begin"/>
          </w:r>
          <w:r>
            <w:instrText xml:space="preserve"> PAGEREF _Toc19789 \h </w:instrText>
          </w:r>
          <w:r>
            <w:fldChar w:fldCharType="separate"/>
          </w:r>
          <w:r>
            <w:t>9</w:t>
          </w:r>
          <w:r>
            <w:fldChar w:fldCharType="end"/>
          </w:r>
          <w:r>
            <w:rPr>
              <w:rFonts w:ascii="方正小标宋简体" w:hAnsi="宋体" w:eastAsia="方正小标宋简体"/>
              <w:szCs w:val="36"/>
            </w:rPr>
            <w:fldChar w:fldCharType="end"/>
          </w:r>
        </w:p>
        <w:p w14:paraId="1DD708C3">
          <w:pPr>
            <w:pStyle w:val="11"/>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_Toc24653 </w:instrText>
          </w:r>
          <w:r>
            <w:rPr>
              <w:rFonts w:ascii="方正小标宋简体" w:hAnsi="宋体" w:eastAsia="方正小标宋简体"/>
              <w:szCs w:val="36"/>
            </w:rPr>
            <w:fldChar w:fldCharType="separate"/>
          </w:r>
          <w:r>
            <w:rPr>
              <w:rFonts w:hint="eastAsia" w:ascii="黑体" w:hAnsi="黑体" w:eastAsia="黑体"/>
            </w:rPr>
            <w:t>第三部分 名词解释</w:t>
          </w:r>
          <w:r>
            <w:tab/>
          </w:r>
          <w:r>
            <w:fldChar w:fldCharType="begin"/>
          </w:r>
          <w:r>
            <w:instrText xml:space="preserve"> PAGEREF _Toc24653 \h </w:instrText>
          </w:r>
          <w:r>
            <w:fldChar w:fldCharType="separate"/>
          </w:r>
          <w:r>
            <w:t>11</w:t>
          </w:r>
          <w:r>
            <w:fldChar w:fldCharType="end"/>
          </w:r>
          <w:r>
            <w:rPr>
              <w:rFonts w:ascii="方正小标宋简体" w:hAnsi="宋体" w:eastAsia="方正小标宋简体"/>
              <w:szCs w:val="36"/>
            </w:rPr>
            <w:fldChar w:fldCharType="end"/>
          </w:r>
        </w:p>
        <w:p w14:paraId="6E78C31F">
          <w:pPr>
            <w:pStyle w:val="11"/>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_Toc15270 </w:instrText>
          </w:r>
          <w:r>
            <w:rPr>
              <w:rFonts w:ascii="方正小标宋简体" w:hAnsi="宋体" w:eastAsia="方正小标宋简体"/>
              <w:szCs w:val="36"/>
            </w:rPr>
            <w:fldChar w:fldCharType="separate"/>
          </w:r>
          <w:r>
            <w:rPr>
              <w:rFonts w:hint="eastAsia" w:ascii="黑体" w:hAnsi="黑体" w:eastAsia="黑体"/>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_Toc15270 \h </w:instrText>
          </w:r>
          <w:r>
            <w:fldChar w:fldCharType="separate"/>
          </w:r>
          <w:r>
            <w:t>14</w:t>
          </w:r>
          <w:r>
            <w:fldChar w:fldCharType="end"/>
          </w:r>
          <w:r>
            <w:rPr>
              <w:rFonts w:ascii="方正小标宋简体" w:hAnsi="宋体" w:eastAsia="方正小标宋简体"/>
              <w:szCs w:val="36"/>
            </w:rPr>
            <w:fldChar w:fldCharType="end"/>
          </w:r>
        </w:p>
        <w:p w14:paraId="4C3D66BD">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_Toc32322 </w:instrText>
          </w:r>
          <w:r>
            <w:rPr>
              <w:rFonts w:ascii="方正小标宋简体" w:hAnsi="宋体" w:eastAsia="方正小标宋简体"/>
              <w:szCs w:val="36"/>
            </w:rPr>
            <w:fldChar w:fldCharType="separate"/>
          </w:r>
          <w:r>
            <w:rPr>
              <w:rFonts w:hint="eastAsia"/>
            </w:rPr>
            <w:t>一、收入支出决算总表</w:t>
          </w:r>
          <w:r>
            <w:tab/>
          </w:r>
          <w:r>
            <w:fldChar w:fldCharType="begin"/>
          </w:r>
          <w:r>
            <w:instrText xml:space="preserve"> PAGEREF _Toc32322 \h </w:instrText>
          </w:r>
          <w:r>
            <w:fldChar w:fldCharType="separate"/>
          </w:r>
          <w:r>
            <w:t>14</w:t>
          </w:r>
          <w:r>
            <w:fldChar w:fldCharType="end"/>
          </w:r>
          <w:r>
            <w:rPr>
              <w:rFonts w:ascii="方正小标宋简体" w:hAnsi="宋体" w:eastAsia="方正小标宋简体"/>
              <w:szCs w:val="36"/>
            </w:rPr>
            <w:fldChar w:fldCharType="end"/>
          </w:r>
        </w:p>
        <w:p w14:paraId="1F827BA6">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_Toc17259 </w:instrText>
          </w:r>
          <w:r>
            <w:rPr>
              <w:rFonts w:ascii="方正小标宋简体" w:hAnsi="宋体" w:eastAsia="方正小标宋简体"/>
              <w:szCs w:val="36"/>
            </w:rPr>
            <w:fldChar w:fldCharType="separate"/>
          </w:r>
          <w:r>
            <w:rPr>
              <w:rFonts w:hint="eastAsia"/>
            </w:rPr>
            <w:t>二、收入决算表</w:t>
          </w:r>
          <w:r>
            <w:tab/>
          </w:r>
          <w:r>
            <w:fldChar w:fldCharType="begin"/>
          </w:r>
          <w:r>
            <w:instrText xml:space="preserve"> PAGEREF _Toc17259 \h </w:instrText>
          </w:r>
          <w:r>
            <w:fldChar w:fldCharType="separate"/>
          </w:r>
          <w:r>
            <w:t>14</w:t>
          </w:r>
          <w:r>
            <w:fldChar w:fldCharType="end"/>
          </w:r>
          <w:r>
            <w:rPr>
              <w:rFonts w:ascii="方正小标宋简体" w:hAnsi="宋体" w:eastAsia="方正小标宋简体"/>
              <w:szCs w:val="36"/>
            </w:rPr>
            <w:fldChar w:fldCharType="end"/>
          </w:r>
        </w:p>
        <w:p w14:paraId="68AE10DC">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_Toc27685 </w:instrText>
          </w:r>
          <w:r>
            <w:rPr>
              <w:rFonts w:ascii="方正小标宋简体" w:hAnsi="宋体" w:eastAsia="方正小标宋简体"/>
              <w:szCs w:val="36"/>
            </w:rPr>
            <w:fldChar w:fldCharType="separate"/>
          </w:r>
          <w:r>
            <w:rPr>
              <w:rFonts w:hint="eastAsia"/>
            </w:rPr>
            <w:t>三、支出决算表</w:t>
          </w:r>
          <w:r>
            <w:tab/>
          </w:r>
          <w:r>
            <w:fldChar w:fldCharType="begin"/>
          </w:r>
          <w:r>
            <w:instrText xml:space="preserve"> PAGEREF _Toc27685 \h </w:instrText>
          </w:r>
          <w:r>
            <w:fldChar w:fldCharType="separate"/>
          </w:r>
          <w:r>
            <w:t>14</w:t>
          </w:r>
          <w:r>
            <w:fldChar w:fldCharType="end"/>
          </w:r>
          <w:r>
            <w:rPr>
              <w:rFonts w:ascii="方正小标宋简体" w:hAnsi="宋体" w:eastAsia="方正小标宋简体"/>
              <w:szCs w:val="36"/>
            </w:rPr>
            <w:fldChar w:fldCharType="end"/>
          </w:r>
        </w:p>
        <w:p w14:paraId="0F132ECD">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_Toc27591 </w:instrText>
          </w:r>
          <w:r>
            <w:rPr>
              <w:rFonts w:ascii="方正小标宋简体" w:hAnsi="宋体" w:eastAsia="方正小标宋简体"/>
              <w:szCs w:val="36"/>
            </w:rPr>
            <w:fldChar w:fldCharType="separate"/>
          </w:r>
          <w:r>
            <w:rPr>
              <w:rFonts w:hint="eastAsia"/>
            </w:rPr>
            <w:t>四、财政拨款收入支出决算总表</w:t>
          </w:r>
          <w:r>
            <w:tab/>
          </w:r>
          <w:r>
            <w:fldChar w:fldCharType="begin"/>
          </w:r>
          <w:r>
            <w:instrText xml:space="preserve"> PAGEREF _Toc27591 \h </w:instrText>
          </w:r>
          <w:r>
            <w:fldChar w:fldCharType="separate"/>
          </w:r>
          <w:r>
            <w:t>14</w:t>
          </w:r>
          <w:r>
            <w:fldChar w:fldCharType="end"/>
          </w:r>
          <w:r>
            <w:rPr>
              <w:rFonts w:ascii="方正小标宋简体" w:hAnsi="宋体" w:eastAsia="方正小标宋简体"/>
              <w:szCs w:val="36"/>
            </w:rPr>
            <w:fldChar w:fldCharType="end"/>
          </w:r>
        </w:p>
        <w:p w14:paraId="681923DB">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_Toc6181 </w:instrText>
          </w:r>
          <w:r>
            <w:rPr>
              <w:rFonts w:ascii="方正小标宋简体" w:hAnsi="宋体" w:eastAsia="方正小标宋简体"/>
              <w:szCs w:val="36"/>
            </w:rPr>
            <w:fldChar w:fldCharType="separate"/>
          </w:r>
          <w:r>
            <w:rPr>
              <w:rFonts w:hint="eastAsia"/>
            </w:rPr>
            <w:t>五、财政拨款支出决算明细表</w:t>
          </w:r>
          <w:r>
            <w:tab/>
          </w:r>
          <w:r>
            <w:fldChar w:fldCharType="begin"/>
          </w:r>
          <w:r>
            <w:instrText xml:space="preserve"> PAGEREF _Toc6181 \h </w:instrText>
          </w:r>
          <w:r>
            <w:fldChar w:fldCharType="separate"/>
          </w:r>
          <w:r>
            <w:t>14</w:t>
          </w:r>
          <w:r>
            <w:fldChar w:fldCharType="end"/>
          </w:r>
          <w:r>
            <w:rPr>
              <w:rFonts w:ascii="方正小标宋简体" w:hAnsi="宋体" w:eastAsia="方正小标宋简体"/>
              <w:szCs w:val="36"/>
            </w:rPr>
            <w:fldChar w:fldCharType="end"/>
          </w:r>
        </w:p>
        <w:p w14:paraId="715E2B9A">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_Toc1836 </w:instrText>
          </w:r>
          <w:r>
            <w:rPr>
              <w:rFonts w:ascii="方正小标宋简体" w:hAnsi="宋体" w:eastAsia="方正小标宋简体"/>
              <w:szCs w:val="36"/>
            </w:rPr>
            <w:fldChar w:fldCharType="separate"/>
          </w:r>
          <w:r>
            <w:rPr>
              <w:rFonts w:hint="eastAsia"/>
            </w:rPr>
            <w:t>六、一般公共预算财政拨款支出决算表</w:t>
          </w:r>
          <w:r>
            <w:tab/>
          </w:r>
          <w:r>
            <w:fldChar w:fldCharType="begin"/>
          </w:r>
          <w:r>
            <w:instrText xml:space="preserve"> PAGEREF _Toc1836 \h </w:instrText>
          </w:r>
          <w:r>
            <w:fldChar w:fldCharType="separate"/>
          </w:r>
          <w:r>
            <w:t>14</w:t>
          </w:r>
          <w:r>
            <w:fldChar w:fldCharType="end"/>
          </w:r>
          <w:r>
            <w:rPr>
              <w:rFonts w:ascii="方正小标宋简体" w:hAnsi="宋体" w:eastAsia="方正小标宋简体"/>
              <w:szCs w:val="36"/>
            </w:rPr>
            <w:fldChar w:fldCharType="end"/>
          </w:r>
        </w:p>
        <w:p w14:paraId="513823A5">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_Toc15329 </w:instrText>
          </w:r>
          <w:r>
            <w:rPr>
              <w:rFonts w:ascii="方正小标宋简体" w:hAnsi="宋体" w:eastAsia="方正小标宋简体"/>
              <w:szCs w:val="36"/>
            </w:rPr>
            <w:fldChar w:fldCharType="separate"/>
          </w:r>
          <w:r>
            <w:rPr>
              <w:rFonts w:hint="eastAsia"/>
            </w:rPr>
            <w:t>七、一般公共预算财政拨款支出决算明细表</w:t>
          </w:r>
          <w:r>
            <w:tab/>
          </w:r>
          <w:r>
            <w:fldChar w:fldCharType="begin"/>
          </w:r>
          <w:r>
            <w:instrText xml:space="preserve"> PAGEREF _Toc15329 \h </w:instrText>
          </w:r>
          <w:r>
            <w:fldChar w:fldCharType="separate"/>
          </w:r>
          <w:r>
            <w:t>14</w:t>
          </w:r>
          <w:r>
            <w:fldChar w:fldCharType="end"/>
          </w:r>
          <w:r>
            <w:rPr>
              <w:rFonts w:ascii="方正小标宋简体" w:hAnsi="宋体" w:eastAsia="方正小标宋简体"/>
              <w:szCs w:val="36"/>
            </w:rPr>
            <w:fldChar w:fldCharType="end"/>
          </w:r>
        </w:p>
        <w:p w14:paraId="778AA3D1">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_Toc15827 </w:instrText>
          </w:r>
          <w:r>
            <w:rPr>
              <w:rFonts w:ascii="方正小标宋简体" w:hAnsi="宋体" w:eastAsia="方正小标宋简体"/>
              <w:szCs w:val="36"/>
            </w:rPr>
            <w:fldChar w:fldCharType="separate"/>
          </w:r>
          <w:r>
            <w:rPr>
              <w:rFonts w:hint="eastAsia"/>
            </w:rPr>
            <w:t>八、一般公共预算财政拨款基本支出决算表</w:t>
          </w:r>
          <w:r>
            <w:tab/>
          </w:r>
          <w:r>
            <w:fldChar w:fldCharType="begin"/>
          </w:r>
          <w:r>
            <w:instrText xml:space="preserve"> PAGEREF _Toc15827 \h </w:instrText>
          </w:r>
          <w:r>
            <w:fldChar w:fldCharType="separate"/>
          </w:r>
          <w:r>
            <w:t>14</w:t>
          </w:r>
          <w:r>
            <w:fldChar w:fldCharType="end"/>
          </w:r>
          <w:r>
            <w:rPr>
              <w:rFonts w:ascii="方正小标宋简体" w:hAnsi="宋体" w:eastAsia="方正小标宋简体"/>
              <w:szCs w:val="36"/>
            </w:rPr>
            <w:fldChar w:fldCharType="end"/>
          </w:r>
        </w:p>
        <w:p w14:paraId="6EF51800">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_Toc10107 </w:instrText>
          </w:r>
          <w:r>
            <w:rPr>
              <w:rFonts w:ascii="方正小标宋简体" w:hAnsi="宋体" w:eastAsia="方正小标宋简体"/>
              <w:szCs w:val="36"/>
            </w:rPr>
            <w:fldChar w:fldCharType="separate"/>
          </w:r>
          <w:r>
            <w:rPr>
              <w:rFonts w:hint="eastAsia"/>
            </w:rPr>
            <w:t>九、一般公共预算财政拨款项目支出决算表</w:t>
          </w:r>
          <w:r>
            <w:tab/>
          </w:r>
          <w:r>
            <w:fldChar w:fldCharType="begin"/>
          </w:r>
          <w:r>
            <w:instrText xml:space="preserve"> PAGEREF _Toc10107 \h </w:instrText>
          </w:r>
          <w:r>
            <w:fldChar w:fldCharType="separate"/>
          </w:r>
          <w:r>
            <w:t>14</w:t>
          </w:r>
          <w:r>
            <w:fldChar w:fldCharType="end"/>
          </w:r>
          <w:r>
            <w:rPr>
              <w:rFonts w:ascii="方正小标宋简体" w:hAnsi="宋体" w:eastAsia="方正小标宋简体"/>
              <w:szCs w:val="36"/>
            </w:rPr>
            <w:fldChar w:fldCharType="end"/>
          </w:r>
        </w:p>
        <w:p w14:paraId="2C305B3B">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_Toc27893 </w:instrText>
          </w:r>
          <w:r>
            <w:rPr>
              <w:rFonts w:ascii="方正小标宋简体" w:hAnsi="宋体" w:eastAsia="方正小标宋简体"/>
              <w:szCs w:val="36"/>
            </w:rPr>
            <w:fldChar w:fldCharType="separate"/>
          </w:r>
          <w:r>
            <w:rPr>
              <w:rFonts w:hint="eastAsia"/>
            </w:rPr>
            <w:t>十、政府性基金预算财政拨款收入支出决算表</w:t>
          </w:r>
          <w:r>
            <w:tab/>
          </w:r>
          <w:r>
            <w:fldChar w:fldCharType="begin"/>
          </w:r>
          <w:r>
            <w:instrText xml:space="preserve"> PAGEREF _Toc27893 \h </w:instrText>
          </w:r>
          <w:r>
            <w:fldChar w:fldCharType="separate"/>
          </w:r>
          <w:r>
            <w:t>14</w:t>
          </w:r>
          <w:r>
            <w:fldChar w:fldCharType="end"/>
          </w:r>
          <w:r>
            <w:rPr>
              <w:rFonts w:ascii="方正小标宋简体" w:hAnsi="宋体" w:eastAsia="方正小标宋简体"/>
              <w:szCs w:val="36"/>
            </w:rPr>
            <w:fldChar w:fldCharType="end"/>
          </w:r>
        </w:p>
        <w:p w14:paraId="35407048">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_Toc25187 </w:instrText>
          </w:r>
          <w:r>
            <w:rPr>
              <w:rFonts w:ascii="方正小标宋简体" w:hAnsi="宋体" w:eastAsia="方正小标宋简体"/>
              <w:szCs w:val="36"/>
            </w:rPr>
            <w:fldChar w:fldCharType="separate"/>
          </w:r>
          <w:r>
            <w:rPr>
              <w:rFonts w:hint="eastAsia"/>
            </w:rPr>
            <w:t>十一、国有资本经营预算财政拨款收入支出决算表</w:t>
          </w:r>
          <w:r>
            <w:tab/>
          </w:r>
          <w:r>
            <w:fldChar w:fldCharType="begin"/>
          </w:r>
          <w:r>
            <w:instrText xml:space="preserve"> PAGEREF _Toc25187 \h </w:instrText>
          </w:r>
          <w:r>
            <w:fldChar w:fldCharType="separate"/>
          </w:r>
          <w:r>
            <w:t>14</w:t>
          </w:r>
          <w:r>
            <w:fldChar w:fldCharType="end"/>
          </w:r>
          <w:r>
            <w:rPr>
              <w:rFonts w:ascii="方正小标宋简体" w:hAnsi="宋体" w:eastAsia="方正小标宋简体"/>
              <w:szCs w:val="36"/>
            </w:rPr>
            <w:fldChar w:fldCharType="end"/>
          </w:r>
        </w:p>
        <w:p w14:paraId="534552B8">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_Toc2294 </w:instrText>
          </w:r>
          <w:r>
            <w:rPr>
              <w:rFonts w:ascii="方正小标宋简体" w:hAnsi="宋体" w:eastAsia="方正小标宋简体"/>
              <w:szCs w:val="36"/>
            </w:rPr>
            <w:fldChar w:fldCharType="separate"/>
          </w:r>
          <w:r>
            <w:rPr>
              <w:rFonts w:hint="eastAsia"/>
            </w:rPr>
            <w:t>十二、国有资本经营预算财政拨款支出决算表</w:t>
          </w:r>
          <w:r>
            <w:tab/>
          </w:r>
          <w:r>
            <w:fldChar w:fldCharType="begin"/>
          </w:r>
          <w:r>
            <w:instrText xml:space="preserve"> PAGEREF _Toc2294 \h </w:instrText>
          </w:r>
          <w:r>
            <w:fldChar w:fldCharType="separate"/>
          </w:r>
          <w:r>
            <w:t>14</w:t>
          </w:r>
          <w:r>
            <w:fldChar w:fldCharType="end"/>
          </w:r>
          <w:r>
            <w:rPr>
              <w:rFonts w:ascii="方正小标宋简体" w:hAnsi="宋体" w:eastAsia="方正小标宋简体"/>
              <w:szCs w:val="36"/>
            </w:rPr>
            <w:fldChar w:fldCharType="end"/>
          </w:r>
        </w:p>
        <w:p w14:paraId="3034371E">
          <w:pPr>
            <w:pStyle w:val="12"/>
            <w:tabs>
              <w:tab w:val="right" w:leader="dot" w:pos="8306"/>
              <w:tab w:val="clear" w:pos="8296"/>
            </w:tabs>
          </w:pPr>
          <w:r>
            <w:rPr>
              <w:rFonts w:ascii="方正小标宋简体" w:hAnsi="宋体" w:eastAsia="方正小标宋简体"/>
              <w:szCs w:val="36"/>
            </w:rPr>
            <w:fldChar w:fldCharType="begin"/>
          </w:r>
          <w:r>
            <w:rPr>
              <w:rFonts w:ascii="方正小标宋简体" w:hAnsi="宋体" w:eastAsia="方正小标宋简体"/>
              <w:szCs w:val="36"/>
            </w:rPr>
            <w:instrText xml:space="preserve"> HYPERLINK \l _Toc14164 </w:instrText>
          </w:r>
          <w:r>
            <w:rPr>
              <w:rFonts w:ascii="方正小标宋简体" w:hAnsi="宋体" w:eastAsia="方正小标宋简体"/>
              <w:szCs w:val="36"/>
            </w:rPr>
            <w:fldChar w:fldCharType="separate"/>
          </w:r>
          <w:r>
            <w:rPr>
              <w:rFonts w:hint="eastAsia"/>
            </w:rPr>
            <w:t>十三、财政拨款“三公”经费支出决算表</w:t>
          </w:r>
          <w:r>
            <w:tab/>
          </w:r>
          <w:r>
            <w:fldChar w:fldCharType="begin"/>
          </w:r>
          <w:r>
            <w:instrText xml:space="preserve"> PAGEREF _Toc14164 \h </w:instrText>
          </w:r>
          <w:r>
            <w:fldChar w:fldCharType="separate"/>
          </w:r>
          <w:r>
            <w:t>14</w:t>
          </w:r>
          <w:r>
            <w:fldChar w:fldCharType="end"/>
          </w:r>
          <w:r>
            <w:rPr>
              <w:rFonts w:ascii="方正小标宋简体" w:hAnsi="宋体" w:eastAsia="方正小标宋简体"/>
              <w:szCs w:val="36"/>
            </w:rPr>
            <w:fldChar w:fldCharType="end"/>
          </w:r>
        </w:p>
        <w:p w14:paraId="38ECD5EA">
          <w:pPr>
            <w:widowControl/>
            <w:adjustRightInd w:val="0"/>
            <w:snapToGrid w:val="0"/>
            <w:spacing w:line="440" w:lineRule="exact"/>
            <w:ind w:firstLine="1155" w:firstLineChars="550"/>
            <w:jc w:val="left"/>
            <w:rPr>
              <w:rFonts w:ascii="方正小标宋简体" w:hAnsi="宋体" w:eastAsia="方正小标宋简体" w:cs="Times New Roman"/>
              <w:b/>
              <w:kern w:val="2"/>
              <w:sz w:val="21"/>
              <w:szCs w:val="36"/>
              <w:lang w:val="en-US" w:eastAsia="zh-CN" w:bidi="ar-SA"/>
            </w:rPr>
          </w:pPr>
          <w:r>
            <w:rPr>
              <w:rFonts w:ascii="方正小标宋简体" w:hAnsi="宋体" w:eastAsia="方正小标宋简体"/>
              <w:szCs w:val="36"/>
            </w:rPr>
            <w:fldChar w:fldCharType="end"/>
          </w:r>
        </w:p>
      </w:sdtContent>
    </w:sdt>
    <w:p w14:paraId="3C8EFB85">
      <w:pPr>
        <w:widowControl/>
        <w:adjustRightInd w:val="0"/>
        <w:snapToGrid w:val="0"/>
        <w:spacing w:line="440" w:lineRule="exact"/>
        <w:ind w:firstLine="1160" w:firstLineChars="550"/>
        <w:jc w:val="left"/>
        <w:rPr>
          <w:rFonts w:ascii="方正小标宋简体" w:hAnsi="宋体" w:eastAsia="方正小标宋简体" w:cs="Times New Roman"/>
          <w:b/>
          <w:kern w:val="2"/>
          <w:sz w:val="21"/>
          <w:szCs w:val="36"/>
          <w:lang w:val="en-US" w:eastAsia="zh-CN" w:bidi="ar-SA"/>
        </w:rPr>
      </w:pPr>
    </w:p>
    <w:p w14:paraId="4C90B8F2">
      <w:pPr>
        <w:widowControl/>
        <w:spacing w:line="440" w:lineRule="exact"/>
        <w:jc w:val="left"/>
        <w:rPr>
          <w:rFonts w:ascii="仿宋" w:hAnsi="仿宋" w:eastAsia="仿宋"/>
          <w:bCs/>
          <w:kern w:val="44"/>
          <w:sz w:val="24"/>
        </w:rPr>
      </w:pPr>
      <w:bookmarkStart w:id="18" w:name="_Toc15377196"/>
      <w:bookmarkStart w:id="19" w:name="_Toc15396599"/>
      <w:r>
        <w:rPr>
          <w:rFonts w:ascii="仿宋" w:hAnsi="仿宋" w:eastAsia="仿宋"/>
          <w:b/>
          <w:sz w:val="24"/>
        </w:rPr>
        <w:br w:type="page"/>
      </w:r>
    </w:p>
    <w:p w14:paraId="713235E4">
      <w:pPr>
        <w:pStyle w:val="2"/>
        <w:jc w:val="center"/>
        <w:rPr>
          <w:rStyle w:val="29"/>
          <w:rFonts w:ascii="黑体" w:hAnsi="黑体" w:eastAsia="黑体"/>
          <w:b/>
          <w:bCs w:val="0"/>
        </w:rPr>
      </w:pPr>
      <w:bookmarkStart w:id="20" w:name="_Toc21512"/>
      <w:r>
        <w:rPr>
          <w:rFonts w:hint="eastAsia" w:ascii="黑体" w:hAnsi="黑体" w:eastAsia="黑体"/>
          <w:b w:val="0"/>
        </w:rPr>
        <w:t xml:space="preserve">第一部分 </w:t>
      </w:r>
      <w:r>
        <w:rPr>
          <w:rStyle w:val="29"/>
          <w:rFonts w:hint="eastAsia" w:ascii="黑体" w:hAnsi="黑体" w:eastAsia="黑体"/>
          <w:b w:val="0"/>
          <w:bCs w:val="0"/>
        </w:rPr>
        <w:t>部门概况</w:t>
      </w:r>
      <w:bookmarkEnd w:id="18"/>
      <w:bookmarkEnd w:id="19"/>
      <w:bookmarkEnd w:id="20"/>
    </w:p>
    <w:p w14:paraId="456C0C91">
      <w:pPr>
        <w:widowControl/>
        <w:jc w:val="left"/>
        <w:rPr>
          <w:rFonts w:ascii="黑体" w:eastAsia="黑体"/>
          <w:sz w:val="32"/>
          <w:szCs w:val="32"/>
        </w:rPr>
      </w:pPr>
    </w:p>
    <w:p w14:paraId="38F2E57D">
      <w:pPr>
        <w:pStyle w:val="3"/>
        <w:numPr>
          <w:ilvl w:val="0"/>
          <w:numId w:val="1"/>
        </w:numPr>
        <w:rPr>
          <w:rFonts w:hint="eastAsia" w:ascii="黑体" w:hAnsi="黑体" w:eastAsia="黑体"/>
          <w:b w:val="0"/>
        </w:rPr>
      </w:pPr>
      <w:bookmarkStart w:id="21" w:name="_Toc246"/>
      <w:r>
        <w:rPr>
          <w:rFonts w:hint="eastAsia" w:ascii="黑体" w:hAnsi="黑体" w:eastAsia="黑体"/>
          <w:b w:val="0"/>
        </w:rPr>
        <w:t>部门职责</w:t>
      </w:r>
      <w:bookmarkEnd w:id="21"/>
    </w:p>
    <w:p w14:paraId="3AB17B2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1.宣传贯彻党中央、国务院、省委、省政府和州委、州政府和县委、县政府有关农业、农村经济工作和社会发展的方针、政策。</w:t>
      </w:r>
    </w:p>
    <w:p w14:paraId="2642B00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2.研究制定县供销合作社发展规划。</w:t>
      </w:r>
    </w:p>
    <w:p w14:paraId="28026DA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3.受政府委托，负责对重要农业生产资料、重要农畜产品和政策性商品经营资格审定、质量监督和行业管理及有关救灾物资的组织、储备、调运工作。</w:t>
      </w:r>
    </w:p>
    <w:p w14:paraId="6A3F5F3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4.协调同政府有关部门、社会组织的关系，研究供销合作经济运行中的重大问题；了解、反映供销合作社系统和农牧民群众的意见和要求，维护合作经济组织的合法权益。</w:t>
      </w:r>
    </w:p>
    <w:p w14:paraId="0FDE0F1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5.组织县供销社系统参与和推进农业产业化经营。</w:t>
      </w:r>
    </w:p>
    <w:p w14:paraId="7CD5B566">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6.指导农村社会化服务体系建设，推进建立现代流通体系和现代营销方式，发展社区性、综合性、便民性社区综合服务社，满足农牧民生产、生活等社会化服务的需要。</w:t>
      </w:r>
    </w:p>
    <w:p w14:paraId="6F9C390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7.监督和管理社有资产，确保社有资产的保值、增值，对直属企业行使出资人的职权，依法享有资产受益、重大决策和选择经营管理者等权利。</w:t>
      </w:r>
    </w:p>
    <w:p w14:paraId="16A6379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8.积极参与供销合作社经济对外交流活动。</w:t>
      </w:r>
    </w:p>
    <w:p w14:paraId="762051A3">
      <w:pPr>
        <w:ind w:firstLine="640" w:firstLineChars="200"/>
      </w:pPr>
      <w:r>
        <w:rPr>
          <w:rFonts w:hint="eastAsia" w:ascii="仿宋_GB2312" w:hAnsi="宋体" w:eastAsia="仿宋_GB2312" w:cs="仿宋_GB2312"/>
          <w:kern w:val="0"/>
          <w:sz w:val="32"/>
          <w:szCs w:val="32"/>
        </w:rPr>
        <w:t>9.承担县委、县政府交办的其他事项。</w:t>
      </w:r>
    </w:p>
    <w:p w14:paraId="7B6C02B9">
      <w:pPr>
        <w:numPr>
          <w:ilvl w:val="0"/>
          <w:numId w:val="0"/>
        </w:numPr>
      </w:pPr>
    </w:p>
    <w:p w14:paraId="4DB0C7D2">
      <w:pPr>
        <w:pStyle w:val="3"/>
        <w:rPr>
          <w:rStyle w:val="30"/>
          <w:b w:val="0"/>
          <w:bCs w:val="0"/>
        </w:rPr>
      </w:pPr>
      <w:bookmarkStart w:id="22" w:name="_Toc15377200"/>
      <w:bookmarkStart w:id="23" w:name="_Toc15396601"/>
      <w:bookmarkStart w:id="24" w:name="_Toc25064"/>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2"/>
      <w:bookmarkEnd w:id="23"/>
      <w:bookmarkEnd w:id="24"/>
    </w:p>
    <w:p w14:paraId="6B5FB4C2">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松潘县供销合作社联合社本级下属二级预算单位1个，参照公务员法管理的事业单位</w:t>
      </w:r>
      <w:r>
        <w:rPr>
          <w:rFonts w:hint="eastAsia" w:ascii="仿宋_GB2312" w:hAnsi="宋体" w:eastAsia="仿宋_GB2312" w:cs="仿宋_GB2312"/>
          <w:kern w:val="0"/>
          <w:sz w:val="32"/>
          <w:szCs w:val="32"/>
          <w:lang w:val="en-US" w:eastAsia="zh-CN"/>
        </w:rPr>
        <w:t>1</w:t>
      </w:r>
      <w:r>
        <w:rPr>
          <w:rFonts w:hint="eastAsia" w:ascii="仿宋_GB2312" w:hAnsi="宋体" w:eastAsia="仿宋_GB2312" w:cs="仿宋_GB2312"/>
          <w:kern w:val="0"/>
          <w:sz w:val="32"/>
          <w:szCs w:val="32"/>
        </w:rPr>
        <w:t>个。</w:t>
      </w:r>
    </w:p>
    <w:p w14:paraId="4E1DDA6E">
      <w:pPr>
        <w:keepNext w:val="0"/>
        <w:keepLines w:val="0"/>
        <w:widowControl/>
        <w:suppressLineNumbers w:val="0"/>
        <w:ind w:left="0" w:firstLine="640" w:firstLineChars="200"/>
        <w:rPr>
          <w:rFonts w:ascii="仿宋" w:hAnsi="仿宋" w:eastAsia="仿宋"/>
          <w:kern w:val="0"/>
          <w:sz w:val="32"/>
          <w:szCs w:val="32"/>
        </w:rPr>
      </w:pPr>
      <w:r>
        <w:rPr>
          <w:rFonts w:hint="eastAsia" w:ascii="仿宋_GB2312" w:hAnsi="宋体" w:eastAsia="仿宋_GB2312" w:cs="仿宋_GB2312"/>
          <w:kern w:val="0"/>
          <w:sz w:val="32"/>
          <w:szCs w:val="32"/>
        </w:rPr>
        <w:t>纳入松潘县供销合作社联合社本级202</w:t>
      </w:r>
      <w:r>
        <w:rPr>
          <w:rFonts w:hint="eastAsia" w:ascii="仿宋_GB2312" w:hAnsi="宋体" w:eastAsia="仿宋_GB2312" w:cs="仿宋_GB2312"/>
          <w:kern w:val="0"/>
          <w:sz w:val="32"/>
          <w:szCs w:val="32"/>
          <w:lang w:val="en-US" w:eastAsia="zh-CN"/>
        </w:rPr>
        <w:t>4</w:t>
      </w:r>
      <w:r>
        <w:rPr>
          <w:rFonts w:hint="eastAsia" w:ascii="仿宋_GB2312" w:hAnsi="宋体" w:eastAsia="仿宋_GB2312" w:cs="仿宋_GB2312"/>
          <w:kern w:val="0"/>
          <w:sz w:val="32"/>
          <w:szCs w:val="32"/>
        </w:rPr>
        <w:t>年度部门决算编制范围的二级预算单位包括：松潘县供销合作社联合社</w:t>
      </w:r>
      <w:r>
        <w:rPr>
          <w:rFonts w:hint="eastAsia" w:ascii="仿宋_GB2312" w:hAnsi="宋体" w:eastAsia="仿宋_GB2312" w:cs="仿宋_GB2312"/>
          <w:kern w:val="0"/>
          <w:sz w:val="32"/>
          <w:szCs w:val="32"/>
          <w:lang w:eastAsia="zh-CN"/>
        </w:rPr>
        <w:t>。</w:t>
      </w:r>
      <w:r>
        <w:rPr>
          <w:rFonts w:ascii="仿宋" w:hAnsi="仿宋" w:eastAsia="仿宋"/>
          <w:sz w:val="32"/>
          <w:szCs w:val="32"/>
        </w:rPr>
        <w:br w:type="page"/>
      </w:r>
    </w:p>
    <w:p w14:paraId="3EA98CB8">
      <w:pPr>
        <w:pStyle w:val="2"/>
        <w:ind w:right="440"/>
        <w:jc w:val="center"/>
        <w:rPr>
          <w:rStyle w:val="29"/>
          <w:rFonts w:ascii="黑体" w:hAnsi="黑体" w:eastAsia="黑体"/>
          <w:b w:val="0"/>
          <w:bCs/>
        </w:rPr>
      </w:pPr>
      <w:bookmarkStart w:id="25" w:name="_Toc15953"/>
      <w:bookmarkStart w:id="26" w:name="_Toc15396602"/>
      <w:bookmarkStart w:id="2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部门决算情况说明</w:t>
      </w:r>
      <w:bookmarkEnd w:id="25"/>
      <w:bookmarkEnd w:id="26"/>
      <w:bookmarkEnd w:id="27"/>
    </w:p>
    <w:p w14:paraId="5EE81F00"/>
    <w:p w14:paraId="170FDE2F">
      <w:pPr>
        <w:pStyle w:val="28"/>
        <w:numPr>
          <w:ilvl w:val="0"/>
          <w:numId w:val="2"/>
        </w:numPr>
        <w:spacing w:line="600" w:lineRule="exact"/>
        <w:ind w:firstLineChars="0"/>
        <w:outlineLvl w:val="1"/>
        <w:rPr>
          <w:rStyle w:val="30"/>
          <w:rFonts w:ascii="黑体" w:hAnsi="黑体" w:eastAsia="黑体"/>
          <w:b w:val="0"/>
        </w:rPr>
      </w:pPr>
      <w:bookmarkStart w:id="28" w:name="_Toc15396603"/>
      <w:bookmarkStart w:id="29" w:name="_Toc18439"/>
      <w:bookmarkStart w:id="30"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8"/>
      <w:bookmarkEnd w:id="29"/>
      <w:bookmarkEnd w:id="30"/>
    </w:p>
    <w:p w14:paraId="7BAC0B7E">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24.44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14.99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2022年农资储备和价格补贴钱由2023年支出。</w:t>
      </w:r>
    </w:p>
    <w:p w14:paraId="720061FC">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r>
        <w:drawing>
          <wp:anchor distT="0" distB="0" distL="114300" distR="114300" simplePos="0" relativeHeight="251659264" behindDoc="0" locked="0" layoutInCell="1" allowOverlap="1">
            <wp:simplePos x="0" y="0"/>
            <wp:positionH relativeFrom="column">
              <wp:posOffset>194945</wp:posOffset>
            </wp:positionH>
            <wp:positionV relativeFrom="paragraph">
              <wp:posOffset>130810</wp:posOffset>
            </wp:positionV>
            <wp:extent cx="4826000" cy="2743200"/>
            <wp:effectExtent l="4445" t="4445" r="82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7793F3F"/>
    <w:p w14:paraId="6444CD31">
      <w:pPr>
        <w:pStyle w:val="28"/>
        <w:numPr>
          <w:ilvl w:val="0"/>
          <w:numId w:val="2"/>
        </w:numPr>
        <w:spacing w:line="600" w:lineRule="exact"/>
        <w:ind w:firstLineChars="0"/>
        <w:outlineLvl w:val="1"/>
        <w:rPr>
          <w:rStyle w:val="30"/>
          <w:rFonts w:ascii="黑体" w:hAnsi="黑体" w:eastAsia="黑体"/>
          <w:b w:val="0"/>
        </w:rPr>
      </w:pPr>
      <w:bookmarkStart w:id="31" w:name="_Toc15396604"/>
      <w:bookmarkStart w:id="32" w:name="_Toc15377206"/>
      <w:bookmarkStart w:id="33" w:name="_Toc14336"/>
      <w:r>
        <w:rPr>
          <w:rFonts w:hint="eastAsia" w:ascii="黑体" w:hAnsi="黑体" w:eastAsia="黑体"/>
          <w:sz w:val="32"/>
          <w:szCs w:val="32"/>
        </w:rPr>
        <w:t>收</w:t>
      </w:r>
      <w:r>
        <w:rPr>
          <w:rStyle w:val="30"/>
          <w:rFonts w:hint="eastAsia" w:ascii="黑体" w:hAnsi="黑体" w:eastAsia="黑体"/>
          <w:b w:val="0"/>
        </w:rPr>
        <w:t>入决算情况说明</w:t>
      </w:r>
      <w:bookmarkEnd w:id="31"/>
      <w:bookmarkEnd w:id="32"/>
      <w:bookmarkEnd w:id="33"/>
    </w:p>
    <w:p w14:paraId="7C4A72E3">
      <w:pPr>
        <w:bidi w:val="0"/>
        <w:ind w:firstLine="640" w:firstLineChars="200"/>
        <w:rPr>
          <w:rFonts w:hint="eastAsia" w:ascii="仿宋_GB2312" w:hAnsi="仿宋_GB2312" w:eastAsia="仿宋_GB2312" w:cs="仿宋_GB2312"/>
          <w:sz w:val="32"/>
          <w:szCs w:val="32"/>
        </w:rPr>
      </w:pPr>
      <w:bookmarkStart w:id="34" w:name="_Toc1559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万元，其中：一般公共预算财政拨款收入</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万元，占100%。</w:t>
      </w:r>
      <w:bookmarkEnd w:id="34"/>
    </w:p>
    <w:p w14:paraId="36B9719E">
      <w:pPr>
        <w:bidi w:val="0"/>
        <w:rPr>
          <w:rFonts w:hint="eastAsia" w:ascii="仿宋_GB2312" w:hAnsi="仿宋_GB2312" w:eastAsia="仿宋_GB2312" w:cs="仿宋_GB2312"/>
          <w:sz w:val="32"/>
          <w:szCs w:val="32"/>
        </w:rPr>
      </w:pPr>
      <w:bookmarkStart w:id="35" w:name="_Toc14463"/>
      <w:r>
        <w:rPr>
          <w:rFonts w:hint="eastAsia" w:ascii="仿宋_GB2312" w:hAnsi="仿宋_GB2312" w:eastAsia="仿宋_GB2312" w:cs="仿宋_GB2312"/>
          <w:sz w:val="32"/>
          <w:szCs w:val="32"/>
        </w:rPr>
        <w:t>（注：数据来源于财决01表，仅罗列本部门涉及的收入。）</w:t>
      </w:r>
      <w:bookmarkEnd w:id="35"/>
    </w:p>
    <w:p w14:paraId="3998ACF7">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（图2：收入决算结构图）（饼状图）</w:t>
      </w:r>
    </w:p>
    <w:p w14:paraId="7FE07F7F">
      <w:pPr>
        <w:pStyle w:val="20"/>
        <w:outlineLvl w:val="9"/>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4790440" cy="2283460"/>
            <wp:effectExtent l="4445" t="4445" r="571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D1B4B2"/>
    <w:p w14:paraId="65B3C6CB">
      <w:pPr>
        <w:pStyle w:val="28"/>
        <w:numPr>
          <w:ilvl w:val="0"/>
          <w:numId w:val="2"/>
        </w:numPr>
        <w:spacing w:line="600" w:lineRule="exact"/>
        <w:ind w:firstLineChars="0"/>
        <w:outlineLvl w:val="1"/>
        <w:rPr>
          <w:rStyle w:val="30"/>
          <w:rFonts w:ascii="黑体" w:hAnsi="黑体" w:eastAsia="黑体"/>
          <w:b w:val="0"/>
        </w:rPr>
      </w:pPr>
      <w:bookmarkStart w:id="36" w:name="_Toc17142"/>
      <w:bookmarkStart w:id="37" w:name="_Toc15377207"/>
      <w:bookmarkStart w:id="38" w:name="_Toc15396605"/>
      <w:r>
        <w:rPr>
          <w:rFonts w:hint="eastAsia" w:ascii="黑体" w:hAnsi="黑体" w:eastAsia="黑体"/>
          <w:sz w:val="32"/>
          <w:szCs w:val="32"/>
        </w:rPr>
        <w:t>支</w:t>
      </w:r>
      <w:r>
        <w:rPr>
          <w:rStyle w:val="30"/>
          <w:rFonts w:hint="eastAsia" w:ascii="黑体" w:hAnsi="黑体" w:eastAsia="黑体"/>
          <w:b w:val="0"/>
        </w:rPr>
        <w:t>出决算情况说明</w:t>
      </w:r>
      <w:bookmarkEnd w:id="36"/>
      <w:bookmarkEnd w:id="37"/>
      <w:bookmarkEnd w:id="38"/>
    </w:p>
    <w:p w14:paraId="1851884B">
      <w:pPr>
        <w:bidi w:val="0"/>
        <w:ind w:firstLine="640" w:firstLineChars="200"/>
        <w:rPr>
          <w:rFonts w:hint="eastAsia" w:ascii="仿宋_GB2312" w:hAnsi="仿宋_GB2312" w:eastAsia="仿宋_GB2312" w:cs="仿宋_GB2312"/>
          <w:sz w:val="32"/>
          <w:szCs w:val="32"/>
        </w:rPr>
      </w:pPr>
      <w:bookmarkStart w:id="39" w:name="_Toc16454"/>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万元，其中：基本支出124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62万元，占</w:t>
      </w:r>
      <w:r>
        <w:rPr>
          <w:rFonts w:hint="eastAsia" w:ascii="仿宋_GB2312" w:hAnsi="仿宋_GB2312" w:eastAsia="仿宋_GB2312" w:cs="仿宋_GB2312"/>
          <w:sz w:val="32"/>
          <w:szCs w:val="32"/>
          <w:lang w:val="en-US" w:eastAsia="zh-CN"/>
        </w:rPr>
        <w:t>89.93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10.07</w:t>
      </w:r>
      <w:r>
        <w:rPr>
          <w:rFonts w:hint="eastAsia" w:ascii="仿宋_GB2312" w:hAnsi="仿宋_GB2312" w:eastAsia="仿宋_GB2312" w:cs="仿宋_GB2312"/>
          <w:sz w:val="32"/>
          <w:szCs w:val="32"/>
        </w:rPr>
        <w:t>%。</w:t>
      </w:r>
      <w:bookmarkEnd w:id="39"/>
    </w:p>
    <w:p w14:paraId="3B697954">
      <w:pPr>
        <w:bidi w:val="0"/>
        <w:rPr>
          <w:rFonts w:hint="eastAsia" w:ascii="仿宋_GB2312" w:hAnsi="仿宋_GB2312" w:eastAsia="仿宋_GB2312" w:cs="仿宋_GB2312"/>
          <w:sz w:val="32"/>
          <w:szCs w:val="32"/>
        </w:rPr>
      </w:pPr>
      <w:bookmarkStart w:id="40" w:name="_Toc9278"/>
      <w:r>
        <w:rPr>
          <w:rFonts w:hint="eastAsia" w:ascii="仿宋_GB2312" w:hAnsi="仿宋_GB2312" w:eastAsia="仿宋_GB2312" w:cs="仿宋_GB2312"/>
          <w:sz w:val="32"/>
          <w:szCs w:val="32"/>
        </w:rPr>
        <w:t>（注：数据来源于财决04表，仅罗列本部门涉及的支出。）</w:t>
      </w:r>
      <w:bookmarkEnd w:id="40"/>
    </w:p>
    <w:p w14:paraId="695CC24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47042001">
      <w:pPr>
        <w:pStyle w:val="20"/>
        <w:outlineLvl w:val="9"/>
        <w:rPr>
          <w:rFonts w:hint="eastAsia"/>
        </w:rPr>
      </w:pP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29366F">
      <w:pPr>
        <w:spacing w:line="600" w:lineRule="exact"/>
        <w:rPr>
          <w:rFonts w:hint="eastAsia" w:ascii="仿宋_GB2312" w:eastAsia="仿宋_GB2312"/>
          <w:sz w:val="32"/>
          <w:szCs w:val="32"/>
          <w:lang w:eastAsia="zh-CN"/>
        </w:rPr>
      </w:pPr>
    </w:p>
    <w:p w14:paraId="0AD9DF1F">
      <w:pPr>
        <w:spacing w:line="600" w:lineRule="exact"/>
        <w:ind w:firstLine="640" w:firstLineChars="200"/>
        <w:outlineLvl w:val="1"/>
        <w:rPr>
          <w:rStyle w:val="30"/>
          <w:rFonts w:ascii="黑体" w:hAnsi="黑体" w:eastAsia="黑体"/>
          <w:b w:val="0"/>
        </w:rPr>
      </w:pPr>
      <w:bookmarkStart w:id="41" w:name="_Toc15377208"/>
      <w:bookmarkStart w:id="42" w:name="_Toc19174"/>
      <w:bookmarkStart w:id="43"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1"/>
      <w:bookmarkEnd w:id="42"/>
      <w:bookmarkEnd w:id="43"/>
    </w:p>
    <w:p w14:paraId="6E1D19FA">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8.64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5.87</w:t>
      </w:r>
      <w:r>
        <w:rPr>
          <w:rFonts w:ascii="仿宋" w:hAnsi="仿宋" w:eastAsia="仿宋"/>
          <w:sz w:val="32"/>
          <w:szCs w:val="32"/>
        </w:rPr>
        <w:t>%</w:t>
      </w:r>
      <w:r>
        <w:rPr>
          <w:rFonts w:hint="eastAsia" w:ascii="仿宋" w:hAnsi="仿宋" w:eastAsia="仿宋"/>
          <w:sz w:val="32"/>
          <w:szCs w:val="32"/>
        </w:rPr>
        <w:t>。</w:t>
      </w:r>
    </w:p>
    <w:p w14:paraId="07A2FBF9">
      <w:pPr>
        <w:spacing w:line="600" w:lineRule="exact"/>
        <w:ind w:firstLine="640"/>
        <w:rPr>
          <w:rFonts w:ascii="仿宋" w:hAnsi="仿宋" w:eastAsia="仿宋"/>
          <w:b/>
          <w:sz w:val="32"/>
          <w:szCs w:val="32"/>
        </w:rPr>
      </w:pPr>
    </w:p>
    <w:p w14:paraId="6242AE7F">
      <w:pPr>
        <w:spacing w:line="600" w:lineRule="exact"/>
        <w:ind w:firstLine="640" w:firstLineChars="200"/>
        <w:outlineLvl w:val="1"/>
        <w:rPr>
          <w:rStyle w:val="30"/>
          <w:rFonts w:ascii="黑体" w:hAnsi="黑体" w:eastAsia="黑体"/>
          <w:b w:val="0"/>
        </w:rPr>
      </w:pPr>
      <w:bookmarkStart w:id="44" w:name="_Toc19539"/>
      <w:bookmarkStart w:id="45" w:name="_Toc15377209"/>
      <w:bookmarkStart w:id="46"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4"/>
      <w:bookmarkEnd w:id="45"/>
      <w:bookmarkEnd w:id="46"/>
    </w:p>
    <w:p w14:paraId="301C8EA0">
      <w:pPr>
        <w:spacing w:line="600" w:lineRule="exact"/>
        <w:ind w:firstLine="643" w:firstLineChars="200"/>
        <w:outlineLvl w:val="2"/>
        <w:rPr>
          <w:rFonts w:ascii="仿宋" w:hAnsi="仿宋" w:eastAsia="仿宋"/>
          <w:b/>
          <w:sz w:val="32"/>
          <w:szCs w:val="32"/>
        </w:rPr>
      </w:pPr>
      <w:bookmarkStart w:id="47" w:name="_Toc15377210"/>
      <w:r>
        <w:rPr>
          <w:rFonts w:hint="eastAsia" w:ascii="仿宋" w:hAnsi="仿宋" w:eastAsia="仿宋"/>
          <w:b/>
          <w:sz w:val="32"/>
          <w:szCs w:val="32"/>
        </w:rPr>
        <w:t>（一）一般公共预算财政拨款支出决算总体情况</w:t>
      </w:r>
      <w:bookmarkEnd w:id="47"/>
    </w:p>
    <w:p w14:paraId="1F535596">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w:t>
      </w:r>
      <w:r>
        <w:rPr>
          <w:rFonts w:hint="eastAsia" w:ascii="仿宋" w:hAnsi="仿宋" w:eastAsia="仿宋"/>
          <w:b/>
          <w:sz w:val="32"/>
          <w:szCs w:val="32"/>
          <w:lang w:val="en-US" w:eastAsia="zh-CN"/>
        </w:rPr>
        <w:t>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8.64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5.87</w:t>
      </w:r>
      <w:r>
        <w:rPr>
          <w:rFonts w:ascii="仿宋" w:hAnsi="仿宋" w:eastAsia="仿宋"/>
          <w:sz w:val="32"/>
          <w:szCs w:val="32"/>
        </w:rPr>
        <w:t>%</w:t>
      </w:r>
      <w:r>
        <w:rPr>
          <w:rFonts w:hint="eastAsia" w:ascii="仿宋" w:hAnsi="仿宋" w:eastAsia="仿宋"/>
          <w:sz w:val="32"/>
          <w:szCs w:val="32"/>
        </w:rPr>
        <w:t>。</w:t>
      </w:r>
    </w:p>
    <w:p w14:paraId="3BF43582">
      <w:pPr>
        <w:spacing w:line="600" w:lineRule="exact"/>
        <w:ind w:firstLine="643" w:firstLineChars="200"/>
        <w:outlineLvl w:val="2"/>
        <w:rPr>
          <w:rFonts w:ascii="仿宋" w:hAnsi="仿宋" w:eastAsia="仿宋"/>
          <w:b/>
          <w:sz w:val="32"/>
          <w:szCs w:val="32"/>
        </w:rPr>
      </w:pPr>
      <w:bookmarkStart w:id="48" w:name="_Toc15377211"/>
      <w:r>
        <w:rPr>
          <w:rFonts w:hint="eastAsia" w:ascii="仿宋" w:hAnsi="仿宋" w:eastAsia="仿宋"/>
          <w:b/>
          <w:sz w:val="32"/>
          <w:szCs w:val="32"/>
        </w:rPr>
        <w:t>（二）一般公共预算财政拨款支出决算结构情况</w:t>
      </w:r>
      <w:bookmarkEnd w:id="48"/>
    </w:p>
    <w:p w14:paraId="04E4281F">
      <w:pPr>
        <w:pStyle w:val="36"/>
        <w:keepNext w:val="0"/>
        <w:keepLines w:val="0"/>
        <w:widowControl/>
        <w:suppressLineNumbers w:val="0"/>
        <w:spacing w:before="0" w:beforeAutospacing="0"/>
        <w:ind w:left="0" w:firstLine="640" w:firstLineChars="200"/>
        <w:jc w:val="left"/>
        <w:rPr>
          <w:rFonts w:hint="eastAsia" w:ascii="仿宋_GB2312" w:hAnsi="宋体" w:eastAsia="仿宋_GB2312" w:cs="仿宋_GB2312"/>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w:t>
      </w:r>
      <w:r>
        <w:rPr>
          <w:rFonts w:hint="eastAsia" w:ascii="仿宋" w:hAnsi="仿宋" w:eastAsia="仿宋"/>
          <w:b/>
          <w:sz w:val="32"/>
          <w:szCs w:val="32"/>
          <w:lang w:val="en-US" w:eastAsia="zh-CN"/>
        </w:rPr>
        <w:t>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Style w:val="37"/>
          <w:rFonts w:hint="eastAsia" w:ascii="仿宋_GB2312" w:hAnsi="Times New Roman" w:eastAsia="仿宋_GB2312" w:cs="仿宋_GB2312"/>
          <w:b/>
          <w:bCs w:val="0"/>
          <w:sz w:val="32"/>
          <w:szCs w:val="32"/>
          <w:shd w:val="clear" w:fill="FFFFFF"/>
        </w:rPr>
        <w:t>社会保障和就业（类）</w:t>
      </w:r>
      <w:r>
        <w:rPr>
          <w:rFonts w:hint="eastAsia" w:ascii="仿宋_GB2312" w:hAnsi="宋体" w:eastAsia="仿宋_GB2312" w:cs="仿宋_GB2312"/>
          <w:kern w:val="0"/>
          <w:sz w:val="32"/>
          <w:szCs w:val="32"/>
          <w:shd w:val="clear" w:fill="FFFFFF"/>
        </w:rPr>
        <w:t>支出</w:t>
      </w:r>
      <w:r>
        <w:rPr>
          <w:rFonts w:hint="eastAsia" w:ascii="仿宋_GB2312" w:eastAsia="仿宋_GB2312" w:cs="仿宋_GB2312"/>
          <w:kern w:val="0"/>
          <w:sz w:val="32"/>
          <w:szCs w:val="32"/>
          <w:shd w:val="clear" w:fill="FFFFFF"/>
          <w:lang w:val="en-US" w:eastAsia="zh-CN"/>
        </w:rPr>
        <w:t>16.14</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11.6</w:t>
      </w:r>
      <w:r>
        <w:rPr>
          <w:rFonts w:hint="eastAsia" w:ascii="仿宋_GB2312" w:hAnsi="宋体" w:eastAsia="仿宋_GB2312" w:cs="仿宋_GB2312"/>
          <w:kern w:val="0"/>
          <w:sz w:val="32"/>
          <w:szCs w:val="32"/>
          <w:shd w:val="clear" w:fill="FFFFFF"/>
        </w:rPr>
        <w:t>%；</w:t>
      </w:r>
      <w:r>
        <w:rPr>
          <w:rStyle w:val="37"/>
          <w:rFonts w:hint="eastAsia" w:ascii="仿宋_GB2312" w:hAnsi="Times New Roman" w:eastAsia="仿宋_GB2312" w:cs="仿宋_GB2312"/>
          <w:b/>
          <w:bCs w:val="0"/>
          <w:sz w:val="32"/>
          <w:szCs w:val="32"/>
          <w:shd w:val="clear" w:fill="FFFFFF"/>
        </w:rPr>
        <w:t>卫生健康支出（类）</w:t>
      </w:r>
      <w:r>
        <w:rPr>
          <w:rFonts w:hint="eastAsia" w:ascii="仿宋_GB2312" w:eastAsia="仿宋_GB2312" w:cs="仿宋_GB2312"/>
          <w:kern w:val="0"/>
          <w:sz w:val="32"/>
          <w:szCs w:val="32"/>
          <w:shd w:val="clear" w:fill="FFFFFF"/>
          <w:lang w:val="en-US" w:eastAsia="zh-CN"/>
        </w:rPr>
        <w:t>8.97</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6.5</w:t>
      </w:r>
      <w:r>
        <w:rPr>
          <w:rFonts w:hint="eastAsia" w:ascii="仿宋_GB2312" w:hAnsi="宋体" w:eastAsia="仿宋_GB2312" w:cs="仿宋_GB2312"/>
          <w:kern w:val="0"/>
          <w:sz w:val="32"/>
          <w:szCs w:val="32"/>
          <w:shd w:val="clear" w:fill="FFFFFF"/>
        </w:rPr>
        <w:t>%；</w:t>
      </w:r>
      <w:r>
        <w:rPr>
          <w:rStyle w:val="37"/>
          <w:rFonts w:hint="eastAsia" w:ascii="仿宋_GB2312" w:hAnsi="Times New Roman" w:eastAsia="仿宋_GB2312" w:cs="仿宋_GB2312"/>
          <w:b/>
          <w:bCs w:val="0"/>
          <w:sz w:val="32"/>
          <w:szCs w:val="32"/>
          <w:shd w:val="clear" w:fill="FFFFFF"/>
        </w:rPr>
        <w:t>住房保障支出（类）</w:t>
      </w:r>
      <w:r>
        <w:rPr>
          <w:rFonts w:hint="eastAsia" w:ascii="仿宋_GB2312" w:eastAsia="仿宋_GB2312" w:cs="仿宋_GB2312"/>
          <w:kern w:val="0"/>
          <w:sz w:val="32"/>
          <w:szCs w:val="32"/>
          <w:shd w:val="clear" w:fill="FFFFFF"/>
          <w:lang w:val="en-US" w:eastAsia="zh-CN"/>
        </w:rPr>
        <w:t>9.08</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6.6</w:t>
      </w:r>
      <w:r>
        <w:rPr>
          <w:rFonts w:hint="eastAsia" w:ascii="仿宋_GB2312" w:hAnsi="宋体" w:eastAsia="仿宋_GB2312" w:cs="仿宋_GB2312"/>
          <w:kern w:val="0"/>
          <w:sz w:val="32"/>
          <w:szCs w:val="32"/>
          <w:shd w:val="clear" w:fill="FFFFFF"/>
        </w:rPr>
        <w:t>%；</w:t>
      </w:r>
      <w:r>
        <w:rPr>
          <w:rStyle w:val="37"/>
          <w:rFonts w:hint="eastAsia" w:ascii="仿宋_GB2312" w:hAnsi="Times New Roman" w:eastAsia="仿宋_GB2312" w:cs="仿宋_GB2312"/>
          <w:b/>
          <w:bCs w:val="0"/>
          <w:sz w:val="32"/>
          <w:szCs w:val="32"/>
          <w:shd w:val="clear" w:fill="FFFFFF"/>
        </w:rPr>
        <w:t>商业服务业等支出（类）</w:t>
      </w:r>
      <w:r>
        <w:rPr>
          <w:rFonts w:hint="eastAsia" w:ascii="仿宋_GB2312" w:eastAsia="仿宋_GB2312" w:cs="仿宋_GB2312"/>
          <w:kern w:val="0"/>
          <w:sz w:val="32"/>
          <w:szCs w:val="32"/>
          <w:shd w:val="clear" w:fill="FFFFFF"/>
          <w:lang w:val="en-US" w:eastAsia="zh-CN"/>
        </w:rPr>
        <w:t>90.44</w:t>
      </w:r>
      <w:r>
        <w:rPr>
          <w:rFonts w:hint="eastAsia" w:ascii="仿宋_GB2312" w:hAnsi="宋体" w:eastAsia="仿宋_GB2312" w:cs="仿宋_GB2312"/>
          <w:kern w:val="0"/>
          <w:sz w:val="32"/>
          <w:szCs w:val="32"/>
          <w:shd w:val="clear" w:fill="FFFFFF"/>
        </w:rPr>
        <w:t>万元，占比</w:t>
      </w:r>
      <w:r>
        <w:rPr>
          <w:rFonts w:hint="eastAsia" w:ascii="仿宋_GB2312" w:eastAsia="仿宋_GB2312" w:cs="仿宋_GB2312"/>
          <w:kern w:val="0"/>
          <w:sz w:val="32"/>
          <w:szCs w:val="32"/>
          <w:shd w:val="clear" w:fill="FFFFFF"/>
          <w:lang w:val="en-US" w:eastAsia="zh-CN"/>
        </w:rPr>
        <w:t>65.26</w:t>
      </w:r>
      <w:r>
        <w:rPr>
          <w:rFonts w:hint="eastAsia" w:ascii="仿宋_GB2312" w:hAnsi="宋体" w:eastAsia="仿宋_GB2312" w:cs="仿宋_GB2312"/>
          <w:kern w:val="0"/>
          <w:sz w:val="32"/>
          <w:szCs w:val="32"/>
          <w:shd w:val="clear" w:fill="FFFFFF"/>
        </w:rPr>
        <w:t>%</w:t>
      </w:r>
      <w:r>
        <w:rPr>
          <w:rFonts w:hint="eastAsia" w:ascii="仿宋_GB2312" w:eastAsia="仿宋_GB2312" w:cs="仿宋_GB2312"/>
          <w:kern w:val="0"/>
          <w:sz w:val="32"/>
          <w:szCs w:val="32"/>
          <w:shd w:val="clear" w:fill="FFFFFF"/>
          <w:lang w:eastAsia="zh-CN"/>
        </w:rPr>
        <w:t>；农林水支出（类）</w:t>
      </w:r>
      <w:r>
        <w:rPr>
          <w:rFonts w:hint="eastAsia" w:ascii="仿宋_GB2312" w:eastAsia="仿宋_GB2312" w:cs="仿宋_GB2312"/>
          <w:kern w:val="0"/>
          <w:sz w:val="32"/>
          <w:szCs w:val="32"/>
          <w:shd w:val="clear" w:fill="FFFFFF"/>
          <w:lang w:val="en-US" w:eastAsia="zh-CN"/>
        </w:rPr>
        <w:t>13.96</w:t>
      </w:r>
      <w:r>
        <w:rPr>
          <w:rFonts w:hint="eastAsia" w:ascii="仿宋_GB2312" w:eastAsia="仿宋_GB2312" w:cs="仿宋_GB2312"/>
          <w:kern w:val="0"/>
          <w:sz w:val="32"/>
          <w:szCs w:val="32"/>
          <w:shd w:val="clear" w:fill="FFFFFF"/>
          <w:lang w:eastAsia="zh-CN"/>
        </w:rPr>
        <w:t>万元，占</w:t>
      </w:r>
      <w:r>
        <w:rPr>
          <w:rFonts w:hint="eastAsia" w:ascii="仿宋_GB2312" w:eastAsia="仿宋_GB2312" w:cs="仿宋_GB2312"/>
          <w:kern w:val="0"/>
          <w:sz w:val="32"/>
          <w:szCs w:val="32"/>
          <w:shd w:val="clear" w:fill="FFFFFF"/>
          <w:lang w:val="en-US" w:eastAsia="zh-CN"/>
        </w:rPr>
        <w:t>10%</w:t>
      </w:r>
      <w:r>
        <w:rPr>
          <w:rFonts w:hint="eastAsia" w:ascii="仿宋_GB2312" w:hAnsi="宋体" w:eastAsia="仿宋_GB2312" w:cs="仿宋_GB2312"/>
          <w:kern w:val="0"/>
          <w:sz w:val="32"/>
          <w:szCs w:val="32"/>
          <w:shd w:val="clear" w:fill="FFFFFF"/>
        </w:rPr>
        <w:t xml:space="preserve">。 </w:t>
      </w:r>
    </w:p>
    <w:p w14:paraId="3AEE65FA">
      <w:pPr>
        <w:spacing w:line="600" w:lineRule="exact"/>
        <w:ind w:firstLine="643" w:firstLineChars="200"/>
        <w:outlineLvl w:val="2"/>
        <w:rPr>
          <w:rFonts w:ascii="仿宋" w:hAnsi="仿宋" w:eastAsia="仿宋"/>
          <w:b/>
          <w:sz w:val="32"/>
          <w:szCs w:val="32"/>
        </w:rPr>
      </w:pPr>
      <w:bookmarkStart w:id="49" w:name="_Toc15377212"/>
      <w:r>
        <w:rPr>
          <w:rFonts w:hint="eastAsia" w:ascii="仿宋" w:hAnsi="仿宋" w:eastAsia="仿宋"/>
          <w:b/>
          <w:sz w:val="32"/>
          <w:szCs w:val="32"/>
        </w:rPr>
        <w:t>（三）一般公共预算财政拨款支出决算具体情况</w:t>
      </w:r>
      <w:bookmarkEnd w:id="49"/>
    </w:p>
    <w:p w14:paraId="054D07D4">
      <w:pPr>
        <w:spacing w:line="600" w:lineRule="exact"/>
        <w:ind w:firstLine="640" w:firstLineChars="200"/>
        <w:rPr>
          <w:rFonts w:hint="eastAsia" w:ascii="仿宋_GB2312" w:hAnsi="宋体" w:eastAsia="仿宋_GB2312" w:cs="仿宋_GB2312"/>
          <w:color w:val="auto"/>
          <w:kern w:val="0"/>
          <w:sz w:val="32"/>
          <w:szCs w:val="32"/>
          <w:shd w:val="clear" w:color="auto" w:fill="FFFFFF"/>
          <w:lang w:val="en-US" w:eastAsia="zh-CN"/>
        </w:rPr>
      </w:pPr>
      <w:bookmarkStart w:id="50" w:name="_Toc15377444"/>
      <w:bookmarkStart w:id="51" w:name="_Toc15377213"/>
      <w:bookmarkStart w:id="52" w:name="_Toc15378460"/>
      <w:r>
        <w:rPr>
          <w:rFonts w:hint="eastAsia" w:ascii="仿宋_GB2312" w:hAnsi="宋体" w:eastAsia="仿宋_GB2312" w:cs="仿宋_GB2312"/>
          <w:color w:val="auto"/>
          <w:kern w:val="0"/>
          <w:sz w:val="32"/>
          <w:szCs w:val="32"/>
          <w:shd w:val="clear" w:color="auto" w:fill="FFFFFF"/>
          <w:lang w:val="en-US" w:eastAsia="zh-CN"/>
        </w:rPr>
        <w:t>2024年度一般公共预算支出决算数为138.59，完成预算100%。其中：</w:t>
      </w:r>
      <w:bookmarkEnd w:id="50"/>
      <w:bookmarkEnd w:id="51"/>
      <w:bookmarkEnd w:id="52"/>
    </w:p>
    <w:p w14:paraId="41789730">
      <w:pPr>
        <w:spacing w:line="600" w:lineRule="exact"/>
        <w:ind w:firstLine="640" w:firstLineChars="200"/>
        <w:rPr>
          <w:rFonts w:hint="eastAsia" w:ascii="仿宋_GB2312" w:hAnsi="宋体" w:eastAsia="仿宋_GB2312" w:cs="仿宋_GB2312"/>
          <w:color w:val="auto"/>
          <w:kern w:val="0"/>
          <w:sz w:val="32"/>
          <w:szCs w:val="32"/>
          <w:shd w:val="clear" w:color="auto" w:fill="FFFFFF"/>
          <w:lang w:eastAsia="zh-CN"/>
        </w:rPr>
      </w:pPr>
      <w:r>
        <w:rPr>
          <w:rFonts w:hint="eastAsia" w:ascii="仿宋_GB2312" w:hAnsi="宋体" w:eastAsia="仿宋_GB2312" w:cs="仿宋_GB2312"/>
          <w:color w:val="auto"/>
          <w:kern w:val="0"/>
          <w:sz w:val="32"/>
          <w:szCs w:val="32"/>
          <w:shd w:val="clear" w:color="auto" w:fill="FFFFFF"/>
        </w:rPr>
        <w:t>1.</w:t>
      </w:r>
      <w:r>
        <w:rPr>
          <w:rFonts w:hint="eastAsia" w:ascii="仿宋_GB2312" w:hAnsi="宋体" w:eastAsia="仿宋_GB2312" w:cs="仿宋_GB2312"/>
          <w:color w:val="auto"/>
          <w:kern w:val="0"/>
          <w:sz w:val="32"/>
          <w:szCs w:val="32"/>
          <w:shd w:val="clear" w:color="auto" w:fill="FFFFFF"/>
          <w:lang w:val="en-US" w:eastAsia="zh-CN"/>
        </w:rPr>
        <w:t>商业服务业等支出216：</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90.44</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6EC990CB">
      <w:pPr>
        <w:keepNext w:val="0"/>
        <w:keepLines w:val="0"/>
        <w:pageBreakBefore w:val="0"/>
        <w:widowControl w:val="0"/>
        <w:suppressLineNumbers w:val="0"/>
        <w:wordWrap/>
        <w:overflowPunct/>
        <w:topLinePunct w:val="0"/>
        <w:autoSpaceDE w:val="0"/>
        <w:autoSpaceDN/>
        <w:bidi w:val="0"/>
        <w:spacing w:after="0" w:afterAutospacing="0" w:line="580" w:lineRule="exact"/>
        <w:ind w:left="0" w:leftChars="0" w:firstLine="640" w:firstLineChars="200"/>
        <w:jc w:val="both"/>
        <w:rPr>
          <w:rFonts w:hint="eastAsia" w:ascii="仿宋_GB2312" w:hAnsi="宋体" w:eastAsia="仿宋_GB2312" w:cs="仿宋_GB2312"/>
          <w:color w:val="auto"/>
          <w:kern w:val="0"/>
          <w:sz w:val="32"/>
          <w:szCs w:val="32"/>
          <w:shd w:val="clear" w:color="auto" w:fill="FFFFFF"/>
        </w:rPr>
      </w:pPr>
      <w:r>
        <w:rPr>
          <w:rFonts w:hint="eastAsia" w:ascii="仿宋_GB2312" w:hAnsi="宋体" w:eastAsia="仿宋_GB2312" w:cs="仿宋_GB2312"/>
          <w:color w:val="auto"/>
          <w:kern w:val="0"/>
          <w:sz w:val="32"/>
          <w:szCs w:val="32"/>
          <w:shd w:val="clear" w:color="auto" w:fill="FFFFFF"/>
        </w:rPr>
        <w:t>2.社会保障和就业支出208: 支出决算为</w:t>
      </w:r>
      <w:r>
        <w:rPr>
          <w:rFonts w:hint="eastAsia" w:ascii="仿宋_GB2312" w:eastAsia="仿宋_GB2312" w:cs="仿宋_GB2312"/>
          <w:color w:val="auto"/>
          <w:kern w:val="0"/>
          <w:sz w:val="32"/>
          <w:szCs w:val="32"/>
          <w:shd w:val="clear" w:color="auto" w:fill="FFFFFF"/>
          <w:lang w:val="en-US" w:eastAsia="zh-CN"/>
        </w:rPr>
        <w:t>16.14</w:t>
      </w:r>
      <w:r>
        <w:rPr>
          <w:rFonts w:hint="eastAsia" w:ascii="仿宋_GB2312" w:hAnsi="宋体" w:eastAsia="仿宋_GB2312" w:cs="仿宋_GB2312"/>
          <w:color w:val="auto"/>
          <w:kern w:val="0"/>
          <w:sz w:val="32"/>
          <w:szCs w:val="32"/>
          <w:shd w:val="clear" w:color="auto" w:fill="FFFFFF"/>
        </w:rPr>
        <w:t>万元，完成预算100%。</w:t>
      </w:r>
    </w:p>
    <w:p w14:paraId="54E4DC4E">
      <w:pPr>
        <w:keepNext w:val="0"/>
        <w:keepLines w:val="0"/>
        <w:pageBreakBefore w:val="0"/>
        <w:widowControl w:val="0"/>
        <w:suppressLineNumbers w:val="0"/>
        <w:wordWrap/>
        <w:overflowPunct/>
        <w:topLinePunct w:val="0"/>
        <w:autoSpaceDE w:val="0"/>
        <w:autoSpaceDN/>
        <w:bidi w:val="0"/>
        <w:spacing w:after="0" w:afterAutospacing="0" w:line="580" w:lineRule="exact"/>
        <w:ind w:left="0" w:leftChars="0" w:firstLine="640" w:firstLineChars="200"/>
        <w:jc w:val="both"/>
        <w:rPr>
          <w:rFonts w:hint="eastAsia" w:ascii="仿宋_GB2312" w:hAnsi="宋体" w:eastAsia="仿宋_GB2312" w:cs="仿宋_GB2312"/>
          <w:color w:val="auto"/>
          <w:kern w:val="0"/>
          <w:sz w:val="32"/>
          <w:szCs w:val="32"/>
          <w:shd w:val="clear" w:color="auto" w:fill="FFFFFF"/>
        </w:rPr>
      </w:pPr>
      <w:r>
        <w:rPr>
          <w:rFonts w:hint="eastAsia" w:ascii="仿宋_GB2312" w:hAnsi="宋体" w:eastAsia="仿宋_GB2312" w:cs="仿宋_GB2312"/>
          <w:color w:val="auto"/>
          <w:kern w:val="0"/>
          <w:sz w:val="32"/>
          <w:szCs w:val="32"/>
          <w:shd w:val="clear" w:color="auto" w:fill="FFFFFF"/>
        </w:rPr>
        <w:t>3.卫生健康支出210</w:t>
      </w:r>
      <w:r>
        <w:rPr>
          <w:rFonts w:hint="eastAsia" w:ascii="仿宋_GB2312" w:hAnsi="宋体" w:eastAsia="仿宋_GB2312" w:cs="仿宋_GB2312"/>
          <w:color w:val="auto"/>
          <w:kern w:val="0"/>
          <w:sz w:val="32"/>
          <w:szCs w:val="32"/>
          <w:shd w:val="clear" w:color="auto" w:fill="FFFFFF"/>
          <w:lang w:eastAsia="zh-CN"/>
        </w:rPr>
        <w:t>：</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8.97</w:t>
      </w:r>
      <w:r>
        <w:rPr>
          <w:rFonts w:hint="eastAsia" w:ascii="仿宋_GB2312" w:hAnsi="宋体" w:eastAsia="仿宋_GB2312" w:cs="仿宋_GB2312"/>
          <w:color w:val="auto"/>
          <w:kern w:val="0"/>
          <w:sz w:val="32"/>
          <w:szCs w:val="32"/>
          <w:shd w:val="clear" w:color="auto" w:fill="FFFFFF"/>
        </w:rPr>
        <w:t>万元，完成预算100%。</w:t>
      </w:r>
    </w:p>
    <w:p w14:paraId="550264BD">
      <w:pPr>
        <w:spacing w:line="600" w:lineRule="exact"/>
        <w:ind w:firstLine="640" w:firstLineChars="200"/>
        <w:rPr>
          <w:rFonts w:hint="eastAsia" w:ascii="仿宋_GB2312" w:hAnsi="宋体" w:eastAsia="仿宋_GB2312" w:cs="仿宋_GB2312"/>
          <w:color w:val="auto"/>
          <w:kern w:val="0"/>
          <w:sz w:val="32"/>
          <w:szCs w:val="32"/>
          <w:shd w:val="clear" w:color="auto" w:fill="FFFFFF"/>
          <w:lang w:eastAsia="zh-CN"/>
        </w:rPr>
      </w:pPr>
      <w:r>
        <w:rPr>
          <w:rFonts w:hint="eastAsia" w:ascii="仿宋_GB2312" w:hAnsi="宋体" w:eastAsia="仿宋_GB2312" w:cs="仿宋_GB2312"/>
          <w:color w:val="auto"/>
          <w:kern w:val="0"/>
          <w:sz w:val="32"/>
          <w:szCs w:val="32"/>
          <w:shd w:val="clear" w:color="auto" w:fill="FFFFFF"/>
        </w:rPr>
        <w:t>4. 住房保障支出221: 支出决算为</w:t>
      </w:r>
      <w:r>
        <w:rPr>
          <w:rFonts w:hint="eastAsia" w:ascii="仿宋_GB2312" w:eastAsia="仿宋_GB2312" w:cs="仿宋_GB2312"/>
          <w:color w:val="auto"/>
          <w:kern w:val="0"/>
          <w:sz w:val="32"/>
          <w:szCs w:val="32"/>
          <w:shd w:val="clear" w:color="auto" w:fill="FFFFFF"/>
          <w:lang w:val="en-US" w:eastAsia="zh-CN"/>
        </w:rPr>
        <w:t>9.08</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1A2A9A95">
      <w:pPr>
        <w:spacing w:line="600" w:lineRule="exact"/>
        <w:ind w:firstLine="640" w:firstLineChars="200"/>
        <w:rPr>
          <w:rFonts w:hint="default" w:ascii="仿宋_GB2312" w:hAnsi="宋体" w:eastAsia="仿宋_GB2312" w:cs="仿宋_GB2312"/>
          <w:color w:val="auto"/>
          <w:kern w:val="0"/>
          <w:sz w:val="32"/>
          <w:szCs w:val="32"/>
          <w:shd w:val="clear" w:color="auto" w:fill="FFFFFF"/>
          <w:lang w:val="en-US" w:eastAsia="zh-CN"/>
        </w:rPr>
      </w:pPr>
      <w:r>
        <w:rPr>
          <w:rFonts w:hint="eastAsia" w:ascii="仿宋_GB2312" w:hAnsi="宋体" w:eastAsia="仿宋_GB2312" w:cs="仿宋_GB2312"/>
          <w:color w:val="auto"/>
          <w:kern w:val="0"/>
          <w:sz w:val="32"/>
          <w:szCs w:val="32"/>
          <w:shd w:val="clear" w:color="auto" w:fill="FFFFFF"/>
          <w:lang w:val="en-US" w:eastAsia="zh-CN"/>
        </w:rPr>
        <w:t>5.农林水支出2130199：</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13.96</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515CFC32">
      <w:pPr>
        <w:spacing w:line="600" w:lineRule="exact"/>
        <w:ind w:firstLine="640"/>
        <w:rPr>
          <w:rFonts w:ascii="仿宋" w:hAnsi="仿宋" w:eastAsia="仿宋"/>
          <w:b/>
          <w:sz w:val="32"/>
          <w:szCs w:val="32"/>
        </w:rPr>
      </w:pPr>
    </w:p>
    <w:p w14:paraId="4F2078E7">
      <w:pPr>
        <w:tabs>
          <w:tab w:val="right" w:pos="8306"/>
        </w:tabs>
        <w:spacing w:line="600" w:lineRule="exact"/>
        <w:ind w:firstLine="640"/>
        <w:outlineLvl w:val="1"/>
        <w:rPr>
          <w:rStyle w:val="30"/>
        </w:rPr>
      </w:pPr>
      <w:bookmarkStart w:id="53" w:name="_Toc15377214"/>
      <w:bookmarkStart w:id="54" w:name="_Toc15396608"/>
      <w:bookmarkStart w:id="55" w:name="_Toc32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3"/>
      <w:bookmarkEnd w:id="54"/>
      <w:bookmarkEnd w:id="55"/>
      <w:r>
        <w:rPr>
          <w:rStyle w:val="30"/>
          <w:rFonts w:ascii="黑体" w:hAnsi="黑体" w:eastAsia="黑体"/>
          <w:b w:val="0"/>
        </w:rPr>
        <w:tab/>
      </w:r>
    </w:p>
    <w:p w14:paraId="026A9FFD">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sz w:val="32"/>
          <w:szCs w:val="32"/>
        </w:rPr>
        <w:t>124</w:t>
      </w:r>
      <w:r>
        <w:rPr>
          <w:rFonts w:hint="eastAsia"/>
          <w:sz w:val="32"/>
          <w:szCs w:val="32"/>
          <w:lang w:val="en-US" w:eastAsia="zh-CN"/>
        </w:rPr>
        <w:t>.</w:t>
      </w:r>
      <w:r>
        <w:rPr>
          <w:rFonts w:hint="eastAsia"/>
          <w:sz w:val="32"/>
          <w:szCs w:val="32"/>
        </w:rPr>
        <w:t>6</w:t>
      </w:r>
      <w:r>
        <w:rPr>
          <w:rFonts w:hint="eastAsia"/>
          <w:sz w:val="32"/>
          <w:szCs w:val="32"/>
          <w:lang w:val="en-US" w:eastAsia="zh-CN"/>
        </w:rPr>
        <w:t>3</w:t>
      </w:r>
      <w:r>
        <w:rPr>
          <w:rFonts w:hint="eastAsia" w:ascii="仿宋" w:hAnsi="仿宋" w:eastAsia="仿宋"/>
          <w:sz w:val="32"/>
          <w:szCs w:val="32"/>
        </w:rPr>
        <w:t>万元，其中：</w:t>
      </w:r>
    </w:p>
    <w:p w14:paraId="621E9A74">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sz w:val="32"/>
          <w:szCs w:val="32"/>
        </w:rPr>
        <w:t>120</w:t>
      </w:r>
      <w:r>
        <w:rPr>
          <w:rFonts w:hint="eastAsia"/>
          <w:sz w:val="32"/>
          <w:szCs w:val="32"/>
          <w:lang w:val="en-US" w:eastAsia="zh-CN"/>
        </w:rPr>
        <w:t>.</w:t>
      </w:r>
      <w:r>
        <w:rPr>
          <w:rFonts w:hint="eastAsia"/>
          <w:sz w:val="32"/>
          <w:szCs w:val="32"/>
        </w:rPr>
        <w:t>66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3.97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FCF0D9">
      <w:pPr>
        <w:spacing w:line="600" w:lineRule="exact"/>
        <w:ind w:firstLine="640"/>
        <w:outlineLvl w:val="1"/>
        <w:rPr>
          <w:rStyle w:val="30"/>
          <w:rFonts w:ascii="黑体" w:hAnsi="黑体" w:eastAsia="黑体"/>
          <w:b w:val="0"/>
        </w:rPr>
      </w:pPr>
      <w:bookmarkStart w:id="56" w:name="_Toc15377215"/>
      <w:bookmarkStart w:id="57" w:name="_Toc26604"/>
      <w:bookmarkStart w:id="58"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6"/>
      <w:bookmarkEnd w:id="57"/>
      <w:bookmarkEnd w:id="58"/>
    </w:p>
    <w:p w14:paraId="378DDDBB">
      <w:pPr>
        <w:spacing w:line="600" w:lineRule="exact"/>
        <w:ind w:firstLine="640"/>
        <w:outlineLvl w:val="2"/>
        <w:rPr>
          <w:rFonts w:ascii="仿宋" w:hAnsi="仿宋" w:eastAsia="仿宋"/>
          <w:b/>
          <w:sz w:val="32"/>
          <w:szCs w:val="32"/>
        </w:rPr>
      </w:pPr>
      <w:bookmarkStart w:id="59" w:name="_Toc15396610"/>
      <w:bookmarkStart w:id="60" w:name="_Toc15377218"/>
      <w:r>
        <w:rPr>
          <w:rFonts w:hint="eastAsia" w:ascii="仿宋" w:hAnsi="仿宋" w:eastAsia="仿宋"/>
          <w:b/>
          <w:sz w:val="32"/>
          <w:szCs w:val="32"/>
          <w:lang w:eastAsia="zh-CN"/>
        </w:rPr>
        <w:t>（一）</w:t>
      </w:r>
      <w:r>
        <w:rPr>
          <w:rFonts w:hint="eastAsia" w:ascii="仿宋" w:hAnsi="仿宋" w:eastAsia="仿宋"/>
          <w:b/>
          <w:sz w:val="32"/>
          <w:szCs w:val="32"/>
        </w:rPr>
        <w:t>“三公”经费财政拨款支出决算总体情况说明</w:t>
      </w:r>
    </w:p>
    <w:p w14:paraId="064218E3">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p>
    <w:p w14:paraId="24CB1E16">
      <w:pPr>
        <w:spacing w:line="600" w:lineRule="exact"/>
        <w:ind w:firstLine="640"/>
        <w:outlineLvl w:val="2"/>
        <w:rPr>
          <w:rFonts w:ascii="仿宋" w:hAnsi="仿宋" w:eastAsia="仿宋"/>
          <w:b/>
          <w:sz w:val="32"/>
          <w:szCs w:val="32"/>
        </w:rPr>
      </w:pPr>
      <w:bookmarkStart w:id="61" w:name="_Toc15377217"/>
      <w:r>
        <w:rPr>
          <w:rFonts w:hint="eastAsia" w:ascii="仿宋" w:hAnsi="仿宋" w:eastAsia="仿宋"/>
          <w:b/>
          <w:sz w:val="32"/>
          <w:szCs w:val="32"/>
        </w:rPr>
        <w:t>（二）“三公”经费财政拨款支出决算具体情况说明</w:t>
      </w:r>
      <w:bookmarkEnd w:id="61"/>
    </w:p>
    <w:p w14:paraId="588868D5">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1B49244E">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0535DFF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5E19D826">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4DE20BD1">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210A6258">
      <w:pPr>
        <w:spacing w:line="600" w:lineRule="exact"/>
        <w:ind w:firstLine="643" w:firstLineChars="200"/>
        <w:rPr>
          <w:rFonts w:ascii="黑体" w:eastAsia="黑体"/>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5ECFA092">
      <w:pPr>
        <w:spacing w:line="600" w:lineRule="exact"/>
        <w:ind w:firstLine="640"/>
        <w:outlineLvl w:val="1"/>
        <w:rPr>
          <w:rStyle w:val="30"/>
          <w:rFonts w:ascii="黑体" w:hAnsi="黑体" w:eastAsia="黑体"/>
        </w:rPr>
      </w:pPr>
      <w:bookmarkStart w:id="62" w:name="_Toc20456"/>
      <w:r>
        <w:rPr>
          <w:rFonts w:hint="eastAsia" w:ascii="黑体" w:eastAsia="黑体"/>
          <w:sz w:val="32"/>
          <w:szCs w:val="32"/>
        </w:rPr>
        <w:t>八、</w:t>
      </w:r>
      <w:r>
        <w:rPr>
          <w:rStyle w:val="30"/>
          <w:rFonts w:hint="eastAsia" w:ascii="黑体" w:hAnsi="黑体" w:eastAsia="黑体"/>
          <w:b w:val="0"/>
        </w:rPr>
        <w:t>政府性基金预算支出决算情况说明</w:t>
      </w:r>
      <w:bookmarkEnd w:id="59"/>
      <w:bookmarkEnd w:id="60"/>
      <w:bookmarkEnd w:id="62"/>
    </w:p>
    <w:p w14:paraId="33BBAAE7">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4E19F3A6">
      <w:pPr>
        <w:numPr>
          <w:ilvl w:val="0"/>
          <w:numId w:val="3"/>
        </w:numPr>
        <w:spacing w:line="600" w:lineRule="exact"/>
        <w:ind w:firstLine="640"/>
        <w:outlineLvl w:val="1"/>
        <w:rPr>
          <w:rStyle w:val="30"/>
          <w:rFonts w:ascii="黑体" w:hAnsi="黑体" w:eastAsia="黑体"/>
          <w:b w:val="0"/>
        </w:rPr>
      </w:pPr>
      <w:bookmarkStart w:id="63" w:name="_Toc15396611"/>
      <w:bookmarkStart w:id="64" w:name="_Toc15377219"/>
      <w:bookmarkStart w:id="65" w:name="_Toc32473"/>
      <w:r>
        <w:rPr>
          <w:rStyle w:val="30"/>
          <w:rFonts w:hint="eastAsia" w:ascii="黑体" w:hAnsi="黑体" w:eastAsia="黑体"/>
          <w:b w:val="0"/>
        </w:rPr>
        <w:t>国有资本经营预算支出决算情况说明</w:t>
      </w:r>
      <w:bookmarkEnd w:id="63"/>
      <w:bookmarkEnd w:id="64"/>
      <w:bookmarkEnd w:id="65"/>
    </w:p>
    <w:p w14:paraId="44E75A47">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7337A064">
      <w:pPr>
        <w:numPr>
          <w:ilvl w:val="0"/>
          <w:numId w:val="3"/>
        </w:numPr>
        <w:spacing w:line="600" w:lineRule="exact"/>
        <w:ind w:firstLine="640"/>
        <w:outlineLvl w:val="1"/>
        <w:rPr>
          <w:rStyle w:val="30"/>
          <w:rFonts w:ascii="黑体" w:hAnsi="黑体" w:eastAsia="黑体"/>
          <w:b w:val="0"/>
        </w:rPr>
      </w:pPr>
      <w:bookmarkStart w:id="66" w:name="_Toc15377221"/>
      <w:bookmarkStart w:id="67" w:name="_Toc19789"/>
      <w:bookmarkStart w:id="68" w:name="_Toc15396612"/>
      <w:r>
        <w:rPr>
          <w:rStyle w:val="30"/>
          <w:rFonts w:hint="eastAsia" w:ascii="黑体" w:hAnsi="黑体" w:eastAsia="黑体"/>
          <w:b w:val="0"/>
        </w:rPr>
        <w:t>其他重要事项的情况说明</w:t>
      </w:r>
      <w:bookmarkEnd w:id="66"/>
      <w:bookmarkEnd w:id="67"/>
      <w:bookmarkEnd w:id="68"/>
    </w:p>
    <w:p w14:paraId="4D4CE773">
      <w:pPr>
        <w:spacing w:line="600" w:lineRule="exact"/>
        <w:ind w:firstLine="643" w:firstLineChars="200"/>
        <w:outlineLvl w:val="2"/>
        <w:rPr>
          <w:rFonts w:ascii="仿宋" w:hAnsi="仿宋" w:eastAsia="仿宋"/>
          <w:sz w:val="32"/>
          <w:szCs w:val="32"/>
        </w:rPr>
      </w:pPr>
      <w:bookmarkStart w:id="69" w:name="_Toc15377222"/>
      <w:bookmarkStart w:id="70" w:name="_Toc15377223"/>
      <w:r>
        <w:rPr>
          <w:rFonts w:hint="eastAsia" w:ascii="仿宋" w:hAnsi="仿宋" w:eastAsia="仿宋"/>
          <w:b/>
          <w:sz w:val="32"/>
          <w:szCs w:val="32"/>
        </w:rPr>
        <w:t>（一）机关运行经费支出情况</w:t>
      </w:r>
      <w:bookmarkEnd w:id="69"/>
    </w:p>
    <w:p w14:paraId="1C8B808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年度，阿坝州松潘县供销合作社联合社机关运行经费支出</w:t>
      </w:r>
      <w:r>
        <w:rPr>
          <w:rFonts w:hint="eastAsia" w:ascii="仿宋_GB2312" w:eastAsia="仿宋_GB2312"/>
          <w:sz w:val="32"/>
          <w:szCs w:val="32"/>
          <w:lang w:val="en-US" w:eastAsia="zh-CN"/>
        </w:rPr>
        <w:t>3.97</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0.5</w:t>
      </w:r>
      <w:r>
        <w:rPr>
          <w:rFonts w:hint="eastAsia" w:ascii="仿宋_GB2312" w:eastAsia="仿宋_GB2312"/>
          <w:sz w:val="32"/>
          <w:szCs w:val="32"/>
        </w:rPr>
        <w:t>万元，增长</w:t>
      </w:r>
      <w:r>
        <w:rPr>
          <w:rFonts w:hint="eastAsia" w:ascii="仿宋_GB2312" w:eastAsia="仿宋_GB2312"/>
          <w:sz w:val="32"/>
          <w:szCs w:val="32"/>
          <w:lang w:val="en-US" w:eastAsia="zh-CN"/>
        </w:rPr>
        <w:t>4.5</w:t>
      </w:r>
      <w:r>
        <w:rPr>
          <w:rFonts w:hint="eastAsia" w:ascii="仿宋_GB2312" w:eastAsia="仿宋_GB2312"/>
          <w:sz w:val="32"/>
          <w:szCs w:val="32"/>
        </w:rPr>
        <w:t>%。主要原因</w:t>
      </w:r>
      <w:r>
        <w:rPr>
          <w:rFonts w:hint="eastAsia" w:ascii="仿宋_GB2312" w:eastAsia="仿宋_GB2312"/>
          <w:sz w:val="32"/>
          <w:szCs w:val="32"/>
          <w:lang w:val="en-US" w:eastAsia="zh-CN"/>
        </w:rPr>
        <w:t>供销社办公费增加</w:t>
      </w:r>
      <w:r>
        <w:rPr>
          <w:rFonts w:hint="eastAsia" w:ascii="仿宋_GB2312" w:eastAsia="仿宋_GB2312"/>
          <w:sz w:val="32"/>
          <w:szCs w:val="32"/>
        </w:rPr>
        <w:t>。</w:t>
      </w:r>
    </w:p>
    <w:p w14:paraId="0503A51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70"/>
    </w:p>
    <w:p w14:paraId="37541FBA">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松潘县供销合作社联合社本级</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6F2AE7FE">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14:paraId="2C7C188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松潘县供销合作社联合社本级</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5FF2BF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CB3964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年农资储备和价格补贴项目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w:t>
      </w:r>
      <w:bookmarkStart w:id="88" w:name="_GoBack"/>
      <w:r>
        <w:rPr>
          <w:rFonts w:hint="eastAsia" w:ascii="仿宋_GB2312" w:hAnsi="仿宋_GB2312" w:eastAsia="仿宋_GB2312" w:cs="仿宋_GB2312"/>
          <w:sz w:val="32"/>
          <w:szCs w:val="32"/>
          <w:lang w:eastAsia="zh-CN"/>
        </w:rPr>
        <w:t>，在</w:t>
      </w:r>
      <w:bookmarkEnd w:id="88"/>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14:paraId="480660A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年度一般公共预算、政府性基金预算、国有资本经营预算、社会保险基金预算以及资本资产、债券资金等全面开展绩效自评，形成松潘县供销合作社联合社202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年整体支出绩效评价报告、</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年农资储备和价格补贴项目</w:t>
      </w:r>
      <w:r>
        <w:rPr>
          <w:rFonts w:hint="eastAsia" w:ascii="仿宋_GB2312" w:hAnsi="仿宋_GB2312" w:eastAsia="仿宋_GB2312" w:cs="仿宋_GB2312"/>
          <w:sz w:val="32"/>
          <w:szCs w:val="32"/>
        </w:rPr>
        <w:t>等专项预算项目绩效自评报告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年整体支出绩效自评得分为</w:t>
      </w:r>
      <w:r>
        <w:rPr>
          <w:rFonts w:hint="eastAsia" w:ascii="仿宋_GB2312" w:hAnsi="仿宋_GB2312" w:cs="仿宋_GB2312"/>
          <w:sz w:val="32"/>
          <w:szCs w:val="32"/>
          <w:lang w:val="en-US" w:eastAsia="zh-CN"/>
        </w:rPr>
        <w:t>92.44</w:t>
      </w:r>
      <w:r>
        <w:rPr>
          <w:rFonts w:hint="eastAsia" w:ascii="仿宋_GB2312" w:hAnsi="仿宋_GB2312" w:eastAsia="仿宋_GB2312" w:cs="仿宋_GB2312"/>
          <w:sz w:val="32"/>
          <w:szCs w:val="32"/>
        </w:rPr>
        <w:t>分，</w:t>
      </w:r>
      <w:r>
        <w:rPr>
          <w:rFonts w:hint="eastAsia" w:ascii="仿宋_GB2312" w:hAnsi="宋体" w:eastAsia="仿宋_GB2312" w:cs="仿宋_GB2312"/>
          <w:kern w:val="0"/>
          <w:sz w:val="32"/>
          <w:szCs w:val="32"/>
          <w:shd w:val="clear" w:color="auto" w:fill="FFFFFF"/>
        </w:rPr>
        <w:t>从评价情况来看</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严格按要求进行预算管理要求</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对日常公用经费、项目支出严格按程序进行</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预算收入基本等于支出</w:t>
      </w:r>
      <w:r>
        <w:rPr>
          <w:rFonts w:hint="eastAsia" w:ascii="仿宋_GB2312" w:hAnsi="仿宋_GB2312" w:eastAsia="仿宋_GB2312" w:cs="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年农资储备和价格补贴</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分，绩效自评综述：</w:t>
      </w:r>
      <w:r>
        <w:rPr>
          <w:rFonts w:hint="eastAsia" w:ascii="仿宋_GB2312" w:hAnsi="宋体" w:eastAsia="仿宋_GB2312" w:cs="仿宋_GB2312"/>
          <w:kern w:val="0"/>
          <w:sz w:val="32"/>
          <w:szCs w:val="32"/>
          <w:shd w:val="clear" w:color="auto" w:fill="FFFFFF"/>
        </w:rPr>
        <w:t>项目资金由下达</w:t>
      </w:r>
      <w:r>
        <w:rPr>
          <w:rFonts w:hint="eastAsia" w:ascii="仿宋_GB2312" w:eastAsia="仿宋_GB2312" w:cs="仿宋_GB2312"/>
          <w:kern w:val="0"/>
          <w:sz w:val="32"/>
          <w:szCs w:val="32"/>
          <w:shd w:val="clear" w:color="auto" w:fill="FFFFFF"/>
          <w:lang w:val="en-US" w:eastAsia="zh-CN"/>
        </w:rPr>
        <w:t>13.96</w:t>
      </w:r>
      <w:r>
        <w:rPr>
          <w:rFonts w:hint="eastAsia" w:ascii="仿宋_GB2312" w:hAnsi="宋体" w:eastAsia="仿宋_GB2312" w:cs="仿宋_GB2312"/>
          <w:kern w:val="0"/>
          <w:sz w:val="32"/>
          <w:szCs w:val="32"/>
          <w:shd w:val="clear" w:color="auto" w:fill="FFFFFF"/>
        </w:rPr>
        <w:t>万元，执行数为</w:t>
      </w:r>
      <w:r>
        <w:rPr>
          <w:rFonts w:hint="eastAsia" w:ascii="仿宋_GB2312" w:eastAsia="仿宋_GB2312" w:cs="仿宋_GB2312"/>
          <w:kern w:val="0"/>
          <w:sz w:val="32"/>
          <w:szCs w:val="32"/>
          <w:shd w:val="clear" w:color="auto" w:fill="FFFFFF"/>
          <w:lang w:val="en-US" w:eastAsia="zh-CN"/>
        </w:rPr>
        <w:t>13.961</w:t>
      </w:r>
      <w:r>
        <w:rPr>
          <w:rFonts w:hint="eastAsia" w:ascii="仿宋_GB2312" w:hAnsi="宋体" w:eastAsia="仿宋_GB2312" w:cs="仿宋_GB2312"/>
          <w:kern w:val="0"/>
          <w:sz w:val="32"/>
          <w:szCs w:val="32"/>
          <w:shd w:val="clear" w:color="auto" w:fill="FFFFFF"/>
        </w:rPr>
        <w:t>万元，完成预算的100%。通过项目实施，</w:t>
      </w:r>
      <w:r>
        <w:rPr>
          <w:rFonts w:hint="eastAsia" w:ascii="仿宋_GB2312" w:hAnsi="仿宋_GB2312" w:eastAsia="仿宋_GB2312" w:cs="仿宋_GB2312"/>
          <w:sz w:val="32"/>
          <w:szCs w:val="32"/>
        </w:rPr>
        <w:t>有效控制农资市场价格，切实保障我县农业生产需要，促进农民增产增收，引导广大农民群众使用配方肥料和有机肥，降低土地面源污染，推动我县绿色，生态农业发展</w:t>
      </w:r>
      <w:r>
        <w:rPr>
          <w:rFonts w:hint="eastAsia" w:ascii="仿宋_GB2312" w:hAnsi="仿宋_GB2312" w:eastAsia="仿宋_GB2312" w:cs="仿宋_GB2312"/>
          <w:sz w:val="32"/>
          <w:szCs w:val="32"/>
          <w:lang w:eastAsia="zh-CN"/>
        </w:rPr>
        <w:t>。</w:t>
      </w:r>
    </w:p>
    <w:p w14:paraId="19D912FE">
      <w:pPr>
        <w:pStyle w:val="2"/>
        <w:jc w:val="center"/>
        <w:rPr>
          <w:rFonts w:hint="eastAsia" w:ascii="黑体" w:hAnsi="黑体" w:eastAsia="黑体"/>
          <w:b w:val="0"/>
        </w:rPr>
      </w:pPr>
      <w:bookmarkStart w:id="72" w:name="_Toc24653"/>
      <w:r>
        <w:rPr>
          <w:rFonts w:hint="eastAsia" w:ascii="黑体" w:hAnsi="黑体" w:eastAsia="黑体"/>
          <w:b w:val="0"/>
        </w:rPr>
        <w:t>第三部分 名词解释</w:t>
      </w:r>
      <w:bookmarkEnd w:id="72"/>
    </w:p>
    <w:p w14:paraId="7B0B0986"/>
    <w:p w14:paraId="45204840">
      <w:pPr>
        <w:ind w:firstLine="640" w:firstLineChars="200"/>
        <w:rPr>
          <w:rFonts w:hint="eastAsia" w:ascii="仿宋_GB2312" w:eastAsia="仿宋_GB2312"/>
          <w:sz w:val="32"/>
          <w:szCs w:val="32"/>
        </w:rPr>
      </w:pPr>
      <w:bookmarkStart w:id="73" w:name="_Toc14043"/>
      <w:r>
        <w:rPr>
          <w:rFonts w:hint="eastAsia" w:ascii="仿宋_GB2312" w:eastAsia="仿宋_GB2312"/>
          <w:sz w:val="32"/>
          <w:szCs w:val="32"/>
        </w:rPr>
        <w:t>1.财政拨款收入：指单位从同级财政部门取得的财政预算资金。</w:t>
      </w:r>
      <w:bookmarkEnd w:id="73"/>
    </w:p>
    <w:p w14:paraId="523F6AE2">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FE726E7">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3.经营收入：指事业单位在专业业务活动及其辅助活动之外开展非独立核算经营活动取得的收入。4.其他收入：指单位取得的除上述收入以外的各项收入。</w:t>
      </w:r>
    </w:p>
    <w:p w14:paraId="78BDB091">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191098E9">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07522782">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C64E281">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3DF1450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9.商业服务业等支出</w:t>
      </w:r>
      <w:r>
        <w:rPr>
          <w:rFonts w:hint="eastAsia" w:ascii="仿宋_GB2312" w:eastAsia="仿宋_GB2312"/>
          <w:sz w:val="32"/>
          <w:szCs w:val="32"/>
          <w:lang w:eastAsia="zh-CN"/>
        </w:rPr>
        <w:t>（类）</w:t>
      </w:r>
      <w:r>
        <w:rPr>
          <w:rFonts w:hint="eastAsia" w:ascii="仿宋_GB2312" w:eastAsia="仿宋_GB2312"/>
          <w:sz w:val="32"/>
          <w:szCs w:val="32"/>
        </w:rPr>
        <w:t>：指2160201行政运行、2160201政府相关行政运行、2160201一般行政管理事务。</w:t>
      </w:r>
    </w:p>
    <w:p w14:paraId="0BC070A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10.社会保障和就业（类）：指2080505机关事业单位养老保险缴费支出，2080506机关事业职业年金缴费支出。</w:t>
      </w:r>
    </w:p>
    <w:p w14:paraId="2BD5E2F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11.卫生健康支出：2101101指行政单位医疗；2101103指公务员医疗补助</w:t>
      </w:r>
    </w:p>
    <w:p w14:paraId="0D48594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农林水（类）：指2130199其他农业农村支出13、</w:t>
      </w:r>
      <w:r>
        <w:rPr>
          <w:rFonts w:hint="eastAsia" w:ascii="仿宋_GB2312" w:eastAsia="仿宋_GB2312"/>
          <w:sz w:val="32"/>
          <w:szCs w:val="32"/>
          <w:lang w:val="en-US" w:eastAsia="zh-CN"/>
        </w:rPr>
        <w:t>13.</w:t>
      </w:r>
      <w:r>
        <w:rPr>
          <w:rFonts w:hint="eastAsia" w:ascii="仿宋_GB2312" w:eastAsia="仿宋_GB2312"/>
          <w:sz w:val="32"/>
          <w:szCs w:val="32"/>
        </w:rPr>
        <w:t>住房保障支出（类）：指2210201住房公积金支出。</w:t>
      </w:r>
    </w:p>
    <w:p w14:paraId="424C69B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.基本支出：指为保障机构正常运转、完成日常工作任务而发生的人员支出和公用支出。</w:t>
      </w:r>
    </w:p>
    <w:p w14:paraId="791C36D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xml:space="preserve">.项目支出：指在基本支出之外为完成特定行政任务和事业发展目标所发生的支出。 </w:t>
      </w:r>
    </w:p>
    <w:p w14:paraId="737EAEC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.经营支出：指事业单位在专业业务活动及其辅助活动之外开展非独立核算经营活动发生的支出。</w:t>
      </w:r>
    </w:p>
    <w:p w14:paraId="680172E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5662C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0BA084">
      <w:pPr>
        <w:ind w:firstLine="643" w:firstLineChars="200"/>
        <w:rPr>
          <w:rFonts w:ascii="仿宋" w:hAnsi="仿宋" w:eastAsia="仿宋"/>
          <w:b/>
          <w:sz w:val="32"/>
          <w:szCs w:val="32"/>
        </w:rPr>
      </w:pPr>
    </w:p>
    <w:p w14:paraId="53D3E6A4">
      <w:pPr>
        <w:ind w:firstLine="643" w:firstLineChars="200"/>
        <w:rPr>
          <w:rFonts w:ascii="仿宋" w:hAnsi="仿宋" w:eastAsia="仿宋"/>
          <w:b/>
          <w:sz w:val="32"/>
          <w:szCs w:val="32"/>
        </w:rPr>
      </w:pPr>
    </w:p>
    <w:p w14:paraId="40089EAB">
      <w:pPr>
        <w:ind w:firstLine="643" w:firstLineChars="200"/>
        <w:rPr>
          <w:rFonts w:ascii="仿宋" w:hAnsi="仿宋" w:eastAsia="仿宋"/>
          <w:b/>
          <w:sz w:val="32"/>
          <w:szCs w:val="32"/>
        </w:rPr>
      </w:pPr>
    </w:p>
    <w:p w14:paraId="25EA46BE">
      <w:pPr>
        <w:ind w:firstLine="643" w:firstLineChars="200"/>
        <w:rPr>
          <w:rFonts w:ascii="仿宋" w:hAnsi="仿宋" w:eastAsia="仿宋"/>
          <w:b/>
          <w:sz w:val="32"/>
          <w:szCs w:val="32"/>
        </w:rPr>
      </w:pPr>
    </w:p>
    <w:p w14:paraId="4A3B3EF7">
      <w:pPr>
        <w:ind w:firstLine="643" w:firstLineChars="200"/>
        <w:rPr>
          <w:rFonts w:ascii="仿宋" w:hAnsi="仿宋" w:eastAsia="仿宋"/>
          <w:b/>
          <w:sz w:val="32"/>
          <w:szCs w:val="32"/>
        </w:rPr>
      </w:pPr>
    </w:p>
    <w:p w14:paraId="71B8ED85">
      <w:pPr>
        <w:ind w:firstLine="643" w:firstLineChars="200"/>
        <w:rPr>
          <w:rFonts w:ascii="仿宋" w:hAnsi="仿宋" w:eastAsia="仿宋"/>
          <w:b/>
          <w:sz w:val="32"/>
          <w:szCs w:val="32"/>
        </w:rPr>
      </w:pPr>
    </w:p>
    <w:p w14:paraId="18BBE9BE">
      <w:pPr>
        <w:ind w:firstLine="643" w:firstLineChars="200"/>
        <w:rPr>
          <w:rFonts w:ascii="仿宋" w:hAnsi="仿宋" w:eastAsia="仿宋"/>
          <w:b/>
          <w:sz w:val="32"/>
          <w:szCs w:val="32"/>
        </w:rPr>
      </w:pPr>
    </w:p>
    <w:p w14:paraId="4063892F">
      <w:pPr>
        <w:ind w:firstLine="643" w:firstLineChars="200"/>
        <w:rPr>
          <w:rFonts w:ascii="仿宋" w:hAnsi="仿宋" w:eastAsia="仿宋"/>
          <w:b/>
          <w:sz w:val="32"/>
          <w:szCs w:val="32"/>
        </w:rPr>
      </w:pPr>
    </w:p>
    <w:p w14:paraId="4BC70F08">
      <w:pPr>
        <w:ind w:firstLine="643" w:firstLineChars="200"/>
        <w:rPr>
          <w:rFonts w:ascii="仿宋" w:hAnsi="仿宋" w:eastAsia="仿宋"/>
          <w:b/>
          <w:sz w:val="32"/>
          <w:szCs w:val="32"/>
        </w:rPr>
      </w:pPr>
    </w:p>
    <w:p w14:paraId="0C2411F3">
      <w:pPr>
        <w:ind w:firstLine="643" w:firstLineChars="200"/>
        <w:rPr>
          <w:rFonts w:ascii="仿宋" w:hAnsi="仿宋" w:eastAsia="仿宋"/>
          <w:b/>
          <w:sz w:val="32"/>
          <w:szCs w:val="32"/>
        </w:rPr>
      </w:pPr>
    </w:p>
    <w:p w14:paraId="7E91CE35">
      <w:pPr>
        <w:ind w:firstLine="643" w:firstLineChars="200"/>
        <w:rPr>
          <w:rFonts w:ascii="仿宋" w:hAnsi="仿宋" w:eastAsia="仿宋"/>
          <w:b/>
          <w:sz w:val="32"/>
          <w:szCs w:val="32"/>
        </w:rPr>
      </w:pPr>
    </w:p>
    <w:p w14:paraId="370426DB">
      <w:pPr>
        <w:ind w:firstLine="643" w:firstLineChars="200"/>
        <w:rPr>
          <w:rFonts w:ascii="仿宋" w:hAnsi="仿宋" w:eastAsia="仿宋"/>
          <w:b/>
          <w:sz w:val="32"/>
          <w:szCs w:val="32"/>
        </w:rPr>
      </w:pPr>
    </w:p>
    <w:p w14:paraId="44CE98FD">
      <w:pPr>
        <w:ind w:firstLine="643" w:firstLineChars="200"/>
        <w:rPr>
          <w:rFonts w:ascii="仿宋" w:hAnsi="仿宋" w:eastAsia="仿宋"/>
          <w:b/>
          <w:sz w:val="32"/>
          <w:szCs w:val="32"/>
        </w:rPr>
      </w:pPr>
    </w:p>
    <w:p w14:paraId="0762DD15">
      <w:pPr>
        <w:pStyle w:val="2"/>
        <w:jc w:val="center"/>
        <w:rPr>
          <w:rFonts w:ascii="黑体" w:hAnsi="黑体" w:eastAsia="黑体"/>
        </w:rPr>
      </w:pPr>
      <w:bookmarkStart w:id="74" w:name="_Toc15270"/>
      <w:r>
        <w:rPr>
          <w:rFonts w:hint="eastAsia" w:ascii="黑体" w:hAnsi="黑体" w:eastAsia="黑体"/>
        </w:rPr>
        <w:t>第</w:t>
      </w:r>
      <w:r>
        <w:rPr>
          <w:rFonts w:hint="eastAsia" w:ascii="黑体" w:hAnsi="黑体" w:eastAsia="黑体"/>
          <w:lang w:eastAsia="zh-CN"/>
        </w:rPr>
        <w:t>四</w:t>
      </w:r>
      <w:r>
        <w:rPr>
          <w:rFonts w:hint="eastAsia" w:ascii="黑体" w:hAnsi="黑体" w:eastAsia="黑体"/>
        </w:rPr>
        <w:t>部分 附表</w:t>
      </w:r>
      <w:bookmarkEnd w:id="74"/>
    </w:p>
    <w:p w14:paraId="58E8F567">
      <w:pPr>
        <w:pStyle w:val="3"/>
        <w:bidi w:val="0"/>
      </w:pPr>
      <w:bookmarkStart w:id="75" w:name="_Toc32322"/>
      <w:r>
        <w:rPr>
          <w:rFonts w:hint="eastAsia"/>
        </w:rPr>
        <w:t>一、收入支出决算总表</w:t>
      </w:r>
      <w:bookmarkEnd w:id="75"/>
    </w:p>
    <w:p w14:paraId="2CDF17C4">
      <w:pPr>
        <w:pStyle w:val="3"/>
        <w:bidi w:val="0"/>
      </w:pPr>
      <w:bookmarkStart w:id="76" w:name="_Toc17259"/>
      <w:r>
        <w:rPr>
          <w:rFonts w:hint="eastAsia"/>
        </w:rPr>
        <w:t>二、收入决算表</w:t>
      </w:r>
      <w:bookmarkEnd w:id="76"/>
    </w:p>
    <w:p w14:paraId="5EA153A8">
      <w:pPr>
        <w:pStyle w:val="3"/>
        <w:bidi w:val="0"/>
      </w:pPr>
      <w:bookmarkStart w:id="77" w:name="_Toc27685"/>
      <w:r>
        <w:rPr>
          <w:rFonts w:hint="eastAsia"/>
        </w:rPr>
        <w:t>三、支出决算表</w:t>
      </w:r>
      <w:bookmarkEnd w:id="77"/>
    </w:p>
    <w:p w14:paraId="5B7EC59E">
      <w:pPr>
        <w:pStyle w:val="3"/>
        <w:bidi w:val="0"/>
      </w:pPr>
      <w:bookmarkStart w:id="78" w:name="_Toc27591"/>
      <w:r>
        <w:rPr>
          <w:rFonts w:hint="eastAsia"/>
        </w:rPr>
        <w:t>四、财政拨款收入支出决算总表</w:t>
      </w:r>
      <w:bookmarkEnd w:id="78"/>
    </w:p>
    <w:p w14:paraId="3CAF57F2">
      <w:pPr>
        <w:pStyle w:val="3"/>
        <w:bidi w:val="0"/>
      </w:pPr>
      <w:bookmarkStart w:id="79" w:name="_Toc6181"/>
      <w:r>
        <w:rPr>
          <w:rFonts w:hint="eastAsia"/>
        </w:rPr>
        <w:t>五、财政拨款支出决算明细表</w:t>
      </w:r>
      <w:bookmarkEnd w:id="79"/>
    </w:p>
    <w:p w14:paraId="62ACAE78">
      <w:pPr>
        <w:pStyle w:val="3"/>
        <w:bidi w:val="0"/>
      </w:pPr>
      <w:bookmarkStart w:id="80" w:name="_Toc1836"/>
      <w:r>
        <w:rPr>
          <w:rFonts w:hint="eastAsia"/>
        </w:rPr>
        <w:t>六、一般公共预算财政拨款支出决算表</w:t>
      </w:r>
      <w:bookmarkEnd w:id="80"/>
    </w:p>
    <w:p w14:paraId="2E5E261B">
      <w:pPr>
        <w:pStyle w:val="3"/>
        <w:bidi w:val="0"/>
      </w:pPr>
      <w:bookmarkStart w:id="81" w:name="_Toc15329"/>
      <w:r>
        <w:rPr>
          <w:rFonts w:hint="eastAsia"/>
        </w:rPr>
        <w:t>七、一般公共预算财政拨款支出决算明细表</w:t>
      </w:r>
      <w:bookmarkEnd w:id="81"/>
    </w:p>
    <w:p w14:paraId="1A53FA9B">
      <w:pPr>
        <w:pStyle w:val="3"/>
        <w:bidi w:val="0"/>
      </w:pPr>
      <w:bookmarkStart w:id="82" w:name="_Toc15827"/>
      <w:r>
        <w:rPr>
          <w:rFonts w:hint="eastAsia"/>
        </w:rPr>
        <w:t>八、一般公共预算财政拨款基本支出决算表</w:t>
      </w:r>
      <w:bookmarkEnd w:id="82"/>
    </w:p>
    <w:p w14:paraId="26DE5883">
      <w:pPr>
        <w:pStyle w:val="3"/>
        <w:bidi w:val="0"/>
      </w:pPr>
      <w:bookmarkStart w:id="83" w:name="_Toc10107"/>
      <w:r>
        <w:rPr>
          <w:rFonts w:hint="eastAsia"/>
        </w:rPr>
        <w:t>九、一般公共预算财政拨款项目支出决算表</w:t>
      </w:r>
      <w:bookmarkEnd w:id="83"/>
    </w:p>
    <w:p w14:paraId="11AFF138">
      <w:pPr>
        <w:pStyle w:val="3"/>
        <w:bidi w:val="0"/>
      </w:pPr>
      <w:bookmarkStart w:id="84" w:name="_Toc27893"/>
      <w:r>
        <w:rPr>
          <w:rFonts w:hint="eastAsia"/>
        </w:rPr>
        <w:t>十、政府性基金预算财政拨款收入支出决算表</w:t>
      </w:r>
      <w:bookmarkEnd w:id="84"/>
    </w:p>
    <w:p w14:paraId="42E058F0">
      <w:pPr>
        <w:pStyle w:val="3"/>
        <w:bidi w:val="0"/>
      </w:pPr>
      <w:bookmarkStart w:id="85" w:name="_Toc25187"/>
      <w:r>
        <w:rPr>
          <w:rFonts w:hint="eastAsia"/>
        </w:rPr>
        <w:t>十一、国有资本经营预算财政拨款收入支出决算表</w:t>
      </w:r>
      <w:bookmarkEnd w:id="85"/>
    </w:p>
    <w:p w14:paraId="62D7FBDF">
      <w:pPr>
        <w:pStyle w:val="3"/>
        <w:bidi w:val="0"/>
      </w:pPr>
      <w:bookmarkStart w:id="86" w:name="_Toc2294"/>
      <w:r>
        <w:rPr>
          <w:rFonts w:hint="eastAsia"/>
        </w:rPr>
        <w:t>十二、国有资本经营预算财政拨款支出决算表</w:t>
      </w:r>
      <w:bookmarkEnd w:id="86"/>
    </w:p>
    <w:p w14:paraId="653838B5">
      <w:pPr>
        <w:pStyle w:val="3"/>
        <w:bidi w:val="0"/>
      </w:pPr>
      <w:bookmarkStart w:id="87" w:name="_Toc14164"/>
      <w:r>
        <w:rPr>
          <w:rFonts w:hint="eastAsia"/>
        </w:rPr>
        <w:t>十三、财政拨款“三公”经费支出决算表</w:t>
      </w:r>
      <w:bookmarkEnd w:id="8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73E945-6D3B-47FE-813B-B45049B12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A70D3F2-D6E4-4F8C-B4A7-D33DB8C31CBC}"/>
  </w:font>
  <w:font w:name="仿宋_GB2312">
    <w:panose1 w:val="02010609030101010101"/>
    <w:charset w:val="86"/>
    <w:family w:val="modern"/>
    <w:pitch w:val="default"/>
    <w:sig w:usb0="00000001" w:usb1="080E0000" w:usb2="00000000" w:usb3="00000000" w:csb0="00040000" w:csb1="00000000"/>
    <w:embedRegular r:id="rId3" w:fontKey="{A67BB9B2-4173-4D79-9D5F-A1BF021AE85F}"/>
  </w:font>
  <w:font w:name="仿宋">
    <w:panose1 w:val="02010609060101010101"/>
    <w:charset w:val="86"/>
    <w:family w:val="modern"/>
    <w:pitch w:val="default"/>
    <w:sig w:usb0="800002BF" w:usb1="38CF7CFA" w:usb2="00000016" w:usb3="00000000" w:csb0="00040001" w:csb1="00000000"/>
    <w:embedRegular r:id="rId4" w:fontKey="{B8C87E67-3C67-48DF-8442-4E26511EA1A8}"/>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5" w:fontKey="{9E91734A-9E2E-4253-B4C4-A812B42360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52FD003">
        <w:pPr>
          <w:pStyle w:val="9"/>
          <w:jc w:val="center"/>
        </w:pPr>
        <w:r>
          <w:fldChar w:fldCharType="begin"/>
        </w:r>
        <w:r>
          <w:instrText xml:space="preserve">PAGE   \* MERGEFORMAT</w:instrText>
        </w:r>
        <w:r>
          <w:fldChar w:fldCharType="separate"/>
        </w:r>
        <w:r>
          <w:rPr>
            <w:lang w:val="zh-CN"/>
          </w:rPr>
          <w:t>23</w:t>
        </w:r>
        <w:r>
          <w:fldChar w:fldCharType="end"/>
        </w:r>
      </w:p>
    </w:sdtContent>
  </w:sdt>
  <w:p w14:paraId="48D51E6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DC9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EC1A356"/>
    <w:multiLevelType w:val="singleLevel"/>
    <w:tmpl w:val="EEC1A356"/>
    <w:lvl w:ilvl="0" w:tentative="0">
      <w:start w:val="1"/>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9B3446"/>
    <w:rsid w:val="07DFD8BA"/>
    <w:rsid w:val="08AB4D78"/>
    <w:rsid w:val="0A2032A3"/>
    <w:rsid w:val="0A6864D5"/>
    <w:rsid w:val="0D35B1ED"/>
    <w:rsid w:val="0E7ED1F5"/>
    <w:rsid w:val="0F98263C"/>
    <w:rsid w:val="101860EC"/>
    <w:rsid w:val="10C055FF"/>
    <w:rsid w:val="118107EC"/>
    <w:rsid w:val="13631AFD"/>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1D10F13"/>
    <w:rsid w:val="2333840E"/>
    <w:rsid w:val="23860B96"/>
    <w:rsid w:val="240371BF"/>
    <w:rsid w:val="257C638F"/>
    <w:rsid w:val="29E77A4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3694A67"/>
    <w:rsid w:val="44CA1BB9"/>
    <w:rsid w:val="44E268DA"/>
    <w:rsid w:val="457F4F6B"/>
    <w:rsid w:val="470D7E35"/>
    <w:rsid w:val="4737FB58"/>
    <w:rsid w:val="47ECCB02"/>
    <w:rsid w:val="47FA6A3F"/>
    <w:rsid w:val="49D7AE48"/>
    <w:rsid w:val="4A3F6C7E"/>
    <w:rsid w:val="4A627F82"/>
    <w:rsid w:val="4B0E749A"/>
    <w:rsid w:val="4B4F25DA"/>
    <w:rsid w:val="4BBB4781"/>
    <w:rsid w:val="4BD709A5"/>
    <w:rsid w:val="4BDD9BFF"/>
    <w:rsid w:val="4BE068DB"/>
    <w:rsid w:val="4C79597A"/>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DD64A3"/>
    <w:rsid w:val="67EE7F84"/>
    <w:rsid w:val="686F5F53"/>
    <w:rsid w:val="6AFFCEAF"/>
    <w:rsid w:val="6B96E9E6"/>
    <w:rsid w:val="6BCE57B5"/>
    <w:rsid w:val="6BFEA4DB"/>
    <w:rsid w:val="6BFFB662"/>
    <w:rsid w:val="6C4A05C8"/>
    <w:rsid w:val="6CFF4FB8"/>
    <w:rsid w:val="6D6BD6E0"/>
    <w:rsid w:val="6D77E73C"/>
    <w:rsid w:val="6DBF5E93"/>
    <w:rsid w:val="6DFF077E"/>
    <w:rsid w:val="6E7E12C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5459F4"/>
    <w:rsid w:val="75DEEEC2"/>
    <w:rsid w:val="767F479D"/>
    <w:rsid w:val="76E3355F"/>
    <w:rsid w:val="76F742AF"/>
    <w:rsid w:val="76F7BE7D"/>
    <w:rsid w:val="76FF5125"/>
    <w:rsid w:val="77246464"/>
    <w:rsid w:val="773570D3"/>
    <w:rsid w:val="77597F31"/>
    <w:rsid w:val="776F6FFA"/>
    <w:rsid w:val="7777A522"/>
    <w:rsid w:val="77858688"/>
    <w:rsid w:val="778769C8"/>
    <w:rsid w:val="77CB741A"/>
    <w:rsid w:val="77D7BE3A"/>
    <w:rsid w:val="77DC22F5"/>
    <w:rsid w:val="77F90656"/>
    <w:rsid w:val="794D45B1"/>
    <w:rsid w:val="797E3A6C"/>
    <w:rsid w:val="79931020"/>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7">
    <w:name w:val="26"/>
    <w:basedOn w:val="17"/>
    <w:qFormat/>
    <w:uiPriority w:val="0"/>
    <w:rPr>
      <w:rFonts w:hint="default" w:ascii="Times New Roman" w:hAnsi="Times New Roman" w:cs="Times New Roman"/>
      <w:b/>
    </w:rPr>
  </w:style>
  <w:style w:type="paragraph" w:customStyle="1" w:styleId="38">
    <w:name w:val="文档正文"/>
    <w:basedOn w:val="1"/>
    <w:qFormat/>
    <w:uiPriority w:val="0"/>
    <w:pPr>
      <w:widowControl w:val="0"/>
      <w:adjustRightInd w:val="0"/>
      <w:spacing w:line="480" w:lineRule="atLeast"/>
      <w:jc w:val="both"/>
      <w:textAlignment w:val="baseline"/>
    </w:pPr>
    <w:rPr>
      <w:rFonts w:ascii="Arial" w:hAnsi="Arial" w:eastAsia="仿宋_GB2312" w:cs="Times New Roman"/>
      <w:kern w:val="0"/>
      <w:sz w:val="32"/>
      <w:szCs w:val="24"/>
      <w:lang w:val="en-US" w:eastAsia="zh-CN" w:bidi="ar-SA"/>
    </w:rPr>
  </w:style>
  <w:style w:type="paragraph" w:customStyle="1" w:styleId="39">
    <w:name w:val="正文2"/>
    <w:basedOn w:val="1"/>
    <w:next w:val="1"/>
    <w:qFormat/>
    <w:uiPriority w:val="0"/>
    <w:rPr>
      <w:rFonts w:ascii="Calibri" w:hAnsi="Calibri"/>
      <w:szCs w:val="22"/>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25253;&#34920;&#32534;&#21046;202501171221557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决算收支年度对比表</a:t>
            </a:r>
          </a:p>
        </c:rich>
      </c:tx>
      <c:layout/>
      <c:overlay val="0"/>
      <c:spPr>
        <a:noFill/>
        <a:ln>
          <a:noFill/>
        </a:ln>
        <a:effectLst/>
      </c:spPr>
    </c:title>
    <c:autoTitleDeleted val="0"/>
    <c:plotArea>
      <c:layout>
        <c:manualLayout>
          <c:layoutTarget val="inner"/>
          <c:xMode val="edge"/>
          <c:yMode val="edge"/>
          <c:x val="0.0958684210526313"/>
          <c:y val="0.229629629629629"/>
          <c:w val="0.900184210526316"/>
          <c:h val="0.60634259259259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[报表编制20250117122155795.xlsx]Sheet1!$B$2</c:f>
              <c:numCache>
                <c:formatCode>General</c:formatCode>
                <c:ptCount val="1"/>
                <c:pt idx="0">
                  <c:v>163.03</c:v>
                </c:pt>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[报表编制20250117122155795.xlsx]Sheet1!$B$3</c:f>
              <c:numCache>
                <c:formatCode>General</c:formatCode>
                <c:ptCount val="1"/>
                <c:pt idx="0">
                  <c:v>138.58</c:v>
                </c:pt>
              </c:numCache>
            </c:numRef>
          </c:val>
        </c:ser>
        <c:dLbls>
          <c:showLegendKey val="0"/>
          <c:showVal val="1"/>
          <c:showCatName val="0"/>
          <c:showSerName val="0"/>
          <c:showPercent val="0"/>
          <c:showBubbleSize val="0"/>
        </c:dLbls>
        <c:gapWidth val="246"/>
        <c:overlap val="-28"/>
        <c:axId val="246599919"/>
        <c:axId val="885490675"/>
      </c:barChart>
      <c:catAx>
        <c:axId val="24659991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490675"/>
        <c:crosses val="autoZero"/>
        <c:auto val="1"/>
        <c:lblAlgn val="ctr"/>
        <c:lblOffset val="100"/>
        <c:noMultiLvlLbl val="0"/>
      </c:catAx>
      <c:valAx>
        <c:axId val="8854906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599919"/>
        <c:crosses val="autoZero"/>
        <c:crossBetween val="between"/>
      </c:valAx>
      <c:spPr>
        <a:noFill/>
        <a:ln>
          <a:noFill/>
        </a:ln>
        <a:effectLst/>
      </c:spPr>
    </c:plotArea>
    <c:plotVisOnly val="1"/>
    <c:dispBlanksAs val="gap"/>
    <c:showDLblsOverMax val="0"/>
    <c:extLst>
      <c:ext uri="{0b15fc19-7d7d-44ad-8c2d-2c3a37ce22c3}">
        <chartProps xmlns="https://web.wps.cn/et/2018/main" chartId="{7ea9bd5e-2236-4a9f-89d4-64ee03779d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 </a:t>
                    </a:r>
                    <a:r>
                      <a:rPr lang="en-US" altLang="zh-CN"/>
                      <a:t>138.58</a:t>
                    </a:r>
                    <a:r>
                      <a:t>万元, 100%</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147.22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1cbf58-963e-42b5-8467-60ad53fdf4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a:t>
            </a:r>
            <a:r>
              <a:rPr lang="en-US" altLang="zh-CN"/>
              <a:t>4</a:t>
            </a:r>
            <a:r>
              <a:t>年度本年支出</a:t>
            </a:r>
          </a:p>
        </c:rich>
      </c:tx>
      <c:layout/>
      <c:overlay val="0"/>
      <c:spPr>
        <a:noFill/>
        <a:ln>
          <a:noFill/>
        </a:ln>
        <a:effectLst/>
      </c:spPr>
    </c:title>
    <c:autoTitleDeleted val="0"/>
    <c:plotArea>
      <c:layout>
        <c:manualLayout>
          <c:layoutTarget val="inner"/>
          <c:xMode val="edge"/>
          <c:yMode val="edge"/>
          <c:x val="0.204820004832085"/>
          <c:y val="0.158946026349341"/>
          <c:w val="0.449504711282919"/>
          <c:h val="0.790692732681683"/>
        </c:manualLayout>
      </c:layout>
      <c:pieChart>
        <c:varyColors val="1"/>
        <c:ser>
          <c:idx val="0"/>
          <c:order val="0"/>
          <c:tx>
            <c:strRef>
              <c:f>Sheet1!$B$1</c:f>
              <c:strCache>
                <c:ptCount val="1"/>
                <c:pt idx="0">
                  <c:v>2023年度本年支出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89.93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10.07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128.96</c:v>
                </c:pt>
                <c:pt idx="1">
                  <c:v>34.08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9e0602-b50f-48a6-b2d5-4ef834785a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4327</Words>
  <Characters>4774</Characters>
  <Lines>1</Lines>
  <Paragraphs>1</Paragraphs>
  <TotalTime>6</TotalTime>
  <ScaleCrop>false</ScaleCrop>
  <LinksUpToDate>false</LinksUpToDate>
  <CharactersWithSpaces>4885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奕夕^_^</cp:lastModifiedBy>
  <cp:lastPrinted>2023-08-03T10:35:00Z</cp:lastPrinted>
  <dcterms:modified xsi:type="dcterms:W3CDTF">2025-10-14T07:27:03Z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F611D7C62551402A81E82026160C9BAF_12</vt:lpwstr>
  </property>
  <property fmtid="{D5CDD505-2E9C-101B-9397-08002B2CF9AE}" pid="4" name="KSOTemplateDocerSaveRecord">
    <vt:lpwstr>eyJoZGlkIjoiNTU1MWNhN2ZmY2ZhZmY3ODhlYTg0MWU5OGMyY2QwZmUiLCJ1c2VySWQiOiI0MzQ2NTM0NzEifQ==</vt:lpwstr>
  </property>
</Properties>
</file>