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7E2A">
      <w:pPr>
        <w:spacing w:line="600" w:lineRule="exact"/>
        <w:jc w:val="left"/>
        <w:outlineLvl w:val="9"/>
        <w:rPr>
          <w:rFonts w:ascii="方正小标宋简体" w:hAnsi="宋体" w:eastAsia="方正小标宋简体"/>
          <w:szCs w:val="21"/>
        </w:rPr>
      </w:pPr>
      <w:bookmarkStart w:id="0" w:name="_Toc15306267"/>
    </w:p>
    <w:p w14:paraId="13D752C7">
      <w:pPr>
        <w:pStyle w:val="6"/>
        <w:spacing w:before="93"/>
      </w:pPr>
    </w:p>
    <w:p w14:paraId="148515F7">
      <w:pPr>
        <w:spacing w:line="600" w:lineRule="exact"/>
        <w:jc w:val="center"/>
        <w:outlineLvl w:val="9"/>
        <w:rPr>
          <w:rFonts w:ascii="方正小标宋简体" w:hAnsi="宋体" w:eastAsia="方正小标宋简体"/>
          <w:sz w:val="72"/>
          <w:szCs w:val="72"/>
        </w:rPr>
      </w:pPr>
    </w:p>
    <w:p w14:paraId="31DCE79E">
      <w:pPr>
        <w:spacing w:line="600" w:lineRule="exact"/>
        <w:jc w:val="center"/>
        <w:outlineLvl w:val="9"/>
        <w:rPr>
          <w:rFonts w:ascii="方正小标宋简体" w:hAnsi="宋体" w:eastAsia="方正小标宋简体"/>
          <w:sz w:val="72"/>
          <w:szCs w:val="72"/>
        </w:rPr>
      </w:pPr>
    </w:p>
    <w:p w14:paraId="3BF0F88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6734"/>
      <w:bookmarkStart w:id="3" w:name="_Toc15378441"/>
      <w:bookmarkStart w:id="4" w:name="_Toc12516"/>
      <w:bookmarkStart w:id="5" w:name="_Toc15377193"/>
      <w:bookmarkStart w:id="6" w:name="_Toc29753"/>
      <w:bookmarkStart w:id="7" w:name="_Toc15377425"/>
      <w:bookmarkStart w:id="8"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bookmarkEnd w:id="8"/>
    </w:p>
    <w:p w14:paraId="3C1C49B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9" w:name="_Toc15396598"/>
      <w:bookmarkStart w:id="10" w:name="_Toc13358"/>
      <w:bookmarkStart w:id="11" w:name="_Toc15378442"/>
      <w:bookmarkStart w:id="12" w:name="_Toc15377194"/>
      <w:bookmarkStart w:id="13" w:name="_Toc15377426"/>
      <w:bookmarkStart w:id="14" w:name="_Toc23090"/>
      <w:bookmarkStart w:id="15" w:name="_Toc12614"/>
      <w:bookmarkStart w:id="16" w:name="_Toc15396476"/>
      <w:r>
        <w:rPr>
          <w:rFonts w:hint="eastAsia" w:ascii="方正小标宋简体" w:hAnsi="方正小标宋简体" w:eastAsia="方正小标宋简体" w:cs="方正小标宋简体"/>
          <w:sz w:val="72"/>
          <w:szCs w:val="72"/>
        </w:rPr>
        <w:t>四川省</w:t>
      </w:r>
      <w:bookmarkEnd w:id="0"/>
      <w:bookmarkStart w:id="17" w:name="_Toc15306268"/>
      <w:r>
        <w:rPr>
          <w:rFonts w:hint="eastAsia" w:ascii="方正小标宋简体" w:hAnsi="方正小标宋简体" w:eastAsia="方正小标宋简体" w:cs="方正小标宋简体"/>
          <w:sz w:val="72"/>
          <w:szCs w:val="72"/>
          <w:lang w:eastAsia="zh-CN"/>
        </w:rPr>
        <w:t>阿坝州松潘县供销合作社联合社</w:t>
      </w:r>
      <w:r>
        <w:rPr>
          <w:rFonts w:hint="eastAsia" w:ascii="方正小标宋简体" w:hAnsi="方正小标宋简体" w:eastAsia="方正小标宋简体" w:cs="方正小标宋简体"/>
          <w:sz w:val="72"/>
          <w:szCs w:val="72"/>
        </w:rPr>
        <w:t>单位决算</w:t>
      </w:r>
      <w:bookmarkEnd w:id="9"/>
      <w:bookmarkEnd w:id="10"/>
      <w:bookmarkEnd w:id="11"/>
      <w:bookmarkEnd w:id="12"/>
      <w:bookmarkEnd w:id="13"/>
      <w:bookmarkEnd w:id="14"/>
      <w:bookmarkEnd w:id="15"/>
      <w:bookmarkEnd w:id="16"/>
      <w:bookmarkEnd w:id="17"/>
    </w:p>
    <w:p w14:paraId="31A6733D">
      <w:pPr>
        <w:widowControl/>
        <w:jc w:val="center"/>
        <w:rPr>
          <w:rFonts w:ascii="黑体" w:hAnsi="黑体" w:eastAsia="黑体" w:cstheme="minorBidi"/>
          <w:sz w:val="28"/>
          <w:szCs w:val="28"/>
        </w:rPr>
      </w:pPr>
      <w:r>
        <w:rPr>
          <w:rFonts w:ascii="方正小标宋简体" w:hAnsi="宋体" w:eastAsia="方正小标宋简体"/>
          <w:sz w:val="36"/>
          <w:szCs w:val="36"/>
        </w:rPr>
        <w:br w:type="page"/>
      </w:r>
    </w:p>
    <w:p w14:paraId="58CE59EF"/>
    <w:sdt>
      <w:sdtPr>
        <w:rPr>
          <w:rFonts w:ascii="宋体" w:hAnsi="宋体" w:eastAsia="宋体" w:cs="Times New Roman"/>
          <w:kern w:val="2"/>
          <w:sz w:val="21"/>
          <w:szCs w:val="24"/>
          <w:lang w:val="en-US" w:eastAsia="zh-CN" w:bidi="ar-SA"/>
        </w:rPr>
        <w:id w:val="147465310"/>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189C8117">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sz w:val="52"/>
              <w:szCs w:val="52"/>
            </w:rPr>
            <w:t>目录</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TOC \o "1-2" \h \u </w:instrText>
          </w:r>
          <w:r>
            <w:rPr>
              <w:rFonts w:ascii="Times New Roman" w:hAnsi="Times New Roman" w:eastAsia="宋体" w:cs="Times New Roman"/>
              <w:kern w:val="2"/>
              <w:sz w:val="21"/>
              <w:szCs w:val="24"/>
              <w:lang w:val="en-US" w:eastAsia="zh-CN" w:bidi="ar-SA"/>
            </w:rPr>
            <w:fldChar w:fldCharType="separate"/>
          </w:r>
        </w:p>
        <w:p w14:paraId="3D8C2EBC">
          <w:pPr>
            <w:pStyle w:val="12"/>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_Toc24098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_Toc24098 \h </w:instrText>
          </w:r>
          <w:r>
            <w:fldChar w:fldCharType="separate"/>
          </w:r>
          <w:r>
            <w:t>3</w:t>
          </w:r>
          <w:r>
            <w:fldChar w:fldCharType="end"/>
          </w:r>
          <w:r>
            <w:rPr>
              <w:rFonts w:ascii="Times New Roman" w:hAnsi="Times New Roman" w:eastAsia="宋体" w:cs="Times New Roman"/>
              <w:kern w:val="2"/>
              <w:szCs w:val="24"/>
              <w:lang w:val="en-US" w:eastAsia="zh-CN" w:bidi="ar-SA"/>
            </w:rPr>
            <w:fldChar w:fldCharType="end"/>
          </w:r>
        </w:p>
        <w:p w14:paraId="3C7C6028">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_Toc4094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bCs w:val="0"/>
            </w:rPr>
            <w:t>一、 主要职责</w:t>
          </w:r>
          <w:r>
            <w:tab/>
          </w:r>
          <w:r>
            <w:fldChar w:fldCharType="begin"/>
          </w:r>
          <w:r>
            <w:instrText xml:space="preserve"> PAGEREF _Toc4094 \h </w:instrText>
          </w:r>
          <w:r>
            <w:fldChar w:fldCharType="separate"/>
          </w:r>
          <w:r>
            <w:t>3</w:t>
          </w:r>
          <w:r>
            <w:fldChar w:fldCharType="end"/>
          </w:r>
          <w:r>
            <w:rPr>
              <w:rFonts w:ascii="Times New Roman" w:hAnsi="Times New Roman" w:eastAsia="宋体" w:cs="Times New Roman"/>
              <w:kern w:val="2"/>
              <w:szCs w:val="24"/>
              <w:lang w:val="en-US" w:eastAsia="zh-CN" w:bidi="ar-SA"/>
            </w:rPr>
            <w:fldChar w:fldCharType="end"/>
          </w:r>
        </w:p>
        <w:p w14:paraId="62EF27F4">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_Toc26612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二、机构设置</w:t>
          </w:r>
          <w:r>
            <w:tab/>
          </w:r>
          <w:r>
            <w:fldChar w:fldCharType="begin"/>
          </w:r>
          <w:r>
            <w:instrText xml:space="preserve"> PAGEREF _Toc26612 \h </w:instrText>
          </w:r>
          <w:r>
            <w:fldChar w:fldCharType="separate"/>
          </w:r>
          <w:r>
            <w:t>4</w:t>
          </w:r>
          <w:r>
            <w:fldChar w:fldCharType="end"/>
          </w:r>
          <w:r>
            <w:rPr>
              <w:rFonts w:ascii="Times New Roman" w:hAnsi="Times New Roman" w:eastAsia="宋体" w:cs="Times New Roman"/>
              <w:kern w:val="2"/>
              <w:szCs w:val="24"/>
              <w:lang w:val="en-US" w:eastAsia="zh-CN" w:bidi="ar-SA"/>
            </w:rPr>
            <w:fldChar w:fldCharType="end"/>
          </w:r>
        </w:p>
        <w:p w14:paraId="401087C1">
          <w:pPr>
            <w:pStyle w:val="12"/>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_Toc24933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_Toc24933 \h </w:instrText>
          </w:r>
          <w:r>
            <w:fldChar w:fldCharType="separate"/>
          </w:r>
          <w:r>
            <w:t>6</w:t>
          </w:r>
          <w:r>
            <w:fldChar w:fldCharType="end"/>
          </w:r>
          <w:r>
            <w:rPr>
              <w:rFonts w:ascii="Times New Roman" w:hAnsi="Times New Roman" w:eastAsia="宋体" w:cs="Times New Roman"/>
              <w:kern w:val="2"/>
              <w:szCs w:val="24"/>
              <w:lang w:val="en-US" w:eastAsia="zh-CN" w:bidi="ar-SA"/>
            </w:rPr>
            <w:fldChar w:fldCharType="end"/>
          </w:r>
        </w:p>
        <w:p w14:paraId="0F1DD739">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_Toc21320 </w:instrText>
          </w:r>
          <w:r>
            <w:rPr>
              <w:rFonts w:ascii="Times New Roman" w:hAnsi="Times New Roman" w:eastAsia="宋体" w:cs="Times New Roman"/>
              <w:kern w:val="2"/>
              <w:szCs w:val="24"/>
              <w:lang w:val="en-US" w:eastAsia="zh-CN" w:bidi="ar-SA"/>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_Toc21320 \h </w:instrText>
          </w:r>
          <w:r>
            <w:fldChar w:fldCharType="separate"/>
          </w:r>
          <w:r>
            <w:t>6</w:t>
          </w:r>
          <w:r>
            <w:fldChar w:fldCharType="end"/>
          </w:r>
          <w:r>
            <w:rPr>
              <w:rFonts w:ascii="Times New Roman" w:hAnsi="Times New Roman" w:eastAsia="宋体" w:cs="Times New Roman"/>
              <w:kern w:val="2"/>
              <w:szCs w:val="24"/>
              <w:lang w:val="en-US" w:eastAsia="zh-CN" w:bidi="ar-SA"/>
            </w:rPr>
            <w:fldChar w:fldCharType="end"/>
          </w:r>
        </w:p>
        <w:p w14:paraId="3DC7C4D7">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_Toc31849 </w:instrText>
          </w:r>
          <w:r>
            <w:rPr>
              <w:rFonts w:ascii="Times New Roman" w:hAnsi="Times New Roman" w:eastAsia="宋体" w:cs="Times New Roman"/>
              <w:kern w:val="2"/>
              <w:szCs w:val="24"/>
              <w:lang w:val="en-US" w:eastAsia="zh-CN" w:bidi="ar-SA"/>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_Toc31849 \h </w:instrText>
          </w:r>
          <w:r>
            <w:fldChar w:fldCharType="separate"/>
          </w:r>
          <w:r>
            <w:t>6</w:t>
          </w:r>
          <w:r>
            <w:fldChar w:fldCharType="end"/>
          </w:r>
          <w:r>
            <w:rPr>
              <w:rFonts w:ascii="Times New Roman" w:hAnsi="Times New Roman" w:eastAsia="宋体" w:cs="Times New Roman"/>
              <w:kern w:val="2"/>
              <w:szCs w:val="24"/>
              <w:lang w:val="en-US" w:eastAsia="zh-CN" w:bidi="ar-SA"/>
            </w:rPr>
            <w:fldChar w:fldCharType="end"/>
          </w:r>
        </w:p>
        <w:p w14:paraId="1F4FB152">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_Toc30812 </w:instrText>
          </w:r>
          <w:r>
            <w:rPr>
              <w:rFonts w:ascii="Times New Roman" w:hAnsi="Times New Roman" w:eastAsia="宋体" w:cs="Times New Roman"/>
              <w:kern w:val="2"/>
              <w:szCs w:val="24"/>
              <w:lang w:val="en-US" w:eastAsia="zh-CN" w:bidi="ar-SA"/>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_Toc30812 \h </w:instrText>
          </w:r>
          <w:r>
            <w:fldChar w:fldCharType="separate"/>
          </w:r>
          <w:r>
            <w:t>7</w:t>
          </w:r>
          <w:r>
            <w:fldChar w:fldCharType="end"/>
          </w:r>
          <w:r>
            <w:rPr>
              <w:rFonts w:ascii="Times New Roman" w:hAnsi="Times New Roman" w:eastAsia="宋体" w:cs="Times New Roman"/>
              <w:kern w:val="2"/>
              <w:szCs w:val="24"/>
              <w:lang w:val="en-US" w:eastAsia="zh-CN" w:bidi="ar-SA"/>
            </w:rPr>
            <w:fldChar w:fldCharType="end"/>
          </w:r>
        </w:p>
        <w:p w14:paraId="27FACDC6">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_Toc885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_Toc885 \h </w:instrText>
          </w:r>
          <w:r>
            <w:fldChar w:fldCharType="separate"/>
          </w:r>
          <w:r>
            <w:t>7</w:t>
          </w:r>
          <w:r>
            <w:fldChar w:fldCharType="end"/>
          </w:r>
          <w:r>
            <w:rPr>
              <w:rFonts w:ascii="Times New Roman" w:hAnsi="Times New Roman" w:eastAsia="宋体" w:cs="Times New Roman"/>
              <w:kern w:val="2"/>
              <w:szCs w:val="24"/>
              <w:lang w:val="en-US" w:eastAsia="zh-CN" w:bidi="ar-SA"/>
            </w:rPr>
            <w:fldChar w:fldCharType="end"/>
          </w:r>
        </w:p>
        <w:p w14:paraId="4626D8B5">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_Toc30338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_Toc30338 \h </w:instrText>
          </w:r>
          <w:r>
            <w:fldChar w:fldCharType="separate"/>
          </w:r>
          <w:r>
            <w:t>8</w:t>
          </w:r>
          <w:r>
            <w:fldChar w:fldCharType="end"/>
          </w:r>
          <w:r>
            <w:rPr>
              <w:rFonts w:ascii="Times New Roman" w:hAnsi="Times New Roman" w:eastAsia="宋体" w:cs="Times New Roman"/>
              <w:kern w:val="2"/>
              <w:szCs w:val="24"/>
              <w:lang w:val="en-US" w:eastAsia="zh-CN" w:bidi="ar-SA"/>
            </w:rPr>
            <w:fldChar w:fldCharType="end"/>
          </w:r>
        </w:p>
        <w:p w14:paraId="0F84EA85">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_Toc27842 </w:instrText>
          </w:r>
          <w:r>
            <w:rPr>
              <w:rFonts w:ascii="Times New Roman" w:hAnsi="Times New Roman" w:eastAsia="宋体" w:cs="Times New Roman"/>
              <w:kern w:val="2"/>
              <w:szCs w:val="24"/>
              <w:lang w:val="en-US" w:eastAsia="zh-CN" w:bidi="ar-SA"/>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_Toc27842 \h </w:instrText>
          </w:r>
          <w:r>
            <w:fldChar w:fldCharType="separate"/>
          </w:r>
          <w:r>
            <w:t>9</w:t>
          </w:r>
          <w:r>
            <w:fldChar w:fldCharType="end"/>
          </w:r>
          <w:r>
            <w:rPr>
              <w:rFonts w:ascii="Times New Roman" w:hAnsi="Times New Roman" w:eastAsia="宋体" w:cs="Times New Roman"/>
              <w:kern w:val="2"/>
              <w:szCs w:val="24"/>
              <w:lang w:val="en-US" w:eastAsia="zh-CN" w:bidi="ar-SA"/>
            </w:rPr>
            <w:fldChar w:fldCharType="end"/>
          </w:r>
        </w:p>
        <w:p w14:paraId="7A90E3EB">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_Toc13949 </w:instrText>
          </w:r>
          <w:r>
            <w:rPr>
              <w:rFonts w:ascii="Times New Roman" w:hAnsi="Times New Roman" w:eastAsia="宋体" w:cs="Times New Roman"/>
              <w:kern w:val="2"/>
              <w:szCs w:val="24"/>
              <w:lang w:val="en-US" w:eastAsia="zh-CN" w:bidi="ar-SA"/>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_Toc13949 \h </w:instrText>
          </w:r>
          <w:r>
            <w:fldChar w:fldCharType="separate"/>
          </w:r>
          <w:r>
            <w:t>9</w:t>
          </w:r>
          <w:r>
            <w:fldChar w:fldCharType="end"/>
          </w:r>
          <w:r>
            <w:rPr>
              <w:rFonts w:ascii="Times New Roman" w:hAnsi="Times New Roman" w:eastAsia="宋体" w:cs="Times New Roman"/>
              <w:kern w:val="2"/>
              <w:szCs w:val="24"/>
              <w:lang w:val="en-US" w:eastAsia="zh-CN" w:bidi="ar-SA"/>
            </w:rPr>
            <w:fldChar w:fldCharType="end"/>
          </w:r>
        </w:p>
        <w:p w14:paraId="2602CAC1">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_Toc17354 </w:instrText>
          </w:r>
          <w:r>
            <w:rPr>
              <w:rFonts w:ascii="Times New Roman" w:hAnsi="Times New Roman" w:eastAsia="宋体" w:cs="Times New Roman"/>
              <w:kern w:val="2"/>
              <w:szCs w:val="24"/>
              <w:lang w:val="en-US" w:eastAsia="zh-CN" w:bidi="ar-SA"/>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_Toc17354 \h </w:instrText>
          </w:r>
          <w:r>
            <w:fldChar w:fldCharType="separate"/>
          </w:r>
          <w:r>
            <w:t>10</w:t>
          </w:r>
          <w:r>
            <w:fldChar w:fldCharType="end"/>
          </w:r>
          <w:r>
            <w:rPr>
              <w:rFonts w:ascii="Times New Roman" w:hAnsi="Times New Roman" w:eastAsia="宋体" w:cs="Times New Roman"/>
              <w:kern w:val="2"/>
              <w:szCs w:val="24"/>
              <w:lang w:val="en-US" w:eastAsia="zh-CN" w:bidi="ar-SA"/>
            </w:rPr>
            <w:fldChar w:fldCharType="end"/>
          </w:r>
        </w:p>
        <w:p w14:paraId="46EC539A">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_Toc19608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九、 国有资本经营预算支出决算情况说明</w:t>
          </w:r>
          <w:r>
            <w:tab/>
          </w:r>
          <w:r>
            <w:fldChar w:fldCharType="begin"/>
          </w:r>
          <w:r>
            <w:instrText xml:space="preserve"> PAGEREF _Toc19608 \h </w:instrText>
          </w:r>
          <w:r>
            <w:fldChar w:fldCharType="separate"/>
          </w:r>
          <w:r>
            <w:t>10</w:t>
          </w:r>
          <w:r>
            <w:fldChar w:fldCharType="end"/>
          </w:r>
          <w:r>
            <w:rPr>
              <w:rFonts w:ascii="Times New Roman" w:hAnsi="Times New Roman" w:eastAsia="宋体" w:cs="Times New Roman"/>
              <w:kern w:val="2"/>
              <w:szCs w:val="24"/>
              <w:lang w:val="en-US" w:eastAsia="zh-CN" w:bidi="ar-SA"/>
            </w:rPr>
            <w:fldChar w:fldCharType="end"/>
          </w:r>
        </w:p>
        <w:p w14:paraId="4FB24D2C">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_Toc3967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十、 其他重要事项的情况说明</w:t>
          </w:r>
          <w:r>
            <w:tab/>
          </w:r>
          <w:r>
            <w:fldChar w:fldCharType="begin"/>
          </w:r>
          <w:r>
            <w:instrText xml:space="preserve"> PAGEREF _Toc3967 \h </w:instrText>
          </w:r>
          <w:r>
            <w:fldChar w:fldCharType="separate"/>
          </w:r>
          <w:r>
            <w:t>10</w:t>
          </w:r>
          <w:r>
            <w:fldChar w:fldCharType="end"/>
          </w:r>
          <w:r>
            <w:rPr>
              <w:rFonts w:ascii="Times New Roman" w:hAnsi="Times New Roman" w:eastAsia="宋体" w:cs="Times New Roman"/>
              <w:kern w:val="2"/>
              <w:szCs w:val="24"/>
              <w:lang w:val="en-US" w:eastAsia="zh-CN" w:bidi="ar-SA"/>
            </w:rPr>
            <w:fldChar w:fldCharType="end"/>
          </w:r>
        </w:p>
        <w:p w14:paraId="7E5CB944">
          <w:pPr>
            <w:pStyle w:val="12"/>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_Toc8328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第三部分 名词解释</w:t>
          </w:r>
          <w:r>
            <w:tab/>
          </w:r>
          <w:r>
            <w:fldChar w:fldCharType="begin"/>
          </w:r>
          <w:r>
            <w:instrText xml:space="preserve"> PAGEREF _Toc8328 \h </w:instrText>
          </w:r>
          <w:r>
            <w:fldChar w:fldCharType="separate"/>
          </w:r>
          <w:r>
            <w:t>12</w:t>
          </w:r>
          <w:r>
            <w:fldChar w:fldCharType="end"/>
          </w:r>
          <w:r>
            <w:rPr>
              <w:rFonts w:ascii="Times New Roman" w:hAnsi="Times New Roman" w:eastAsia="宋体" w:cs="Times New Roman"/>
              <w:kern w:val="2"/>
              <w:szCs w:val="24"/>
              <w:lang w:val="en-US" w:eastAsia="zh-CN" w:bidi="ar-SA"/>
            </w:rPr>
            <w:fldChar w:fldCharType="end"/>
          </w:r>
        </w:p>
        <w:p w14:paraId="2F0F7547">
          <w:pPr>
            <w:pStyle w:val="12"/>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_Toc19235 </w:instrText>
          </w:r>
          <w:r>
            <w:rPr>
              <w:rFonts w:ascii="Times New Roman" w:hAnsi="Times New Roman" w:eastAsia="宋体" w:cs="Times New Roman"/>
              <w:kern w:val="2"/>
              <w:szCs w:val="24"/>
              <w:lang w:val="en-US" w:eastAsia="zh-CN" w:bidi="ar-SA"/>
            </w:rPr>
            <w:fldChar w:fldCharType="separate"/>
          </w:r>
          <w:r>
            <w:rPr>
              <w:rFonts w:hint="eastAsia" w:ascii="黑体" w:hAnsi="黑体" w:eastAsia="黑体"/>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_Toc19235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144CBE90">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_Toc12640 </w:instrText>
          </w:r>
          <w:r>
            <w:rPr>
              <w:rFonts w:ascii="Times New Roman" w:hAnsi="Times New Roman" w:eastAsia="宋体" w:cs="Times New Roman"/>
              <w:kern w:val="2"/>
              <w:szCs w:val="24"/>
              <w:lang w:val="en-US" w:eastAsia="zh-CN" w:bidi="ar-SA"/>
            </w:rPr>
            <w:fldChar w:fldCharType="separate"/>
          </w:r>
          <w:r>
            <w:rPr>
              <w:rFonts w:hint="eastAsia"/>
            </w:rPr>
            <w:t>一、收入支出决算总表</w:t>
          </w:r>
          <w:r>
            <w:tab/>
          </w:r>
          <w:r>
            <w:fldChar w:fldCharType="begin"/>
          </w:r>
          <w:r>
            <w:instrText xml:space="preserve"> PAGEREF _Toc12640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35DE1625">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_Toc3824 </w:instrText>
          </w:r>
          <w:r>
            <w:rPr>
              <w:rFonts w:ascii="Times New Roman" w:hAnsi="Times New Roman" w:eastAsia="宋体" w:cs="Times New Roman"/>
              <w:kern w:val="2"/>
              <w:szCs w:val="24"/>
              <w:lang w:val="en-US" w:eastAsia="zh-CN" w:bidi="ar-SA"/>
            </w:rPr>
            <w:fldChar w:fldCharType="separate"/>
          </w:r>
          <w:r>
            <w:rPr>
              <w:rFonts w:hint="eastAsia"/>
            </w:rPr>
            <w:t>二、收入决算表</w:t>
          </w:r>
          <w:r>
            <w:tab/>
          </w:r>
          <w:r>
            <w:fldChar w:fldCharType="begin"/>
          </w:r>
          <w:r>
            <w:instrText xml:space="preserve"> PAGEREF _Toc3824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4EF9991D">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_Toc15899 </w:instrText>
          </w:r>
          <w:r>
            <w:rPr>
              <w:rFonts w:ascii="Times New Roman" w:hAnsi="Times New Roman" w:eastAsia="宋体" w:cs="Times New Roman"/>
              <w:kern w:val="2"/>
              <w:szCs w:val="24"/>
              <w:lang w:val="en-US" w:eastAsia="zh-CN" w:bidi="ar-SA"/>
            </w:rPr>
            <w:fldChar w:fldCharType="separate"/>
          </w:r>
          <w:r>
            <w:rPr>
              <w:rFonts w:hint="eastAsia"/>
            </w:rPr>
            <w:t>三、支出决算表</w:t>
          </w:r>
          <w:r>
            <w:tab/>
          </w:r>
          <w:r>
            <w:fldChar w:fldCharType="begin"/>
          </w:r>
          <w:r>
            <w:instrText xml:space="preserve"> PAGEREF _Toc15899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489438F5">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_Toc12019 </w:instrText>
          </w:r>
          <w:r>
            <w:rPr>
              <w:rFonts w:ascii="Times New Roman" w:hAnsi="Times New Roman" w:eastAsia="宋体" w:cs="Times New Roman"/>
              <w:kern w:val="2"/>
              <w:szCs w:val="24"/>
              <w:lang w:val="en-US" w:eastAsia="zh-CN" w:bidi="ar-SA"/>
            </w:rPr>
            <w:fldChar w:fldCharType="separate"/>
          </w:r>
          <w:r>
            <w:rPr>
              <w:rFonts w:hint="eastAsia"/>
            </w:rPr>
            <w:t>四、财政拨款收入支出决算总表</w:t>
          </w:r>
          <w:r>
            <w:tab/>
          </w:r>
          <w:r>
            <w:fldChar w:fldCharType="begin"/>
          </w:r>
          <w:r>
            <w:instrText xml:space="preserve"> PAGEREF _Toc12019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70C81856">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_Toc8078 </w:instrText>
          </w:r>
          <w:r>
            <w:rPr>
              <w:rFonts w:ascii="Times New Roman" w:hAnsi="Times New Roman" w:eastAsia="宋体" w:cs="Times New Roman"/>
              <w:kern w:val="2"/>
              <w:szCs w:val="24"/>
              <w:lang w:val="en-US" w:eastAsia="zh-CN" w:bidi="ar-SA"/>
            </w:rPr>
            <w:fldChar w:fldCharType="separate"/>
          </w:r>
          <w:r>
            <w:rPr>
              <w:rFonts w:hint="eastAsia"/>
            </w:rPr>
            <w:t>五、财政拨款支出决算明细表</w:t>
          </w:r>
          <w:r>
            <w:tab/>
          </w:r>
          <w:r>
            <w:fldChar w:fldCharType="begin"/>
          </w:r>
          <w:r>
            <w:instrText xml:space="preserve"> PAGEREF _Toc8078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63A59EBF">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_Toc2501 </w:instrText>
          </w:r>
          <w:r>
            <w:rPr>
              <w:rFonts w:ascii="Times New Roman" w:hAnsi="Times New Roman" w:eastAsia="宋体" w:cs="Times New Roman"/>
              <w:kern w:val="2"/>
              <w:szCs w:val="24"/>
              <w:lang w:val="en-US" w:eastAsia="zh-CN" w:bidi="ar-SA"/>
            </w:rPr>
            <w:fldChar w:fldCharType="separate"/>
          </w:r>
          <w:r>
            <w:rPr>
              <w:rFonts w:hint="eastAsia"/>
            </w:rPr>
            <w:t>六、一般公共预算财政拨款支出决算表</w:t>
          </w:r>
          <w:r>
            <w:tab/>
          </w:r>
          <w:r>
            <w:fldChar w:fldCharType="begin"/>
          </w:r>
          <w:r>
            <w:instrText xml:space="preserve"> PAGEREF _Toc2501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720EBC89">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_Toc18104 </w:instrText>
          </w:r>
          <w:r>
            <w:rPr>
              <w:rFonts w:ascii="Times New Roman" w:hAnsi="Times New Roman" w:eastAsia="宋体" w:cs="Times New Roman"/>
              <w:kern w:val="2"/>
              <w:szCs w:val="24"/>
              <w:lang w:val="en-US" w:eastAsia="zh-CN" w:bidi="ar-SA"/>
            </w:rPr>
            <w:fldChar w:fldCharType="separate"/>
          </w:r>
          <w:r>
            <w:rPr>
              <w:rFonts w:hint="eastAsia"/>
            </w:rPr>
            <w:t>七、一般公共预算财政拨款支出决算明细表</w:t>
          </w:r>
          <w:r>
            <w:tab/>
          </w:r>
          <w:r>
            <w:fldChar w:fldCharType="begin"/>
          </w:r>
          <w:r>
            <w:instrText xml:space="preserve"> PAGEREF _Toc18104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075D21A7">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_Toc19975 </w:instrText>
          </w:r>
          <w:r>
            <w:rPr>
              <w:rFonts w:ascii="Times New Roman" w:hAnsi="Times New Roman" w:eastAsia="宋体" w:cs="Times New Roman"/>
              <w:kern w:val="2"/>
              <w:szCs w:val="24"/>
              <w:lang w:val="en-US" w:eastAsia="zh-CN" w:bidi="ar-SA"/>
            </w:rPr>
            <w:fldChar w:fldCharType="separate"/>
          </w:r>
          <w:r>
            <w:rPr>
              <w:rFonts w:hint="eastAsia"/>
            </w:rPr>
            <w:t>八、一般公共预算财政拨款基本支出决算表</w:t>
          </w:r>
          <w:r>
            <w:tab/>
          </w:r>
          <w:r>
            <w:fldChar w:fldCharType="begin"/>
          </w:r>
          <w:r>
            <w:instrText xml:space="preserve"> PAGEREF _Toc19975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376FC1FF">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_Toc10958 </w:instrText>
          </w:r>
          <w:r>
            <w:rPr>
              <w:rFonts w:ascii="Times New Roman" w:hAnsi="Times New Roman" w:eastAsia="宋体" w:cs="Times New Roman"/>
              <w:kern w:val="2"/>
              <w:szCs w:val="24"/>
              <w:lang w:val="en-US" w:eastAsia="zh-CN" w:bidi="ar-SA"/>
            </w:rPr>
            <w:fldChar w:fldCharType="separate"/>
          </w:r>
          <w:r>
            <w:rPr>
              <w:rFonts w:hint="eastAsia"/>
            </w:rPr>
            <w:t>九、一般公共预算财政拨款项目支出决算表</w:t>
          </w:r>
          <w:r>
            <w:tab/>
          </w:r>
          <w:r>
            <w:fldChar w:fldCharType="begin"/>
          </w:r>
          <w:r>
            <w:instrText xml:space="preserve"> PAGEREF _Toc10958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5E8956C7">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_Toc29905 </w:instrText>
          </w:r>
          <w:r>
            <w:rPr>
              <w:rFonts w:ascii="Times New Roman" w:hAnsi="Times New Roman" w:eastAsia="宋体" w:cs="Times New Roman"/>
              <w:kern w:val="2"/>
              <w:szCs w:val="24"/>
              <w:lang w:val="en-US" w:eastAsia="zh-CN" w:bidi="ar-SA"/>
            </w:rPr>
            <w:fldChar w:fldCharType="separate"/>
          </w:r>
          <w:r>
            <w:rPr>
              <w:rFonts w:hint="eastAsia"/>
            </w:rPr>
            <w:t>十、政府性基金预算财政拨款收入支出决算表</w:t>
          </w:r>
          <w:r>
            <w:tab/>
          </w:r>
          <w:r>
            <w:fldChar w:fldCharType="begin"/>
          </w:r>
          <w:r>
            <w:instrText xml:space="preserve"> PAGEREF _Toc29905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6A0756E1">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_Toc3191 </w:instrText>
          </w:r>
          <w:r>
            <w:rPr>
              <w:rFonts w:ascii="Times New Roman" w:hAnsi="Times New Roman" w:eastAsia="宋体" w:cs="Times New Roman"/>
              <w:kern w:val="2"/>
              <w:szCs w:val="24"/>
              <w:lang w:val="en-US" w:eastAsia="zh-CN" w:bidi="ar-SA"/>
            </w:rPr>
            <w:fldChar w:fldCharType="separate"/>
          </w:r>
          <w:r>
            <w:rPr>
              <w:rFonts w:hint="eastAsia"/>
            </w:rPr>
            <w:t>十一、国有资本经营预算财政拨款收入支出决算表</w:t>
          </w:r>
          <w:r>
            <w:tab/>
          </w:r>
          <w:r>
            <w:fldChar w:fldCharType="begin"/>
          </w:r>
          <w:r>
            <w:instrText xml:space="preserve"> PAGEREF _Toc3191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4BABC2D6">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_Toc24682 </w:instrText>
          </w:r>
          <w:r>
            <w:rPr>
              <w:rFonts w:ascii="Times New Roman" w:hAnsi="Times New Roman" w:eastAsia="宋体" w:cs="Times New Roman"/>
              <w:kern w:val="2"/>
              <w:szCs w:val="24"/>
              <w:lang w:val="en-US" w:eastAsia="zh-CN" w:bidi="ar-SA"/>
            </w:rPr>
            <w:fldChar w:fldCharType="separate"/>
          </w:r>
          <w:r>
            <w:rPr>
              <w:rFonts w:hint="eastAsia"/>
            </w:rPr>
            <w:t>十二、国有资本经营预算财政拨款支出决算表</w:t>
          </w:r>
          <w:r>
            <w:tab/>
          </w:r>
          <w:r>
            <w:fldChar w:fldCharType="begin"/>
          </w:r>
          <w:r>
            <w:instrText xml:space="preserve"> PAGEREF _Toc24682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4C45C7BC">
          <w:pPr>
            <w:pStyle w:val="13"/>
            <w:tabs>
              <w:tab w:val="right" w:leader="dot" w:pos="8306"/>
              <w:tab w:val="clear" w:pos="829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_Toc24592 </w:instrText>
          </w:r>
          <w:r>
            <w:rPr>
              <w:rFonts w:ascii="Times New Roman" w:hAnsi="Times New Roman" w:eastAsia="宋体" w:cs="Times New Roman"/>
              <w:kern w:val="2"/>
              <w:szCs w:val="24"/>
              <w:lang w:val="en-US" w:eastAsia="zh-CN" w:bidi="ar-SA"/>
            </w:rPr>
            <w:fldChar w:fldCharType="separate"/>
          </w:r>
          <w:r>
            <w:rPr>
              <w:rFonts w:hint="eastAsia"/>
            </w:rPr>
            <w:t>十三、财政拨款“三公”经费支出决算表</w:t>
          </w:r>
          <w:r>
            <w:tab/>
          </w:r>
          <w:r>
            <w:fldChar w:fldCharType="begin"/>
          </w:r>
          <w:r>
            <w:instrText xml:space="preserve"> PAGEREF _Toc24592 \h </w:instrText>
          </w:r>
          <w:r>
            <w:fldChar w:fldCharType="separate"/>
          </w:r>
          <w:r>
            <w:t>15</w:t>
          </w:r>
          <w:r>
            <w:fldChar w:fldCharType="end"/>
          </w:r>
          <w:r>
            <w:rPr>
              <w:rFonts w:ascii="Times New Roman" w:hAnsi="Times New Roman" w:eastAsia="宋体" w:cs="Times New Roman"/>
              <w:kern w:val="2"/>
              <w:szCs w:val="24"/>
              <w:lang w:val="en-US" w:eastAsia="zh-CN" w:bidi="ar-SA"/>
            </w:rPr>
            <w:fldChar w:fldCharType="end"/>
          </w:r>
        </w:p>
        <w:p w14:paraId="03A9F1BD">
          <w:pPr>
            <w:rPr>
              <w:rFonts w:ascii="Times New Roman" w:hAnsi="Times New Roman" w:eastAsia="宋体" w:cs="Times New Roman"/>
              <w:b/>
              <w:kern w:val="2"/>
              <w:sz w:val="21"/>
              <w:szCs w:val="24"/>
              <w:lang w:val="en-US" w:eastAsia="zh-CN" w:bidi="ar-SA"/>
            </w:rPr>
          </w:pPr>
          <w:r>
            <w:rPr>
              <w:rFonts w:ascii="Times New Roman" w:hAnsi="Times New Roman" w:eastAsia="宋体" w:cs="Times New Roman"/>
              <w:kern w:val="2"/>
              <w:szCs w:val="24"/>
              <w:lang w:val="en-US" w:eastAsia="zh-CN" w:bidi="ar-SA"/>
            </w:rPr>
            <w:fldChar w:fldCharType="end"/>
          </w:r>
        </w:p>
      </w:sdtContent>
    </w:sdt>
    <w:p w14:paraId="172B113A">
      <w:pPr>
        <w:rPr>
          <w:rFonts w:ascii="Times New Roman" w:hAnsi="Times New Roman" w:eastAsia="宋体" w:cs="Times New Roman"/>
          <w:b/>
          <w:kern w:val="2"/>
          <w:sz w:val="21"/>
          <w:szCs w:val="24"/>
          <w:lang w:val="en-US" w:eastAsia="zh-CN" w:bidi="ar-SA"/>
        </w:rPr>
      </w:pPr>
    </w:p>
    <w:p w14:paraId="188A136F">
      <w:pPr>
        <w:pStyle w:val="2"/>
        <w:jc w:val="center"/>
        <w:rPr>
          <w:rStyle w:val="28"/>
          <w:rFonts w:ascii="黑体" w:hAnsi="黑体" w:eastAsia="黑体"/>
          <w:b/>
          <w:bCs w:val="0"/>
        </w:rPr>
      </w:pPr>
      <w:bookmarkStart w:id="18" w:name="_Toc15377196"/>
      <w:bookmarkStart w:id="19" w:name="_Toc24098"/>
      <w:bookmarkStart w:id="20" w:name="_Toc15396599"/>
      <w:r>
        <w:rPr>
          <w:rFonts w:hint="eastAsia" w:ascii="黑体" w:hAnsi="黑体" w:eastAsia="黑体"/>
          <w:b w:val="0"/>
        </w:rPr>
        <w:t>第一部分 单位</w:t>
      </w:r>
      <w:r>
        <w:rPr>
          <w:rStyle w:val="28"/>
          <w:rFonts w:hint="eastAsia" w:ascii="黑体" w:hAnsi="黑体" w:eastAsia="黑体"/>
          <w:b w:val="0"/>
          <w:bCs w:val="0"/>
        </w:rPr>
        <w:t>概况</w:t>
      </w:r>
      <w:bookmarkEnd w:id="18"/>
      <w:bookmarkEnd w:id="19"/>
      <w:bookmarkEnd w:id="20"/>
    </w:p>
    <w:p w14:paraId="6B327628">
      <w:pPr>
        <w:widowControl/>
        <w:jc w:val="left"/>
        <w:rPr>
          <w:rFonts w:ascii="黑体" w:eastAsia="黑体"/>
          <w:sz w:val="32"/>
          <w:szCs w:val="32"/>
        </w:rPr>
      </w:pPr>
    </w:p>
    <w:p w14:paraId="0043FCCB">
      <w:pPr>
        <w:pStyle w:val="3"/>
        <w:numPr>
          <w:ilvl w:val="0"/>
          <w:numId w:val="1"/>
        </w:numPr>
        <w:rPr>
          <w:rStyle w:val="29"/>
          <w:rFonts w:ascii="黑体" w:hAnsi="黑体" w:eastAsia="黑体"/>
          <w:b w:val="0"/>
          <w:bCs w:val="0"/>
        </w:rPr>
      </w:pPr>
      <w:bookmarkStart w:id="21" w:name="_Toc4094"/>
      <w:bookmarkStart w:id="22" w:name="_Toc15396600"/>
      <w:bookmarkStart w:id="23" w:name="_Toc15377197"/>
      <w:r>
        <w:rPr>
          <w:rStyle w:val="29"/>
          <w:rFonts w:hint="eastAsia" w:ascii="黑体" w:hAnsi="黑体" w:eastAsia="黑体"/>
          <w:b w:val="0"/>
          <w:bCs w:val="0"/>
        </w:rPr>
        <w:t>主要职责</w:t>
      </w:r>
      <w:bookmarkEnd w:id="21"/>
    </w:p>
    <w:p w14:paraId="3AB17B2E">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1.宣传贯彻党中央、国务院、省委、省政府和州委、州政府和县委、县政府有关农业、农村经济工作和社会发展的方针、政策。</w:t>
      </w:r>
    </w:p>
    <w:p w14:paraId="2642B003">
      <w:pPr>
        <w:keepNext w:val="0"/>
        <w:keepLines w:val="0"/>
        <w:widowControl/>
        <w:suppressLineNumbers w:val="0"/>
        <w:ind w:left="0" w:firstLine="640" w:firstLineChars="200"/>
        <w:outlineLvl w:val="2"/>
        <w:rPr>
          <w:rFonts w:hint="eastAsia" w:ascii="仿宋_GB2312" w:hAnsi="宋体" w:eastAsia="仿宋_GB2312" w:cs="仿宋_GB2312"/>
          <w:kern w:val="0"/>
          <w:sz w:val="32"/>
          <w:szCs w:val="32"/>
        </w:rPr>
      </w:pPr>
      <w:bookmarkStart w:id="24" w:name="_Toc19787"/>
      <w:r>
        <w:rPr>
          <w:rFonts w:hint="eastAsia" w:ascii="仿宋_GB2312" w:hAnsi="宋体" w:eastAsia="仿宋_GB2312" w:cs="仿宋_GB2312"/>
          <w:kern w:val="0"/>
          <w:sz w:val="32"/>
          <w:szCs w:val="32"/>
        </w:rPr>
        <w:t>2.研究制定县供销合作社发展规划。</w:t>
      </w:r>
      <w:bookmarkEnd w:id="24"/>
    </w:p>
    <w:p w14:paraId="28026DAF">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3.受政府委托，负责对重要农业生产资料、重要农畜产品和政策性商品经营资格审定、质量监督和行业管理及有关救灾物资的组织、储备、调运工作。</w:t>
      </w:r>
    </w:p>
    <w:p w14:paraId="6A3F5F33">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4.协调同政府有关部门、社会组织的关系，研究供销合作经济运行中的重大问题；了解、反映供销合作社系统和农牧民群众的意见和要求，维护合作经济组织的合法权益。</w:t>
      </w:r>
    </w:p>
    <w:p w14:paraId="0FDE0F12">
      <w:pPr>
        <w:keepNext w:val="0"/>
        <w:keepLines w:val="0"/>
        <w:widowControl/>
        <w:suppressLineNumbers w:val="0"/>
        <w:ind w:left="0" w:firstLine="640" w:firstLineChars="200"/>
        <w:outlineLvl w:val="2"/>
        <w:rPr>
          <w:rFonts w:hint="eastAsia" w:ascii="仿宋_GB2312" w:hAnsi="宋体" w:eastAsia="仿宋_GB2312" w:cs="仿宋_GB2312"/>
          <w:kern w:val="0"/>
          <w:sz w:val="32"/>
          <w:szCs w:val="32"/>
        </w:rPr>
      </w:pPr>
      <w:bookmarkStart w:id="25" w:name="_Toc15402"/>
      <w:r>
        <w:rPr>
          <w:rFonts w:hint="eastAsia" w:ascii="仿宋_GB2312" w:hAnsi="宋体" w:eastAsia="仿宋_GB2312" w:cs="仿宋_GB2312"/>
          <w:kern w:val="0"/>
          <w:sz w:val="32"/>
          <w:szCs w:val="32"/>
        </w:rPr>
        <w:t>5.组织县供销社系统参与和推进农业产业化经营。</w:t>
      </w:r>
      <w:bookmarkEnd w:id="25"/>
    </w:p>
    <w:p w14:paraId="7CD5B566">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6.指导农村社会化服务体系建设，推进建立现代流通体系和现代营销方式，发展社区性、综合性、便民性社区综合服务社，满足农牧民生产、生活等社会化服务的需要。</w:t>
      </w:r>
    </w:p>
    <w:p w14:paraId="6F9C3907">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7.监督和管理社有资产，确保社有资产的保值、增值，对直属企业行使出资人的职权，依法享有资产受益、重大决策和选择经营管理者等权利。</w:t>
      </w:r>
    </w:p>
    <w:p w14:paraId="16A63794">
      <w:pPr>
        <w:keepNext w:val="0"/>
        <w:keepLines w:val="0"/>
        <w:widowControl/>
        <w:suppressLineNumbers w:val="0"/>
        <w:ind w:left="0"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8.积极参与供销合作社经济对外交流活动。</w:t>
      </w:r>
    </w:p>
    <w:p w14:paraId="762051A3">
      <w:pPr>
        <w:ind w:firstLine="640" w:firstLineChars="200"/>
      </w:pPr>
      <w:r>
        <w:rPr>
          <w:rFonts w:hint="eastAsia" w:ascii="仿宋_GB2312" w:hAnsi="宋体" w:eastAsia="仿宋_GB2312" w:cs="仿宋_GB2312"/>
          <w:kern w:val="0"/>
          <w:sz w:val="32"/>
          <w:szCs w:val="32"/>
        </w:rPr>
        <w:t>9.承担县委、县政府交办的其他事项。</w:t>
      </w:r>
    </w:p>
    <w:p w14:paraId="701E9158">
      <w:pPr>
        <w:pStyle w:val="3"/>
        <w:ind w:firstLine="640" w:firstLineChars="200"/>
        <w:rPr>
          <w:rFonts w:hint="eastAsia" w:ascii="黑体" w:hAnsi="黑体" w:eastAsia="黑体"/>
          <w:b w:val="0"/>
        </w:rPr>
      </w:pPr>
      <w:bookmarkStart w:id="26" w:name="_Toc26612"/>
      <w:r>
        <w:rPr>
          <w:rFonts w:hint="eastAsia" w:ascii="黑体" w:hAnsi="黑体" w:eastAsia="黑体"/>
          <w:b w:val="0"/>
        </w:rPr>
        <w:t>二、机构设置</w:t>
      </w:r>
      <w:bookmarkEnd w:id="26"/>
    </w:p>
    <w:p w14:paraId="120C4080">
      <w:pPr>
        <w:pStyle w:val="4"/>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（一）人员编制</w:t>
      </w:r>
    </w:p>
    <w:bookmarkEnd w:id="22"/>
    <w:bookmarkEnd w:id="23"/>
    <w:p w14:paraId="0062F82F">
      <w:pPr>
        <w:ind w:firstLine="320" w:firstLineChars="1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松潘县</w:t>
      </w:r>
      <w:r>
        <w:rPr>
          <w:rFonts w:hint="eastAsia" w:ascii="仿宋_GB2312" w:hAnsi="宋体" w:eastAsia="仿宋_GB2312" w:cs="仿宋_GB2312"/>
          <w:kern w:val="0"/>
          <w:sz w:val="32"/>
          <w:szCs w:val="32"/>
          <w:lang w:eastAsia="zh-CN"/>
        </w:rPr>
        <w:t>供销合作社联合社</w:t>
      </w:r>
      <w:r>
        <w:rPr>
          <w:rFonts w:hint="eastAsia" w:ascii="仿宋_GB2312" w:hAnsi="宋体" w:eastAsia="仿宋_GB2312" w:cs="仿宋_GB2312"/>
          <w:kern w:val="0"/>
          <w:sz w:val="32"/>
          <w:szCs w:val="32"/>
        </w:rPr>
        <w:t>属一级预算单位，独立编制机构1个。现有参照公务员法管理的在编事业人员</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kern w:val="0"/>
          <w:sz w:val="32"/>
          <w:szCs w:val="32"/>
        </w:rPr>
        <w:t>人，领导职数3名，实有人数</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kern w:val="0"/>
          <w:sz w:val="32"/>
          <w:szCs w:val="32"/>
        </w:rPr>
        <w:t>人 。</w:t>
      </w:r>
    </w:p>
    <w:p w14:paraId="196DEFD1">
      <w:pPr>
        <w:pStyle w:val="4"/>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（二）内设机构 </w:t>
      </w:r>
    </w:p>
    <w:p w14:paraId="123C5D1F">
      <w:pPr>
        <w:pStyle w:val="34"/>
        <w:keepNext w:val="0"/>
        <w:keepLines w:val="0"/>
        <w:pageBreakBefore w:val="0"/>
        <w:widowControl w:val="0"/>
        <w:suppressLineNumbers w:val="0"/>
        <w:wordWrap/>
        <w:overflowPunct/>
        <w:topLinePunct w:val="0"/>
        <w:autoSpaceDE w:val="0"/>
        <w:autoSpaceDN/>
        <w:bidi w:val="0"/>
        <w:spacing w:after="0" w:afterAutospacing="0" w:line="580" w:lineRule="exact"/>
        <w:ind w:left="0" w:right="0" w:firstLine="640" w:firstLineChars="200"/>
        <w:jc w:val="both"/>
        <w:rPr>
          <w:rFonts w:hint="eastAsia" w:ascii="仿宋_GB2312" w:hAnsi="仿宋" w:eastAsia="仿宋_GB2312" w:cs="宋体"/>
          <w:color w:val="000000"/>
          <w:kern w:val="0"/>
          <w:sz w:val="32"/>
          <w:szCs w:val="32"/>
        </w:rPr>
      </w:pPr>
      <w:r>
        <w:rPr>
          <w:rFonts w:hint="eastAsia" w:ascii="仿宋_GB2312" w:hAnsi="仿宋" w:eastAsia="仿宋_GB2312" w:cs="仿宋_GB2312"/>
          <w:color w:val="000000"/>
          <w:kern w:val="0"/>
          <w:sz w:val="32"/>
          <w:szCs w:val="32"/>
        </w:rPr>
        <w:t>根据职责，松潘县</w:t>
      </w:r>
      <w:r>
        <w:rPr>
          <w:rFonts w:hint="eastAsia" w:ascii="仿宋_GB2312" w:hAnsi="仿宋" w:eastAsia="仿宋_GB2312" w:cs="仿宋_GB2312"/>
          <w:color w:val="000000"/>
          <w:kern w:val="0"/>
          <w:sz w:val="32"/>
          <w:szCs w:val="32"/>
          <w:lang w:eastAsia="zh-CN"/>
        </w:rPr>
        <w:t>供销合作社联合社</w:t>
      </w:r>
      <w:r>
        <w:rPr>
          <w:rFonts w:hint="eastAsia" w:ascii="仿宋_GB2312" w:hAnsi="仿宋" w:eastAsia="仿宋_GB2312" w:cs="仿宋_GB2312"/>
          <w:color w:val="000000"/>
          <w:kern w:val="0"/>
          <w:sz w:val="32"/>
          <w:szCs w:val="32"/>
        </w:rPr>
        <w:t>设</w:t>
      </w:r>
      <w:r>
        <w:rPr>
          <w:rFonts w:hint="eastAsia" w:ascii="仿宋_GB2312" w:hAnsi="仿宋" w:eastAsia="仿宋_GB2312" w:cs="仿宋_GB2312"/>
          <w:color w:val="000000"/>
          <w:kern w:val="0"/>
          <w:sz w:val="32"/>
          <w:szCs w:val="32"/>
          <w:lang w:val="en-US" w:eastAsia="zh-CN"/>
        </w:rPr>
        <w:t>2</w:t>
      </w:r>
      <w:r>
        <w:rPr>
          <w:rFonts w:hint="eastAsia" w:ascii="仿宋_GB2312" w:hAnsi="仿宋" w:eastAsia="仿宋_GB2312" w:cs="仿宋_GB2312"/>
          <w:color w:val="000000"/>
          <w:kern w:val="0"/>
          <w:sz w:val="32"/>
          <w:szCs w:val="32"/>
        </w:rPr>
        <w:t>个内设机构：</w:t>
      </w:r>
    </w:p>
    <w:p w14:paraId="5F97F333">
      <w:pPr>
        <w:pStyle w:val="34"/>
        <w:keepNext w:val="0"/>
        <w:keepLines w:val="0"/>
        <w:pageBreakBefore w:val="0"/>
        <w:widowControl w:val="0"/>
        <w:suppressLineNumbers w:val="0"/>
        <w:wordWrap/>
        <w:overflowPunct/>
        <w:topLinePunct w:val="0"/>
        <w:autoSpaceDE w:val="0"/>
        <w:autoSpaceDN/>
        <w:bidi w:val="0"/>
        <w:spacing w:after="0" w:afterAutospacing="0" w:line="580" w:lineRule="exact"/>
        <w:ind w:left="0" w:right="0" w:firstLine="640" w:firstLineChars="200"/>
        <w:jc w:val="both"/>
        <w:rPr>
          <w:rFonts w:hint="eastAsia" w:ascii="仿宋_GB2312" w:hAnsi="仿宋" w:eastAsia="仿宋_GB2312" w:cs="仿宋_GB2312"/>
          <w:color w:val="000000"/>
          <w:kern w:val="0"/>
          <w:sz w:val="32"/>
          <w:szCs w:val="32"/>
          <w:lang w:eastAsia="zh-CN"/>
        </w:rPr>
      </w:pPr>
      <w:r>
        <w:rPr>
          <w:rFonts w:hint="eastAsia" w:ascii="仿宋_GB2312" w:hAnsi="仿宋" w:eastAsia="仿宋_GB2312" w:cs="仿宋_GB2312"/>
          <w:color w:val="000000"/>
          <w:kern w:val="0"/>
          <w:sz w:val="32"/>
          <w:szCs w:val="32"/>
          <w:lang w:eastAsia="zh-CN"/>
        </w:rPr>
        <w:t>办公室（监事会办公室）。负责综合协调、会议组织、公文处理、信息宣传、文书档案、机要保密、维稳信访、应急处突、依法治社、机关党的建设、意识形态、党风廉政建设、安全生产、防灾减灾、综合管理、干部教育培训、干部人事、机构编制、劳动工资、人事档案、因私出国（境）、机关退休人员管理服务、组织协调开展社有资产保值增值和企业重大投资等监督检查工作。负责县供销社财务、会计、预算编制、决算编制、预算执行管理、县社资金管理，负责省、州、县级财政专项资金的监督管理，配合开展县本级社有企业重大经营项目的评审、风险控制工作</w:t>
      </w:r>
    </w:p>
    <w:p w14:paraId="06BD541B">
      <w:pPr>
        <w:pStyle w:val="34"/>
        <w:keepNext w:val="0"/>
        <w:keepLines w:val="0"/>
        <w:pageBreakBefore w:val="0"/>
        <w:widowControl w:val="0"/>
        <w:suppressLineNumbers w:val="0"/>
        <w:wordWrap/>
        <w:overflowPunct/>
        <w:topLinePunct w:val="0"/>
        <w:autoSpaceDE w:val="0"/>
        <w:autoSpaceDN/>
        <w:bidi w:val="0"/>
        <w:spacing w:after="0" w:afterAutospacing="0" w:line="580" w:lineRule="exact"/>
        <w:ind w:left="0" w:right="0" w:firstLine="640" w:firstLineChars="200"/>
        <w:jc w:val="both"/>
        <w:rPr>
          <w:rFonts w:hint="eastAsia" w:ascii="仿宋_GB2312" w:hAnsi="仿宋" w:eastAsia="仿宋_GB2312" w:cs="宋体"/>
          <w:color w:val="000000"/>
          <w:kern w:val="0"/>
          <w:sz w:val="32"/>
          <w:szCs w:val="32"/>
          <w:lang w:val="en-US" w:eastAsia="zh-CN"/>
        </w:rPr>
      </w:pPr>
      <w:r>
        <w:rPr>
          <w:rFonts w:hint="eastAsia" w:ascii="仿宋_GB2312" w:hAnsi="仿宋" w:eastAsia="仿宋_GB2312" w:cs="仿宋_GB2312"/>
          <w:color w:val="000000"/>
          <w:kern w:val="0"/>
          <w:sz w:val="32"/>
          <w:szCs w:val="32"/>
          <w:lang w:eastAsia="zh-CN"/>
        </w:rPr>
        <w:t>（二）农村合作与经济发展股。负责系统现代流通网络体系建设、基层组织建设、综合业绩考核及评价、企业改革发展、金融业务合作、综合改革、系统发展规划拟定、大数据平台建设、统计及经济运行分析、参与乡村振兴战略实施、开展农资及农产品等重要生产生活物资经营储备、再生资源回收利用、数字供销网建设、农产品进城、日用消费品下乡、品牌推广、推动政府委托公益性农产品批发市场建设、系统冷链物流骨干网建设等工作。</w:t>
      </w:r>
    </w:p>
    <w:p w14:paraId="04ED7E67">
      <w:pPr>
        <w:widowControl/>
        <w:jc w:val="left"/>
        <w:rPr>
          <w:rFonts w:ascii="仿宋" w:hAnsi="仿宋" w:eastAsia="仿宋"/>
          <w:kern w:val="0"/>
          <w:sz w:val="32"/>
          <w:szCs w:val="32"/>
        </w:rPr>
      </w:pPr>
      <w:r>
        <w:rPr>
          <w:rFonts w:ascii="仿宋" w:hAnsi="仿宋" w:eastAsia="仿宋"/>
          <w:sz w:val="32"/>
          <w:szCs w:val="32"/>
        </w:rPr>
        <w:br w:type="page"/>
      </w:r>
    </w:p>
    <w:p w14:paraId="3EA98CB8">
      <w:pPr>
        <w:pStyle w:val="2"/>
        <w:ind w:right="440"/>
        <w:jc w:val="center"/>
        <w:rPr>
          <w:rStyle w:val="28"/>
          <w:rFonts w:ascii="黑体" w:hAnsi="黑体" w:eastAsia="黑体"/>
          <w:b w:val="0"/>
          <w:bCs/>
        </w:rPr>
      </w:pPr>
      <w:bookmarkStart w:id="27" w:name="_Toc15377204"/>
      <w:bookmarkStart w:id="28" w:name="_Toc24933"/>
      <w:bookmarkStart w:id="29" w:name="_Toc15953"/>
      <w:bookmarkStart w:id="30" w:name="_Toc15396602"/>
      <w:bookmarkStart w:id="31" w:name="_Toc15396618"/>
      <w:bookmarkStart w:id="32" w:name="_Toc15377226"/>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部门决算情况说明</w:t>
      </w:r>
      <w:bookmarkEnd w:id="27"/>
      <w:bookmarkEnd w:id="28"/>
      <w:bookmarkEnd w:id="29"/>
      <w:bookmarkEnd w:id="30"/>
    </w:p>
    <w:p w14:paraId="5EE81F00"/>
    <w:p w14:paraId="170FDE2F">
      <w:pPr>
        <w:pStyle w:val="27"/>
        <w:numPr>
          <w:ilvl w:val="0"/>
          <w:numId w:val="2"/>
        </w:numPr>
        <w:spacing w:line="600" w:lineRule="exact"/>
        <w:ind w:firstLineChars="0"/>
        <w:outlineLvl w:val="1"/>
        <w:rPr>
          <w:rStyle w:val="29"/>
          <w:rFonts w:ascii="黑体" w:hAnsi="黑体" w:eastAsia="黑体"/>
          <w:b w:val="0"/>
        </w:rPr>
      </w:pPr>
      <w:bookmarkStart w:id="33" w:name="_Toc21320"/>
      <w:bookmarkStart w:id="34" w:name="_Toc15396603"/>
      <w:bookmarkStart w:id="35" w:name="_Toc15377205"/>
      <w:bookmarkStart w:id="36" w:name="_Toc18439"/>
      <w:r>
        <w:rPr>
          <w:rFonts w:hint="eastAsia" w:ascii="黑体" w:hAnsi="黑体" w:eastAsia="黑体"/>
          <w:sz w:val="32"/>
          <w:szCs w:val="32"/>
        </w:rPr>
        <w:t>收</w:t>
      </w:r>
      <w:r>
        <w:rPr>
          <w:rStyle w:val="29"/>
          <w:rFonts w:hint="eastAsia" w:ascii="黑体" w:hAnsi="黑体" w:eastAsia="黑体"/>
          <w:b w:val="0"/>
        </w:rPr>
        <w:t>入支出决算总体情况说明</w:t>
      </w:r>
      <w:bookmarkEnd w:id="33"/>
      <w:bookmarkEnd w:id="34"/>
      <w:bookmarkEnd w:id="35"/>
      <w:bookmarkEnd w:id="36"/>
    </w:p>
    <w:p w14:paraId="7BAC0B7E">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24.44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14.99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2022年农资储备和价格补贴钱由2023年支出。</w:t>
      </w:r>
    </w:p>
    <w:p w14:paraId="720061FC">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r>
        <w:drawing>
          <wp:anchor distT="0" distB="0" distL="114300" distR="114300" simplePos="0" relativeHeight="251659264" behindDoc="0" locked="0" layoutInCell="1" allowOverlap="1">
            <wp:simplePos x="0" y="0"/>
            <wp:positionH relativeFrom="column">
              <wp:posOffset>194945</wp:posOffset>
            </wp:positionH>
            <wp:positionV relativeFrom="paragraph">
              <wp:posOffset>130810</wp:posOffset>
            </wp:positionV>
            <wp:extent cx="4826000" cy="2743200"/>
            <wp:effectExtent l="4445" t="4445" r="82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7793F3F"/>
    <w:p w14:paraId="6444CD31">
      <w:pPr>
        <w:pStyle w:val="27"/>
        <w:numPr>
          <w:ilvl w:val="0"/>
          <w:numId w:val="2"/>
        </w:numPr>
        <w:spacing w:line="600" w:lineRule="exact"/>
        <w:ind w:firstLineChars="0"/>
        <w:outlineLvl w:val="1"/>
        <w:rPr>
          <w:rStyle w:val="29"/>
          <w:rFonts w:ascii="黑体" w:hAnsi="黑体" w:eastAsia="黑体"/>
          <w:b w:val="0"/>
        </w:rPr>
      </w:pPr>
      <w:bookmarkStart w:id="37" w:name="_Toc14336"/>
      <w:bookmarkStart w:id="38" w:name="_Toc31849"/>
      <w:bookmarkStart w:id="39" w:name="_Toc15396604"/>
      <w:bookmarkStart w:id="40" w:name="_Toc15377206"/>
      <w:r>
        <w:rPr>
          <w:rFonts w:hint="eastAsia" w:ascii="黑体" w:hAnsi="黑体" w:eastAsia="黑体"/>
          <w:sz w:val="32"/>
          <w:szCs w:val="32"/>
        </w:rPr>
        <w:t>收</w:t>
      </w:r>
      <w:r>
        <w:rPr>
          <w:rStyle w:val="29"/>
          <w:rFonts w:hint="eastAsia" w:ascii="黑体" w:hAnsi="黑体" w:eastAsia="黑体"/>
          <w:b w:val="0"/>
        </w:rPr>
        <w:t>入决算情况说明</w:t>
      </w:r>
      <w:bookmarkEnd w:id="37"/>
      <w:bookmarkEnd w:id="38"/>
      <w:bookmarkEnd w:id="39"/>
      <w:bookmarkEnd w:id="40"/>
    </w:p>
    <w:p w14:paraId="7C4A72E3">
      <w:pPr>
        <w:bidi w:val="0"/>
        <w:ind w:firstLine="640" w:firstLineChars="200"/>
        <w:rPr>
          <w:rFonts w:hint="eastAsia" w:ascii="仿宋_GB2312" w:hAnsi="仿宋_GB2312" w:eastAsia="仿宋_GB2312" w:cs="仿宋_GB2312"/>
          <w:sz w:val="32"/>
          <w:szCs w:val="32"/>
        </w:rPr>
      </w:pPr>
      <w:bookmarkStart w:id="41" w:name="_Toc1559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万元，其中：一般公共预算财政拨款收入</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万元，占100%。</w:t>
      </w:r>
      <w:bookmarkEnd w:id="41"/>
    </w:p>
    <w:p w14:paraId="36B9719E">
      <w:pPr>
        <w:bidi w:val="0"/>
        <w:rPr>
          <w:rFonts w:hint="eastAsia" w:ascii="仿宋_GB2312" w:hAnsi="仿宋_GB2312" w:eastAsia="仿宋_GB2312" w:cs="仿宋_GB2312"/>
          <w:sz w:val="32"/>
          <w:szCs w:val="32"/>
        </w:rPr>
      </w:pPr>
      <w:bookmarkStart w:id="42" w:name="_Toc14463"/>
      <w:r>
        <w:rPr>
          <w:rFonts w:hint="eastAsia" w:ascii="仿宋_GB2312" w:hAnsi="仿宋_GB2312" w:eastAsia="仿宋_GB2312" w:cs="仿宋_GB2312"/>
          <w:sz w:val="32"/>
          <w:szCs w:val="32"/>
        </w:rPr>
        <w:t>（注：数据来源于财决01表，仅罗列本部门涉及的收入。）</w:t>
      </w:r>
      <w:bookmarkEnd w:id="42"/>
    </w:p>
    <w:p w14:paraId="3998ACF7">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（图2：收入决算结构图）（饼状图）</w:t>
      </w:r>
    </w:p>
    <w:p w14:paraId="7FE07F7F">
      <w:pPr>
        <w:pStyle w:val="19"/>
        <w:outlineLvl w:val="9"/>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4790440" cy="2283460"/>
            <wp:effectExtent l="4445" t="4445" r="571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D1B4B2"/>
    <w:p w14:paraId="65B3C6CB">
      <w:pPr>
        <w:pStyle w:val="27"/>
        <w:numPr>
          <w:ilvl w:val="0"/>
          <w:numId w:val="2"/>
        </w:numPr>
        <w:spacing w:line="600" w:lineRule="exact"/>
        <w:ind w:firstLineChars="0"/>
        <w:outlineLvl w:val="1"/>
        <w:rPr>
          <w:rStyle w:val="29"/>
          <w:rFonts w:ascii="黑体" w:hAnsi="黑体" w:eastAsia="黑体"/>
          <w:b w:val="0"/>
        </w:rPr>
      </w:pPr>
      <w:bookmarkStart w:id="43" w:name="_Toc15396605"/>
      <w:bookmarkStart w:id="44" w:name="_Toc30812"/>
      <w:bookmarkStart w:id="45" w:name="_Toc15377207"/>
      <w:bookmarkStart w:id="46" w:name="_Toc17142"/>
      <w:r>
        <w:rPr>
          <w:rFonts w:hint="eastAsia" w:ascii="黑体" w:hAnsi="黑体" w:eastAsia="黑体"/>
          <w:sz w:val="32"/>
          <w:szCs w:val="32"/>
        </w:rPr>
        <w:t>支</w:t>
      </w:r>
      <w:r>
        <w:rPr>
          <w:rStyle w:val="29"/>
          <w:rFonts w:hint="eastAsia" w:ascii="黑体" w:hAnsi="黑体" w:eastAsia="黑体"/>
          <w:b w:val="0"/>
        </w:rPr>
        <w:t>出决算情况说明</w:t>
      </w:r>
      <w:bookmarkEnd w:id="43"/>
      <w:bookmarkEnd w:id="44"/>
      <w:bookmarkEnd w:id="45"/>
      <w:bookmarkEnd w:id="46"/>
    </w:p>
    <w:p w14:paraId="48FD69F9">
      <w:pPr>
        <w:bidi w:val="0"/>
        <w:ind w:firstLine="640" w:firstLineChars="200"/>
        <w:rPr>
          <w:rFonts w:hint="eastAsia" w:ascii="仿宋_GB2312" w:hAnsi="仿宋_GB2312" w:eastAsia="仿宋_GB2312" w:cs="仿宋_GB2312"/>
          <w:sz w:val="32"/>
          <w:szCs w:val="32"/>
        </w:rPr>
      </w:pPr>
      <w:bookmarkStart w:id="47" w:name="_Toc16454"/>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58</w:t>
      </w:r>
      <w:r>
        <w:rPr>
          <w:rFonts w:hint="eastAsia" w:ascii="仿宋_GB2312" w:hAnsi="仿宋_GB2312" w:eastAsia="仿宋_GB2312" w:cs="仿宋_GB2312"/>
          <w:sz w:val="32"/>
          <w:szCs w:val="32"/>
        </w:rPr>
        <w:t>万元，其中：基本支出124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62万元，占</w:t>
      </w:r>
      <w:r>
        <w:rPr>
          <w:rFonts w:hint="eastAsia" w:ascii="仿宋_GB2312" w:hAnsi="仿宋_GB2312" w:eastAsia="仿宋_GB2312" w:cs="仿宋_GB2312"/>
          <w:sz w:val="32"/>
          <w:szCs w:val="32"/>
          <w:lang w:val="en-US" w:eastAsia="zh-CN"/>
        </w:rPr>
        <w:t>89.93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10.07</w:t>
      </w:r>
      <w:r>
        <w:rPr>
          <w:rFonts w:hint="eastAsia" w:ascii="仿宋_GB2312" w:hAnsi="仿宋_GB2312" w:eastAsia="仿宋_GB2312" w:cs="仿宋_GB2312"/>
          <w:sz w:val="32"/>
          <w:szCs w:val="32"/>
        </w:rPr>
        <w:t>%。</w:t>
      </w:r>
      <w:bookmarkEnd w:id="47"/>
    </w:p>
    <w:p w14:paraId="3B697954">
      <w:pPr>
        <w:bidi w:val="0"/>
        <w:rPr>
          <w:rFonts w:hint="eastAsia" w:ascii="仿宋_GB2312" w:hAnsi="仿宋_GB2312" w:eastAsia="仿宋_GB2312" w:cs="仿宋_GB2312"/>
          <w:sz w:val="32"/>
          <w:szCs w:val="32"/>
        </w:rPr>
      </w:pPr>
      <w:bookmarkStart w:id="48" w:name="_Toc9278"/>
      <w:r>
        <w:rPr>
          <w:rFonts w:hint="eastAsia" w:ascii="仿宋_GB2312" w:hAnsi="仿宋_GB2312" w:eastAsia="仿宋_GB2312" w:cs="仿宋_GB2312"/>
          <w:sz w:val="32"/>
          <w:szCs w:val="32"/>
        </w:rPr>
        <w:t>（注：数据来源于财决04表，仅罗列本部门涉及的支出。）</w:t>
      </w:r>
      <w:bookmarkEnd w:id="48"/>
    </w:p>
    <w:p w14:paraId="695CC24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47042001">
      <w:pPr>
        <w:pStyle w:val="19"/>
        <w:outlineLvl w:val="9"/>
        <w:rPr>
          <w:rFonts w:hint="eastAsia"/>
        </w:rPr>
      </w:pP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29366F">
      <w:pPr>
        <w:spacing w:line="600" w:lineRule="exact"/>
        <w:rPr>
          <w:rFonts w:hint="eastAsia" w:ascii="仿宋_GB2312" w:eastAsia="仿宋_GB2312"/>
          <w:sz w:val="32"/>
          <w:szCs w:val="32"/>
          <w:lang w:eastAsia="zh-CN"/>
        </w:rPr>
      </w:pPr>
    </w:p>
    <w:p w14:paraId="0AD9DF1F">
      <w:pPr>
        <w:spacing w:line="600" w:lineRule="exact"/>
        <w:ind w:firstLine="640" w:firstLineChars="200"/>
        <w:outlineLvl w:val="1"/>
        <w:rPr>
          <w:rStyle w:val="29"/>
          <w:rFonts w:ascii="黑体" w:hAnsi="黑体" w:eastAsia="黑体"/>
          <w:b w:val="0"/>
        </w:rPr>
      </w:pPr>
      <w:bookmarkStart w:id="49" w:name="_Toc15377208"/>
      <w:bookmarkStart w:id="50" w:name="_Toc15396606"/>
      <w:bookmarkStart w:id="51" w:name="_Toc19174"/>
      <w:bookmarkStart w:id="52" w:name="_Toc885"/>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9"/>
      <w:bookmarkEnd w:id="50"/>
      <w:bookmarkEnd w:id="51"/>
      <w:bookmarkEnd w:id="52"/>
    </w:p>
    <w:p w14:paraId="174DD94C">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8.64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5.87</w:t>
      </w:r>
      <w:r>
        <w:rPr>
          <w:rFonts w:ascii="仿宋" w:hAnsi="仿宋" w:eastAsia="仿宋"/>
          <w:sz w:val="32"/>
          <w:szCs w:val="32"/>
        </w:rPr>
        <w:t>%</w:t>
      </w:r>
      <w:r>
        <w:rPr>
          <w:rFonts w:hint="eastAsia" w:ascii="仿宋" w:hAnsi="仿宋" w:eastAsia="仿宋"/>
          <w:sz w:val="32"/>
          <w:szCs w:val="32"/>
        </w:rPr>
        <w:t>。</w:t>
      </w:r>
    </w:p>
    <w:p w14:paraId="07A2FBF9">
      <w:pPr>
        <w:spacing w:line="600" w:lineRule="exact"/>
        <w:ind w:firstLine="640"/>
        <w:rPr>
          <w:rFonts w:ascii="仿宋" w:hAnsi="仿宋" w:eastAsia="仿宋"/>
          <w:b/>
          <w:sz w:val="32"/>
          <w:szCs w:val="32"/>
        </w:rPr>
      </w:pPr>
    </w:p>
    <w:p w14:paraId="6242AE7F">
      <w:pPr>
        <w:spacing w:line="600" w:lineRule="exact"/>
        <w:ind w:firstLine="640" w:firstLineChars="200"/>
        <w:outlineLvl w:val="1"/>
        <w:rPr>
          <w:rStyle w:val="29"/>
          <w:rFonts w:ascii="黑体" w:hAnsi="黑体" w:eastAsia="黑体"/>
          <w:b w:val="0"/>
        </w:rPr>
      </w:pPr>
      <w:bookmarkStart w:id="53" w:name="_Toc15377209"/>
      <w:bookmarkStart w:id="54" w:name="_Toc30338"/>
      <w:bookmarkStart w:id="55" w:name="_Toc15396607"/>
      <w:bookmarkStart w:id="56" w:name="_Toc1953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53"/>
      <w:bookmarkEnd w:id="54"/>
      <w:bookmarkEnd w:id="55"/>
      <w:bookmarkEnd w:id="56"/>
    </w:p>
    <w:p w14:paraId="301C8EA0">
      <w:pPr>
        <w:spacing w:line="600" w:lineRule="exact"/>
        <w:ind w:firstLine="643" w:firstLineChars="200"/>
        <w:outlineLvl w:val="2"/>
        <w:rPr>
          <w:rFonts w:ascii="仿宋" w:hAnsi="仿宋" w:eastAsia="仿宋"/>
          <w:b/>
          <w:sz w:val="32"/>
          <w:szCs w:val="32"/>
        </w:rPr>
      </w:pPr>
      <w:bookmarkStart w:id="57" w:name="_Toc15377210"/>
      <w:r>
        <w:rPr>
          <w:rFonts w:hint="eastAsia" w:ascii="仿宋" w:hAnsi="仿宋" w:eastAsia="仿宋"/>
          <w:b/>
          <w:sz w:val="32"/>
          <w:szCs w:val="32"/>
        </w:rPr>
        <w:t>（一）一般公共预算财政拨款支出决算总体情况</w:t>
      </w:r>
      <w:bookmarkEnd w:id="57"/>
    </w:p>
    <w:p w14:paraId="1F535596">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w:t>
      </w:r>
      <w:r>
        <w:rPr>
          <w:rFonts w:hint="eastAsia" w:ascii="仿宋" w:hAnsi="仿宋" w:eastAsia="仿宋"/>
          <w:b/>
          <w:sz w:val="32"/>
          <w:szCs w:val="32"/>
          <w:lang w:val="en-US" w:eastAsia="zh-CN"/>
        </w:rPr>
        <w:t>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8.64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5.87</w:t>
      </w:r>
      <w:r>
        <w:rPr>
          <w:rFonts w:ascii="仿宋" w:hAnsi="仿宋" w:eastAsia="仿宋"/>
          <w:sz w:val="32"/>
          <w:szCs w:val="32"/>
        </w:rPr>
        <w:t>%</w:t>
      </w:r>
      <w:r>
        <w:rPr>
          <w:rFonts w:hint="eastAsia" w:ascii="仿宋" w:hAnsi="仿宋" w:eastAsia="仿宋"/>
          <w:sz w:val="32"/>
          <w:szCs w:val="32"/>
        </w:rPr>
        <w:t>。</w:t>
      </w:r>
    </w:p>
    <w:p w14:paraId="3BF43582">
      <w:pPr>
        <w:spacing w:line="600" w:lineRule="exact"/>
        <w:ind w:firstLine="643" w:firstLineChars="200"/>
        <w:outlineLvl w:val="2"/>
        <w:rPr>
          <w:rFonts w:ascii="仿宋" w:hAnsi="仿宋" w:eastAsia="仿宋"/>
          <w:b/>
          <w:sz w:val="32"/>
          <w:szCs w:val="32"/>
        </w:rPr>
      </w:pPr>
      <w:bookmarkStart w:id="58" w:name="_Toc15377211"/>
      <w:r>
        <w:rPr>
          <w:rFonts w:hint="eastAsia" w:ascii="仿宋" w:hAnsi="仿宋" w:eastAsia="仿宋"/>
          <w:b/>
          <w:sz w:val="32"/>
          <w:szCs w:val="32"/>
        </w:rPr>
        <w:t>（二）一般公共预算财政拨款支出决算结构情况</w:t>
      </w:r>
      <w:bookmarkEnd w:id="58"/>
    </w:p>
    <w:p w14:paraId="638FE503">
      <w:pPr>
        <w:pStyle w:val="35"/>
        <w:keepNext w:val="0"/>
        <w:keepLines w:val="0"/>
        <w:widowControl/>
        <w:suppressLineNumbers w:val="0"/>
        <w:spacing w:before="0" w:beforeAutospacing="0"/>
        <w:ind w:left="0" w:firstLine="640" w:firstLineChars="200"/>
        <w:jc w:val="left"/>
        <w:rPr>
          <w:rFonts w:hint="eastAsia" w:ascii="仿宋_GB2312" w:hAnsi="宋体" w:eastAsia="仿宋_GB2312" w:cs="仿宋_GB2312"/>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rPr>
        <w:t>138</w:t>
      </w:r>
      <w:r>
        <w:rPr>
          <w:rFonts w:hint="eastAsia" w:ascii="仿宋" w:hAnsi="仿宋" w:eastAsia="仿宋"/>
          <w:b/>
          <w:sz w:val="32"/>
          <w:szCs w:val="32"/>
          <w:lang w:val="en-US" w:eastAsia="zh-CN"/>
        </w:rPr>
        <w:t>.</w:t>
      </w:r>
      <w:r>
        <w:rPr>
          <w:rFonts w:hint="eastAsia" w:ascii="仿宋" w:hAnsi="仿宋" w:eastAsia="仿宋"/>
          <w:b/>
          <w:sz w:val="32"/>
          <w:szCs w:val="32"/>
        </w:rPr>
        <w:t>5</w:t>
      </w:r>
      <w:r>
        <w:rPr>
          <w:rFonts w:hint="eastAsia" w:ascii="仿宋" w:hAnsi="仿宋" w:eastAsia="仿宋"/>
          <w:b/>
          <w:sz w:val="32"/>
          <w:szCs w:val="32"/>
          <w:lang w:val="en-US" w:eastAsia="zh-CN"/>
        </w:rPr>
        <w:t>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Style w:val="36"/>
          <w:rFonts w:hint="eastAsia" w:ascii="仿宋_GB2312" w:hAnsi="Times New Roman" w:eastAsia="仿宋_GB2312" w:cs="仿宋_GB2312"/>
          <w:b/>
          <w:bCs w:val="0"/>
          <w:sz w:val="32"/>
          <w:szCs w:val="32"/>
          <w:shd w:val="clear" w:fill="FFFFFF"/>
        </w:rPr>
        <w:t>社会保障和就业（类）</w:t>
      </w:r>
      <w:r>
        <w:rPr>
          <w:rFonts w:hint="eastAsia" w:ascii="仿宋_GB2312" w:hAnsi="宋体" w:eastAsia="仿宋_GB2312" w:cs="仿宋_GB2312"/>
          <w:kern w:val="0"/>
          <w:sz w:val="32"/>
          <w:szCs w:val="32"/>
          <w:shd w:val="clear" w:fill="FFFFFF"/>
        </w:rPr>
        <w:t>支出</w:t>
      </w:r>
      <w:r>
        <w:rPr>
          <w:rFonts w:hint="eastAsia" w:ascii="仿宋_GB2312" w:eastAsia="仿宋_GB2312" w:cs="仿宋_GB2312"/>
          <w:kern w:val="0"/>
          <w:sz w:val="32"/>
          <w:szCs w:val="32"/>
          <w:shd w:val="clear" w:fill="FFFFFF"/>
          <w:lang w:val="en-US" w:eastAsia="zh-CN"/>
        </w:rPr>
        <w:t>16.14</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11.6</w:t>
      </w:r>
      <w:r>
        <w:rPr>
          <w:rFonts w:hint="eastAsia" w:ascii="仿宋_GB2312" w:hAnsi="宋体" w:eastAsia="仿宋_GB2312" w:cs="仿宋_GB2312"/>
          <w:kern w:val="0"/>
          <w:sz w:val="32"/>
          <w:szCs w:val="32"/>
          <w:shd w:val="clear" w:fill="FFFFFF"/>
        </w:rPr>
        <w:t>%；</w:t>
      </w:r>
      <w:r>
        <w:rPr>
          <w:rStyle w:val="36"/>
          <w:rFonts w:hint="eastAsia" w:ascii="仿宋_GB2312" w:hAnsi="Times New Roman" w:eastAsia="仿宋_GB2312" w:cs="仿宋_GB2312"/>
          <w:b/>
          <w:bCs w:val="0"/>
          <w:sz w:val="32"/>
          <w:szCs w:val="32"/>
          <w:shd w:val="clear" w:fill="FFFFFF"/>
        </w:rPr>
        <w:t>卫生健康支出（类）</w:t>
      </w:r>
      <w:r>
        <w:rPr>
          <w:rFonts w:hint="eastAsia" w:ascii="仿宋_GB2312" w:eastAsia="仿宋_GB2312" w:cs="仿宋_GB2312"/>
          <w:kern w:val="0"/>
          <w:sz w:val="32"/>
          <w:szCs w:val="32"/>
          <w:shd w:val="clear" w:fill="FFFFFF"/>
          <w:lang w:val="en-US" w:eastAsia="zh-CN"/>
        </w:rPr>
        <w:t>8.97</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6.5</w:t>
      </w:r>
      <w:r>
        <w:rPr>
          <w:rFonts w:hint="eastAsia" w:ascii="仿宋_GB2312" w:hAnsi="宋体" w:eastAsia="仿宋_GB2312" w:cs="仿宋_GB2312"/>
          <w:kern w:val="0"/>
          <w:sz w:val="32"/>
          <w:szCs w:val="32"/>
          <w:shd w:val="clear" w:fill="FFFFFF"/>
        </w:rPr>
        <w:t>%；</w:t>
      </w:r>
      <w:r>
        <w:rPr>
          <w:rStyle w:val="36"/>
          <w:rFonts w:hint="eastAsia" w:ascii="仿宋_GB2312" w:hAnsi="Times New Roman" w:eastAsia="仿宋_GB2312" w:cs="仿宋_GB2312"/>
          <w:b/>
          <w:bCs w:val="0"/>
          <w:sz w:val="32"/>
          <w:szCs w:val="32"/>
          <w:shd w:val="clear" w:fill="FFFFFF"/>
        </w:rPr>
        <w:t>住房保障支出（类）</w:t>
      </w:r>
      <w:r>
        <w:rPr>
          <w:rFonts w:hint="eastAsia" w:ascii="仿宋_GB2312" w:eastAsia="仿宋_GB2312" w:cs="仿宋_GB2312"/>
          <w:kern w:val="0"/>
          <w:sz w:val="32"/>
          <w:szCs w:val="32"/>
          <w:shd w:val="clear" w:fill="FFFFFF"/>
          <w:lang w:val="en-US" w:eastAsia="zh-CN"/>
        </w:rPr>
        <w:t>9.08</w:t>
      </w:r>
      <w:r>
        <w:rPr>
          <w:rFonts w:hint="eastAsia" w:ascii="仿宋_GB2312" w:hAnsi="宋体" w:eastAsia="仿宋_GB2312" w:cs="仿宋_GB2312"/>
          <w:kern w:val="0"/>
          <w:sz w:val="32"/>
          <w:szCs w:val="32"/>
          <w:shd w:val="clear" w:fill="FFFFFF"/>
        </w:rPr>
        <w:t>万元，占</w:t>
      </w:r>
      <w:r>
        <w:rPr>
          <w:rFonts w:hint="eastAsia" w:ascii="仿宋_GB2312" w:eastAsia="仿宋_GB2312" w:cs="仿宋_GB2312"/>
          <w:kern w:val="0"/>
          <w:sz w:val="32"/>
          <w:szCs w:val="32"/>
          <w:shd w:val="clear" w:fill="FFFFFF"/>
          <w:lang w:val="en-US" w:eastAsia="zh-CN"/>
        </w:rPr>
        <w:t>6.6</w:t>
      </w:r>
      <w:r>
        <w:rPr>
          <w:rFonts w:hint="eastAsia" w:ascii="仿宋_GB2312" w:hAnsi="宋体" w:eastAsia="仿宋_GB2312" w:cs="仿宋_GB2312"/>
          <w:kern w:val="0"/>
          <w:sz w:val="32"/>
          <w:szCs w:val="32"/>
          <w:shd w:val="clear" w:fill="FFFFFF"/>
        </w:rPr>
        <w:t>%；</w:t>
      </w:r>
      <w:r>
        <w:rPr>
          <w:rStyle w:val="36"/>
          <w:rFonts w:hint="eastAsia" w:ascii="仿宋_GB2312" w:hAnsi="Times New Roman" w:eastAsia="仿宋_GB2312" w:cs="仿宋_GB2312"/>
          <w:b/>
          <w:bCs w:val="0"/>
          <w:sz w:val="32"/>
          <w:szCs w:val="32"/>
          <w:shd w:val="clear" w:fill="FFFFFF"/>
        </w:rPr>
        <w:t>商业服务业等支出（类）</w:t>
      </w:r>
      <w:r>
        <w:rPr>
          <w:rFonts w:hint="eastAsia" w:ascii="仿宋_GB2312" w:eastAsia="仿宋_GB2312" w:cs="仿宋_GB2312"/>
          <w:kern w:val="0"/>
          <w:sz w:val="32"/>
          <w:szCs w:val="32"/>
          <w:shd w:val="clear" w:fill="FFFFFF"/>
          <w:lang w:val="en-US" w:eastAsia="zh-CN"/>
        </w:rPr>
        <w:t>90.44</w:t>
      </w:r>
      <w:r>
        <w:rPr>
          <w:rFonts w:hint="eastAsia" w:ascii="仿宋_GB2312" w:hAnsi="宋体" w:eastAsia="仿宋_GB2312" w:cs="仿宋_GB2312"/>
          <w:kern w:val="0"/>
          <w:sz w:val="32"/>
          <w:szCs w:val="32"/>
          <w:shd w:val="clear" w:fill="FFFFFF"/>
        </w:rPr>
        <w:t>万元，占比</w:t>
      </w:r>
      <w:r>
        <w:rPr>
          <w:rFonts w:hint="eastAsia" w:ascii="仿宋_GB2312" w:eastAsia="仿宋_GB2312" w:cs="仿宋_GB2312"/>
          <w:kern w:val="0"/>
          <w:sz w:val="32"/>
          <w:szCs w:val="32"/>
          <w:shd w:val="clear" w:fill="FFFFFF"/>
          <w:lang w:val="en-US" w:eastAsia="zh-CN"/>
        </w:rPr>
        <w:t>65.26</w:t>
      </w:r>
      <w:r>
        <w:rPr>
          <w:rFonts w:hint="eastAsia" w:ascii="仿宋_GB2312" w:hAnsi="宋体" w:eastAsia="仿宋_GB2312" w:cs="仿宋_GB2312"/>
          <w:kern w:val="0"/>
          <w:sz w:val="32"/>
          <w:szCs w:val="32"/>
          <w:shd w:val="clear" w:fill="FFFFFF"/>
        </w:rPr>
        <w:t>%</w:t>
      </w:r>
      <w:r>
        <w:rPr>
          <w:rFonts w:hint="eastAsia" w:ascii="仿宋_GB2312" w:eastAsia="仿宋_GB2312" w:cs="仿宋_GB2312"/>
          <w:kern w:val="0"/>
          <w:sz w:val="32"/>
          <w:szCs w:val="32"/>
          <w:shd w:val="clear" w:fill="FFFFFF"/>
          <w:lang w:eastAsia="zh-CN"/>
        </w:rPr>
        <w:t>；农林水支出（类）</w:t>
      </w:r>
      <w:r>
        <w:rPr>
          <w:rFonts w:hint="eastAsia" w:ascii="仿宋_GB2312" w:eastAsia="仿宋_GB2312" w:cs="仿宋_GB2312"/>
          <w:kern w:val="0"/>
          <w:sz w:val="32"/>
          <w:szCs w:val="32"/>
          <w:shd w:val="clear" w:fill="FFFFFF"/>
          <w:lang w:val="en-US" w:eastAsia="zh-CN"/>
        </w:rPr>
        <w:t>13.96</w:t>
      </w:r>
      <w:r>
        <w:rPr>
          <w:rFonts w:hint="eastAsia" w:ascii="仿宋_GB2312" w:eastAsia="仿宋_GB2312" w:cs="仿宋_GB2312"/>
          <w:kern w:val="0"/>
          <w:sz w:val="32"/>
          <w:szCs w:val="32"/>
          <w:shd w:val="clear" w:fill="FFFFFF"/>
          <w:lang w:eastAsia="zh-CN"/>
        </w:rPr>
        <w:t>万元，占</w:t>
      </w:r>
      <w:r>
        <w:rPr>
          <w:rFonts w:hint="eastAsia" w:ascii="仿宋_GB2312" w:eastAsia="仿宋_GB2312" w:cs="仿宋_GB2312"/>
          <w:kern w:val="0"/>
          <w:sz w:val="32"/>
          <w:szCs w:val="32"/>
          <w:shd w:val="clear" w:fill="FFFFFF"/>
          <w:lang w:val="en-US" w:eastAsia="zh-CN"/>
        </w:rPr>
        <w:t>10%</w:t>
      </w:r>
      <w:r>
        <w:rPr>
          <w:rFonts w:hint="eastAsia" w:ascii="仿宋_GB2312" w:hAnsi="宋体" w:eastAsia="仿宋_GB2312" w:cs="仿宋_GB2312"/>
          <w:kern w:val="0"/>
          <w:sz w:val="32"/>
          <w:szCs w:val="32"/>
          <w:shd w:val="clear" w:fill="FFFFFF"/>
        </w:rPr>
        <w:t xml:space="preserve">。 </w:t>
      </w:r>
    </w:p>
    <w:p w14:paraId="05E607CB">
      <w:pPr>
        <w:spacing w:line="600" w:lineRule="exact"/>
        <w:ind w:firstLine="643" w:firstLineChars="200"/>
        <w:outlineLvl w:val="2"/>
        <w:rPr>
          <w:rFonts w:ascii="仿宋" w:hAnsi="仿宋" w:eastAsia="仿宋"/>
          <w:b/>
          <w:sz w:val="32"/>
          <w:szCs w:val="32"/>
        </w:rPr>
      </w:pPr>
      <w:bookmarkStart w:id="59" w:name="_Toc15377212"/>
      <w:r>
        <w:rPr>
          <w:rFonts w:hint="eastAsia" w:ascii="仿宋" w:hAnsi="仿宋" w:eastAsia="仿宋"/>
          <w:b/>
          <w:sz w:val="32"/>
          <w:szCs w:val="32"/>
        </w:rPr>
        <w:t>（三）一般公共预算财政拨款支出决算具体情况</w:t>
      </w:r>
      <w:bookmarkEnd w:id="59"/>
    </w:p>
    <w:p w14:paraId="5C4B13D6">
      <w:pPr>
        <w:spacing w:line="600" w:lineRule="exact"/>
        <w:ind w:firstLine="640" w:firstLineChars="200"/>
        <w:rPr>
          <w:rFonts w:hint="eastAsia" w:ascii="仿宋_GB2312" w:hAnsi="宋体" w:eastAsia="仿宋_GB2312" w:cs="仿宋_GB2312"/>
          <w:color w:val="auto"/>
          <w:kern w:val="0"/>
          <w:sz w:val="32"/>
          <w:szCs w:val="32"/>
          <w:shd w:val="clear" w:color="auto" w:fill="FFFFFF"/>
          <w:lang w:val="en-US" w:eastAsia="zh-CN"/>
        </w:rPr>
      </w:pPr>
      <w:bookmarkStart w:id="60" w:name="_Toc15377213"/>
      <w:bookmarkStart w:id="61" w:name="_Toc15378460"/>
      <w:bookmarkStart w:id="62" w:name="_Toc15377444"/>
      <w:r>
        <w:rPr>
          <w:rFonts w:hint="eastAsia" w:ascii="仿宋_GB2312" w:hAnsi="宋体" w:eastAsia="仿宋_GB2312" w:cs="仿宋_GB2312"/>
          <w:color w:val="auto"/>
          <w:kern w:val="0"/>
          <w:sz w:val="32"/>
          <w:szCs w:val="32"/>
          <w:shd w:val="clear" w:color="auto" w:fill="FFFFFF"/>
          <w:lang w:val="en-US" w:eastAsia="zh-CN"/>
        </w:rPr>
        <w:t>2024年度一般公共预算支出决算数为138.59，完成预算100%。其中：</w:t>
      </w:r>
      <w:bookmarkEnd w:id="60"/>
      <w:bookmarkEnd w:id="61"/>
      <w:bookmarkEnd w:id="62"/>
    </w:p>
    <w:p w14:paraId="4A21C2F5">
      <w:pPr>
        <w:spacing w:line="600" w:lineRule="exact"/>
        <w:ind w:firstLine="640" w:firstLineChars="200"/>
        <w:rPr>
          <w:rFonts w:hint="eastAsia" w:ascii="仿宋_GB2312" w:hAnsi="宋体" w:eastAsia="仿宋_GB2312" w:cs="仿宋_GB2312"/>
          <w:color w:val="auto"/>
          <w:kern w:val="0"/>
          <w:sz w:val="32"/>
          <w:szCs w:val="32"/>
          <w:shd w:val="clear" w:color="auto" w:fill="FFFFFF"/>
          <w:lang w:eastAsia="zh-CN"/>
        </w:rPr>
      </w:pPr>
      <w:r>
        <w:rPr>
          <w:rFonts w:hint="eastAsia" w:ascii="仿宋_GB2312" w:hAnsi="宋体" w:eastAsia="仿宋_GB2312" w:cs="仿宋_GB2312"/>
          <w:color w:val="auto"/>
          <w:kern w:val="0"/>
          <w:sz w:val="32"/>
          <w:szCs w:val="32"/>
          <w:shd w:val="clear" w:color="auto" w:fill="FFFFFF"/>
        </w:rPr>
        <w:t>1.</w:t>
      </w:r>
      <w:r>
        <w:rPr>
          <w:rFonts w:hint="eastAsia" w:ascii="仿宋_GB2312" w:hAnsi="宋体" w:eastAsia="仿宋_GB2312" w:cs="仿宋_GB2312"/>
          <w:color w:val="auto"/>
          <w:kern w:val="0"/>
          <w:sz w:val="32"/>
          <w:szCs w:val="32"/>
          <w:shd w:val="clear" w:color="auto" w:fill="FFFFFF"/>
          <w:lang w:val="en-US" w:eastAsia="zh-CN"/>
        </w:rPr>
        <w:t>商业服务业等支出216：</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90.44</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2A7E6AFE">
      <w:pPr>
        <w:keepNext w:val="0"/>
        <w:keepLines w:val="0"/>
        <w:pageBreakBefore w:val="0"/>
        <w:widowControl w:val="0"/>
        <w:suppressLineNumbers w:val="0"/>
        <w:wordWrap/>
        <w:overflowPunct/>
        <w:topLinePunct w:val="0"/>
        <w:autoSpaceDE w:val="0"/>
        <w:autoSpaceDN/>
        <w:bidi w:val="0"/>
        <w:spacing w:after="0" w:afterAutospacing="0" w:line="580" w:lineRule="exact"/>
        <w:ind w:left="0" w:leftChars="0" w:firstLine="640" w:firstLineChars="200"/>
        <w:jc w:val="both"/>
        <w:rPr>
          <w:rFonts w:hint="eastAsia" w:ascii="仿宋_GB2312" w:hAnsi="宋体" w:eastAsia="仿宋_GB2312" w:cs="仿宋_GB2312"/>
          <w:color w:val="auto"/>
          <w:kern w:val="0"/>
          <w:sz w:val="32"/>
          <w:szCs w:val="32"/>
          <w:shd w:val="clear" w:color="auto" w:fill="FFFFFF"/>
        </w:rPr>
      </w:pPr>
      <w:r>
        <w:rPr>
          <w:rFonts w:hint="eastAsia" w:ascii="仿宋_GB2312" w:hAnsi="宋体" w:eastAsia="仿宋_GB2312" w:cs="仿宋_GB2312"/>
          <w:color w:val="auto"/>
          <w:kern w:val="0"/>
          <w:sz w:val="32"/>
          <w:szCs w:val="32"/>
          <w:shd w:val="clear" w:color="auto" w:fill="FFFFFF"/>
        </w:rPr>
        <w:t>2.社会保障和就业支出208: 支出决算为</w:t>
      </w:r>
      <w:r>
        <w:rPr>
          <w:rFonts w:hint="eastAsia" w:ascii="仿宋_GB2312" w:eastAsia="仿宋_GB2312" w:cs="仿宋_GB2312"/>
          <w:color w:val="auto"/>
          <w:kern w:val="0"/>
          <w:sz w:val="32"/>
          <w:szCs w:val="32"/>
          <w:shd w:val="clear" w:color="auto" w:fill="FFFFFF"/>
          <w:lang w:val="en-US" w:eastAsia="zh-CN"/>
        </w:rPr>
        <w:t>16.14</w:t>
      </w:r>
      <w:r>
        <w:rPr>
          <w:rFonts w:hint="eastAsia" w:ascii="仿宋_GB2312" w:hAnsi="宋体" w:eastAsia="仿宋_GB2312" w:cs="仿宋_GB2312"/>
          <w:color w:val="auto"/>
          <w:kern w:val="0"/>
          <w:sz w:val="32"/>
          <w:szCs w:val="32"/>
          <w:shd w:val="clear" w:color="auto" w:fill="FFFFFF"/>
        </w:rPr>
        <w:t>万元，完成预算100%。</w:t>
      </w:r>
    </w:p>
    <w:p w14:paraId="48E2DCF0">
      <w:pPr>
        <w:keepNext w:val="0"/>
        <w:keepLines w:val="0"/>
        <w:pageBreakBefore w:val="0"/>
        <w:widowControl w:val="0"/>
        <w:suppressLineNumbers w:val="0"/>
        <w:wordWrap/>
        <w:overflowPunct/>
        <w:topLinePunct w:val="0"/>
        <w:autoSpaceDE w:val="0"/>
        <w:autoSpaceDN/>
        <w:bidi w:val="0"/>
        <w:spacing w:after="0" w:afterAutospacing="0" w:line="580" w:lineRule="exact"/>
        <w:ind w:left="0" w:leftChars="0" w:firstLine="640" w:firstLineChars="200"/>
        <w:jc w:val="both"/>
        <w:rPr>
          <w:rFonts w:hint="eastAsia" w:ascii="仿宋_GB2312" w:hAnsi="宋体" w:eastAsia="仿宋_GB2312" w:cs="仿宋_GB2312"/>
          <w:color w:val="auto"/>
          <w:kern w:val="0"/>
          <w:sz w:val="32"/>
          <w:szCs w:val="32"/>
          <w:shd w:val="clear" w:color="auto" w:fill="FFFFFF"/>
        </w:rPr>
      </w:pPr>
      <w:r>
        <w:rPr>
          <w:rFonts w:hint="eastAsia" w:ascii="仿宋_GB2312" w:hAnsi="宋体" w:eastAsia="仿宋_GB2312" w:cs="仿宋_GB2312"/>
          <w:color w:val="auto"/>
          <w:kern w:val="0"/>
          <w:sz w:val="32"/>
          <w:szCs w:val="32"/>
          <w:shd w:val="clear" w:color="auto" w:fill="FFFFFF"/>
        </w:rPr>
        <w:t>3.卫生健康支出210</w:t>
      </w:r>
      <w:r>
        <w:rPr>
          <w:rFonts w:hint="eastAsia" w:ascii="仿宋_GB2312" w:hAnsi="宋体" w:eastAsia="仿宋_GB2312" w:cs="仿宋_GB2312"/>
          <w:color w:val="auto"/>
          <w:kern w:val="0"/>
          <w:sz w:val="32"/>
          <w:szCs w:val="32"/>
          <w:shd w:val="clear" w:color="auto" w:fill="FFFFFF"/>
          <w:lang w:eastAsia="zh-CN"/>
        </w:rPr>
        <w:t>：</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8.97</w:t>
      </w:r>
      <w:r>
        <w:rPr>
          <w:rFonts w:hint="eastAsia" w:ascii="仿宋_GB2312" w:hAnsi="宋体" w:eastAsia="仿宋_GB2312" w:cs="仿宋_GB2312"/>
          <w:color w:val="auto"/>
          <w:kern w:val="0"/>
          <w:sz w:val="32"/>
          <w:szCs w:val="32"/>
          <w:shd w:val="clear" w:color="auto" w:fill="FFFFFF"/>
        </w:rPr>
        <w:t>万元，完成预算100%。</w:t>
      </w:r>
    </w:p>
    <w:p w14:paraId="6BC6F426">
      <w:pPr>
        <w:spacing w:line="600" w:lineRule="exact"/>
        <w:ind w:firstLine="640" w:firstLineChars="200"/>
        <w:rPr>
          <w:rFonts w:hint="eastAsia" w:ascii="仿宋_GB2312" w:hAnsi="宋体" w:eastAsia="仿宋_GB2312" w:cs="仿宋_GB2312"/>
          <w:color w:val="auto"/>
          <w:kern w:val="0"/>
          <w:sz w:val="32"/>
          <w:szCs w:val="32"/>
          <w:shd w:val="clear" w:color="auto" w:fill="FFFFFF"/>
          <w:lang w:eastAsia="zh-CN"/>
        </w:rPr>
      </w:pPr>
      <w:r>
        <w:rPr>
          <w:rFonts w:hint="eastAsia" w:ascii="仿宋_GB2312" w:hAnsi="宋体" w:eastAsia="仿宋_GB2312" w:cs="仿宋_GB2312"/>
          <w:color w:val="auto"/>
          <w:kern w:val="0"/>
          <w:sz w:val="32"/>
          <w:szCs w:val="32"/>
          <w:shd w:val="clear" w:color="auto" w:fill="FFFFFF"/>
        </w:rPr>
        <w:t>4. 住房保障支出221: 支出决算为</w:t>
      </w:r>
      <w:r>
        <w:rPr>
          <w:rFonts w:hint="eastAsia" w:ascii="仿宋_GB2312" w:eastAsia="仿宋_GB2312" w:cs="仿宋_GB2312"/>
          <w:color w:val="auto"/>
          <w:kern w:val="0"/>
          <w:sz w:val="32"/>
          <w:szCs w:val="32"/>
          <w:shd w:val="clear" w:color="auto" w:fill="FFFFFF"/>
          <w:lang w:val="en-US" w:eastAsia="zh-CN"/>
        </w:rPr>
        <w:t>9.08</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0CB37120">
      <w:pPr>
        <w:spacing w:line="600" w:lineRule="exact"/>
        <w:ind w:firstLine="640" w:firstLineChars="200"/>
        <w:rPr>
          <w:rFonts w:hint="default" w:ascii="仿宋_GB2312" w:hAnsi="宋体" w:eastAsia="仿宋_GB2312" w:cs="仿宋_GB2312"/>
          <w:color w:val="auto"/>
          <w:kern w:val="0"/>
          <w:sz w:val="32"/>
          <w:szCs w:val="32"/>
          <w:shd w:val="clear" w:color="auto" w:fill="FFFFFF"/>
          <w:lang w:val="en-US" w:eastAsia="zh-CN"/>
        </w:rPr>
      </w:pPr>
      <w:r>
        <w:rPr>
          <w:rFonts w:hint="eastAsia" w:ascii="仿宋_GB2312" w:hAnsi="宋体" w:eastAsia="仿宋_GB2312" w:cs="仿宋_GB2312"/>
          <w:color w:val="auto"/>
          <w:kern w:val="0"/>
          <w:sz w:val="32"/>
          <w:szCs w:val="32"/>
          <w:shd w:val="clear" w:color="auto" w:fill="FFFFFF"/>
          <w:lang w:val="en-US" w:eastAsia="zh-CN"/>
        </w:rPr>
        <w:t>5.农林水支出2130199：</w:t>
      </w:r>
      <w:r>
        <w:rPr>
          <w:rFonts w:hint="eastAsia" w:ascii="仿宋_GB2312" w:hAnsi="宋体" w:eastAsia="仿宋_GB2312" w:cs="仿宋_GB2312"/>
          <w:color w:val="auto"/>
          <w:kern w:val="0"/>
          <w:sz w:val="32"/>
          <w:szCs w:val="32"/>
          <w:shd w:val="clear" w:color="auto" w:fill="FFFFFF"/>
        </w:rPr>
        <w:t>支出决算为</w:t>
      </w:r>
      <w:r>
        <w:rPr>
          <w:rFonts w:hint="eastAsia" w:ascii="仿宋_GB2312" w:eastAsia="仿宋_GB2312" w:cs="仿宋_GB2312"/>
          <w:color w:val="auto"/>
          <w:kern w:val="0"/>
          <w:sz w:val="32"/>
          <w:szCs w:val="32"/>
          <w:shd w:val="clear" w:color="auto" w:fill="FFFFFF"/>
          <w:lang w:val="en-US" w:eastAsia="zh-CN"/>
        </w:rPr>
        <w:t>13.96</w:t>
      </w:r>
      <w:r>
        <w:rPr>
          <w:rFonts w:hint="eastAsia" w:ascii="仿宋_GB2312" w:hAnsi="宋体" w:eastAsia="仿宋_GB2312" w:cs="仿宋_GB2312"/>
          <w:color w:val="auto"/>
          <w:kern w:val="0"/>
          <w:sz w:val="32"/>
          <w:szCs w:val="32"/>
          <w:shd w:val="clear" w:color="auto" w:fill="FFFFFF"/>
        </w:rPr>
        <w:t>万元，完成预算100%</w:t>
      </w:r>
      <w:r>
        <w:rPr>
          <w:rFonts w:hint="eastAsia" w:ascii="仿宋_GB2312" w:hAnsi="宋体" w:eastAsia="仿宋_GB2312" w:cs="仿宋_GB2312"/>
          <w:color w:val="auto"/>
          <w:kern w:val="0"/>
          <w:sz w:val="32"/>
          <w:szCs w:val="32"/>
          <w:shd w:val="clear" w:color="auto" w:fill="FFFFFF"/>
          <w:lang w:eastAsia="zh-CN"/>
        </w:rPr>
        <w:t>。</w:t>
      </w:r>
    </w:p>
    <w:p w14:paraId="515CFC32">
      <w:pPr>
        <w:spacing w:line="600" w:lineRule="exact"/>
        <w:ind w:firstLine="640"/>
        <w:rPr>
          <w:rFonts w:ascii="仿宋" w:hAnsi="仿宋" w:eastAsia="仿宋"/>
          <w:b/>
          <w:sz w:val="32"/>
          <w:szCs w:val="32"/>
        </w:rPr>
      </w:pPr>
    </w:p>
    <w:p w14:paraId="4F2078E7">
      <w:pPr>
        <w:tabs>
          <w:tab w:val="right" w:pos="8306"/>
        </w:tabs>
        <w:spacing w:line="600" w:lineRule="exact"/>
        <w:ind w:firstLine="640"/>
        <w:outlineLvl w:val="1"/>
        <w:rPr>
          <w:rStyle w:val="29"/>
        </w:rPr>
      </w:pPr>
      <w:bookmarkStart w:id="63" w:name="_Toc326"/>
      <w:bookmarkStart w:id="64" w:name="_Toc15377214"/>
      <w:bookmarkStart w:id="65" w:name="_Toc27842"/>
      <w:bookmarkStart w:id="6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63"/>
      <w:bookmarkEnd w:id="64"/>
      <w:bookmarkEnd w:id="65"/>
      <w:bookmarkEnd w:id="66"/>
      <w:r>
        <w:rPr>
          <w:rStyle w:val="29"/>
          <w:rFonts w:ascii="黑体" w:hAnsi="黑体" w:eastAsia="黑体"/>
          <w:b w:val="0"/>
        </w:rPr>
        <w:tab/>
      </w:r>
    </w:p>
    <w:p w14:paraId="026A9FFD">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sz w:val="32"/>
          <w:szCs w:val="32"/>
        </w:rPr>
        <w:t>124</w:t>
      </w:r>
      <w:r>
        <w:rPr>
          <w:rFonts w:hint="eastAsia"/>
          <w:sz w:val="32"/>
          <w:szCs w:val="32"/>
          <w:lang w:val="en-US" w:eastAsia="zh-CN"/>
        </w:rPr>
        <w:t>.</w:t>
      </w:r>
      <w:r>
        <w:rPr>
          <w:rFonts w:hint="eastAsia"/>
          <w:sz w:val="32"/>
          <w:szCs w:val="32"/>
        </w:rPr>
        <w:t>6</w:t>
      </w:r>
      <w:r>
        <w:rPr>
          <w:rFonts w:hint="eastAsia"/>
          <w:sz w:val="32"/>
          <w:szCs w:val="32"/>
          <w:lang w:val="en-US" w:eastAsia="zh-CN"/>
        </w:rPr>
        <w:t>3</w:t>
      </w:r>
      <w:r>
        <w:rPr>
          <w:rFonts w:hint="eastAsia" w:ascii="仿宋" w:hAnsi="仿宋" w:eastAsia="仿宋"/>
          <w:sz w:val="32"/>
          <w:szCs w:val="32"/>
        </w:rPr>
        <w:t>万元，其中：</w:t>
      </w:r>
    </w:p>
    <w:p w14:paraId="621E9A74">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sz w:val="32"/>
          <w:szCs w:val="32"/>
        </w:rPr>
        <w:t>120</w:t>
      </w:r>
      <w:r>
        <w:rPr>
          <w:rFonts w:hint="eastAsia"/>
          <w:sz w:val="32"/>
          <w:szCs w:val="32"/>
          <w:lang w:val="en-US" w:eastAsia="zh-CN"/>
        </w:rPr>
        <w:t>.</w:t>
      </w:r>
      <w:r>
        <w:rPr>
          <w:rFonts w:hint="eastAsia"/>
          <w:sz w:val="32"/>
          <w:szCs w:val="32"/>
        </w:rPr>
        <w:t>66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3.97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FCF0D9">
      <w:pPr>
        <w:spacing w:line="600" w:lineRule="exact"/>
        <w:ind w:firstLine="640"/>
        <w:outlineLvl w:val="1"/>
        <w:rPr>
          <w:rStyle w:val="29"/>
          <w:rFonts w:ascii="黑体" w:hAnsi="黑体" w:eastAsia="黑体"/>
          <w:b w:val="0"/>
        </w:rPr>
      </w:pPr>
      <w:bookmarkStart w:id="67" w:name="_Toc26604"/>
      <w:bookmarkStart w:id="68" w:name="_Toc13949"/>
      <w:bookmarkStart w:id="69" w:name="_Toc15377215"/>
      <w:bookmarkStart w:id="70"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7"/>
      <w:bookmarkEnd w:id="68"/>
      <w:bookmarkEnd w:id="69"/>
      <w:bookmarkEnd w:id="70"/>
    </w:p>
    <w:p w14:paraId="3DB257F6">
      <w:pPr>
        <w:spacing w:line="600" w:lineRule="exact"/>
        <w:ind w:firstLine="640"/>
        <w:outlineLvl w:val="2"/>
        <w:rPr>
          <w:rFonts w:ascii="仿宋" w:hAnsi="仿宋" w:eastAsia="仿宋"/>
          <w:b/>
          <w:sz w:val="32"/>
          <w:szCs w:val="32"/>
        </w:rPr>
      </w:pPr>
      <w:bookmarkStart w:id="71" w:name="_Toc15377218"/>
      <w:bookmarkStart w:id="72" w:name="_Toc15396610"/>
      <w:r>
        <w:rPr>
          <w:rFonts w:hint="eastAsia" w:ascii="仿宋" w:hAnsi="仿宋" w:eastAsia="仿宋"/>
          <w:b/>
          <w:sz w:val="32"/>
          <w:szCs w:val="32"/>
          <w:lang w:eastAsia="zh-CN"/>
        </w:rPr>
        <w:t>（一）</w:t>
      </w:r>
      <w:r>
        <w:rPr>
          <w:rFonts w:hint="eastAsia" w:ascii="仿宋" w:hAnsi="仿宋" w:eastAsia="仿宋"/>
          <w:b/>
          <w:sz w:val="32"/>
          <w:szCs w:val="32"/>
        </w:rPr>
        <w:t>“三公”经费财政拨款支出决算总体情况说明</w:t>
      </w:r>
    </w:p>
    <w:p w14:paraId="3216C991">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p>
    <w:p w14:paraId="1BB03DE8">
      <w:pPr>
        <w:spacing w:line="600" w:lineRule="exact"/>
        <w:ind w:firstLine="640"/>
        <w:outlineLvl w:val="2"/>
        <w:rPr>
          <w:rFonts w:ascii="仿宋" w:hAnsi="仿宋" w:eastAsia="仿宋"/>
          <w:b/>
          <w:sz w:val="32"/>
          <w:szCs w:val="32"/>
        </w:rPr>
      </w:pPr>
      <w:bookmarkStart w:id="73" w:name="_Toc15377217"/>
      <w:r>
        <w:rPr>
          <w:rFonts w:hint="eastAsia" w:ascii="仿宋" w:hAnsi="仿宋" w:eastAsia="仿宋"/>
          <w:b/>
          <w:sz w:val="32"/>
          <w:szCs w:val="32"/>
        </w:rPr>
        <w:t>（二）“三公”经费财政拨款支出决算具体情况说明</w:t>
      </w:r>
      <w:bookmarkEnd w:id="73"/>
    </w:p>
    <w:p w14:paraId="28747D80">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7BE00D14">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14:paraId="6493044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68604A95">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612B5107">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210A6258">
      <w:pPr>
        <w:spacing w:line="600" w:lineRule="exact"/>
        <w:ind w:firstLine="643" w:firstLineChars="200"/>
        <w:rPr>
          <w:rFonts w:ascii="黑体" w:eastAsia="黑体"/>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5ECFA092">
      <w:pPr>
        <w:spacing w:line="600" w:lineRule="exact"/>
        <w:ind w:firstLine="640"/>
        <w:outlineLvl w:val="1"/>
        <w:rPr>
          <w:rStyle w:val="29"/>
          <w:rFonts w:ascii="黑体" w:hAnsi="黑体" w:eastAsia="黑体"/>
        </w:rPr>
      </w:pPr>
      <w:bookmarkStart w:id="74" w:name="_Toc20456"/>
      <w:bookmarkStart w:id="75" w:name="_Toc17354"/>
      <w:r>
        <w:rPr>
          <w:rFonts w:hint="eastAsia" w:ascii="黑体" w:eastAsia="黑体"/>
          <w:sz w:val="32"/>
          <w:szCs w:val="32"/>
        </w:rPr>
        <w:t>八、</w:t>
      </w:r>
      <w:r>
        <w:rPr>
          <w:rStyle w:val="29"/>
          <w:rFonts w:hint="eastAsia" w:ascii="黑体" w:hAnsi="黑体" w:eastAsia="黑体"/>
          <w:b w:val="0"/>
        </w:rPr>
        <w:t>政府性基金预算支出决算情况说明</w:t>
      </w:r>
      <w:bookmarkEnd w:id="71"/>
      <w:bookmarkEnd w:id="72"/>
      <w:bookmarkEnd w:id="74"/>
      <w:bookmarkEnd w:id="75"/>
    </w:p>
    <w:p w14:paraId="33BBAAE7">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4E19F3A6">
      <w:pPr>
        <w:numPr>
          <w:ilvl w:val="0"/>
          <w:numId w:val="3"/>
        </w:numPr>
        <w:spacing w:line="600" w:lineRule="exact"/>
        <w:ind w:firstLine="640"/>
        <w:outlineLvl w:val="1"/>
        <w:rPr>
          <w:rStyle w:val="29"/>
          <w:rFonts w:ascii="黑体" w:hAnsi="黑体" w:eastAsia="黑体"/>
          <w:b w:val="0"/>
        </w:rPr>
      </w:pPr>
      <w:bookmarkStart w:id="76" w:name="_Toc15396611"/>
      <w:bookmarkStart w:id="77" w:name="_Toc32473"/>
      <w:bookmarkStart w:id="78" w:name="_Toc19608"/>
      <w:bookmarkStart w:id="79" w:name="_Toc15377219"/>
      <w:r>
        <w:rPr>
          <w:rStyle w:val="29"/>
          <w:rFonts w:hint="eastAsia" w:ascii="黑体" w:hAnsi="黑体" w:eastAsia="黑体"/>
          <w:b w:val="0"/>
        </w:rPr>
        <w:t>国有资本经营预算支出决算情况说明</w:t>
      </w:r>
      <w:bookmarkEnd w:id="76"/>
      <w:bookmarkEnd w:id="77"/>
      <w:bookmarkEnd w:id="78"/>
      <w:bookmarkEnd w:id="79"/>
    </w:p>
    <w:p w14:paraId="44E75A47">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7337A064">
      <w:pPr>
        <w:numPr>
          <w:ilvl w:val="0"/>
          <w:numId w:val="3"/>
        </w:numPr>
        <w:spacing w:line="600" w:lineRule="exact"/>
        <w:ind w:firstLine="640"/>
        <w:outlineLvl w:val="1"/>
        <w:rPr>
          <w:rStyle w:val="29"/>
          <w:rFonts w:ascii="黑体" w:hAnsi="黑体" w:eastAsia="黑体"/>
          <w:b w:val="0"/>
        </w:rPr>
      </w:pPr>
      <w:bookmarkStart w:id="80" w:name="_Toc15377221"/>
      <w:bookmarkStart w:id="81" w:name="_Toc15396612"/>
      <w:bookmarkStart w:id="82" w:name="_Toc19789"/>
      <w:bookmarkStart w:id="83" w:name="_Toc3967"/>
      <w:r>
        <w:rPr>
          <w:rStyle w:val="29"/>
          <w:rFonts w:hint="eastAsia" w:ascii="黑体" w:hAnsi="黑体" w:eastAsia="黑体"/>
          <w:b w:val="0"/>
        </w:rPr>
        <w:t>其他重要事项的情况说明</w:t>
      </w:r>
      <w:bookmarkEnd w:id="80"/>
      <w:bookmarkEnd w:id="81"/>
      <w:bookmarkEnd w:id="82"/>
      <w:bookmarkEnd w:id="83"/>
    </w:p>
    <w:p w14:paraId="40BC51E3">
      <w:pPr>
        <w:spacing w:line="600" w:lineRule="exact"/>
        <w:ind w:firstLine="643" w:firstLineChars="200"/>
        <w:outlineLvl w:val="2"/>
        <w:rPr>
          <w:rFonts w:ascii="仿宋" w:hAnsi="仿宋" w:eastAsia="仿宋"/>
          <w:sz w:val="32"/>
          <w:szCs w:val="32"/>
        </w:rPr>
      </w:pPr>
      <w:bookmarkStart w:id="84" w:name="_Toc15377222"/>
      <w:bookmarkStart w:id="85" w:name="_Toc15377223"/>
      <w:r>
        <w:rPr>
          <w:rFonts w:hint="eastAsia" w:ascii="仿宋" w:hAnsi="仿宋" w:eastAsia="仿宋"/>
          <w:b/>
          <w:sz w:val="32"/>
          <w:szCs w:val="32"/>
        </w:rPr>
        <w:t>（一）机关运行经费支出情况</w:t>
      </w:r>
      <w:bookmarkEnd w:id="84"/>
    </w:p>
    <w:p w14:paraId="729D08F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年度，阿坝州松潘县供销合作社联合社机关运行经费支出</w:t>
      </w:r>
      <w:r>
        <w:rPr>
          <w:rFonts w:hint="eastAsia" w:ascii="仿宋_GB2312" w:eastAsia="仿宋_GB2312"/>
          <w:sz w:val="32"/>
          <w:szCs w:val="32"/>
          <w:lang w:val="en-US" w:eastAsia="zh-CN"/>
        </w:rPr>
        <w:t>3.97</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0.5</w:t>
      </w:r>
      <w:r>
        <w:rPr>
          <w:rFonts w:hint="eastAsia" w:ascii="仿宋_GB2312" w:eastAsia="仿宋_GB2312"/>
          <w:sz w:val="32"/>
          <w:szCs w:val="32"/>
        </w:rPr>
        <w:t>万元，增长</w:t>
      </w:r>
      <w:r>
        <w:rPr>
          <w:rFonts w:hint="eastAsia" w:ascii="仿宋_GB2312" w:eastAsia="仿宋_GB2312"/>
          <w:sz w:val="32"/>
          <w:szCs w:val="32"/>
          <w:lang w:val="en-US" w:eastAsia="zh-CN"/>
        </w:rPr>
        <w:t>4.5</w:t>
      </w:r>
      <w:r>
        <w:rPr>
          <w:rFonts w:hint="eastAsia" w:ascii="仿宋_GB2312" w:eastAsia="仿宋_GB2312"/>
          <w:sz w:val="32"/>
          <w:szCs w:val="32"/>
        </w:rPr>
        <w:t>%。主要原因</w:t>
      </w:r>
      <w:r>
        <w:rPr>
          <w:rFonts w:hint="eastAsia" w:ascii="仿宋_GB2312" w:eastAsia="仿宋_GB2312"/>
          <w:sz w:val="32"/>
          <w:szCs w:val="32"/>
          <w:lang w:val="en-US" w:eastAsia="zh-CN"/>
        </w:rPr>
        <w:t>供销社办公费增加</w:t>
      </w:r>
      <w:r>
        <w:rPr>
          <w:rFonts w:hint="eastAsia" w:ascii="仿宋_GB2312" w:eastAsia="仿宋_GB2312"/>
          <w:sz w:val="32"/>
          <w:szCs w:val="32"/>
        </w:rPr>
        <w:t>。</w:t>
      </w:r>
    </w:p>
    <w:p w14:paraId="0503A51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85"/>
    </w:p>
    <w:p w14:paraId="37541FBA">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松潘县供销合作社联合社本级</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6F2AE7FE">
      <w:pPr>
        <w:autoSpaceDE w:val="0"/>
        <w:autoSpaceDN w:val="0"/>
        <w:adjustRightInd w:val="0"/>
        <w:spacing w:line="600" w:lineRule="exact"/>
        <w:ind w:firstLine="643" w:firstLineChars="200"/>
        <w:jc w:val="left"/>
        <w:outlineLvl w:val="2"/>
        <w:rPr>
          <w:rFonts w:ascii="仿宋" w:hAnsi="仿宋" w:eastAsia="仿宋"/>
          <w:b/>
          <w:sz w:val="32"/>
          <w:szCs w:val="32"/>
        </w:rPr>
      </w:pPr>
      <w:bookmarkStart w:id="86" w:name="_Toc15377224"/>
      <w:r>
        <w:rPr>
          <w:rFonts w:hint="eastAsia" w:ascii="仿宋" w:hAnsi="仿宋" w:eastAsia="仿宋"/>
          <w:b/>
          <w:sz w:val="32"/>
          <w:szCs w:val="32"/>
        </w:rPr>
        <w:t>（三）国有资产占有使用情况</w:t>
      </w:r>
      <w:bookmarkEnd w:id="86"/>
    </w:p>
    <w:p w14:paraId="2C7C188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松潘县供销合作社联合社本级</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5FF2BF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CB3964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年农资储备和价格补贴项目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w:t>
      </w:r>
      <w:bookmarkStart w:id="118" w:name="_GoBack"/>
      <w:r>
        <w:rPr>
          <w:rFonts w:hint="eastAsia" w:ascii="仿宋_GB2312" w:hAnsi="仿宋_GB2312" w:eastAsia="仿宋_GB2312" w:cs="仿宋_GB2312"/>
          <w:sz w:val="32"/>
          <w:szCs w:val="32"/>
          <w:lang w:eastAsia="zh-CN"/>
        </w:rPr>
        <w:t>，在</w:t>
      </w:r>
      <w:bookmarkEnd w:id="118"/>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14:paraId="480660A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年度一般公共预算、政府性基金预算、国有资本经营预算、社会保险基金预算以及资本资产、债券资金等全面开展绩效自评，形成松潘县供销合作社联合社202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年整体支出绩效评价报告、</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年农资储备和价格补贴项目</w:t>
      </w:r>
      <w:r>
        <w:rPr>
          <w:rFonts w:hint="eastAsia" w:ascii="仿宋_GB2312" w:hAnsi="仿宋_GB2312" w:eastAsia="仿宋_GB2312" w:cs="仿宋_GB2312"/>
          <w:sz w:val="32"/>
          <w:szCs w:val="32"/>
        </w:rPr>
        <w:t>等专项预算项目绩效自评报告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年整体支出绩效自评得分为</w:t>
      </w:r>
      <w:r>
        <w:rPr>
          <w:rFonts w:hint="eastAsia" w:ascii="仿宋_GB2312" w:hAnsi="仿宋_GB2312" w:cs="仿宋_GB2312"/>
          <w:sz w:val="32"/>
          <w:szCs w:val="32"/>
          <w:lang w:val="en-US" w:eastAsia="zh-CN"/>
        </w:rPr>
        <w:t>92.44</w:t>
      </w:r>
      <w:r>
        <w:rPr>
          <w:rFonts w:hint="eastAsia" w:ascii="仿宋_GB2312" w:hAnsi="仿宋_GB2312" w:eastAsia="仿宋_GB2312" w:cs="仿宋_GB2312"/>
          <w:sz w:val="32"/>
          <w:szCs w:val="32"/>
        </w:rPr>
        <w:t>分，</w:t>
      </w:r>
      <w:r>
        <w:rPr>
          <w:rFonts w:hint="eastAsia" w:ascii="仿宋_GB2312" w:hAnsi="宋体" w:eastAsia="仿宋_GB2312" w:cs="仿宋_GB2312"/>
          <w:kern w:val="0"/>
          <w:sz w:val="32"/>
          <w:szCs w:val="32"/>
          <w:shd w:val="clear" w:color="auto" w:fill="FFFFFF"/>
        </w:rPr>
        <w:t>从评价情况来看</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严格按要求进行预算管理要求</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对日常公用经费、项目支出严格按程序进行</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预算收入基本等于支出</w:t>
      </w:r>
      <w:r>
        <w:rPr>
          <w:rFonts w:hint="eastAsia" w:ascii="仿宋_GB2312" w:hAnsi="仿宋_GB2312" w:eastAsia="仿宋_GB2312" w:cs="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年农资储备和价格补贴</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分，绩效自评综述：</w:t>
      </w:r>
      <w:r>
        <w:rPr>
          <w:rFonts w:hint="eastAsia" w:ascii="仿宋_GB2312" w:hAnsi="宋体" w:eastAsia="仿宋_GB2312" w:cs="仿宋_GB2312"/>
          <w:kern w:val="0"/>
          <w:sz w:val="32"/>
          <w:szCs w:val="32"/>
          <w:shd w:val="clear" w:color="auto" w:fill="FFFFFF"/>
        </w:rPr>
        <w:t>项目资金由下达</w:t>
      </w:r>
      <w:r>
        <w:rPr>
          <w:rFonts w:hint="eastAsia" w:ascii="仿宋_GB2312" w:eastAsia="仿宋_GB2312" w:cs="仿宋_GB2312"/>
          <w:kern w:val="0"/>
          <w:sz w:val="32"/>
          <w:szCs w:val="32"/>
          <w:shd w:val="clear" w:color="auto" w:fill="FFFFFF"/>
          <w:lang w:val="en-US" w:eastAsia="zh-CN"/>
        </w:rPr>
        <w:t>13.96</w:t>
      </w:r>
      <w:r>
        <w:rPr>
          <w:rFonts w:hint="eastAsia" w:ascii="仿宋_GB2312" w:hAnsi="宋体" w:eastAsia="仿宋_GB2312" w:cs="仿宋_GB2312"/>
          <w:kern w:val="0"/>
          <w:sz w:val="32"/>
          <w:szCs w:val="32"/>
          <w:shd w:val="clear" w:color="auto" w:fill="FFFFFF"/>
        </w:rPr>
        <w:t>万元，执行数为</w:t>
      </w:r>
      <w:r>
        <w:rPr>
          <w:rFonts w:hint="eastAsia" w:ascii="仿宋_GB2312" w:eastAsia="仿宋_GB2312" w:cs="仿宋_GB2312"/>
          <w:kern w:val="0"/>
          <w:sz w:val="32"/>
          <w:szCs w:val="32"/>
          <w:shd w:val="clear" w:color="auto" w:fill="FFFFFF"/>
          <w:lang w:val="en-US" w:eastAsia="zh-CN"/>
        </w:rPr>
        <w:t>13.961</w:t>
      </w:r>
      <w:r>
        <w:rPr>
          <w:rFonts w:hint="eastAsia" w:ascii="仿宋_GB2312" w:hAnsi="宋体" w:eastAsia="仿宋_GB2312" w:cs="仿宋_GB2312"/>
          <w:kern w:val="0"/>
          <w:sz w:val="32"/>
          <w:szCs w:val="32"/>
          <w:shd w:val="clear" w:color="auto" w:fill="FFFFFF"/>
        </w:rPr>
        <w:t>万元，完成预算的100%。通过项目实施，</w:t>
      </w:r>
      <w:r>
        <w:rPr>
          <w:rFonts w:hint="eastAsia" w:ascii="仿宋_GB2312" w:hAnsi="仿宋_GB2312" w:eastAsia="仿宋_GB2312" w:cs="仿宋_GB2312"/>
          <w:sz w:val="32"/>
          <w:szCs w:val="32"/>
        </w:rPr>
        <w:t>有效控制农资市场价格，切实保障我县农业生产需要，促进农民增产增收，引导广大农民群众使用配方肥料和有机肥，降低土地面源污染，推动我县绿色，生态农业发展</w:t>
      </w:r>
      <w:r>
        <w:rPr>
          <w:rFonts w:hint="eastAsia" w:ascii="仿宋_GB2312" w:hAnsi="仿宋_GB2312" w:eastAsia="仿宋_GB2312" w:cs="仿宋_GB2312"/>
          <w:sz w:val="32"/>
          <w:szCs w:val="32"/>
          <w:lang w:eastAsia="zh-CN"/>
        </w:rPr>
        <w:t>。</w:t>
      </w:r>
    </w:p>
    <w:p w14:paraId="19D912FE">
      <w:pPr>
        <w:pStyle w:val="2"/>
        <w:jc w:val="center"/>
        <w:rPr>
          <w:rFonts w:hint="eastAsia" w:ascii="黑体" w:hAnsi="黑体" w:eastAsia="黑体"/>
          <w:b w:val="0"/>
        </w:rPr>
      </w:pPr>
      <w:bookmarkStart w:id="87" w:name="_Toc24653"/>
      <w:bookmarkStart w:id="88" w:name="_Toc8328"/>
      <w:r>
        <w:rPr>
          <w:rFonts w:hint="eastAsia" w:ascii="黑体" w:hAnsi="黑体" w:eastAsia="黑体"/>
          <w:b w:val="0"/>
        </w:rPr>
        <w:t>第三部分 名词解释</w:t>
      </w:r>
      <w:bookmarkEnd w:id="87"/>
      <w:bookmarkEnd w:id="88"/>
    </w:p>
    <w:p w14:paraId="7B0B0986"/>
    <w:p w14:paraId="45204840">
      <w:pPr>
        <w:ind w:firstLine="640" w:firstLineChars="200"/>
        <w:rPr>
          <w:rFonts w:hint="eastAsia" w:ascii="仿宋_GB2312" w:eastAsia="仿宋_GB2312"/>
          <w:sz w:val="32"/>
          <w:szCs w:val="32"/>
        </w:rPr>
      </w:pPr>
      <w:bookmarkStart w:id="89" w:name="_Toc14043"/>
      <w:r>
        <w:rPr>
          <w:rFonts w:hint="eastAsia" w:ascii="仿宋_GB2312" w:eastAsia="仿宋_GB2312"/>
          <w:sz w:val="32"/>
          <w:szCs w:val="32"/>
        </w:rPr>
        <w:t>1.财政拨款收入：指单位从同级财政部门取得的财政预算资金。</w:t>
      </w:r>
      <w:bookmarkEnd w:id="89"/>
    </w:p>
    <w:p w14:paraId="523F6AE2">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FE726E7">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3.经营收入：指事业单位在专业业务活动及其辅助活动之外开展非独立核算经营活动取得的收入。4.其他收入：指单位取得的除上述收入以外的各项收入。</w:t>
      </w:r>
    </w:p>
    <w:p w14:paraId="78BDB091">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191098E9">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07522782">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C64E281">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0736A04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9.商业服务业等支出</w:t>
      </w:r>
      <w:r>
        <w:rPr>
          <w:rFonts w:hint="eastAsia" w:ascii="仿宋_GB2312" w:eastAsia="仿宋_GB2312"/>
          <w:sz w:val="32"/>
          <w:szCs w:val="32"/>
          <w:lang w:eastAsia="zh-CN"/>
        </w:rPr>
        <w:t>（类）</w:t>
      </w:r>
      <w:r>
        <w:rPr>
          <w:rFonts w:hint="eastAsia" w:ascii="仿宋_GB2312" w:eastAsia="仿宋_GB2312"/>
          <w:sz w:val="32"/>
          <w:szCs w:val="32"/>
        </w:rPr>
        <w:t>：指2160201行政运行、2160201政府相关行政运行、2160201一般行政管理事务。</w:t>
      </w:r>
    </w:p>
    <w:p w14:paraId="4C042D7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10.社会保障和就业（类）：指2080505机关事业单位养老保险缴费支出，2080506机关事业职业年金缴费支出。</w:t>
      </w:r>
    </w:p>
    <w:p w14:paraId="3B17BB3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11.卫生健康支出：2101101指行政单位医疗；2101103指公务员医疗补助</w:t>
      </w:r>
    </w:p>
    <w:p w14:paraId="6BFBE51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农林水（类）：指2130199其他农业农村支出13、</w:t>
      </w:r>
      <w:r>
        <w:rPr>
          <w:rFonts w:hint="eastAsia" w:ascii="仿宋_GB2312" w:eastAsia="仿宋_GB2312"/>
          <w:sz w:val="32"/>
          <w:szCs w:val="32"/>
          <w:lang w:val="en-US" w:eastAsia="zh-CN"/>
        </w:rPr>
        <w:t>13.</w:t>
      </w:r>
      <w:r>
        <w:rPr>
          <w:rFonts w:hint="eastAsia" w:ascii="仿宋_GB2312" w:eastAsia="仿宋_GB2312"/>
          <w:sz w:val="32"/>
          <w:szCs w:val="32"/>
        </w:rPr>
        <w:t>住房保障支出（类）：指2210201住房公积金支出。</w:t>
      </w:r>
    </w:p>
    <w:p w14:paraId="0EBBBE1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.基本支出：指为保障机构正常运转、完成日常工作任务而发生的人员支出和公用支出。</w:t>
      </w:r>
    </w:p>
    <w:p w14:paraId="31D4A672">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xml:space="preserve">.项目支出：指在基本支出之外为完成特定行政任务和事业发展目标所发生的支出。 </w:t>
      </w:r>
    </w:p>
    <w:p w14:paraId="44A081F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.经营支出：指事业单位在专业业务活动及其辅助活动之外开展非独立核算经营活动发生的支出。</w:t>
      </w:r>
    </w:p>
    <w:p w14:paraId="6EDBE3E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49F54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0BA084">
      <w:pPr>
        <w:ind w:firstLine="643" w:firstLineChars="200"/>
        <w:rPr>
          <w:rFonts w:ascii="仿宋" w:hAnsi="仿宋" w:eastAsia="仿宋"/>
          <w:b/>
          <w:sz w:val="32"/>
          <w:szCs w:val="32"/>
        </w:rPr>
      </w:pPr>
    </w:p>
    <w:p w14:paraId="53D3E6A4">
      <w:pPr>
        <w:ind w:firstLine="643" w:firstLineChars="200"/>
        <w:rPr>
          <w:rFonts w:ascii="仿宋" w:hAnsi="仿宋" w:eastAsia="仿宋"/>
          <w:b/>
          <w:sz w:val="32"/>
          <w:szCs w:val="32"/>
        </w:rPr>
      </w:pPr>
    </w:p>
    <w:p w14:paraId="40089EAB">
      <w:pPr>
        <w:ind w:firstLine="643" w:firstLineChars="200"/>
        <w:rPr>
          <w:rFonts w:ascii="仿宋" w:hAnsi="仿宋" w:eastAsia="仿宋"/>
          <w:b/>
          <w:sz w:val="32"/>
          <w:szCs w:val="32"/>
        </w:rPr>
      </w:pPr>
    </w:p>
    <w:p w14:paraId="25EA46BE">
      <w:pPr>
        <w:ind w:firstLine="643" w:firstLineChars="200"/>
        <w:rPr>
          <w:rFonts w:ascii="仿宋" w:hAnsi="仿宋" w:eastAsia="仿宋"/>
          <w:b/>
          <w:sz w:val="32"/>
          <w:szCs w:val="32"/>
        </w:rPr>
      </w:pPr>
    </w:p>
    <w:p w14:paraId="4A3B3EF7">
      <w:pPr>
        <w:ind w:firstLine="643" w:firstLineChars="200"/>
        <w:rPr>
          <w:rFonts w:ascii="仿宋" w:hAnsi="仿宋" w:eastAsia="仿宋"/>
          <w:b/>
          <w:sz w:val="32"/>
          <w:szCs w:val="32"/>
        </w:rPr>
      </w:pPr>
    </w:p>
    <w:p w14:paraId="71B8ED85">
      <w:pPr>
        <w:ind w:firstLine="643" w:firstLineChars="200"/>
        <w:rPr>
          <w:rFonts w:ascii="仿宋" w:hAnsi="仿宋" w:eastAsia="仿宋"/>
          <w:b/>
          <w:sz w:val="32"/>
          <w:szCs w:val="32"/>
        </w:rPr>
      </w:pPr>
    </w:p>
    <w:p w14:paraId="18BBE9BE">
      <w:pPr>
        <w:ind w:firstLine="643" w:firstLineChars="200"/>
        <w:rPr>
          <w:rFonts w:ascii="仿宋" w:hAnsi="仿宋" w:eastAsia="仿宋"/>
          <w:b/>
          <w:sz w:val="32"/>
          <w:szCs w:val="32"/>
        </w:rPr>
      </w:pPr>
    </w:p>
    <w:p w14:paraId="4063892F">
      <w:pPr>
        <w:ind w:firstLine="643" w:firstLineChars="200"/>
        <w:rPr>
          <w:rFonts w:ascii="仿宋" w:hAnsi="仿宋" w:eastAsia="仿宋"/>
          <w:b/>
          <w:sz w:val="32"/>
          <w:szCs w:val="32"/>
        </w:rPr>
      </w:pPr>
    </w:p>
    <w:p w14:paraId="4BC70F08">
      <w:pPr>
        <w:ind w:firstLine="643" w:firstLineChars="200"/>
        <w:rPr>
          <w:rFonts w:ascii="仿宋" w:hAnsi="仿宋" w:eastAsia="仿宋"/>
          <w:b/>
          <w:sz w:val="32"/>
          <w:szCs w:val="32"/>
        </w:rPr>
      </w:pPr>
    </w:p>
    <w:p w14:paraId="0C2411F3">
      <w:pPr>
        <w:ind w:firstLine="643" w:firstLineChars="200"/>
        <w:rPr>
          <w:rFonts w:ascii="仿宋" w:hAnsi="仿宋" w:eastAsia="仿宋"/>
          <w:b/>
          <w:sz w:val="32"/>
          <w:szCs w:val="32"/>
        </w:rPr>
      </w:pPr>
    </w:p>
    <w:p w14:paraId="7E91CE35">
      <w:pPr>
        <w:ind w:firstLine="643" w:firstLineChars="200"/>
        <w:rPr>
          <w:rFonts w:ascii="仿宋" w:hAnsi="仿宋" w:eastAsia="仿宋"/>
          <w:b/>
          <w:sz w:val="32"/>
          <w:szCs w:val="32"/>
        </w:rPr>
      </w:pPr>
    </w:p>
    <w:p w14:paraId="370426DB">
      <w:pPr>
        <w:ind w:firstLine="643" w:firstLineChars="200"/>
        <w:rPr>
          <w:rFonts w:ascii="仿宋" w:hAnsi="仿宋" w:eastAsia="仿宋"/>
          <w:b/>
          <w:sz w:val="32"/>
          <w:szCs w:val="32"/>
        </w:rPr>
      </w:pPr>
    </w:p>
    <w:p w14:paraId="44CE98FD">
      <w:pPr>
        <w:ind w:firstLine="643" w:firstLineChars="200"/>
        <w:rPr>
          <w:rFonts w:ascii="仿宋" w:hAnsi="仿宋" w:eastAsia="仿宋"/>
          <w:b/>
          <w:sz w:val="32"/>
          <w:szCs w:val="32"/>
        </w:rPr>
      </w:pPr>
    </w:p>
    <w:p w14:paraId="0762DD15">
      <w:pPr>
        <w:pStyle w:val="2"/>
        <w:jc w:val="center"/>
        <w:rPr>
          <w:rFonts w:ascii="黑体" w:hAnsi="黑体" w:eastAsia="黑体"/>
        </w:rPr>
      </w:pPr>
      <w:bookmarkStart w:id="90" w:name="_Toc15270"/>
      <w:bookmarkStart w:id="91" w:name="_Toc19235"/>
      <w:r>
        <w:rPr>
          <w:rFonts w:hint="eastAsia" w:ascii="黑体" w:hAnsi="黑体" w:eastAsia="黑体"/>
        </w:rPr>
        <w:t>第</w:t>
      </w:r>
      <w:r>
        <w:rPr>
          <w:rFonts w:hint="eastAsia" w:ascii="黑体" w:hAnsi="黑体" w:eastAsia="黑体"/>
          <w:lang w:eastAsia="zh-CN"/>
        </w:rPr>
        <w:t>四</w:t>
      </w:r>
      <w:r>
        <w:rPr>
          <w:rFonts w:hint="eastAsia" w:ascii="黑体" w:hAnsi="黑体" w:eastAsia="黑体"/>
        </w:rPr>
        <w:t>部分 附表</w:t>
      </w:r>
      <w:bookmarkEnd w:id="90"/>
      <w:bookmarkEnd w:id="91"/>
    </w:p>
    <w:p w14:paraId="58E8F567">
      <w:pPr>
        <w:pStyle w:val="3"/>
        <w:bidi w:val="0"/>
      </w:pPr>
      <w:bookmarkStart w:id="92" w:name="_Toc12640"/>
      <w:bookmarkStart w:id="93" w:name="_Toc32322"/>
      <w:r>
        <w:rPr>
          <w:rFonts w:hint="eastAsia"/>
        </w:rPr>
        <w:t>一、收入支出决算总表</w:t>
      </w:r>
      <w:bookmarkEnd w:id="92"/>
      <w:bookmarkEnd w:id="93"/>
    </w:p>
    <w:p w14:paraId="2CDF17C4">
      <w:pPr>
        <w:pStyle w:val="3"/>
        <w:bidi w:val="0"/>
      </w:pPr>
      <w:bookmarkStart w:id="94" w:name="_Toc17259"/>
      <w:bookmarkStart w:id="95" w:name="_Toc3824"/>
      <w:r>
        <w:rPr>
          <w:rFonts w:hint="eastAsia"/>
        </w:rPr>
        <w:t>二、收入决算表</w:t>
      </w:r>
      <w:bookmarkEnd w:id="94"/>
      <w:bookmarkEnd w:id="95"/>
    </w:p>
    <w:p w14:paraId="5EA153A8">
      <w:pPr>
        <w:pStyle w:val="3"/>
        <w:bidi w:val="0"/>
      </w:pPr>
      <w:bookmarkStart w:id="96" w:name="_Toc27685"/>
      <w:bookmarkStart w:id="97" w:name="_Toc15899"/>
      <w:r>
        <w:rPr>
          <w:rFonts w:hint="eastAsia"/>
        </w:rPr>
        <w:t>三、支出决算表</w:t>
      </w:r>
      <w:bookmarkEnd w:id="96"/>
      <w:bookmarkEnd w:id="97"/>
    </w:p>
    <w:p w14:paraId="5B7EC59E">
      <w:pPr>
        <w:pStyle w:val="3"/>
        <w:bidi w:val="0"/>
      </w:pPr>
      <w:bookmarkStart w:id="98" w:name="_Toc12019"/>
      <w:bookmarkStart w:id="99" w:name="_Toc27591"/>
      <w:r>
        <w:rPr>
          <w:rFonts w:hint="eastAsia"/>
        </w:rPr>
        <w:t>四、财政拨款收入支出决算总表</w:t>
      </w:r>
      <w:bookmarkEnd w:id="98"/>
      <w:bookmarkEnd w:id="99"/>
    </w:p>
    <w:p w14:paraId="3CAF57F2">
      <w:pPr>
        <w:pStyle w:val="3"/>
        <w:bidi w:val="0"/>
      </w:pPr>
      <w:bookmarkStart w:id="100" w:name="_Toc6181"/>
      <w:bookmarkStart w:id="101" w:name="_Toc8078"/>
      <w:r>
        <w:rPr>
          <w:rFonts w:hint="eastAsia"/>
        </w:rPr>
        <w:t>五、财政拨款支出决算明细表</w:t>
      </w:r>
      <w:bookmarkEnd w:id="100"/>
      <w:bookmarkEnd w:id="101"/>
    </w:p>
    <w:p w14:paraId="62ACAE78">
      <w:pPr>
        <w:pStyle w:val="3"/>
        <w:bidi w:val="0"/>
      </w:pPr>
      <w:bookmarkStart w:id="102" w:name="_Toc2501"/>
      <w:bookmarkStart w:id="103" w:name="_Toc1836"/>
      <w:r>
        <w:rPr>
          <w:rFonts w:hint="eastAsia"/>
        </w:rPr>
        <w:t>六、一般公共预算财政拨款支出决算表</w:t>
      </w:r>
      <w:bookmarkEnd w:id="102"/>
      <w:bookmarkEnd w:id="103"/>
    </w:p>
    <w:p w14:paraId="2E5E261B">
      <w:pPr>
        <w:pStyle w:val="3"/>
        <w:bidi w:val="0"/>
      </w:pPr>
      <w:bookmarkStart w:id="104" w:name="_Toc18104"/>
      <w:bookmarkStart w:id="105" w:name="_Toc15329"/>
      <w:r>
        <w:rPr>
          <w:rFonts w:hint="eastAsia"/>
        </w:rPr>
        <w:t>七、一般公共预算财政拨款支出决算明细表</w:t>
      </w:r>
      <w:bookmarkEnd w:id="104"/>
      <w:bookmarkEnd w:id="105"/>
    </w:p>
    <w:p w14:paraId="1A53FA9B">
      <w:pPr>
        <w:pStyle w:val="3"/>
        <w:bidi w:val="0"/>
      </w:pPr>
      <w:bookmarkStart w:id="106" w:name="_Toc19975"/>
      <w:bookmarkStart w:id="107" w:name="_Toc15827"/>
      <w:r>
        <w:rPr>
          <w:rFonts w:hint="eastAsia"/>
        </w:rPr>
        <w:t>八、一般公共预算财政拨款基本支出决算表</w:t>
      </w:r>
      <w:bookmarkEnd w:id="106"/>
      <w:bookmarkEnd w:id="107"/>
    </w:p>
    <w:p w14:paraId="26DE5883">
      <w:pPr>
        <w:pStyle w:val="3"/>
        <w:bidi w:val="0"/>
      </w:pPr>
      <w:bookmarkStart w:id="108" w:name="_Toc10107"/>
      <w:bookmarkStart w:id="109" w:name="_Toc10958"/>
      <w:r>
        <w:rPr>
          <w:rFonts w:hint="eastAsia"/>
        </w:rPr>
        <w:t>九、一般公共预算财政拨款项目支出决算表</w:t>
      </w:r>
      <w:bookmarkEnd w:id="108"/>
      <w:bookmarkEnd w:id="109"/>
    </w:p>
    <w:p w14:paraId="11AFF138">
      <w:pPr>
        <w:pStyle w:val="3"/>
        <w:bidi w:val="0"/>
      </w:pPr>
      <w:bookmarkStart w:id="110" w:name="_Toc29905"/>
      <w:bookmarkStart w:id="111" w:name="_Toc27893"/>
      <w:r>
        <w:rPr>
          <w:rFonts w:hint="eastAsia"/>
        </w:rPr>
        <w:t>十、政府性基金预算财政拨款收入支出决算表</w:t>
      </w:r>
      <w:bookmarkEnd w:id="110"/>
      <w:bookmarkEnd w:id="111"/>
    </w:p>
    <w:p w14:paraId="42E058F0">
      <w:pPr>
        <w:pStyle w:val="3"/>
        <w:bidi w:val="0"/>
      </w:pPr>
      <w:bookmarkStart w:id="112" w:name="_Toc3191"/>
      <w:bookmarkStart w:id="113" w:name="_Toc25187"/>
      <w:r>
        <w:rPr>
          <w:rFonts w:hint="eastAsia"/>
        </w:rPr>
        <w:t>十一、国有资本经营预算财政拨款收入支出决算表</w:t>
      </w:r>
      <w:bookmarkEnd w:id="112"/>
      <w:bookmarkEnd w:id="113"/>
    </w:p>
    <w:p w14:paraId="62D7FBDF">
      <w:pPr>
        <w:pStyle w:val="3"/>
        <w:bidi w:val="0"/>
      </w:pPr>
      <w:bookmarkStart w:id="114" w:name="_Toc2294"/>
      <w:bookmarkStart w:id="115" w:name="_Toc24682"/>
      <w:r>
        <w:rPr>
          <w:rFonts w:hint="eastAsia"/>
        </w:rPr>
        <w:t>十二、国有资本经营预算财政拨款支出决算表</w:t>
      </w:r>
      <w:bookmarkEnd w:id="114"/>
      <w:bookmarkEnd w:id="115"/>
    </w:p>
    <w:p w14:paraId="653838B5">
      <w:pPr>
        <w:pStyle w:val="3"/>
        <w:bidi w:val="0"/>
      </w:pPr>
      <w:bookmarkStart w:id="116" w:name="_Toc24592"/>
      <w:bookmarkStart w:id="117" w:name="_Toc14164"/>
      <w:r>
        <w:rPr>
          <w:rFonts w:hint="eastAsia"/>
        </w:rPr>
        <w:t>十三、财政拨款“三公”经费支出决算表</w:t>
      </w:r>
      <w:bookmarkEnd w:id="116"/>
      <w:bookmarkEnd w:id="117"/>
    </w:p>
    <w:bookmarkEnd w:id="31"/>
    <w:bookmarkEnd w:id="32"/>
    <w:p w14:paraId="7A2BC14A">
      <w:pPr>
        <w:pStyle w:val="3"/>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847C6-B1B8-4746-93DC-5A6499C74A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DBC4A7F-7451-45AC-AB98-0DF48D868651}"/>
  </w:font>
  <w:font w:name="仿宋_GB2312">
    <w:panose1 w:val="02010609030101010101"/>
    <w:charset w:val="86"/>
    <w:family w:val="auto"/>
    <w:pitch w:val="default"/>
    <w:sig w:usb0="00000001" w:usb1="080E0000" w:usb2="00000000" w:usb3="00000000" w:csb0="00040000" w:csb1="00000000"/>
    <w:embedRegular r:id="rId3" w:fontKey="{6D42FEC2-B6C2-494A-AEC3-4288D0FCE6A9}"/>
  </w:font>
  <w:font w:name="仿宋">
    <w:panose1 w:val="02010609060101010101"/>
    <w:charset w:val="86"/>
    <w:family w:val="modern"/>
    <w:pitch w:val="default"/>
    <w:sig w:usb0="800002BF" w:usb1="38CF7CFA" w:usb2="00000016" w:usb3="00000000" w:csb0="00040001" w:csb1="00000000"/>
    <w:embedRegular r:id="rId4" w:fontKey="{3C29EB4E-1138-4F30-90CB-8EEC8A213E93}"/>
  </w:font>
  <w:font w:name="方正小标宋简体">
    <w:panose1 w:val="02010600010101010101"/>
    <w:charset w:val="86"/>
    <w:family w:val="script"/>
    <w:pitch w:val="default"/>
    <w:sig w:usb0="00000001" w:usb1="080E0000" w:usb2="00000000" w:usb3="00000000" w:csb0="00040000" w:csb1="00000000"/>
    <w:embedRegular r:id="rId5" w:fontKey="{94C249E6-A9F1-4B67-8C60-F54F8385D88F}"/>
  </w:font>
  <w:font w:name="方正小标宋_GBK">
    <w:panose1 w:val="03000509000000000000"/>
    <w:charset w:val="86"/>
    <w:family w:val="auto"/>
    <w:pitch w:val="default"/>
    <w:sig w:usb0="00000001" w:usb1="080E0000" w:usb2="00000000" w:usb3="00000000" w:csb0="00040000" w:csb1="00000000"/>
    <w:embedRegular r:id="rId6" w:fontKey="{00804E95-E51E-4BAE-9AC4-FBBEB8C36117}"/>
  </w:font>
  <w:font w:name="楷体_GB2312">
    <w:panose1 w:val="02010609030101010101"/>
    <w:charset w:val="86"/>
    <w:family w:val="auto"/>
    <w:pitch w:val="default"/>
    <w:sig w:usb0="00000001" w:usb1="080E0000" w:usb2="00000000" w:usb3="00000000" w:csb0="00040000" w:csb1="00000000"/>
    <w:embedRegular r:id="rId7" w:fontKey="{92997EE7-104B-4779-8FC7-9710C8374E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15979E6">
        <w:pPr>
          <w:pStyle w:val="10"/>
          <w:jc w:val="center"/>
        </w:pPr>
        <w:r>
          <w:fldChar w:fldCharType="begin"/>
        </w:r>
        <w:r>
          <w:instrText xml:space="preserve">PAGE   \* MERGEFORMAT</w:instrText>
        </w:r>
        <w:r>
          <w:fldChar w:fldCharType="separate"/>
        </w:r>
        <w:r>
          <w:rPr>
            <w:lang w:val="zh-CN"/>
          </w:rPr>
          <w:t>15</w:t>
        </w:r>
        <w:r>
          <w:fldChar w:fldCharType="end"/>
        </w:r>
      </w:p>
    </w:sdtContent>
  </w:sdt>
  <w:p w14:paraId="15E1EF8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BC4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84E4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9E8"/>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362AAF"/>
    <w:rsid w:val="081163FE"/>
    <w:rsid w:val="081B5E94"/>
    <w:rsid w:val="0A2032A3"/>
    <w:rsid w:val="0AB63EDF"/>
    <w:rsid w:val="0B8A37D8"/>
    <w:rsid w:val="0CD66398"/>
    <w:rsid w:val="0DC57F6F"/>
    <w:rsid w:val="0F5FFB2F"/>
    <w:rsid w:val="0FFFCF60"/>
    <w:rsid w:val="10C055FF"/>
    <w:rsid w:val="10F562D5"/>
    <w:rsid w:val="118107EC"/>
    <w:rsid w:val="11DD6519"/>
    <w:rsid w:val="12A1155A"/>
    <w:rsid w:val="16BB723D"/>
    <w:rsid w:val="18015F3F"/>
    <w:rsid w:val="1BE8440E"/>
    <w:rsid w:val="1D155CEE"/>
    <w:rsid w:val="1F2F660B"/>
    <w:rsid w:val="1FDBBF84"/>
    <w:rsid w:val="205D5E2B"/>
    <w:rsid w:val="20F57F95"/>
    <w:rsid w:val="22C34341"/>
    <w:rsid w:val="240371BF"/>
    <w:rsid w:val="25711CC6"/>
    <w:rsid w:val="25C741E6"/>
    <w:rsid w:val="26B572BE"/>
    <w:rsid w:val="26D251D5"/>
    <w:rsid w:val="276F80C0"/>
    <w:rsid w:val="27842671"/>
    <w:rsid w:val="29FD04D3"/>
    <w:rsid w:val="2A077209"/>
    <w:rsid w:val="2ABE7A3E"/>
    <w:rsid w:val="2AFF09B6"/>
    <w:rsid w:val="2CA234A8"/>
    <w:rsid w:val="2EFA178C"/>
    <w:rsid w:val="2EFDF86C"/>
    <w:rsid w:val="2F9D17E1"/>
    <w:rsid w:val="30B46D73"/>
    <w:rsid w:val="30B64CBB"/>
    <w:rsid w:val="319F7F4E"/>
    <w:rsid w:val="32917FB8"/>
    <w:rsid w:val="356A28F1"/>
    <w:rsid w:val="357C035A"/>
    <w:rsid w:val="368E000D"/>
    <w:rsid w:val="377A54BF"/>
    <w:rsid w:val="37C9394B"/>
    <w:rsid w:val="383D272C"/>
    <w:rsid w:val="39AE70AB"/>
    <w:rsid w:val="3A4DCE41"/>
    <w:rsid w:val="3A804B9A"/>
    <w:rsid w:val="3BCB56FA"/>
    <w:rsid w:val="3C0C0783"/>
    <w:rsid w:val="3CCB43AC"/>
    <w:rsid w:val="3EE7C2F4"/>
    <w:rsid w:val="3F371B56"/>
    <w:rsid w:val="3F792ED8"/>
    <w:rsid w:val="3F9F3A96"/>
    <w:rsid w:val="3FECA4B2"/>
    <w:rsid w:val="3FF58C48"/>
    <w:rsid w:val="41962EF5"/>
    <w:rsid w:val="42FF6694"/>
    <w:rsid w:val="467F03FC"/>
    <w:rsid w:val="47172FCE"/>
    <w:rsid w:val="485338EE"/>
    <w:rsid w:val="48BF60AB"/>
    <w:rsid w:val="493C27E9"/>
    <w:rsid w:val="496F39ED"/>
    <w:rsid w:val="49FF41D3"/>
    <w:rsid w:val="4AF320B9"/>
    <w:rsid w:val="4BE068DB"/>
    <w:rsid w:val="4BF6002B"/>
    <w:rsid w:val="4BFFC6BE"/>
    <w:rsid w:val="4D0734F8"/>
    <w:rsid w:val="4D0C050F"/>
    <w:rsid w:val="4ECE2238"/>
    <w:rsid w:val="51DB4B86"/>
    <w:rsid w:val="51F64DB0"/>
    <w:rsid w:val="52992845"/>
    <w:rsid w:val="53AE528F"/>
    <w:rsid w:val="54A11E85"/>
    <w:rsid w:val="55333C3E"/>
    <w:rsid w:val="55483F18"/>
    <w:rsid w:val="5A83384F"/>
    <w:rsid w:val="5AFC0228"/>
    <w:rsid w:val="5C9F314E"/>
    <w:rsid w:val="5D283143"/>
    <w:rsid w:val="5F67802D"/>
    <w:rsid w:val="5F7DC4F2"/>
    <w:rsid w:val="5F7F2DC3"/>
    <w:rsid w:val="5FB36814"/>
    <w:rsid w:val="5FBB8E56"/>
    <w:rsid w:val="5FFB5535"/>
    <w:rsid w:val="643E3DB9"/>
    <w:rsid w:val="64CA39A1"/>
    <w:rsid w:val="678A1D22"/>
    <w:rsid w:val="69630ADE"/>
    <w:rsid w:val="69BD5F13"/>
    <w:rsid w:val="69FB0B4B"/>
    <w:rsid w:val="6BFFE1FB"/>
    <w:rsid w:val="6C4A05C8"/>
    <w:rsid w:val="6D3B1A89"/>
    <w:rsid w:val="6DB7D8A3"/>
    <w:rsid w:val="6EC78701"/>
    <w:rsid w:val="6F4F27B2"/>
    <w:rsid w:val="6F525DE2"/>
    <w:rsid w:val="6F7A5481"/>
    <w:rsid w:val="6FFE07A9"/>
    <w:rsid w:val="70115CB9"/>
    <w:rsid w:val="71BF4EC2"/>
    <w:rsid w:val="723F4D5F"/>
    <w:rsid w:val="72734D90"/>
    <w:rsid w:val="73E75B71"/>
    <w:rsid w:val="7412278C"/>
    <w:rsid w:val="757D32F2"/>
    <w:rsid w:val="75DDCDA9"/>
    <w:rsid w:val="75FF44B1"/>
    <w:rsid w:val="76BF6607"/>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621CC0"/>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p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宋体"/>
      <w:kern w:val="0"/>
      <w:sz w:val="24"/>
      <w:szCs w:val="24"/>
      <w:lang w:val="en-US" w:eastAsia="zh-CN" w:bidi="ar"/>
    </w:rPr>
  </w:style>
  <w:style w:type="paragraph" w:customStyle="1" w:styleId="35">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6">
    <w:name w:val="26"/>
    <w:basedOn w:val="16"/>
    <w:qFormat/>
    <w:uiPriority w:val="0"/>
    <w:rPr>
      <w:rFonts w:hint="default" w:ascii="Times New Roman" w:hAnsi="Times New Roman" w:cs="Times New Roman"/>
      <w:b/>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paragraph" w:customStyle="1" w:styleId="39">
    <w:name w:val="WPSOffice手动目录 3"/>
    <w:qFormat/>
    <w:uiPriority w:val="0"/>
    <w:pPr>
      <w:ind w:leftChars="400"/>
    </w:pPr>
    <w:rPr>
      <w:rFonts w:asciiTheme="minorHAnsi" w:hAnsiTheme="minorHAnsi" w:eastAsiaTheme="minorEastAsia" w:cstheme="minorBidi"/>
      <w:sz w:val="20"/>
      <w:szCs w:val="20"/>
    </w:rPr>
  </w:style>
  <w:style w:type="paragraph" w:customStyle="1" w:styleId="40">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25253;&#34920;&#32534;&#21046;202501171221557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决算收支年度对比表</a:t>
            </a:r>
          </a:p>
        </c:rich>
      </c:tx>
      <c:layout/>
      <c:overlay val="0"/>
      <c:spPr>
        <a:noFill/>
        <a:ln>
          <a:noFill/>
        </a:ln>
        <a:effectLst/>
      </c:spPr>
    </c:title>
    <c:autoTitleDeleted val="0"/>
    <c:plotArea>
      <c:layout>
        <c:manualLayout>
          <c:layoutTarget val="inner"/>
          <c:xMode val="edge"/>
          <c:yMode val="edge"/>
          <c:x val="0.0958684210526313"/>
          <c:y val="0.229629629629629"/>
          <c:w val="0.900184210526316"/>
          <c:h val="0.60634259259259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[报表编制20250117122155795.xlsx]Sheet1!$B$2</c:f>
              <c:numCache>
                <c:formatCode>General</c:formatCode>
                <c:ptCount val="1"/>
                <c:pt idx="0">
                  <c:v>163.03</c:v>
                </c:pt>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[报表编制20250117122155795.xlsx]Sheet1!$B$3</c:f>
              <c:numCache>
                <c:formatCode>General</c:formatCode>
                <c:ptCount val="1"/>
                <c:pt idx="0">
                  <c:v>138.58</c:v>
                </c:pt>
              </c:numCache>
            </c:numRef>
          </c:val>
        </c:ser>
        <c:dLbls>
          <c:showLegendKey val="0"/>
          <c:showVal val="1"/>
          <c:showCatName val="0"/>
          <c:showSerName val="0"/>
          <c:showPercent val="0"/>
          <c:showBubbleSize val="0"/>
        </c:dLbls>
        <c:gapWidth val="246"/>
        <c:overlap val="-28"/>
        <c:axId val="246599919"/>
        <c:axId val="885490675"/>
      </c:barChart>
      <c:catAx>
        <c:axId val="24659991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490675"/>
        <c:crosses val="autoZero"/>
        <c:auto val="1"/>
        <c:lblAlgn val="ctr"/>
        <c:lblOffset val="100"/>
        <c:noMultiLvlLbl val="0"/>
      </c:catAx>
      <c:valAx>
        <c:axId val="8854906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599919"/>
        <c:crosses val="autoZero"/>
        <c:crossBetween val="between"/>
      </c:valAx>
      <c:spPr>
        <a:noFill/>
        <a:ln>
          <a:noFill/>
        </a:ln>
        <a:effectLst/>
      </c:spPr>
    </c:plotArea>
    <c:plotVisOnly val="1"/>
    <c:dispBlanksAs val="gap"/>
    <c:showDLblsOverMax val="0"/>
    <c:extLst>
      <c:ext uri="{0b15fc19-7d7d-44ad-8c2d-2c3a37ce22c3}">
        <chartProps xmlns="https://web.wps.cn/et/2018/main" chartId="{7ea9bd5e-2236-4a9f-89d4-64ee03779d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 </a:t>
                    </a:r>
                    <a:r>
                      <a:rPr lang="en-US" altLang="zh-CN"/>
                      <a:t>138.58</a:t>
                    </a:r>
                    <a:r>
                      <a:t>万元, 100%</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147.22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1cbf58-963e-42b5-8467-60ad53fdf4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a:t>
            </a:r>
            <a:r>
              <a:rPr lang="en-US" altLang="zh-CN"/>
              <a:t>4</a:t>
            </a:r>
            <a:r>
              <a:t>年度本年支出</a:t>
            </a:r>
          </a:p>
        </c:rich>
      </c:tx>
      <c:layout/>
      <c:overlay val="0"/>
      <c:spPr>
        <a:noFill/>
        <a:ln>
          <a:noFill/>
        </a:ln>
        <a:effectLst/>
      </c:spPr>
    </c:title>
    <c:autoTitleDeleted val="0"/>
    <c:plotArea>
      <c:layout>
        <c:manualLayout>
          <c:layoutTarget val="inner"/>
          <c:xMode val="edge"/>
          <c:yMode val="edge"/>
          <c:x val="0.204820004832085"/>
          <c:y val="0.158946026349341"/>
          <c:w val="0.449504711282919"/>
          <c:h val="0.790692732681683"/>
        </c:manualLayout>
      </c:layout>
      <c:pieChart>
        <c:varyColors val="1"/>
        <c:ser>
          <c:idx val="0"/>
          <c:order val="0"/>
          <c:tx>
            <c:strRef>
              <c:f>Sheet1!$B$1</c:f>
              <c:strCache>
                <c:ptCount val="1"/>
                <c:pt idx="0">
                  <c:v>2023年度本年支出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89.93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10.07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128.96</c:v>
                </c:pt>
                <c:pt idx="1">
                  <c:v>34.08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9e0602-b50f-48a6-b2d5-4ef834785a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4785</Words>
  <Characters>5232</Characters>
  <Lines>54</Lines>
  <Paragraphs>15</Paragraphs>
  <TotalTime>2</TotalTime>
  <ScaleCrop>false</ScaleCrop>
  <LinksUpToDate>false</LinksUpToDate>
  <CharactersWithSpaces>5345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2025-10-14T07:27:30Z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0786F63C5DAD4A7E955934DF1338EDB6_12</vt:lpwstr>
  </property>
  <property fmtid="{D5CDD505-2E9C-101B-9397-08002B2CF9AE}" pid="4" name="KSOTemplateDocerSaveRecord">
    <vt:lpwstr>eyJoZGlkIjoiNTU1MWNhN2ZmY2ZhZmY3ODhlYTg0MWU5OGMyY2QwZmUiLCJ1c2VySWQiOiI0MzQ2NTM0NzEifQ==</vt:lpwstr>
  </property>
</Properties>
</file>