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00" w:lineRule="exact"/>
        <w:jc w:val="center"/>
        <w:outlineLvl w:val="0"/>
        <w:rPr>
          <w:rFonts w:ascii="方正小标宋简体" w:hAnsi="宋体" w:eastAsia="方正小标宋简体"/>
          <w:color w:val="000000"/>
          <w:sz w:val="72"/>
          <w:szCs w:val="72"/>
        </w:rPr>
      </w:pPr>
      <w:bookmarkStart w:id="0" w:name="_Toc15306267"/>
    </w:p>
    <w:p>
      <w:pPr>
        <w:spacing w:line="600" w:lineRule="exact"/>
        <w:jc w:val="center"/>
        <w:outlineLvl w:val="0"/>
        <w:rPr>
          <w:rFonts w:ascii="方正小标宋简体" w:hAnsi="宋体" w:eastAsia="方正小标宋简体"/>
          <w:color w:val="000000"/>
          <w:sz w:val="72"/>
          <w:szCs w:val="72"/>
        </w:rPr>
      </w:pPr>
    </w:p>
    <w:p>
      <w:pPr>
        <w:spacing w:line="600" w:lineRule="exact"/>
        <w:jc w:val="center"/>
        <w:outlineLvl w:val="0"/>
        <w:rPr>
          <w:rFonts w:ascii="方正小标宋简体" w:hAnsi="宋体" w:eastAsia="方正小标宋简体"/>
          <w:color w:val="000000"/>
          <w:sz w:val="72"/>
          <w:szCs w:val="72"/>
        </w:rPr>
      </w:pPr>
    </w:p>
    <w:p>
      <w:pPr>
        <w:spacing w:line="600" w:lineRule="exact"/>
        <w:jc w:val="center"/>
        <w:outlineLvl w:val="0"/>
        <w:rPr>
          <w:rFonts w:ascii="方正小标宋简体" w:hAnsi="宋体" w:eastAsia="方正小标宋简体"/>
          <w:color w:val="000000"/>
          <w:sz w:val="72"/>
          <w:szCs w:val="72"/>
        </w:rPr>
      </w:pPr>
    </w:p>
    <w:p>
      <w:pPr>
        <w:adjustRightInd w:val="0"/>
        <w:snapToGrid w:val="0"/>
        <w:spacing w:line="360" w:lineRule="auto"/>
        <w:jc w:val="center"/>
        <w:outlineLvl w:val="0"/>
        <w:rPr>
          <w:rFonts w:ascii="方正小标宋简体" w:hAnsi="宋体" w:eastAsia="方正小标宋简体"/>
          <w:color w:val="000000"/>
          <w:sz w:val="72"/>
          <w:szCs w:val="72"/>
        </w:rPr>
      </w:pPr>
      <w:bookmarkStart w:id="1" w:name="_Toc15377193"/>
      <w:bookmarkStart w:id="2" w:name="_Toc15377425"/>
      <w:bookmarkStart w:id="3" w:name="_Toc15396597"/>
      <w:bookmarkStart w:id="4" w:name="_Toc15378441"/>
      <w:bookmarkStart w:id="5" w:name="_Toc15396475"/>
      <w:r>
        <w:rPr>
          <w:rFonts w:ascii="黑体" w:hAnsi="黑体" w:eastAsia="黑体"/>
          <w:color w:val="000000"/>
          <w:sz w:val="72"/>
          <w:szCs w:val="72"/>
        </w:rPr>
        <w:t>20</w:t>
      </w:r>
      <w:r>
        <w:rPr>
          <w:rFonts w:hint="eastAsia" w:ascii="黑体" w:hAnsi="黑体" w:eastAsia="黑体"/>
          <w:color w:val="000000"/>
          <w:sz w:val="72"/>
          <w:szCs w:val="72"/>
        </w:rPr>
        <w:t>20</w:t>
      </w:r>
      <w:r>
        <w:rPr>
          <w:rFonts w:hint="eastAsia" w:ascii="方正小标宋简体" w:hAnsi="宋体" w:eastAsia="方正小标宋简体"/>
          <w:color w:val="000000"/>
          <w:sz w:val="72"/>
          <w:szCs w:val="72"/>
        </w:rPr>
        <w:t>年度</w:t>
      </w:r>
      <w:bookmarkEnd w:id="1"/>
      <w:bookmarkEnd w:id="2"/>
      <w:bookmarkEnd w:id="3"/>
      <w:bookmarkEnd w:id="4"/>
      <w:bookmarkEnd w:id="5"/>
    </w:p>
    <w:p>
      <w:pPr>
        <w:adjustRightInd w:val="0"/>
        <w:snapToGrid w:val="0"/>
        <w:spacing w:line="360" w:lineRule="auto"/>
        <w:jc w:val="center"/>
        <w:outlineLvl w:val="0"/>
        <w:rPr>
          <w:rFonts w:ascii="方正小标宋简体" w:hAnsi="宋体" w:eastAsia="方正小标宋简体"/>
          <w:color w:val="000000"/>
          <w:sz w:val="72"/>
          <w:szCs w:val="72"/>
        </w:rPr>
      </w:pPr>
      <w:bookmarkStart w:id="6" w:name="_Toc15396476"/>
      <w:bookmarkStart w:id="7" w:name="_Toc15378442"/>
      <w:bookmarkStart w:id="8" w:name="_Toc15377194"/>
      <w:bookmarkStart w:id="9" w:name="_Toc15396598"/>
      <w:bookmarkStart w:id="10" w:name="_Toc15377426"/>
      <w:r>
        <w:rPr>
          <w:rFonts w:hint="eastAsia" w:ascii="方正小标宋简体" w:hAnsi="宋体" w:eastAsia="方正小标宋简体"/>
          <w:color w:val="000000"/>
          <w:sz w:val="72"/>
          <w:szCs w:val="72"/>
        </w:rPr>
        <w:t>阿坝州松潘县</w:t>
      </w:r>
      <w:bookmarkEnd w:id="0"/>
      <w:bookmarkStart w:id="11" w:name="_Toc15306268"/>
      <w:r>
        <w:rPr>
          <w:rFonts w:hint="eastAsia" w:ascii="方正小标宋简体" w:hAnsi="宋体" w:eastAsia="方正小标宋简体"/>
          <w:color w:val="000000"/>
          <w:sz w:val="72"/>
          <w:szCs w:val="72"/>
        </w:rPr>
        <w:t>供销社决算</w:t>
      </w:r>
      <w:bookmarkEnd w:id="6"/>
      <w:bookmarkEnd w:id="7"/>
      <w:bookmarkEnd w:id="8"/>
      <w:bookmarkEnd w:id="9"/>
      <w:bookmarkEnd w:id="10"/>
      <w:bookmarkEnd w:id="11"/>
    </w:p>
    <w:p>
      <w:pPr>
        <w:adjustRightInd w:val="0"/>
        <w:snapToGrid w:val="0"/>
        <w:spacing w:line="360" w:lineRule="auto"/>
        <w:jc w:val="center"/>
        <w:outlineLvl w:val="0"/>
        <w:rPr>
          <w:rFonts w:ascii="方正小标宋简体" w:hAnsi="宋体" w:eastAsia="方正小标宋简体"/>
          <w:color w:val="000000"/>
          <w:sz w:val="52"/>
          <w:szCs w:val="52"/>
        </w:rPr>
      </w:pPr>
    </w:p>
    <w:p>
      <w:pPr>
        <w:widowControl/>
        <w:jc w:val="center"/>
        <w:rPr>
          <w:rFonts w:ascii="方正小标宋简体" w:hAnsi="宋体" w:eastAsia="方正小标宋简体"/>
          <w:color w:val="000000"/>
          <w:sz w:val="36"/>
          <w:szCs w:val="36"/>
        </w:rPr>
      </w:pPr>
    </w:p>
    <w:p>
      <w:pPr>
        <w:rPr>
          <w:rFonts w:ascii="方正小标宋简体" w:hAnsi="宋体" w:eastAsia="方正小标宋简体"/>
          <w:sz w:val="36"/>
          <w:szCs w:val="36"/>
        </w:rPr>
      </w:pPr>
    </w:p>
    <w:p>
      <w:pPr>
        <w:rPr>
          <w:rFonts w:ascii="方正小标宋简体" w:hAnsi="宋体" w:eastAsia="方正小标宋简体"/>
          <w:sz w:val="36"/>
          <w:szCs w:val="36"/>
        </w:rPr>
      </w:pPr>
    </w:p>
    <w:p>
      <w:pPr>
        <w:rPr>
          <w:rFonts w:ascii="方正小标宋简体" w:hAnsi="宋体" w:eastAsia="方正小标宋简体"/>
          <w:sz w:val="36"/>
          <w:szCs w:val="36"/>
        </w:rPr>
      </w:pPr>
    </w:p>
    <w:p>
      <w:pPr>
        <w:rPr>
          <w:rFonts w:ascii="方正小标宋简体" w:hAnsi="宋体" w:eastAsia="方正小标宋简体"/>
          <w:sz w:val="36"/>
          <w:szCs w:val="36"/>
        </w:rPr>
      </w:pPr>
    </w:p>
    <w:p>
      <w:pPr>
        <w:autoSpaceDE w:val="0"/>
        <w:autoSpaceDN w:val="0"/>
        <w:adjustRightInd w:val="0"/>
        <w:jc w:val="left"/>
        <w:rPr>
          <w:rFonts w:eastAsia="仿宋_GB2312"/>
          <w:sz w:val="32"/>
          <w:szCs w:val="32"/>
        </w:rPr>
      </w:pPr>
      <w:r>
        <w:rPr>
          <w:rFonts w:hint="eastAsia" w:ascii="仿宋_GB2312" w:hAnsi="Calibri" w:eastAsia="仿宋_GB2312" w:cs="仿宋_GB2312"/>
          <w:sz w:val="32"/>
          <w:szCs w:val="32"/>
        </w:rPr>
        <w:t>保密审查情况：已审查，内容审定</w:t>
      </w:r>
    </w:p>
    <w:p>
      <w:pPr>
        <w:autoSpaceDE w:val="0"/>
        <w:autoSpaceDN w:val="0"/>
        <w:adjustRightInd w:val="0"/>
        <w:jc w:val="left"/>
        <w:rPr>
          <w:rFonts w:eastAsia="仿宋_GB2312"/>
          <w:sz w:val="32"/>
          <w:szCs w:val="32"/>
        </w:rPr>
      </w:pPr>
      <w:r>
        <w:rPr>
          <w:rFonts w:hint="eastAsia" w:ascii="仿宋_GB2312" w:eastAsia="仿宋_GB2312" w:cs="仿宋_GB2312"/>
          <w:sz w:val="32"/>
          <w:szCs w:val="32"/>
        </w:rPr>
        <w:t>部门主要负责人审签情况：已审签</w:t>
      </w:r>
      <w:r>
        <w:rPr>
          <w:rFonts w:hint="eastAsia" w:ascii="仿宋_GB2312" w:hAnsi="Calibri" w:eastAsia="仿宋_GB2312" w:cs="仿宋_GB2312"/>
          <w:sz w:val="32"/>
          <w:szCs w:val="32"/>
        </w:rPr>
        <w:t>，同意对外公开</w:t>
      </w:r>
    </w:p>
    <w:p>
      <w:pPr>
        <w:widowControl/>
        <w:jc w:val="center"/>
        <w:rPr>
          <w:rFonts w:ascii="方正小标宋简体" w:hAnsi="宋体" w:eastAsia="方正小标宋简体"/>
          <w:sz w:val="36"/>
          <w:szCs w:val="36"/>
        </w:rPr>
      </w:pPr>
    </w:p>
    <w:p>
      <w:pPr>
        <w:widowControl/>
        <w:jc w:val="center"/>
        <w:rPr>
          <w:rFonts w:ascii="黑体" w:hAnsi="黑体" w:eastAsia="黑体"/>
          <w:color w:val="000000"/>
          <w:sz w:val="48"/>
          <w:szCs w:val="48"/>
        </w:rPr>
      </w:pPr>
      <w:r>
        <w:rPr>
          <w:rFonts w:ascii="方正小标宋简体" w:hAnsi="宋体" w:eastAsia="方正小标宋简体"/>
          <w:sz w:val="36"/>
          <w:szCs w:val="36"/>
        </w:rPr>
        <w:br w:type="page"/>
      </w:r>
      <w:r>
        <w:rPr>
          <w:rFonts w:hint="eastAsia" w:ascii="黑体" w:hAnsi="黑体" w:eastAsia="黑体"/>
          <w:color w:val="000000"/>
          <w:sz w:val="48"/>
          <w:szCs w:val="48"/>
        </w:rPr>
        <w:t>目录</w:t>
      </w:r>
    </w:p>
    <w:p>
      <w:pPr>
        <w:widowControl/>
        <w:jc w:val="center"/>
        <w:rPr>
          <w:rFonts w:ascii="黑体" w:hAnsi="黑体" w:eastAsia="黑体" w:cstheme="minorBidi"/>
          <w:sz w:val="28"/>
          <w:szCs w:val="28"/>
        </w:rPr>
      </w:pPr>
    </w:p>
    <w:p>
      <w:pPr>
        <w:pStyle w:val="11"/>
      </w:pPr>
      <w:r>
        <w:rPr>
          <w:rFonts w:hint="eastAsia"/>
        </w:rPr>
        <w:t>公开时间：2021年9月</w:t>
      </w:r>
      <w:r>
        <w:rPr>
          <w:rFonts w:hint="eastAsia"/>
          <w:lang w:val="en-US" w:eastAsia="zh-CN"/>
        </w:rPr>
        <w:t>24</w:t>
      </w:r>
      <w:r>
        <w:rPr>
          <w:rFonts w:hint="eastAsia"/>
        </w:rPr>
        <w:t>日</w:t>
      </w:r>
    </w:p>
    <w:p/>
    <w:p>
      <w:pPr>
        <w:pStyle w:val="11"/>
        <w:adjustRightInd w:val="0"/>
        <w:snapToGrid w:val="0"/>
        <w:spacing w:before="0" w:line="440" w:lineRule="exact"/>
        <w:jc w:val="left"/>
        <w:rPr>
          <w:rFonts w:cstheme="minorBidi"/>
          <w:sz w:val="24"/>
          <w:szCs w:val="24"/>
        </w:rPr>
      </w:pPr>
      <w:r>
        <w:rPr>
          <w:rFonts w:hint="eastAsia"/>
          <w:sz w:val="24"/>
        </w:rPr>
        <w:t>第一部分</w:t>
      </w:r>
      <w:r>
        <w:rPr>
          <w:sz w:val="24"/>
        </w:rPr>
        <w:t xml:space="preserve"> </w:t>
      </w:r>
      <w:r>
        <w:rPr>
          <w:rFonts w:hint="eastAsia"/>
          <w:sz w:val="24"/>
        </w:rPr>
        <w:t>部门概况</w:t>
      </w:r>
    </w:p>
    <w:p>
      <w:pPr>
        <w:pStyle w:val="12"/>
        <w:adjustRightInd w:val="0"/>
        <w:snapToGrid w:val="0"/>
        <w:spacing w:line="440" w:lineRule="exact"/>
        <w:jc w:val="left"/>
        <w:rPr>
          <w:rFonts w:ascii="仿宋" w:hAnsi="仿宋" w:eastAsia="仿宋"/>
          <w:sz w:val="24"/>
        </w:rPr>
      </w:pPr>
      <w:r>
        <w:rPr>
          <w:rFonts w:hint="eastAsia"/>
          <w:sz w:val="24"/>
        </w:rPr>
        <w:t>一、基本职能及主要工作</w:t>
      </w:r>
    </w:p>
    <w:p>
      <w:pPr>
        <w:pStyle w:val="12"/>
        <w:adjustRightInd w:val="0"/>
        <w:snapToGrid w:val="0"/>
        <w:spacing w:line="440" w:lineRule="exact"/>
        <w:jc w:val="left"/>
        <w:rPr>
          <w:rFonts w:ascii="仿宋" w:hAnsi="仿宋" w:eastAsia="仿宋" w:cstheme="minorBidi"/>
          <w:sz w:val="24"/>
        </w:rPr>
      </w:pPr>
      <w:r>
        <w:rPr>
          <w:rFonts w:hint="eastAsia"/>
          <w:sz w:val="24"/>
        </w:rPr>
        <w:t>二、机构设置</w:t>
      </w:r>
    </w:p>
    <w:p>
      <w:pPr>
        <w:pStyle w:val="11"/>
        <w:adjustRightInd w:val="0"/>
        <w:snapToGrid w:val="0"/>
        <w:spacing w:before="0" w:line="440" w:lineRule="exact"/>
        <w:jc w:val="left"/>
        <w:rPr>
          <w:sz w:val="24"/>
          <w:szCs w:val="24"/>
        </w:rPr>
      </w:pPr>
      <w:r>
        <w:rPr>
          <w:rFonts w:hint="eastAsia"/>
          <w:sz w:val="24"/>
        </w:rPr>
        <w:t>第二部分度部门决算情况说明</w:t>
      </w:r>
    </w:p>
    <w:p>
      <w:pPr>
        <w:pStyle w:val="12"/>
        <w:adjustRightInd w:val="0"/>
        <w:snapToGrid w:val="0"/>
        <w:spacing w:line="440" w:lineRule="exact"/>
        <w:jc w:val="left"/>
        <w:rPr>
          <w:rFonts w:ascii="仿宋" w:hAnsi="仿宋" w:eastAsia="仿宋" w:cstheme="minorBidi"/>
          <w:sz w:val="24"/>
        </w:rPr>
      </w:pPr>
      <w:r>
        <w:rPr>
          <w:rFonts w:hint="eastAsia"/>
          <w:sz w:val="24"/>
        </w:rPr>
        <w:t>一、收入支出决算总体情况说明</w:t>
      </w:r>
    </w:p>
    <w:p>
      <w:pPr>
        <w:pStyle w:val="12"/>
        <w:adjustRightInd w:val="0"/>
        <w:snapToGrid w:val="0"/>
        <w:spacing w:line="440" w:lineRule="exact"/>
        <w:jc w:val="left"/>
        <w:rPr>
          <w:rFonts w:ascii="仿宋" w:hAnsi="仿宋" w:eastAsia="仿宋" w:cstheme="minorBidi"/>
          <w:sz w:val="24"/>
        </w:rPr>
      </w:pPr>
      <w:r>
        <w:rPr>
          <w:rFonts w:hint="eastAsia"/>
          <w:sz w:val="24"/>
        </w:rPr>
        <w:t>二、收入决算情况说明</w:t>
      </w:r>
    </w:p>
    <w:p>
      <w:pPr>
        <w:pStyle w:val="12"/>
        <w:adjustRightInd w:val="0"/>
        <w:snapToGrid w:val="0"/>
        <w:spacing w:line="440" w:lineRule="exact"/>
        <w:jc w:val="left"/>
        <w:rPr>
          <w:rFonts w:ascii="仿宋" w:hAnsi="仿宋" w:eastAsia="仿宋" w:cstheme="minorBidi"/>
          <w:sz w:val="24"/>
        </w:rPr>
      </w:pPr>
      <w:r>
        <w:rPr>
          <w:rFonts w:hint="eastAsia"/>
          <w:sz w:val="24"/>
        </w:rPr>
        <w:t>三、支出决算情况说明</w:t>
      </w:r>
    </w:p>
    <w:p>
      <w:pPr>
        <w:pStyle w:val="12"/>
        <w:adjustRightInd w:val="0"/>
        <w:snapToGrid w:val="0"/>
        <w:spacing w:line="440" w:lineRule="exact"/>
        <w:jc w:val="left"/>
        <w:rPr>
          <w:rFonts w:ascii="仿宋" w:hAnsi="仿宋" w:eastAsia="仿宋" w:cstheme="minorBidi"/>
          <w:sz w:val="24"/>
        </w:rPr>
      </w:pPr>
      <w:r>
        <w:rPr>
          <w:rFonts w:hint="eastAsia"/>
          <w:sz w:val="24"/>
        </w:rPr>
        <w:t>四、财政拨款收入支出决算总体情况说明</w:t>
      </w:r>
    </w:p>
    <w:p>
      <w:pPr>
        <w:pStyle w:val="12"/>
        <w:adjustRightInd w:val="0"/>
        <w:snapToGrid w:val="0"/>
        <w:spacing w:line="440" w:lineRule="exact"/>
        <w:jc w:val="left"/>
        <w:rPr>
          <w:rFonts w:ascii="仿宋" w:hAnsi="仿宋" w:eastAsia="仿宋" w:cstheme="minorBidi"/>
          <w:sz w:val="24"/>
        </w:rPr>
      </w:pPr>
      <w:r>
        <w:rPr>
          <w:rFonts w:hint="eastAsia"/>
          <w:sz w:val="24"/>
        </w:rPr>
        <w:t>五、一般公共预算财政拨款支出决算情况说明</w:t>
      </w:r>
    </w:p>
    <w:p>
      <w:pPr>
        <w:pStyle w:val="12"/>
        <w:adjustRightInd w:val="0"/>
        <w:snapToGrid w:val="0"/>
        <w:spacing w:line="440" w:lineRule="exact"/>
        <w:jc w:val="left"/>
        <w:rPr>
          <w:rFonts w:ascii="仿宋" w:hAnsi="仿宋" w:eastAsia="仿宋" w:cstheme="minorBidi"/>
          <w:sz w:val="24"/>
        </w:rPr>
      </w:pPr>
      <w:r>
        <w:rPr>
          <w:rFonts w:hint="eastAsia"/>
          <w:sz w:val="24"/>
        </w:rPr>
        <w:t>六、一般公共预算财政拨款基本支出决算情况说明</w:t>
      </w:r>
    </w:p>
    <w:p>
      <w:pPr>
        <w:pStyle w:val="12"/>
        <w:adjustRightInd w:val="0"/>
        <w:snapToGrid w:val="0"/>
        <w:spacing w:line="440" w:lineRule="exact"/>
        <w:jc w:val="left"/>
        <w:rPr>
          <w:rFonts w:ascii="仿宋" w:hAnsi="仿宋" w:eastAsia="仿宋" w:cstheme="minorBidi"/>
          <w:sz w:val="24"/>
        </w:rPr>
      </w:pPr>
      <w:r>
        <w:rPr>
          <w:rFonts w:hint="eastAsia"/>
          <w:sz w:val="24"/>
        </w:rPr>
        <w:t>七、</w:t>
      </w:r>
      <w:r>
        <w:rPr>
          <w:sz w:val="24"/>
        </w:rPr>
        <w:t>“</w:t>
      </w:r>
      <w:r>
        <w:rPr>
          <w:rFonts w:hint="eastAsia"/>
          <w:sz w:val="24"/>
        </w:rPr>
        <w:t>三公”经费财政拨款支出决算情况说明</w:t>
      </w:r>
    </w:p>
    <w:p>
      <w:pPr>
        <w:pStyle w:val="12"/>
        <w:adjustRightInd w:val="0"/>
        <w:snapToGrid w:val="0"/>
        <w:spacing w:line="440" w:lineRule="exact"/>
        <w:jc w:val="left"/>
        <w:rPr>
          <w:rFonts w:ascii="仿宋" w:hAnsi="仿宋" w:eastAsia="仿宋" w:cstheme="minorBidi"/>
          <w:sz w:val="24"/>
        </w:rPr>
      </w:pPr>
      <w:r>
        <w:rPr>
          <w:rFonts w:hint="eastAsia"/>
          <w:sz w:val="24"/>
        </w:rPr>
        <w:t>八、政府性基金预算支出决算情况说明</w:t>
      </w:r>
    </w:p>
    <w:p>
      <w:pPr>
        <w:pStyle w:val="12"/>
        <w:adjustRightInd w:val="0"/>
        <w:snapToGrid w:val="0"/>
        <w:spacing w:line="440" w:lineRule="exact"/>
        <w:ind w:leftChars="0"/>
        <w:jc w:val="left"/>
        <w:rPr>
          <w:rFonts w:ascii="仿宋" w:hAnsi="仿宋" w:eastAsia="仿宋"/>
          <w:sz w:val="24"/>
        </w:rPr>
      </w:pPr>
      <w:r>
        <w:rPr>
          <w:rFonts w:hint="eastAsia" w:ascii="仿宋" w:hAnsi="仿宋" w:eastAsia="仿宋"/>
          <w:sz w:val="24"/>
        </w:rPr>
        <w:t>九、</w:t>
      </w:r>
      <w:r>
        <w:rPr>
          <w:sz w:val="24"/>
        </w:rPr>
        <w:t xml:space="preserve"> 国</w:t>
      </w:r>
      <w:r>
        <w:rPr>
          <w:rFonts w:hint="eastAsia"/>
          <w:sz w:val="24"/>
        </w:rPr>
        <w:t>有资本经营预算支出决算情况说明</w:t>
      </w:r>
    </w:p>
    <w:p>
      <w:pPr>
        <w:adjustRightInd w:val="0"/>
        <w:snapToGrid w:val="0"/>
        <w:spacing w:line="440" w:lineRule="exact"/>
        <w:ind w:firstLine="480" w:firstLineChars="200"/>
        <w:jc w:val="left"/>
        <w:rPr>
          <w:rFonts w:ascii="仿宋" w:hAnsi="仿宋" w:eastAsia="仿宋" w:cstheme="minorBidi"/>
          <w:sz w:val="24"/>
        </w:rPr>
      </w:pPr>
      <w:r>
        <w:rPr>
          <w:rStyle w:val="17"/>
          <w:rFonts w:hint="eastAsia" w:ascii="仿宋" w:hAnsi="仿宋" w:eastAsia="仿宋"/>
          <w:color w:val="000000" w:themeColor="text1"/>
          <w:sz w:val="24"/>
          <w:u w:val="none"/>
        </w:rPr>
        <w:t>十、</w:t>
      </w:r>
      <w:r>
        <w:rPr>
          <w:rFonts w:hint="eastAsia"/>
          <w:sz w:val="24"/>
        </w:rPr>
        <w:t>其他重要事项的情况说明</w:t>
      </w:r>
      <w:r>
        <w:rPr>
          <w:rFonts w:ascii="仿宋" w:hAnsi="仿宋" w:eastAsia="仿宋"/>
          <w:sz w:val="24"/>
        </w:rPr>
        <w:tab/>
      </w:r>
    </w:p>
    <w:p>
      <w:pPr>
        <w:pStyle w:val="11"/>
        <w:adjustRightInd w:val="0"/>
        <w:snapToGrid w:val="0"/>
        <w:spacing w:before="0" w:line="440" w:lineRule="exact"/>
        <w:jc w:val="left"/>
        <w:rPr>
          <w:rFonts w:cstheme="minorBidi"/>
          <w:sz w:val="24"/>
          <w:szCs w:val="24"/>
        </w:rPr>
      </w:pPr>
      <w:r>
        <w:rPr>
          <w:rFonts w:hint="eastAsia"/>
          <w:sz w:val="24"/>
        </w:rPr>
        <w:t>第三部分</w:t>
      </w:r>
      <w:r>
        <w:rPr>
          <w:sz w:val="24"/>
        </w:rPr>
        <w:t xml:space="preserve"> </w:t>
      </w:r>
      <w:r>
        <w:rPr>
          <w:rFonts w:hint="eastAsia"/>
          <w:sz w:val="24"/>
        </w:rPr>
        <w:t>名词解释</w:t>
      </w:r>
    </w:p>
    <w:p>
      <w:pPr>
        <w:pStyle w:val="11"/>
        <w:adjustRightInd w:val="0"/>
        <w:snapToGrid w:val="0"/>
        <w:spacing w:before="0" w:line="440" w:lineRule="exact"/>
        <w:jc w:val="left"/>
        <w:rPr>
          <w:rFonts w:cstheme="minorBidi"/>
          <w:sz w:val="24"/>
          <w:szCs w:val="24"/>
        </w:rPr>
      </w:pPr>
      <w:r>
        <w:rPr>
          <w:rFonts w:hint="eastAsia"/>
          <w:sz w:val="24"/>
        </w:rPr>
        <w:t>第四部分</w:t>
      </w:r>
      <w:r>
        <w:rPr>
          <w:sz w:val="24"/>
        </w:rPr>
        <w:t xml:space="preserve"> </w:t>
      </w:r>
      <w:r>
        <w:rPr>
          <w:rFonts w:hint="eastAsia"/>
          <w:sz w:val="24"/>
        </w:rPr>
        <w:t>附件</w:t>
      </w:r>
    </w:p>
    <w:p>
      <w:pPr>
        <w:pStyle w:val="12"/>
        <w:adjustRightInd w:val="0"/>
        <w:snapToGrid w:val="0"/>
        <w:spacing w:line="440" w:lineRule="exact"/>
        <w:jc w:val="left"/>
        <w:rPr>
          <w:rFonts w:ascii="仿宋" w:hAnsi="仿宋" w:eastAsia="仿宋" w:cstheme="minorBidi"/>
          <w:sz w:val="24"/>
        </w:rPr>
      </w:pPr>
      <w:r>
        <w:rPr>
          <w:rFonts w:hint="eastAsia"/>
          <w:sz w:val="24"/>
        </w:rPr>
        <w:t>附件</w:t>
      </w:r>
      <w:r>
        <w:rPr>
          <w:sz w:val="24"/>
        </w:rPr>
        <w:t>1</w:t>
      </w:r>
    </w:p>
    <w:p>
      <w:pPr>
        <w:pStyle w:val="12"/>
        <w:adjustRightInd w:val="0"/>
        <w:snapToGrid w:val="0"/>
        <w:spacing w:line="440" w:lineRule="exact"/>
        <w:jc w:val="left"/>
        <w:rPr>
          <w:rFonts w:ascii="仿宋" w:hAnsi="仿宋" w:eastAsia="仿宋" w:cstheme="minorBidi"/>
          <w:sz w:val="24"/>
        </w:rPr>
      </w:pPr>
      <w:r>
        <w:rPr>
          <w:rFonts w:hint="eastAsia"/>
          <w:sz w:val="24"/>
        </w:rPr>
        <w:t>附件</w:t>
      </w:r>
      <w:r>
        <w:rPr>
          <w:sz w:val="24"/>
        </w:rPr>
        <w:t>2</w:t>
      </w:r>
    </w:p>
    <w:p>
      <w:pPr>
        <w:pStyle w:val="11"/>
        <w:adjustRightInd w:val="0"/>
        <w:snapToGrid w:val="0"/>
        <w:spacing w:before="0" w:line="440" w:lineRule="exact"/>
        <w:jc w:val="left"/>
        <w:rPr>
          <w:rFonts w:cstheme="minorBidi"/>
          <w:sz w:val="24"/>
          <w:szCs w:val="24"/>
        </w:rPr>
      </w:pPr>
      <w:r>
        <w:rPr>
          <w:rFonts w:hint="eastAsia"/>
          <w:sz w:val="24"/>
        </w:rPr>
        <w:t>第五部分</w:t>
      </w:r>
      <w:r>
        <w:rPr>
          <w:sz w:val="24"/>
        </w:rPr>
        <w:t xml:space="preserve"> </w:t>
      </w:r>
      <w:r>
        <w:rPr>
          <w:rFonts w:hint="eastAsia"/>
          <w:sz w:val="24"/>
        </w:rPr>
        <w:t>附表</w:t>
      </w:r>
    </w:p>
    <w:p>
      <w:pPr>
        <w:pStyle w:val="12"/>
        <w:adjustRightInd w:val="0"/>
        <w:snapToGrid w:val="0"/>
        <w:spacing w:line="440" w:lineRule="exact"/>
        <w:jc w:val="left"/>
        <w:rPr>
          <w:rFonts w:ascii="仿宋" w:hAnsi="仿宋" w:eastAsia="仿宋" w:cstheme="minorBidi"/>
          <w:sz w:val="24"/>
        </w:rPr>
      </w:pPr>
      <w:r>
        <w:rPr>
          <w:rFonts w:hint="eastAsia" w:ascii="仿宋" w:hAnsi="仿宋" w:eastAsia="仿宋"/>
          <w:sz w:val="24"/>
        </w:rPr>
        <w:t>一、</w:t>
      </w:r>
      <w:r>
        <w:rPr>
          <w:rFonts w:hint="eastAsia"/>
          <w:sz w:val="24"/>
        </w:rPr>
        <w:t>收入支出决算总表</w:t>
      </w:r>
    </w:p>
    <w:p>
      <w:pPr>
        <w:pStyle w:val="12"/>
        <w:adjustRightInd w:val="0"/>
        <w:snapToGrid w:val="0"/>
        <w:spacing w:line="440" w:lineRule="exact"/>
        <w:jc w:val="left"/>
        <w:rPr>
          <w:rFonts w:ascii="仿宋" w:hAnsi="仿宋" w:eastAsia="仿宋" w:cstheme="minorBidi"/>
          <w:sz w:val="24"/>
        </w:rPr>
      </w:pPr>
      <w:r>
        <w:rPr>
          <w:rFonts w:hint="eastAsia" w:ascii="仿宋" w:hAnsi="仿宋" w:eastAsia="仿宋"/>
          <w:sz w:val="24"/>
        </w:rPr>
        <w:t>二、</w:t>
      </w:r>
      <w:r>
        <w:rPr>
          <w:rFonts w:hint="eastAsia"/>
          <w:sz w:val="24"/>
        </w:rPr>
        <w:t>收入</w:t>
      </w:r>
      <w:r>
        <w:rPr>
          <w:rFonts w:hint="eastAsia" w:ascii="仿宋" w:hAnsi="仿宋" w:eastAsia="仿宋"/>
          <w:sz w:val="24"/>
        </w:rPr>
        <w:t>决算</w:t>
      </w:r>
      <w:r>
        <w:rPr>
          <w:rFonts w:hint="eastAsia"/>
          <w:sz w:val="24"/>
        </w:rPr>
        <w:t>表</w:t>
      </w:r>
    </w:p>
    <w:p>
      <w:pPr>
        <w:pStyle w:val="12"/>
        <w:adjustRightInd w:val="0"/>
        <w:snapToGrid w:val="0"/>
        <w:spacing w:line="440" w:lineRule="exact"/>
        <w:jc w:val="left"/>
        <w:rPr>
          <w:rFonts w:ascii="仿宋" w:hAnsi="仿宋" w:eastAsia="仿宋" w:cstheme="minorBidi"/>
          <w:sz w:val="24"/>
        </w:rPr>
      </w:pPr>
      <w:r>
        <w:rPr>
          <w:rFonts w:hint="eastAsia" w:ascii="仿宋" w:hAnsi="仿宋" w:eastAsia="仿宋"/>
          <w:sz w:val="24"/>
        </w:rPr>
        <w:t>三、</w:t>
      </w:r>
      <w:r>
        <w:rPr>
          <w:rFonts w:hint="eastAsia"/>
          <w:sz w:val="24"/>
        </w:rPr>
        <w:t>支出</w:t>
      </w:r>
      <w:r>
        <w:rPr>
          <w:rFonts w:hint="eastAsia" w:ascii="仿宋" w:hAnsi="仿宋" w:eastAsia="仿宋"/>
          <w:sz w:val="24"/>
        </w:rPr>
        <w:t>决算</w:t>
      </w:r>
      <w:r>
        <w:rPr>
          <w:rFonts w:hint="eastAsia"/>
          <w:sz w:val="24"/>
        </w:rPr>
        <w:t>表</w:t>
      </w:r>
    </w:p>
    <w:p>
      <w:pPr>
        <w:pStyle w:val="12"/>
        <w:adjustRightInd w:val="0"/>
        <w:snapToGrid w:val="0"/>
        <w:spacing w:line="440" w:lineRule="exact"/>
        <w:jc w:val="left"/>
        <w:rPr>
          <w:rFonts w:ascii="仿宋" w:hAnsi="仿宋" w:eastAsia="仿宋" w:cstheme="minorBidi"/>
          <w:sz w:val="24"/>
        </w:rPr>
      </w:pPr>
      <w:r>
        <w:rPr>
          <w:rFonts w:hint="eastAsia" w:ascii="仿宋" w:hAnsi="仿宋" w:eastAsia="仿宋"/>
          <w:sz w:val="24"/>
        </w:rPr>
        <w:t>四、</w:t>
      </w:r>
      <w:r>
        <w:rPr>
          <w:rFonts w:hint="eastAsia"/>
          <w:sz w:val="24"/>
        </w:rPr>
        <w:t>财政拨款收入支出决算总表</w:t>
      </w:r>
    </w:p>
    <w:p>
      <w:pPr>
        <w:pStyle w:val="12"/>
        <w:adjustRightInd w:val="0"/>
        <w:snapToGrid w:val="0"/>
        <w:spacing w:line="440" w:lineRule="exact"/>
        <w:jc w:val="left"/>
        <w:rPr>
          <w:rFonts w:ascii="仿宋" w:hAnsi="仿宋" w:eastAsia="仿宋"/>
          <w:sz w:val="24"/>
        </w:rPr>
      </w:pPr>
      <w:r>
        <w:rPr>
          <w:rFonts w:hint="eastAsia" w:ascii="仿宋" w:hAnsi="仿宋" w:eastAsia="仿宋"/>
          <w:sz w:val="24"/>
        </w:rPr>
        <w:t>五、财政拨款支出决算明细表</w:t>
      </w:r>
    </w:p>
    <w:p>
      <w:pPr>
        <w:pStyle w:val="12"/>
        <w:adjustRightInd w:val="0"/>
        <w:snapToGrid w:val="0"/>
        <w:spacing w:line="440" w:lineRule="exact"/>
        <w:jc w:val="left"/>
        <w:rPr>
          <w:rFonts w:ascii="仿宋" w:hAnsi="仿宋" w:eastAsia="仿宋" w:cstheme="minorBidi"/>
          <w:sz w:val="24"/>
        </w:rPr>
      </w:pPr>
      <w:r>
        <w:rPr>
          <w:rFonts w:hint="eastAsia" w:ascii="仿宋" w:hAnsi="仿宋" w:eastAsia="仿宋"/>
          <w:sz w:val="24"/>
        </w:rPr>
        <w:t>六、</w:t>
      </w:r>
      <w:r>
        <w:rPr>
          <w:rFonts w:hint="eastAsia"/>
          <w:sz w:val="24"/>
        </w:rPr>
        <w:t>一般公共预算财政拨款支出决算表</w:t>
      </w:r>
    </w:p>
    <w:p>
      <w:pPr>
        <w:pStyle w:val="12"/>
        <w:adjustRightInd w:val="0"/>
        <w:snapToGrid w:val="0"/>
        <w:spacing w:line="440" w:lineRule="exact"/>
        <w:jc w:val="left"/>
        <w:rPr>
          <w:rFonts w:ascii="仿宋" w:hAnsi="仿宋" w:eastAsia="仿宋" w:cstheme="minorBidi"/>
          <w:sz w:val="24"/>
        </w:rPr>
      </w:pPr>
      <w:r>
        <w:rPr>
          <w:rFonts w:hint="eastAsia" w:ascii="仿宋" w:hAnsi="仿宋" w:eastAsia="仿宋"/>
          <w:sz w:val="24"/>
        </w:rPr>
        <w:t>七、</w:t>
      </w:r>
      <w:r>
        <w:rPr>
          <w:rFonts w:hint="eastAsia"/>
          <w:sz w:val="24"/>
        </w:rPr>
        <w:t>一般公共预算财政拨款支出决算明细表</w:t>
      </w:r>
    </w:p>
    <w:p>
      <w:pPr>
        <w:pStyle w:val="12"/>
        <w:adjustRightInd w:val="0"/>
        <w:snapToGrid w:val="0"/>
        <w:spacing w:line="440" w:lineRule="exact"/>
        <w:jc w:val="left"/>
        <w:rPr>
          <w:rFonts w:ascii="仿宋" w:hAnsi="仿宋" w:eastAsia="仿宋" w:cstheme="minorBidi"/>
          <w:sz w:val="24"/>
        </w:rPr>
      </w:pPr>
      <w:r>
        <w:rPr>
          <w:rFonts w:hint="eastAsia" w:ascii="仿宋" w:hAnsi="仿宋" w:eastAsia="仿宋"/>
          <w:sz w:val="24"/>
        </w:rPr>
        <w:t>八、</w:t>
      </w:r>
      <w:r>
        <w:rPr>
          <w:rFonts w:hint="eastAsia"/>
          <w:sz w:val="24"/>
        </w:rPr>
        <w:t>一般公共预算财政拨款基本支出决算表</w:t>
      </w:r>
    </w:p>
    <w:p>
      <w:pPr>
        <w:pStyle w:val="12"/>
        <w:adjustRightInd w:val="0"/>
        <w:snapToGrid w:val="0"/>
        <w:spacing w:line="440" w:lineRule="exact"/>
        <w:jc w:val="left"/>
        <w:rPr>
          <w:rFonts w:ascii="仿宋" w:hAnsi="仿宋" w:eastAsia="仿宋" w:cstheme="minorBidi"/>
          <w:sz w:val="24"/>
        </w:rPr>
      </w:pPr>
      <w:r>
        <w:rPr>
          <w:rFonts w:hint="eastAsia" w:ascii="仿宋" w:hAnsi="仿宋" w:eastAsia="仿宋"/>
          <w:sz w:val="24"/>
        </w:rPr>
        <w:t>九、</w:t>
      </w:r>
      <w:r>
        <w:rPr>
          <w:rFonts w:hint="eastAsia"/>
          <w:sz w:val="24"/>
        </w:rPr>
        <w:t>一般公共预算财政拨款项目支出决算表</w:t>
      </w:r>
    </w:p>
    <w:p>
      <w:pPr>
        <w:pStyle w:val="12"/>
        <w:adjustRightInd w:val="0"/>
        <w:snapToGrid w:val="0"/>
        <w:spacing w:line="440" w:lineRule="exact"/>
        <w:jc w:val="left"/>
        <w:rPr>
          <w:rFonts w:ascii="仿宋" w:hAnsi="仿宋" w:eastAsia="仿宋" w:cstheme="minorBidi"/>
          <w:sz w:val="24"/>
        </w:rPr>
      </w:pPr>
      <w:r>
        <w:rPr>
          <w:rFonts w:hint="eastAsia" w:ascii="仿宋" w:hAnsi="仿宋" w:eastAsia="仿宋"/>
          <w:sz w:val="24"/>
        </w:rPr>
        <w:t>十、</w:t>
      </w:r>
      <w:r>
        <w:rPr>
          <w:rFonts w:hint="eastAsia"/>
          <w:sz w:val="24"/>
        </w:rPr>
        <w:t>一般公共预算财政拨款“三公”经费支出决算表</w:t>
      </w:r>
    </w:p>
    <w:p>
      <w:pPr>
        <w:pStyle w:val="12"/>
        <w:adjustRightInd w:val="0"/>
        <w:snapToGrid w:val="0"/>
        <w:spacing w:line="440" w:lineRule="exact"/>
        <w:jc w:val="left"/>
        <w:rPr>
          <w:rFonts w:ascii="仿宋" w:hAnsi="仿宋" w:eastAsia="仿宋" w:cstheme="minorBidi"/>
          <w:sz w:val="24"/>
        </w:rPr>
      </w:pPr>
      <w:r>
        <w:rPr>
          <w:rFonts w:hint="eastAsia" w:ascii="仿宋" w:hAnsi="仿宋" w:eastAsia="仿宋"/>
          <w:sz w:val="24"/>
        </w:rPr>
        <w:t>十一、</w:t>
      </w:r>
      <w:r>
        <w:rPr>
          <w:rFonts w:hint="eastAsia"/>
          <w:sz w:val="24"/>
        </w:rPr>
        <w:t>政府性基金预算财政拨款收入支出决算表</w:t>
      </w:r>
    </w:p>
    <w:p>
      <w:pPr>
        <w:pStyle w:val="12"/>
        <w:adjustRightInd w:val="0"/>
        <w:snapToGrid w:val="0"/>
        <w:spacing w:line="440" w:lineRule="exact"/>
        <w:jc w:val="left"/>
        <w:rPr>
          <w:rFonts w:ascii="仿宋" w:hAnsi="仿宋" w:eastAsia="仿宋" w:cstheme="minorBidi"/>
          <w:sz w:val="24"/>
        </w:rPr>
      </w:pPr>
      <w:r>
        <w:rPr>
          <w:rFonts w:hint="eastAsia" w:ascii="仿宋" w:hAnsi="仿宋" w:eastAsia="仿宋"/>
          <w:sz w:val="24"/>
        </w:rPr>
        <w:t>十二、</w:t>
      </w:r>
      <w:r>
        <w:rPr>
          <w:rFonts w:hint="eastAsia"/>
          <w:sz w:val="24"/>
        </w:rPr>
        <w:t>政府性基金预算财政拨款“三公”经费支出决算表</w:t>
      </w:r>
    </w:p>
    <w:p>
      <w:pPr>
        <w:pStyle w:val="12"/>
        <w:adjustRightInd w:val="0"/>
        <w:snapToGrid w:val="0"/>
        <w:spacing w:line="440" w:lineRule="exact"/>
        <w:jc w:val="left"/>
        <w:rPr>
          <w:rFonts w:hint="eastAsia" w:ascii="Times New Roman" w:hAnsi="Times New Roman" w:cs="Times New Roman"/>
          <w:sz w:val="24"/>
          <w:lang w:val="en-US" w:eastAsia="zh-CN"/>
        </w:rPr>
      </w:pPr>
      <w:r>
        <w:rPr>
          <w:rFonts w:hint="eastAsia" w:ascii="仿宋" w:hAnsi="仿宋" w:eastAsia="仿宋" w:cs="Times New Roman"/>
          <w:sz w:val="24"/>
          <w:lang w:val="en-US" w:eastAsia="zh-CN"/>
        </w:rPr>
        <w:t>十三、</w:t>
      </w:r>
      <w:r>
        <w:rPr>
          <w:rFonts w:hint="eastAsia" w:ascii="Times New Roman" w:hAnsi="Times New Roman" w:cs="Times New Roman"/>
          <w:sz w:val="24"/>
          <w:lang w:val="en-US" w:eastAsia="zh-CN"/>
        </w:rPr>
        <w:t>国</w:t>
      </w:r>
      <w:r>
        <w:rPr>
          <w:rFonts w:hint="eastAsia" w:ascii="Times New Roman" w:hAnsi="Times New Roman" w:cs="Times New Roman"/>
          <w:sz w:val="24"/>
          <w:lang w:val="en-US" w:eastAsia="zh-CN"/>
        </w:rPr>
        <w:t>有资本经营预算财政拨款收入支出决算表</w:t>
      </w:r>
    </w:p>
    <w:p>
      <w:pPr>
        <w:pStyle w:val="12"/>
        <w:adjustRightInd w:val="0"/>
        <w:snapToGrid w:val="0"/>
        <w:spacing w:line="440" w:lineRule="exact"/>
        <w:jc w:val="left"/>
        <w:rPr>
          <w:rFonts w:hint="eastAsia" w:ascii="Times New Roman" w:hAnsi="Times New Roman" w:cs="Times New Roman"/>
          <w:sz w:val="24"/>
          <w:lang w:val="en-US" w:eastAsia="zh-CN"/>
        </w:rPr>
      </w:pPr>
      <w:r>
        <w:rPr>
          <w:rFonts w:hint="eastAsia" w:ascii="仿宋" w:hAnsi="仿宋" w:eastAsia="仿宋" w:cs="Times New Roman"/>
          <w:sz w:val="24"/>
          <w:lang w:val="en-US" w:eastAsia="zh-CN"/>
        </w:rPr>
        <w:t>十四、</w:t>
      </w:r>
      <w:r>
        <w:rPr>
          <w:rFonts w:hint="eastAsia" w:ascii="Times New Roman" w:hAnsi="Times New Roman" w:cs="Times New Roman"/>
          <w:sz w:val="24"/>
          <w:lang w:val="en-US" w:eastAsia="zh-CN"/>
        </w:rPr>
        <w:t>国有资本经营预算财政拨款支出决算表</w:t>
      </w:r>
    </w:p>
    <w:p>
      <w:pPr>
        <w:widowControl/>
        <w:adjustRightInd w:val="0"/>
        <w:snapToGrid w:val="0"/>
        <w:spacing w:line="440" w:lineRule="exact"/>
        <w:ind w:firstLine="1320" w:firstLineChars="550"/>
        <w:jc w:val="left"/>
        <w:rPr>
          <w:rFonts w:ascii="仿宋" w:hAnsi="仿宋" w:eastAsia="仿宋"/>
          <w:color w:val="FF0000"/>
          <w:sz w:val="24"/>
        </w:rPr>
      </w:pPr>
      <w:r>
        <w:rPr>
          <w:rFonts w:ascii="仿宋" w:hAnsi="仿宋" w:eastAsia="仿宋"/>
          <w:color w:val="FF0000"/>
          <w:sz w:val="24"/>
        </w:rPr>
        <w:t>(注：</w:t>
      </w:r>
      <w:r>
        <w:rPr>
          <w:rFonts w:hint="eastAsia" w:ascii="仿宋" w:hAnsi="仿宋" w:eastAsia="仿宋"/>
          <w:color w:val="FF0000"/>
          <w:sz w:val="24"/>
        </w:rPr>
        <w:t>请部门根据实际注明页码</w:t>
      </w:r>
      <w:r>
        <w:rPr>
          <w:rFonts w:ascii="仿宋" w:hAnsi="仿宋" w:eastAsia="仿宋"/>
          <w:color w:val="FF0000"/>
          <w:sz w:val="24"/>
        </w:rPr>
        <w:t>)</w:t>
      </w:r>
    </w:p>
    <w:p>
      <w:pPr>
        <w:widowControl/>
        <w:spacing w:line="440" w:lineRule="exact"/>
        <w:jc w:val="left"/>
        <w:rPr>
          <w:rFonts w:ascii="仿宋" w:hAnsi="仿宋" w:eastAsia="仿宋"/>
          <w:bCs/>
          <w:kern w:val="44"/>
          <w:sz w:val="24"/>
        </w:rPr>
      </w:pPr>
      <w:bookmarkStart w:id="12" w:name="_Toc15396599"/>
      <w:bookmarkStart w:id="13" w:name="_Toc15377196"/>
      <w:r>
        <w:rPr>
          <w:rFonts w:ascii="仿宋" w:hAnsi="仿宋" w:eastAsia="仿宋"/>
          <w:b/>
          <w:sz w:val="24"/>
        </w:rPr>
        <w:br w:type="page"/>
      </w:r>
    </w:p>
    <w:p>
      <w:pPr>
        <w:pStyle w:val="2"/>
        <w:jc w:val="center"/>
        <w:rPr>
          <w:rStyle w:val="27"/>
          <w:rFonts w:ascii="黑体" w:hAnsi="黑体" w:eastAsia="黑体"/>
          <w:b/>
          <w:bCs w:val="0"/>
        </w:rPr>
      </w:pPr>
      <w:r>
        <w:rPr>
          <w:rFonts w:hint="eastAsia" w:ascii="黑体" w:hAnsi="黑体" w:eastAsia="黑体"/>
          <w:b w:val="0"/>
        </w:rPr>
        <w:t xml:space="preserve">第一部分 </w:t>
      </w:r>
      <w:r>
        <w:rPr>
          <w:rStyle w:val="27"/>
          <w:rFonts w:hint="eastAsia" w:ascii="黑体" w:hAnsi="黑体" w:eastAsia="黑体"/>
          <w:b w:val="0"/>
          <w:bCs w:val="0"/>
        </w:rPr>
        <w:t>部门概况</w:t>
      </w:r>
      <w:bookmarkEnd w:id="12"/>
      <w:bookmarkEnd w:id="13"/>
    </w:p>
    <w:p>
      <w:pPr>
        <w:pStyle w:val="6"/>
        <w:spacing w:after="0" w:line="580" w:lineRule="exact"/>
        <w:ind w:firstLine="321" w:firstLineChars="100"/>
        <w:jc w:val="left"/>
        <w:rPr>
          <w:rFonts w:ascii="黑体" w:hAnsi="仿宋" w:eastAsia="黑体" w:cs="仿宋"/>
          <w:b/>
          <w:color w:val="333333"/>
          <w:kern w:val="0"/>
          <w:sz w:val="32"/>
          <w:szCs w:val="32"/>
        </w:rPr>
      </w:pPr>
      <w:bookmarkStart w:id="14" w:name="_Toc15378445"/>
      <w:bookmarkStart w:id="15" w:name="_Toc15377198"/>
      <w:r>
        <w:rPr>
          <w:rFonts w:hint="eastAsia" w:ascii="黑体" w:hAnsi="仿宋" w:eastAsia="黑体" w:cs="仿宋"/>
          <w:b/>
          <w:color w:val="333333"/>
          <w:kern w:val="0"/>
          <w:sz w:val="32"/>
          <w:szCs w:val="32"/>
        </w:rPr>
        <w:t>一、基本职能及主要工作</w:t>
      </w:r>
    </w:p>
    <w:p>
      <w:pPr>
        <w:widowControl/>
        <w:shd w:val="clear" w:color="auto" w:fill="FBFBFB"/>
        <w:spacing w:line="580" w:lineRule="exact"/>
        <w:ind w:firstLine="707" w:firstLineChars="221"/>
        <w:jc w:val="left"/>
        <w:rPr>
          <w:rFonts w:ascii="仿宋_GB2312" w:hAnsi="仿宋" w:eastAsia="仿宋_GB2312" w:cs="仿宋"/>
          <w:color w:val="000000"/>
          <w:sz w:val="32"/>
          <w:szCs w:val="32"/>
          <w:shd w:val="clear" w:color="auto" w:fill="FBFBFB"/>
        </w:rPr>
      </w:pPr>
      <w:r>
        <w:rPr>
          <w:rFonts w:hint="eastAsia" w:ascii="仿宋_GB2312" w:hAnsi="仿宋" w:eastAsia="仿宋_GB2312" w:cs="仿宋"/>
          <w:color w:val="000000"/>
          <w:sz w:val="32"/>
          <w:szCs w:val="32"/>
          <w:shd w:val="clear" w:color="auto" w:fill="FBFBFB"/>
        </w:rPr>
        <w:t>主要职能、职责:主要承担政府部门委托的组织、协调、扶持职能，协助政府部门开展行业管理，开展科技服务，提供信息和科研成果，普及农村合作经济组织知识，促进合作经济发展，推进农村合作经济组织的规范化、科学化、标准化、产业化建设。</w:t>
      </w:r>
    </w:p>
    <w:p>
      <w:pPr>
        <w:widowControl/>
        <w:shd w:val="clear" w:color="auto" w:fill="FBFBFB"/>
        <w:spacing w:line="580" w:lineRule="exact"/>
        <w:ind w:firstLine="710" w:firstLineChars="221"/>
        <w:jc w:val="left"/>
        <w:rPr>
          <w:rFonts w:ascii="黑体" w:hAnsi="仿宋" w:eastAsia="黑体" w:cs="仿宋"/>
          <w:b/>
          <w:color w:val="000000"/>
          <w:sz w:val="32"/>
          <w:szCs w:val="32"/>
          <w:shd w:val="clear" w:color="auto" w:fill="FBFBFB"/>
        </w:rPr>
      </w:pPr>
      <w:r>
        <w:rPr>
          <w:rFonts w:hint="eastAsia" w:ascii="黑体" w:hAnsi="仿宋" w:eastAsia="黑体" w:cs="仿宋"/>
          <w:b/>
          <w:color w:val="000000"/>
          <w:sz w:val="32"/>
          <w:szCs w:val="32"/>
          <w:shd w:val="clear" w:color="auto" w:fill="FBFBFB"/>
        </w:rPr>
        <w:t>二、2020年重点工作情况</w:t>
      </w:r>
    </w:p>
    <w:p>
      <w:pPr>
        <w:ind w:firstLine="643" w:firstLineChars="200"/>
        <w:jc w:val="left"/>
        <w:rPr>
          <w:rFonts w:ascii="楷体_GB2312" w:hAnsi="仿宋" w:eastAsia="楷体_GB2312" w:cs="仿宋"/>
          <w:b/>
          <w:bCs/>
          <w:sz w:val="32"/>
          <w:szCs w:val="32"/>
        </w:rPr>
      </w:pPr>
      <w:r>
        <w:rPr>
          <w:rFonts w:hint="eastAsia" w:ascii="楷体_GB2312" w:hAnsi="仿宋" w:eastAsia="楷体_GB2312" w:cs="仿宋"/>
          <w:b/>
          <w:bCs/>
          <w:sz w:val="32"/>
          <w:szCs w:val="32"/>
        </w:rPr>
        <w:t>深入做好农资组织供应及安全检查</w:t>
      </w:r>
    </w:p>
    <w:p>
      <w:pPr>
        <w:ind w:firstLine="640" w:firstLineChars="200"/>
        <w:rPr>
          <w:rFonts w:ascii="仿宋_GB2312" w:hAnsi="仿宋" w:eastAsia="仿宋_GB2312" w:cs="仿宋"/>
          <w:color w:val="000000"/>
          <w:sz w:val="32"/>
          <w:szCs w:val="32"/>
          <w:shd w:val="clear" w:color="auto" w:fill="FBFBFB"/>
        </w:rPr>
      </w:pPr>
      <w:r>
        <w:rPr>
          <w:rFonts w:hint="eastAsia" w:ascii="仿宋_GB2312" w:hAnsi="仿宋" w:eastAsia="仿宋_GB2312" w:cs="仿宋"/>
          <w:color w:val="000000"/>
          <w:sz w:val="32"/>
          <w:szCs w:val="32"/>
          <w:shd w:val="clear" w:color="auto" w:fill="FBFBFB"/>
        </w:rPr>
        <w:t xml:space="preserve">在新型冠状病毒肺炎疫情防控正处于关键时期和春耕备耕物资流通使用旺季，及时组织调动力量，提前谋划，精心组织，抓好农资的调储供应。今年，我社共调运及储备各种农资585.5吨（磷肥435吨，复合肥99吨，尿素24吨，农膜22.5吨，有机肥5吨），确保了全县农资的需求供应。 </w:t>
      </w:r>
    </w:p>
    <w:p>
      <w:pPr>
        <w:ind w:firstLine="640" w:firstLineChars="200"/>
        <w:rPr>
          <w:rFonts w:ascii="仿宋_GB2312" w:hAnsi="仿宋" w:eastAsia="仿宋_GB2312" w:cs="仿宋"/>
          <w:color w:val="000000"/>
          <w:sz w:val="32"/>
          <w:szCs w:val="32"/>
          <w:shd w:val="clear" w:color="auto" w:fill="FBFBFB"/>
        </w:rPr>
      </w:pPr>
      <w:r>
        <w:rPr>
          <w:rFonts w:hint="eastAsia" w:ascii="仿宋_GB2312" w:hAnsi="仿宋" w:eastAsia="仿宋_GB2312" w:cs="仿宋"/>
          <w:color w:val="000000"/>
          <w:sz w:val="32"/>
          <w:szCs w:val="32"/>
          <w:shd w:val="clear" w:color="auto" w:fill="FBFBFB"/>
        </w:rPr>
        <w:t xml:space="preserve">春耕期间，供销社会同工商质监部门深入农资市场开展检查，维持了市场秩序，有效地遏止伪劣农资的进入。     </w:t>
      </w:r>
    </w:p>
    <w:p>
      <w:pPr>
        <w:ind w:firstLine="643" w:firstLineChars="200"/>
        <w:jc w:val="left"/>
        <w:rPr>
          <w:rFonts w:ascii="楷体_GB2312" w:hAnsi="仿宋" w:eastAsia="楷体_GB2312" w:cs="仿宋"/>
          <w:b/>
          <w:bCs/>
          <w:sz w:val="32"/>
          <w:szCs w:val="32"/>
        </w:rPr>
      </w:pPr>
      <w:r>
        <w:rPr>
          <w:rFonts w:hint="eastAsia" w:ascii="楷体_GB2312" w:hAnsi="仿宋" w:eastAsia="楷体_GB2312" w:cs="仿宋"/>
          <w:b/>
          <w:bCs/>
          <w:sz w:val="32"/>
          <w:szCs w:val="32"/>
        </w:rPr>
        <w:t>加强基层组织建设</w:t>
      </w:r>
    </w:p>
    <w:p>
      <w:pPr>
        <w:ind w:firstLine="640" w:firstLineChars="200"/>
        <w:rPr>
          <w:rFonts w:ascii="仿宋_GB2312" w:hAnsi="仿宋" w:eastAsia="仿宋_GB2312" w:cs="仿宋"/>
          <w:color w:val="000000"/>
          <w:sz w:val="32"/>
          <w:szCs w:val="32"/>
          <w:shd w:val="clear" w:color="auto" w:fill="FBFBFB"/>
        </w:rPr>
      </w:pPr>
      <w:r>
        <w:rPr>
          <w:rFonts w:hint="eastAsia" w:ascii="仿宋_GB2312" w:hAnsi="仿宋" w:eastAsia="仿宋_GB2312" w:cs="仿宋"/>
          <w:color w:val="000000"/>
          <w:sz w:val="32"/>
          <w:szCs w:val="32"/>
          <w:shd w:val="clear" w:color="auto" w:fill="FBFBFB"/>
        </w:rPr>
        <w:t>1.基层供销社推进情况。2020年在十里乡、安宏乡、青云镇、黄龙乡等乡镇新建基层供销社共计4个，现已全面完工，10月底前进行验收。</w:t>
      </w:r>
    </w:p>
    <w:p>
      <w:pPr>
        <w:ind w:firstLine="640" w:firstLineChars="200"/>
        <w:rPr>
          <w:rFonts w:ascii="仿宋_GB2312" w:hAnsi="仿宋" w:eastAsia="仿宋_GB2312" w:cs="仿宋"/>
          <w:color w:val="000000"/>
          <w:sz w:val="32"/>
          <w:szCs w:val="32"/>
          <w:shd w:val="clear" w:color="auto" w:fill="FBFBFB"/>
        </w:rPr>
      </w:pPr>
      <w:r>
        <w:rPr>
          <w:rFonts w:hint="eastAsia" w:ascii="仿宋_GB2312" w:hAnsi="仿宋" w:eastAsia="仿宋_GB2312" w:cs="仿宋"/>
          <w:color w:val="000000"/>
          <w:sz w:val="32"/>
          <w:szCs w:val="32"/>
          <w:shd w:val="clear" w:color="auto" w:fill="FBFBFB"/>
        </w:rPr>
        <w:t>2.全县烟花爆竹网点情况。</w:t>
      </w:r>
    </w:p>
    <w:p>
      <w:pPr>
        <w:ind w:firstLine="640" w:firstLineChars="200"/>
        <w:rPr>
          <w:rFonts w:ascii="仿宋_GB2312" w:hAnsi="仿宋" w:eastAsia="仿宋_GB2312" w:cs="仿宋"/>
          <w:color w:val="000000"/>
          <w:sz w:val="32"/>
          <w:szCs w:val="32"/>
          <w:shd w:val="clear" w:color="auto" w:fill="FBFBFB"/>
        </w:rPr>
      </w:pPr>
      <w:r>
        <w:rPr>
          <w:rFonts w:hint="eastAsia" w:ascii="仿宋_GB2312" w:hAnsi="仿宋" w:eastAsia="仿宋_GB2312" w:cs="仿宋"/>
          <w:color w:val="000000"/>
          <w:sz w:val="32"/>
          <w:szCs w:val="32"/>
          <w:shd w:val="clear" w:color="auto" w:fill="FBFBFB"/>
        </w:rPr>
        <w:t>2020年完成了12个烟花爆竹专卖网点的建设任务。</w:t>
      </w:r>
    </w:p>
    <w:p>
      <w:pPr>
        <w:ind w:firstLine="640" w:firstLineChars="200"/>
        <w:rPr>
          <w:rFonts w:ascii="仿宋_GB2312" w:hAnsi="仿宋" w:eastAsia="仿宋_GB2312" w:cs="仿宋"/>
          <w:color w:val="000000"/>
          <w:sz w:val="32"/>
          <w:szCs w:val="32"/>
          <w:shd w:val="clear" w:color="auto" w:fill="FBFBFB"/>
        </w:rPr>
      </w:pPr>
      <w:r>
        <w:rPr>
          <w:rFonts w:hint="eastAsia" w:ascii="仿宋_GB2312" w:hAnsi="仿宋" w:eastAsia="仿宋_GB2312" w:cs="仿宋"/>
          <w:color w:val="000000"/>
          <w:sz w:val="32"/>
          <w:szCs w:val="32"/>
          <w:shd w:val="clear" w:color="auto" w:fill="FBFBFB"/>
        </w:rPr>
        <w:t>3、“两中心一体系”建设情况。</w:t>
      </w:r>
    </w:p>
    <w:p>
      <w:pPr>
        <w:pStyle w:val="13"/>
        <w:widowControl/>
        <w:spacing w:before="0" w:beforeAutospacing="0" w:after="0" w:afterAutospacing="0"/>
        <w:ind w:firstLine="640" w:firstLineChars="200"/>
        <w:rPr>
          <w:rFonts w:ascii="仿宋_GB2312" w:hAnsi="仿宋" w:eastAsia="仿宋_GB2312" w:cs="仿宋"/>
          <w:color w:val="000000"/>
          <w:sz w:val="32"/>
          <w:szCs w:val="32"/>
          <w:shd w:val="clear" w:color="auto" w:fill="FBFBFB"/>
        </w:rPr>
      </w:pPr>
      <w:r>
        <w:rPr>
          <w:rFonts w:hint="eastAsia" w:ascii="仿宋_GB2312" w:hAnsi="仿宋" w:eastAsia="仿宋_GB2312" w:cs="仿宋"/>
          <w:color w:val="000000"/>
          <w:sz w:val="32"/>
          <w:szCs w:val="32"/>
          <w:shd w:val="clear" w:color="auto" w:fill="FBFBFB"/>
        </w:rPr>
        <w:t>“两中心一体系”建设按照省州要求已全部完工，主要开展土地托管服务、农特产品初加工、特色优质农产品品牌培育和线上线下融合销售等农业社会化服务。</w:t>
      </w:r>
    </w:p>
    <w:p>
      <w:pPr>
        <w:pStyle w:val="6"/>
        <w:spacing w:after="0" w:line="580" w:lineRule="exact"/>
        <w:ind w:firstLine="161" w:firstLineChars="50"/>
        <w:jc w:val="left"/>
        <w:rPr>
          <w:rFonts w:ascii="黑体" w:hAnsi="仿宋" w:eastAsia="黑体" w:cs="仿宋"/>
          <w:b/>
          <w:color w:val="333333"/>
          <w:kern w:val="0"/>
          <w:sz w:val="32"/>
          <w:szCs w:val="32"/>
        </w:rPr>
      </w:pPr>
      <w:r>
        <w:rPr>
          <w:rFonts w:hint="eastAsia" w:ascii="黑体" w:hAnsi="仿宋" w:eastAsia="黑体" w:cs="仿宋"/>
          <w:b/>
          <w:color w:val="333333"/>
          <w:kern w:val="0"/>
          <w:sz w:val="32"/>
          <w:szCs w:val="32"/>
        </w:rPr>
        <w:t>三、内设机构　</w:t>
      </w:r>
    </w:p>
    <w:p>
      <w:pPr>
        <w:pStyle w:val="6"/>
        <w:spacing w:after="0" w:line="580" w:lineRule="exact"/>
        <w:ind w:left="0" w:leftChars="0" w:firstLine="640" w:firstLineChars="200"/>
        <w:jc w:val="left"/>
        <w:rPr>
          <w:rFonts w:ascii="仿宋_GB2312" w:hAnsi="仿宋" w:eastAsia="仿宋_GB2312" w:cs="仿宋"/>
          <w:sz w:val="32"/>
          <w:szCs w:val="32"/>
        </w:rPr>
      </w:pPr>
      <w:r>
        <w:rPr>
          <w:rFonts w:hint="eastAsia" w:ascii="仿宋_GB2312" w:hAnsi="仿宋" w:eastAsia="仿宋_GB2312" w:cs="仿宋"/>
          <w:sz w:val="32"/>
          <w:szCs w:val="32"/>
        </w:rPr>
        <w:t>根据上述职责，松潘县供销社核定事业编制4名，领导职数3人。下设1个内设机构：综合股，其职责是：承担处理供销社日常事务。拟定全县农村合作经济组织中长期发展规划及年度计划，起草综合性文稿；负责文电收发及机要、保密、党建、社会治安综合治理、信息等工作；负责机构编制、干部人事、劳动工资、计划生育、离退休人员的管理服务工作；负责国家法律法规和方针政策的学习宣传、贯彻实施；负责机关安全保卫、财务、车辆、公产管理、接待等后勤保障工作。</w:t>
      </w:r>
    </w:p>
    <w:p>
      <w:pPr>
        <w:pStyle w:val="6"/>
        <w:spacing w:after="0" w:line="580" w:lineRule="exact"/>
        <w:ind w:left="0" w:leftChars="0" w:firstLine="630" w:firstLineChars="196"/>
        <w:jc w:val="left"/>
        <w:rPr>
          <w:rFonts w:ascii="黑体" w:hAnsi="仿宋" w:eastAsia="黑体" w:cs="仿宋"/>
          <w:b/>
          <w:bCs/>
          <w:color w:val="333333"/>
          <w:kern w:val="0"/>
          <w:sz w:val="32"/>
          <w:szCs w:val="32"/>
        </w:rPr>
      </w:pPr>
      <w:r>
        <w:rPr>
          <w:rFonts w:hint="eastAsia" w:ascii="黑体" w:hAnsi="仿宋" w:eastAsia="黑体" w:cs="仿宋"/>
          <w:b/>
          <w:bCs/>
          <w:color w:val="333333"/>
          <w:kern w:val="0"/>
          <w:sz w:val="32"/>
          <w:szCs w:val="32"/>
        </w:rPr>
        <w:t>四、人员编制</w:t>
      </w:r>
    </w:p>
    <w:p>
      <w:pPr>
        <w:tabs>
          <w:tab w:val="left" w:pos="750"/>
        </w:tabs>
        <w:spacing w:line="580" w:lineRule="exact"/>
        <w:ind w:firstLine="567"/>
        <w:rPr>
          <w:rFonts w:hint="eastAsia" w:ascii="仿宋_GB2312" w:hAnsi="仿宋" w:eastAsia="仿宋_GB2312" w:cs="仿宋"/>
          <w:color w:val="000000"/>
          <w:kern w:val="0"/>
          <w:sz w:val="32"/>
          <w:szCs w:val="32"/>
        </w:rPr>
      </w:pPr>
      <w:r>
        <w:rPr>
          <w:rFonts w:hint="eastAsia" w:ascii="仿宋_GB2312" w:hAnsi="仿宋" w:eastAsia="仿宋_GB2312" w:cs="仿宋"/>
          <w:color w:val="000000"/>
          <w:kern w:val="0"/>
          <w:sz w:val="32"/>
          <w:szCs w:val="32"/>
        </w:rPr>
        <w:t>松潘县供销社属一级预算单位，为县政府直属正科级事业机构，为全额拨款事业单位，有独立编制机构1个，核定事业编制4名，下设1个股级内设机构。</w:t>
      </w:r>
    </w:p>
    <w:p>
      <w:pPr>
        <w:tabs>
          <w:tab w:val="left" w:pos="750"/>
        </w:tabs>
        <w:spacing w:line="580" w:lineRule="exact"/>
        <w:ind w:firstLine="567"/>
        <w:rPr>
          <w:rFonts w:hint="eastAsia" w:ascii="仿宋_GB2312" w:hAnsi="仿宋" w:eastAsia="仿宋_GB2312" w:cs="仿宋"/>
          <w:color w:val="000000"/>
          <w:kern w:val="0"/>
          <w:sz w:val="32"/>
          <w:szCs w:val="32"/>
        </w:rPr>
      </w:pPr>
    </w:p>
    <w:bookmarkEnd w:id="14"/>
    <w:bookmarkEnd w:id="15"/>
    <w:p>
      <w:pPr>
        <w:pStyle w:val="2"/>
        <w:spacing w:before="0" w:after="0" w:line="580" w:lineRule="exact"/>
        <w:jc w:val="both"/>
        <w:rPr>
          <w:rFonts w:hint="eastAsia" w:ascii="黑体" w:hAnsi="黑体" w:eastAsia="黑体"/>
          <w:b w:val="0"/>
        </w:rPr>
      </w:pPr>
      <w:bookmarkStart w:id="16" w:name="_Toc15377204"/>
      <w:bookmarkStart w:id="17" w:name="_Toc15396602"/>
    </w:p>
    <w:p>
      <w:pPr>
        <w:pStyle w:val="2"/>
        <w:spacing w:before="0" w:after="0" w:line="580" w:lineRule="exact"/>
        <w:jc w:val="center"/>
        <w:rPr>
          <w:rFonts w:ascii="黑体" w:eastAsia="黑体"/>
          <w:bCs w:val="0"/>
        </w:rPr>
      </w:pPr>
      <w:r>
        <w:rPr>
          <w:rFonts w:hint="eastAsia" w:ascii="黑体" w:hAnsi="黑体" w:eastAsia="黑体"/>
          <w:b w:val="0"/>
        </w:rPr>
        <w:t xml:space="preserve">第二部分 </w:t>
      </w:r>
      <w:r>
        <w:rPr>
          <w:rFonts w:hint="eastAsia" w:ascii="黑体" w:eastAsia="黑体"/>
          <w:bCs w:val="0"/>
        </w:rPr>
        <w:t>2020年度部门决算情况说明</w:t>
      </w:r>
      <w:bookmarkEnd w:id="16"/>
      <w:bookmarkEnd w:id="17"/>
    </w:p>
    <w:p>
      <w:pPr>
        <w:spacing w:line="580" w:lineRule="exact"/>
        <w:ind w:firstLine="640" w:firstLineChars="200"/>
        <w:outlineLvl w:val="1"/>
        <w:rPr>
          <w:rStyle w:val="28"/>
          <w:rFonts w:ascii="黑体" w:hAnsi="黑体" w:eastAsia="黑体"/>
          <w:b w:val="0"/>
        </w:rPr>
      </w:pPr>
      <w:bookmarkStart w:id="18" w:name="_Toc15396603"/>
      <w:bookmarkStart w:id="19" w:name="_Toc15377205"/>
      <w:r>
        <w:rPr>
          <w:rFonts w:hint="eastAsia" w:ascii="黑体" w:hAnsi="黑体" w:eastAsia="黑体"/>
          <w:color w:val="000000"/>
          <w:sz w:val="32"/>
          <w:szCs w:val="32"/>
        </w:rPr>
        <w:t>一、收</w:t>
      </w:r>
      <w:r>
        <w:rPr>
          <w:rStyle w:val="28"/>
          <w:rFonts w:hint="eastAsia" w:ascii="黑体" w:hAnsi="黑体" w:eastAsia="黑体"/>
          <w:b w:val="0"/>
        </w:rPr>
        <w:t>入支出决算总体情况说明</w:t>
      </w:r>
      <w:bookmarkEnd w:id="18"/>
      <w:bookmarkEnd w:id="19"/>
    </w:p>
    <w:p>
      <w:pPr>
        <w:spacing w:line="600" w:lineRule="exact"/>
        <w:ind w:firstLine="640" w:firstLineChars="200"/>
        <w:rPr>
          <w:rFonts w:ascii="仿宋" w:hAnsi="仿宋" w:eastAsia="仿宋"/>
          <w:color w:val="000000"/>
          <w:sz w:val="32"/>
          <w:szCs w:val="32"/>
        </w:rPr>
      </w:pPr>
      <w:r>
        <w:rPr>
          <w:rFonts w:hint="eastAsia" w:ascii="仿宋_GB2312" w:eastAsia="仿宋_GB2312"/>
          <w:sz w:val="32"/>
          <w:szCs w:val="32"/>
        </w:rPr>
        <w:t>2020年度收、支总计114.45\308.23万元。与2019年相比，收入减少187.92万元，减少62</w:t>
      </w:r>
      <w:r>
        <w:rPr>
          <w:rFonts w:ascii="仿宋_GB2312" w:eastAsia="仿宋_GB2312"/>
          <w:sz w:val="32"/>
          <w:szCs w:val="32"/>
        </w:rPr>
        <w:t>%</w:t>
      </w:r>
      <w:r>
        <w:rPr>
          <w:rFonts w:hint="eastAsia" w:ascii="仿宋_GB2312" w:eastAsia="仿宋_GB2312"/>
          <w:sz w:val="32"/>
          <w:szCs w:val="32"/>
        </w:rPr>
        <w:t>、支出增加214.05万元，增加69%。主要变动原因是主要变动原因是2020年工资标准变动略有上调和商品和服务支出略有下调</w:t>
      </w:r>
      <w:r>
        <w:rPr>
          <w:rFonts w:hint="eastAsia" w:ascii="仿宋" w:hAnsi="仿宋" w:eastAsia="仿宋"/>
          <w:color w:val="000000"/>
          <w:sz w:val="32"/>
          <w:szCs w:val="32"/>
        </w:rPr>
        <w:t>.</w:t>
      </w:r>
    </w:p>
    <w:p>
      <w:pPr>
        <w:spacing w:line="580" w:lineRule="exact"/>
        <w:ind w:firstLine="640" w:firstLineChars="200"/>
        <w:outlineLvl w:val="1"/>
        <w:rPr>
          <w:rFonts w:ascii="方正小标宋简体" w:eastAsia="方正小标宋简体"/>
          <w:bCs/>
          <w:color w:val="000000"/>
          <w:sz w:val="32"/>
          <w:szCs w:val="32"/>
        </w:rPr>
      </w:pPr>
      <w:bookmarkStart w:id="20" w:name="_Toc15396604"/>
      <w:bookmarkStart w:id="21" w:name="_Toc15377206"/>
      <w:r>
        <w:rPr>
          <w:rFonts w:hint="eastAsia" w:ascii="方正小标宋简体" w:hAnsi="黑体" w:eastAsia="方正小标宋简体"/>
          <w:color w:val="000000"/>
          <w:sz w:val="32"/>
          <w:szCs w:val="32"/>
        </w:rPr>
        <w:t>二、收</w:t>
      </w:r>
      <w:r>
        <w:rPr>
          <w:rFonts w:hint="eastAsia" w:ascii="方正小标宋简体" w:eastAsia="方正小标宋简体"/>
          <w:bCs/>
          <w:color w:val="000000"/>
          <w:sz w:val="32"/>
          <w:szCs w:val="32"/>
        </w:rPr>
        <w:t>入决算情况说明</w:t>
      </w:r>
      <w:bookmarkEnd w:id="20"/>
      <w:bookmarkEnd w:id="21"/>
    </w:p>
    <w:p>
      <w:pPr>
        <w:spacing w:line="600" w:lineRule="exact"/>
        <w:ind w:firstLine="640" w:firstLineChars="200"/>
        <w:outlineLvl w:val="1"/>
        <w:rPr>
          <w:rFonts w:ascii="仿宋_GB2312" w:eastAsia="仿宋_GB2312"/>
          <w:sz w:val="32"/>
          <w:szCs w:val="32"/>
        </w:rPr>
      </w:pPr>
      <w:r>
        <w:rPr>
          <w:rFonts w:ascii="仿宋_GB2312" w:eastAsia="仿宋_GB2312"/>
          <w:sz w:val="32"/>
          <w:szCs w:val="32"/>
        </w:rPr>
        <w:t>20</w:t>
      </w:r>
      <w:r>
        <w:rPr>
          <w:rFonts w:hint="eastAsia" w:ascii="仿宋_GB2312" w:eastAsia="仿宋_GB2312"/>
          <w:sz w:val="32"/>
          <w:szCs w:val="32"/>
        </w:rPr>
        <w:t>20年本年收入合计114.45万元，其中：一般公共预算财政拨款收入114.45万元，占100</w:t>
      </w:r>
      <w:r>
        <w:rPr>
          <w:rFonts w:ascii="仿宋_GB2312" w:eastAsia="仿宋_GB2312"/>
          <w:sz w:val="32"/>
          <w:szCs w:val="32"/>
        </w:rPr>
        <w:t>%</w:t>
      </w:r>
      <w:r>
        <w:rPr>
          <w:rFonts w:hint="eastAsia" w:ascii="仿宋_GB2312" w:eastAsia="仿宋_GB2312"/>
          <w:sz w:val="32"/>
          <w:szCs w:val="32"/>
        </w:rPr>
        <w:t>。</w:t>
      </w:r>
    </w:p>
    <w:p>
      <w:pPr>
        <w:spacing w:line="580" w:lineRule="exact"/>
        <w:ind w:firstLine="640" w:firstLineChars="200"/>
        <w:outlineLvl w:val="1"/>
        <w:rPr>
          <w:rFonts w:ascii="方正小标宋简体" w:hAnsi="黑体" w:eastAsia="方正小标宋简体"/>
          <w:color w:val="000000"/>
          <w:sz w:val="32"/>
          <w:szCs w:val="32"/>
        </w:rPr>
      </w:pPr>
      <w:bookmarkStart w:id="22" w:name="_Toc15396605"/>
      <w:bookmarkStart w:id="23" w:name="_Toc15377207"/>
      <w:r>
        <w:rPr>
          <w:rFonts w:hint="eastAsia" w:ascii="方正小标宋简体" w:hAnsi="黑体" w:eastAsia="方正小标宋简体"/>
          <w:color w:val="000000"/>
          <w:sz w:val="32"/>
          <w:szCs w:val="32"/>
        </w:rPr>
        <w:t>三、支出决算情况说明</w:t>
      </w:r>
      <w:bookmarkEnd w:id="22"/>
      <w:bookmarkEnd w:id="23"/>
    </w:p>
    <w:p>
      <w:pPr>
        <w:spacing w:line="600" w:lineRule="exact"/>
        <w:ind w:firstLine="640" w:firstLineChars="200"/>
        <w:outlineLvl w:val="1"/>
        <w:rPr>
          <w:rFonts w:ascii="仿宋_GB2312" w:eastAsia="仿宋_GB2312"/>
          <w:sz w:val="32"/>
          <w:szCs w:val="32"/>
        </w:rPr>
      </w:pPr>
      <w:r>
        <w:rPr>
          <w:rFonts w:ascii="仿宋_GB2312" w:eastAsia="仿宋_GB2312"/>
          <w:sz w:val="32"/>
          <w:szCs w:val="32"/>
        </w:rPr>
        <w:t>20</w:t>
      </w:r>
      <w:r>
        <w:rPr>
          <w:rFonts w:hint="eastAsia" w:ascii="仿宋_GB2312" w:eastAsia="仿宋_GB2312"/>
          <w:sz w:val="32"/>
          <w:szCs w:val="32"/>
        </w:rPr>
        <w:t>20年本年支出合计308.23万元，其中：基本支出94.76万元，占30.7</w:t>
      </w:r>
      <w:r>
        <w:rPr>
          <w:rFonts w:ascii="仿宋_GB2312" w:eastAsia="仿宋_GB2312"/>
          <w:sz w:val="32"/>
          <w:szCs w:val="32"/>
        </w:rPr>
        <w:t>%</w:t>
      </w:r>
      <w:r>
        <w:rPr>
          <w:rFonts w:hint="eastAsia" w:ascii="仿宋_GB2312" w:eastAsia="仿宋_GB2312"/>
          <w:sz w:val="32"/>
          <w:szCs w:val="32"/>
        </w:rPr>
        <w:t>；项目支出213.47万元，占69.3</w:t>
      </w:r>
      <w:r>
        <w:rPr>
          <w:rFonts w:ascii="仿宋_GB2312" w:eastAsia="仿宋_GB2312"/>
          <w:sz w:val="32"/>
          <w:szCs w:val="32"/>
        </w:rPr>
        <w:t>%</w:t>
      </w:r>
      <w:r>
        <w:rPr>
          <w:rFonts w:hint="eastAsia" w:ascii="仿宋_GB2312" w:eastAsia="仿宋_GB2312"/>
          <w:sz w:val="32"/>
          <w:szCs w:val="32"/>
        </w:rPr>
        <w:t>。</w:t>
      </w:r>
    </w:p>
    <w:p>
      <w:pPr>
        <w:spacing w:line="600" w:lineRule="exact"/>
        <w:ind w:firstLine="640" w:firstLineChars="200"/>
        <w:outlineLvl w:val="1"/>
        <w:rPr>
          <w:rStyle w:val="28"/>
          <w:rFonts w:ascii="黑体" w:hAnsi="黑体" w:eastAsia="黑体"/>
          <w:b w:val="0"/>
        </w:rPr>
      </w:pPr>
      <w:bookmarkStart w:id="24" w:name="_Toc15396606"/>
      <w:bookmarkStart w:id="25" w:name="_Toc15377208"/>
      <w:r>
        <w:rPr>
          <w:rFonts w:hint="eastAsia" w:ascii="黑体" w:hAnsi="黑体" w:eastAsia="黑体"/>
          <w:color w:val="000000"/>
          <w:sz w:val="32"/>
          <w:szCs w:val="32"/>
        </w:rPr>
        <w:t>四、财</w:t>
      </w:r>
      <w:r>
        <w:rPr>
          <w:rStyle w:val="28"/>
          <w:rFonts w:hint="eastAsia" w:ascii="黑体" w:hAnsi="黑体" w:eastAsia="黑体"/>
          <w:b w:val="0"/>
        </w:rPr>
        <w:t>政拨款收入支出决算总体情况说明</w:t>
      </w:r>
      <w:bookmarkEnd w:id="24"/>
      <w:bookmarkEnd w:id="25"/>
    </w:p>
    <w:p>
      <w:pPr>
        <w:spacing w:line="600" w:lineRule="exact"/>
        <w:ind w:firstLine="640" w:firstLineChars="200"/>
        <w:rPr>
          <w:rFonts w:ascii="仿宋" w:hAnsi="仿宋" w:eastAsia="仿宋_GB2312"/>
          <w:color w:val="000000"/>
          <w:sz w:val="32"/>
          <w:szCs w:val="32"/>
        </w:rPr>
      </w:pPr>
      <w:r>
        <w:rPr>
          <w:rFonts w:hint="eastAsia" w:ascii="仿宋_GB2312" w:eastAsia="仿宋_GB2312"/>
          <w:sz w:val="32"/>
          <w:szCs w:val="32"/>
        </w:rPr>
        <w:t>2020年度收、支总计114.45\308.23万元。与2019年相比，收入减少187.92万元，减少62</w:t>
      </w:r>
      <w:r>
        <w:rPr>
          <w:rFonts w:ascii="仿宋_GB2312" w:eastAsia="仿宋_GB2312"/>
          <w:sz w:val="32"/>
          <w:szCs w:val="32"/>
        </w:rPr>
        <w:t>%</w:t>
      </w:r>
      <w:r>
        <w:rPr>
          <w:rFonts w:hint="eastAsia" w:ascii="仿宋_GB2312" w:eastAsia="仿宋_GB2312"/>
          <w:sz w:val="32"/>
          <w:szCs w:val="32"/>
        </w:rPr>
        <w:t>、支出增加214.05万元，增加69%。主要变动原因是主要变动原因是2020年工资标准变动略有上调和商品和服务支出略有下调。</w:t>
      </w:r>
    </w:p>
    <w:p>
      <w:pPr>
        <w:spacing w:line="600" w:lineRule="exact"/>
        <w:ind w:firstLine="640" w:firstLineChars="200"/>
        <w:outlineLvl w:val="1"/>
        <w:rPr>
          <w:rStyle w:val="28"/>
          <w:rFonts w:ascii="黑体" w:hAnsi="黑体" w:eastAsia="黑体"/>
          <w:b w:val="0"/>
        </w:rPr>
      </w:pPr>
      <w:bookmarkStart w:id="26" w:name="_Toc15377209"/>
      <w:bookmarkStart w:id="27" w:name="_Toc15396607"/>
      <w:r>
        <w:rPr>
          <w:rFonts w:hint="eastAsia" w:ascii="黑体" w:hAnsi="黑体" w:eastAsia="黑体"/>
          <w:color w:val="000000"/>
          <w:sz w:val="32"/>
          <w:szCs w:val="32"/>
        </w:rPr>
        <w:t>五、</w:t>
      </w:r>
      <w:r>
        <w:rPr>
          <w:rFonts w:hint="eastAsia" w:ascii="黑体" w:hAnsi="黑体" w:eastAsia="黑体"/>
          <w:b/>
          <w:color w:val="000000"/>
          <w:sz w:val="32"/>
          <w:szCs w:val="32"/>
        </w:rPr>
        <w:t>一</w:t>
      </w:r>
      <w:r>
        <w:rPr>
          <w:rStyle w:val="28"/>
          <w:rFonts w:hint="eastAsia" w:ascii="黑体" w:hAnsi="黑体" w:eastAsia="黑体"/>
          <w:b w:val="0"/>
        </w:rPr>
        <w:t>般公共预算财政拨款支出决算情况说明</w:t>
      </w:r>
      <w:bookmarkEnd w:id="26"/>
      <w:bookmarkEnd w:id="27"/>
    </w:p>
    <w:p>
      <w:pPr>
        <w:spacing w:line="600" w:lineRule="exact"/>
        <w:ind w:firstLine="640" w:firstLineChars="200"/>
        <w:outlineLvl w:val="2"/>
        <w:rPr>
          <w:rFonts w:ascii="楷体_GB2312" w:hAnsi="仿宋" w:eastAsia="楷体_GB2312"/>
          <w:color w:val="000000"/>
          <w:sz w:val="32"/>
          <w:szCs w:val="32"/>
        </w:rPr>
      </w:pPr>
      <w:bookmarkStart w:id="28" w:name="_Toc15377210"/>
      <w:r>
        <w:rPr>
          <w:rFonts w:hint="eastAsia" w:ascii="楷体_GB2312" w:hAnsi="仿宋" w:eastAsia="楷体_GB2312"/>
          <w:color w:val="000000"/>
          <w:sz w:val="32"/>
          <w:szCs w:val="32"/>
        </w:rPr>
        <w:t>（一）一般公共预算财政拨款支出决算总体情况</w:t>
      </w:r>
      <w:bookmarkEnd w:id="28"/>
    </w:p>
    <w:p>
      <w:pPr>
        <w:spacing w:line="600" w:lineRule="exact"/>
        <w:ind w:firstLine="640" w:firstLineChars="200"/>
        <w:rPr>
          <w:rFonts w:ascii="仿宋" w:hAnsi="仿宋" w:eastAsia="仿宋"/>
          <w:color w:val="000000"/>
          <w:sz w:val="32"/>
          <w:szCs w:val="32"/>
        </w:rPr>
      </w:pPr>
      <w:r>
        <w:rPr>
          <w:rFonts w:ascii="仿宋_GB2312" w:eastAsia="仿宋_GB2312"/>
          <w:sz w:val="32"/>
          <w:szCs w:val="32"/>
        </w:rPr>
        <w:t>20</w:t>
      </w:r>
      <w:r>
        <w:rPr>
          <w:rFonts w:hint="eastAsia" w:ascii="仿宋_GB2312" w:eastAsia="仿宋_GB2312"/>
          <w:sz w:val="32"/>
          <w:szCs w:val="32"/>
        </w:rPr>
        <w:t>20年一般公共预算财政拨款支出308.23万元，占本年支出合计的100</w:t>
      </w:r>
      <w:r>
        <w:rPr>
          <w:rFonts w:ascii="仿宋_GB2312" w:eastAsia="仿宋_GB2312"/>
          <w:sz w:val="32"/>
          <w:szCs w:val="32"/>
        </w:rPr>
        <w:t>%</w:t>
      </w:r>
      <w:r>
        <w:rPr>
          <w:rFonts w:hint="eastAsia" w:ascii="仿宋_GB2312" w:eastAsia="仿宋_GB2312"/>
          <w:sz w:val="32"/>
          <w:szCs w:val="32"/>
        </w:rPr>
        <w:t>。与</w:t>
      </w:r>
      <w:r>
        <w:rPr>
          <w:rFonts w:ascii="仿宋_GB2312" w:eastAsia="仿宋_GB2312"/>
          <w:sz w:val="32"/>
          <w:szCs w:val="32"/>
        </w:rPr>
        <w:t>201</w:t>
      </w:r>
      <w:r>
        <w:rPr>
          <w:rFonts w:hint="eastAsia" w:ascii="仿宋_GB2312" w:eastAsia="仿宋_GB2312"/>
          <w:sz w:val="32"/>
          <w:szCs w:val="32"/>
        </w:rPr>
        <w:t>9年相比，一般公共预算财政拨款增加214.05万元，增长69</w:t>
      </w:r>
      <w:r>
        <w:rPr>
          <w:rFonts w:ascii="仿宋_GB2312" w:eastAsia="仿宋_GB2312"/>
          <w:sz w:val="32"/>
          <w:szCs w:val="32"/>
        </w:rPr>
        <w:t>%</w:t>
      </w:r>
      <w:r>
        <w:rPr>
          <w:rFonts w:hint="eastAsia" w:ascii="仿宋_GB2312" w:eastAsia="仿宋_GB2312"/>
          <w:sz w:val="32"/>
          <w:szCs w:val="32"/>
        </w:rPr>
        <w:t>。主要变动原因是工资标准变动略有上调.</w:t>
      </w:r>
    </w:p>
    <w:p>
      <w:pPr>
        <w:spacing w:line="600" w:lineRule="exact"/>
        <w:ind w:firstLine="640" w:firstLineChars="200"/>
        <w:outlineLvl w:val="2"/>
        <w:rPr>
          <w:rFonts w:ascii="楷体_GB2312" w:hAnsi="仿宋" w:eastAsia="楷体_GB2312"/>
          <w:color w:val="000000"/>
          <w:sz w:val="32"/>
          <w:szCs w:val="32"/>
        </w:rPr>
      </w:pPr>
      <w:bookmarkStart w:id="29" w:name="_Toc15377211"/>
      <w:r>
        <w:rPr>
          <w:rFonts w:hint="eastAsia" w:ascii="楷体_GB2312" w:hAnsi="仿宋" w:eastAsia="楷体_GB2312"/>
          <w:color w:val="000000"/>
          <w:sz w:val="32"/>
          <w:szCs w:val="32"/>
        </w:rPr>
        <w:t>（二）一般公共预算财政拨款支出决算结构情况</w:t>
      </w:r>
      <w:bookmarkEnd w:id="29"/>
    </w:p>
    <w:p>
      <w:pPr>
        <w:spacing w:line="600" w:lineRule="exact"/>
        <w:ind w:firstLine="800" w:firstLineChars="250"/>
        <w:rPr>
          <w:rFonts w:ascii="仿宋_GB2312" w:eastAsia="仿宋_GB2312"/>
          <w:sz w:val="32"/>
          <w:szCs w:val="32"/>
        </w:rPr>
      </w:pPr>
      <w:r>
        <w:rPr>
          <w:rFonts w:ascii="仿宋_GB2312" w:eastAsia="仿宋_GB2312"/>
          <w:sz w:val="32"/>
          <w:szCs w:val="32"/>
        </w:rPr>
        <w:t>20</w:t>
      </w:r>
      <w:r>
        <w:rPr>
          <w:rFonts w:hint="eastAsia" w:ascii="仿宋_GB2312" w:eastAsia="仿宋_GB2312"/>
          <w:sz w:val="32"/>
          <w:szCs w:val="32"/>
        </w:rPr>
        <w:t>20年一般公共预算财政拨款支出308.23万元，主要用于以下方面</w:t>
      </w:r>
      <w:r>
        <w:rPr>
          <w:rFonts w:ascii="仿宋_GB2312" w:eastAsia="仿宋_GB2312"/>
          <w:sz w:val="32"/>
          <w:szCs w:val="32"/>
        </w:rPr>
        <w:t>:</w:t>
      </w:r>
      <w:r>
        <w:rPr>
          <w:rFonts w:hint="eastAsia" w:ascii="仿宋_GB2312" w:eastAsia="仿宋_GB2312"/>
          <w:sz w:val="32"/>
          <w:szCs w:val="32"/>
        </w:rPr>
        <w:t>一般公共服务（类）支出280.63万元，占91</w:t>
      </w:r>
      <w:r>
        <w:rPr>
          <w:rFonts w:ascii="仿宋_GB2312" w:eastAsia="仿宋_GB2312"/>
          <w:sz w:val="32"/>
          <w:szCs w:val="32"/>
        </w:rPr>
        <w:t>%</w:t>
      </w:r>
      <w:r>
        <w:rPr>
          <w:rFonts w:hint="eastAsia" w:ascii="仿宋_GB2312" w:eastAsia="仿宋_GB2312"/>
          <w:sz w:val="32"/>
          <w:szCs w:val="32"/>
        </w:rPr>
        <w:t>；社会保障和就业（类）支出13.26万元，占4.3</w:t>
      </w:r>
      <w:r>
        <w:rPr>
          <w:rFonts w:ascii="仿宋_GB2312" w:eastAsia="仿宋_GB2312"/>
          <w:sz w:val="32"/>
          <w:szCs w:val="32"/>
        </w:rPr>
        <w:t>%</w:t>
      </w:r>
      <w:r>
        <w:rPr>
          <w:rFonts w:hint="eastAsia" w:ascii="仿宋_GB2312" w:eastAsia="仿宋_GB2312"/>
          <w:sz w:val="32"/>
          <w:szCs w:val="32"/>
        </w:rPr>
        <w:t>；卫生健康支出7.24万元，占2.1</w:t>
      </w:r>
      <w:r>
        <w:rPr>
          <w:rFonts w:ascii="仿宋_GB2312" w:eastAsia="仿宋_GB2312"/>
          <w:sz w:val="32"/>
          <w:szCs w:val="32"/>
        </w:rPr>
        <w:t>%</w:t>
      </w:r>
      <w:r>
        <w:rPr>
          <w:rFonts w:hint="eastAsia" w:ascii="仿宋_GB2312" w:eastAsia="仿宋_GB2312"/>
          <w:sz w:val="32"/>
          <w:szCs w:val="32"/>
        </w:rPr>
        <w:t>；住房保障支出7.09万元，占2.3</w:t>
      </w:r>
      <w:r>
        <w:rPr>
          <w:rFonts w:ascii="仿宋_GB2312" w:eastAsia="仿宋_GB2312"/>
          <w:sz w:val="32"/>
          <w:szCs w:val="32"/>
        </w:rPr>
        <w:t>%</w:t>
      </w:r>
      <w:r>
        <w:rPr>
          <w:rFonts w:hint="eastAsia" w:ascii="仿宋_GB2312" w:eastAsia="仿宋_GB2312"/>
          <w:sz w:val="32"/>
          <w:szCs w:val="32"/>
        </w:rPr>
        <w:t>。</w:t>
      </w:r>
      <w:r>
        <w:rPr>
          <w:rFonts w:ascii="仿宋_GB2312" w:eastAsia="仿宋_GB2312"/>
          <w:sz w:val="32"/>
          <w:szCs w:val="32"/>
        </w:rPr>
        <w:t xml:space="preserve"> </w:t>
      </w:r>
    </w:p>
    <w:p>
      <w:pPr>
        <w:spacing w:line="600" w:lineRule="exact"/>
        <w:ind w:firstLine="640" w:firstLineChars="200"/>
        <w:outlineLvl w:val="2"/>
        <w:rPr>
          <w:rFonts w:ascii="楷体_GB2312" w:hAnsi="仿宋" w:eastAsia="楷体_GB2312"/>
          <w:color w:val="000000"/>
          <w:sz w:val="32"/>
          <w:szCs w:val="32"/>
        </w:rPr>
      </w:pPr>
      <w:bookmarkStart w:id="30" w:name="_Toc15377212"/>
      <w:r>
        <w:rPr>
          <w:rFonts w:hint="eastAsia" w:ascii="楷体_GB2312" w:hAnsi="仿宋" w:eastAsia="楷体_GB2312"/>
          <w:color w:val="000000"/>
          <w:sz w:val="32"/>
          <w:szCs w:val="32"/>
        </w:rPr>
        <w:t>（三）一般公共预算财政拨款支出决算具体情况</w:t>
      </w:r>
      <w:bookmarkEnd w:id="30"/>
    </w:p>
    <w:p>
      <w:pPr>
        <w:spacing w:line="600" w:lineRule="exact"/>
        <w:ind w:firstLine="640" w:firstLineChars="200"/>
        <w:rPr>
          <w:rFonts w:ascii="仿宋_GB2312" w:eastAsia="仿宋_GB2312"/>
          <w:sz w:val="32"/>
          <w:szCs w:val="32"/>
        </w:rPr>
      </w:pPr>
      <w:bookmarkStart w:id="31" w:name="_Toc15377213"/>
      <w:bookmarkStart w:id="32" w:name="_Toc15378460"/>
      <w:bookmarkStart w:id="33" w:name="_Toc15377444"/>
      <w:r>
        <w:rPr>
          <w:rFonts w:hint="eastAsia" w:ascii="仿宋_GB2312" w:eastAsia="仿宋_GB2312"/>
          <w:sz w:val="32"/>
          <w:szCs w:val="32"/>
        </w:rPr>
        <w:t>2020年般公共预算支出决算数为308.23，完成预算100</w:t>
      </w:r>
      <w:r>
        <w:rPr>
          <w:rFonts w:ascii="仿宋_GB2312" w:eastAsia="仿宋_GB2312"/>
          <w:sz w:val="32"/>
          <w:szCs w:val="32"/>
        </w:rPr>
        <w:t>%</w:t>
      </w:r>
      <w:r>
        <w:rPr>
          <w:rFonts w:hint="eastAsia" w:ascii="仿宋_GB2312" w:eastAsia="仿宋_GB2312"/>
          <w:sz w:val="32"/>
          <w:szCs w:val="32"/>
        </w:rPr>
        <w:t>。其中：</w:t>
      </w:r>
      <w:bookmarkEnd w:id="31"/>
      <w:bookmarkEnd w:id="32"/>
      <w:bookmarkEnd w:id="33"/>
    </w:p>
    <w:p>
      <w:pPr>
        <w:spacing w:line="600" w:lineRule="exact"/>
        <w:ind w:firstLine="640" w:firstLineChars="200"/>
        <w:rPr>
          <w:rFonts w:ascii="仿宋_GB2312" w:eastAsia="仿宋_GB2312"/>
          <w:sz w:val="32"/>
          <w:szCs w:val="32"/>
        </w:rPr>
      </w:pPr>
      <w:r>
        <w:rPr>
          <w:rFonts w:ascii="仿宋_GB2312" w:eastAsia="仿宋_GB2312"/>
          <w:sz w:val="32"/>
          <w:szCs w:val="32"/>
        </w:rPr>
        <w:t>1.</w:t>
      </w:r>
      <w:r>
        <w:rPr>
          <w:rFonts w:hint="eastAsia" w:ascii="仿宋_GB2312" w:eastAsia="仿宋_GB2312"/>
          <w:sz w:val="32"/>
          <w:szCs w:val="32"/>
        </w:rPr>
        <w:t>一般公共服务201</w:t>
      </w:r>
      <w:r>
        <w:rPr>
          <w:rFonts w:ascii="仿宋_GB2312" w:eastAsia="仿宋_GB2312"/>
          <w:sz w:val="32"/>
          <w:szCs w:val="32"/>
        </w:rPr>
        <w:t xml:space="preserve">: </w:t>
      </w:r>
      <w:r>
        <w:rPr>
          <w:rFonts w:hint="eastAsia" w:ascii="仿宋_GB2312" w:eastAsia="仿宋_GB2312"/>
          <w:sz w:val="32"/>
          <w:szCs w:val="32"/>
        </w:rPr>
        <w:t>支出决算为280.63万元，完成预算100</w:t>
      </w:r>
      <w:r>
        <w:rPr>
          <w:rFonts w:ascii="仿宋_GB2312" w:eastAsia="仿宋_GB2312"/>
          <w:sz w:val="32"/>
          <w:szCs w:val="32"/>
        </w:rPr>
        <w:t>%</w:t>
      </w:r>
      <w:r>
        <w:rPr>
          <w:rFonts w:hint="eastAsia" w:ascii="仿宋_GB2312" w:eastAsia="仿宋_GB2312"/>
          <w:sz w:val="32"/>
          <w:szCs w:val="32"/>
        </w:rPr>
        <w:t>。</w:t>
      </w:r>
    </w:p>
    <w:p>
      <w:pPr>
        <w:spacing w:line="600" w:lineRule="exact"/>
        <w:ind w:firstLine="640" w:firstLineChars="200"/>
        <w:rPr>
          <w:rFonts w:ascii="仿宋_GB2312" w:eastAsia="仿宋_GB2312"/>
          <w:sz w:val="32"/>
          <w:szCs w:val="32"/>
        </w:rPr>
      </w:pPr>
      <w:r>
        <w:rPr>
          <w:rFonts w:hint="eastAsia" w:ascii="仿宋_GB2312" w:eastAsia="仿宋_GB2312"/>
          <w:sz w:val="32"/>
          <w:szCs w:val="32"/>
        </w:rPr>
        <w:t>2</w:t>
      </w:r>
      <w:r>
        <w:rPr>
          <w:rFonts w:ascii="仿宋_GB2312" w:eastAsia="仿宋_GB2312"/>
          <w:sz w:val="32"/>
          <w:szCs w:val="32"/>
        </w:rPr>
        <w:t>.</w:t>
      </w:r>
      <w:r>
        <w:rPr>
          <w:rFonts w:hint="eastAsia" w:ascii="仿宋_GB2312" w:eastAsia="仿宋_GB2312"/>
          <w:sz w:val="32"/>
          <w:szCs w:val="32"/>
        </w:rPr>
        <w:t>社会保障和就业支出208</w:t>
      </w:r>
      <w:r>
        <w:rPr>
          <w:rFonts w:ascii="仿宋_GB2312" w:eastAsia="仿宋_GB2312"/>
          <w:sz w:val="32"/>
          <w:szCs w:val="32"/>
        </w:rPr>
        <w:t xml:space="preserve">: </w:t>
      </w:r>
      <w:r>
        <w:rPr>
          <w:rFonts w:hint="eastAsia" w:ascii="仿宋_GB2312" w:eastAsia="仿宋_GB2312"/>
          <w:sz w:val="32"/>
          <w:szCs w:val="32"/>
        </w:rPr>
        <w:t>支出决算为13.26万元，完成预算100</w:t>
      </w:r>
      <w:r>
        <w:rPr>
          <w:rFonts w:ascii="仿宋_GB2312" w:eastAsia="仿宋_GB2312"/>
          <w:sz w:val="32"/>
          <w:szCs w:val="32"/>
        </w:rPr>
        <w:t>%</w:t>
      </w:r>
      <w:r>
        <w:rPr>
          <w:rFonts w:hint="eastAsia" w:ascii="仿宋_GB2312" w:eastAsia="仿宋_GB2312"/>
          <w:sz w:val="32"/>
          <w:szCs w:val="32"/>
        </w:rPr>
        <w:t>。</w:t>
      </w:r>
    </w:p>
    <w:p>
      <w:pPr>
        <w:spacing w:line="600" w:lineRule="exact"/>
        <w:ind w:firstLine="640" w:firstLineChars="200"/>
        <w:rPr>
          <w:rFonts w:ascii="仿宋_GB2312" w:eastAsia="仿宋_GB2312"/>
          <w:sz w:val="32"/>
          <w:szCs w:val="32"/>
        </w:rPr>
      </w:pPr>
      <w:r>
        <w:rPr>
          <w:rFonts w:hint="eastAsia" w:ascii="仿宋_GB2312" w:eastAsia="仿宋_GB2312"/>
          <w:sz w:val="32"/>
          <w:szCs w:val="32"/>
        </w:rPr>
        <w:t>3.卫生健康支出210</w:t>
      </w:r>
      <w:r>
        <w:rPr>
          <w:rFonts w:ascii="仿宋_GB2312" w:eastAsia="仿宋_GB2312"/>
          <w:sz w:val="32"/>
          <w:szCs w:val="32"/>
        </w:rPr>
        <w:t>:</w:t>
      </w:r>
      <w:r>
        <w:rPr>
          <w:rFonts w:hint="eastAsia" w:ascii="仿宋_GB2312" w:eastAsia="仿宋_GB2312"/>
          <w:sz w:val="32"/>
          <w:szCs w:val="32"/>
        </w:rPr>
        <w:t>支出决算为7.24万元，完成预算100</w:t>
      </w:r>
      <w:r>
        <w:rPr>
          <w:rFonts w:ascii="仿宋_GB2312" w:eastAsia="仿宋_GB2312"/>
          <w:sz w:val="32"/>
          <w:szCs w:val="32"/>
        </w:rPr>
        <w:t>%</w:t>
      </w:r>
      <w:r>
        <w:rPr>
          <w:rFonts w:hint="eastAsia" w:ascii="仿宋_GB2312" w:eastAsia="仿宋_GB2312"/>
          <w:sz w:val="32"/>
          <w:szCs w:val="32"/>
        </w:rPr>
        <w:t>。</w:t>
      </w:r>
    </w:p>
    <w:p>
      <w:pPr>
        <w:spacing w:line="600" w:lineRule="exact"/>
        <w:ind w:firstLine="640" w:firstLineChars="200"/>
        <w:rPr>
          <w:rFonts w:ascii="仿宋_GB2312" w:eastAsia="仿宋_GB2312"/>
          <w:sz w:val="32"/>
          <w:szCs w:val="32"/>
        </w:rPr>
      </w:pPr>
      <w:r>
        <w:rPr>
          <w:rFonts w:hint="eastAsia" w:ascii="仿宋_GB2312" w:eastAsia="仿宋_GB2312"/>
          <w:sz w:val="32"/>
          <w:szCs w:val="32"/>
        </w:rPr>
        <w:t>4. 住房保障支出221: 支出决算为7.09万元，完成预算100</w:t>
      </w:r>
      <w:r>
        <w:rPr>
          <w:rFonts w:ascii="仿宋_GB2312" w:eastAsia="仿宋_GB2312"/>
          <w:sz w:val="32"/>
          <w:szCs w:val="32"/>
        </w:rPr>
        <w:t>%</w:t>
      </w:r>
      <w:r>
        <w:rPr>
          <w:rFonts w:hint="eastAsia" w:ascii="仿宋_GB2312" w:eastAsia="仿宋_GB2312"/>
          <w:sz w:val="32"/>
          <w:szCs w:val="32"/>
        </w:rPr>
        <w:t>。</w:t>
      </w:r>
    </w:p>
    <w:p>
      <w:pPr>
        <w:tabs>
          <w:tab w:val="right" w:pos="8306"/>
        </w:tabs>
        <w:spacing w:line="600" w:lineRule="exact"/>
        <w:ind w:firstLine="640"/>
        <w:outlineLvl w:val="1"/>
        <w:rPr>
          <w:rStyle w:val="28"/>
        </w:rPr>
      </w:pPr>
      <w:bookmarkStart w:id="34" w:name="_Toc15396608"/>
      <w:bookmarkStart w:id="35" w:name="_Toc15377214"/>
      <w:r>
        <w:rPr>
          <w:rFonts w:hint="eastAsia" w:ascii="黑体" w:eastAsia="黑体"/>
          <w:color w:val="000000"/>
          <w:sz w:val="32"/>
          <w:szCs w:val="32"/>
        </w:rPr>
        <w:t>六</w:t>
      </w:r>
      <w:r>
        <w:rPr>
          <w:rFonts w:hint="eastAsia" w:ascii="黑体" w:eastAsia="黑体"/>
          <w:b/>
          <w:color w:val="000000"/>
          <w:sz w:val="32"/>
          <w:szCs w:val="32"/>
        </w:rPr>
        <w:t>、</w:t>
      </w:r>
      <w:r>
        <w:rPr>
          <w:rFonts w:hint="eastAsia" w:ascii="黑体" w:hAnsi="黑体" w:eastAsia="黑体"/>
          <w:b/>
          <w:color w:val="000000"/>
          <w:sz w:val="32"/>
          <w:szCs w:val="32"/>
        </w:rPr>
        <w:t>一</w:t>
      </w:r>
      <w:r>
        <w:rPr>
          <w:rStyle w:val="28"/>
          <w:rFonts w:hint="eastAsia" w:ascii="黑体" w:hAnsi="黑体" w:eastAsia="黑体"/>
          <w:b w:val="0"/>
        </w:rPr>
        <w:t>般公共预算财政拨款基本支出决算情况说明</w:t>
      </w:r>
      <w:bookmarkEnd w:id="34"/>
      <w:bookmarkEnd w:id="35"/>
      <w:r>
        <w:rPr>
          <w:rStyle w:val="28"/>
          <w:rFonts w:ascii="黑体" w:hAnsi="黑体" w:eastAsia="黑体"/>
          <w:b w:val="0"/>
        </w:rPr>
        <w:tab/>
      </w:r>
    </w:p>
    <w:p>
      <w:pPr>
        <w:spacing w:line="600" w:lineRule="exact"/>
        <w:ind w:firstLine="645"/>
        <w:rPr>
          <w:rFonts w:ascii="仿宋_GB2312" w:hAnsi="仿宋" w:eastAsia="仿宋_GB2312"/>
          <w:color w:val="000000"/>
          <w:sz w:val="32"/>
          <w:szCs w:val="32"/>
        </w:rPr>
      </w:pPr>
      <w:r>
        <w:rPr>
          <w:rFonts w:hint="eastAsia" w:ascii="仿宋_GB2312" w:hAnsi="仿宋" w:eastAsia="仿宋_GB2312"/>
          <w:color w:val="000000"/>
          <w:sz w:val="32"/>
          <w:szCs w:val="32"/>
        </w:rPr>
        <w:t>2020年一般公共预算财政拨款基本支出308.23万元，其中：</w:t>
      </w:r>
    </w:p>
    <w:p>
      <w:pPr>
        <w:spacing w:line="600" w:lineRule="exact"/>
        <w:ind w:firstLine="645"/>
        <w:rPr>
          <w:rFonts w:ascii="仿宋_GB2312" w:hAnsi="仿宋" w:eastAsia="仿宋_GB2312"/>
          <w:color w:val="000000"/>
          <w:sz w:val="32"/>
          <w:szCs w:val="32"/>
        </w:rPr>
      </w:pPr>
      <w:r>
        <w:rPr>
          <w:rFonts w:hint="eastAsia" w:ascii="仿宋_GB2312" w:hAnsi="仿宋" w:eastAsia="仿宋_GB2312"/>
          <w:b/>
          <w:color w:val="000000"/>
          <w:sz w:val="32"/>
          <w:szCs w:val="32"/>
        </w:rPr>
        <w:t>人员经费63.44万元，</w:t>
      </w:r>
      <w:r>
        <w:rPr>
          <w:rFonts w:hint="eastAsia" w:ascii="仿宋_GB2312" w:hAnsi="仿宋" w:eastAsia="仿宋_GB2312"/>
          <w:color w:val="000000"/>
          <w:sz w:val="32"/>
          <w:szCs w:val="32"/>
        </w:rPr>
        <w:t>主要包括：基本工资、津贴补贴、奖金、机关事业单位基本养老保险缴费、职业年金缴费、其他社会保障缴费、其他工资福利支出、离休费、退休费、抚恤金、生活补助、医疗费补助、奖励金、住房公积金、其他对个人和家庭的补助支出等。</w:t>
      </w:r>
      <w:r>
        <w:rPr>
          <w:rFonts w:hint="eastAsia" w:ascii="仿宋_GB2312" w:hAnsi="仿宋" w:eastAsia="仿宋_GB2312"/>
          <w:color w:val="000000"/>
          <w:sz w:val="32"/>
          <w:szCs w:val="32"/>
        </w:rPr>
        <w:br w:type="textWrapping"/>
      </w:r>
      <w:r>
        <w:rPr>
          <w:rFonts w:hint="eastAsia" w:ascii="仿宋_GB2312" w:hAnsi="仿宋" w:eastAsia="仿宋_GB2312"/>
          <w:color w:val="000000"/>
          <w:sz w:val="32"/>
          <w:szCs w:val="32"/>
        </w:rPr>
        <w:t xml:space="preserve">    </w:t>
      </w:r>
      <w:r>
        <w:rPr>
          <w:rFonts w:hint="eastAsia" w:ascii="仿宋_GB2312" w:hAnsi="仿宋" w:eastAsia="仿宋_GB2312"/>
          <w:b/>
          <w:color w:val="000000"/>
          <w:sz w:val="32"/>
          <w:szCs w:val="32"/>
        </w:rPr>
        <w:t>日常公用经费3.31万元，</w:t>
      </w:r>
      <w:r>
        <w:rPr>
          <w:rFonts w:hint="eastAsia" w:ascii="仿宋_GB2312" w:hAnsi="仿宋" w:eastAsia="仿宋_GB2312"/>
          <w:color w:val="000000"/>
          <w:sz w:val="32"/>
          <w:szCs w:val="32"/>
        </w:rPr>
        <w:t>主要包括：办公费、印刷费、咨询费、手续费、水费、电费、邮电费、取暖费、物业管理费、差旅费、因公出国（境）费用、维修（护）费、租赁费、会议费、培训费、公务接待费、劳务费、委托业务费、工会经费、福利费、公务用车运行维护费、其他交通费、税金及附加费用、其他商品和服务支出、办公设备购置、专用设备购置、信息网络及软件购置更新、其他资本性支出等。</w:t>
      </w:r>
    </w:p>
    <w:p>
      <w:pPr>
        <w:spacing w:line="600" w:lineRule="exact"/>
        <w:ind w:firstLine="645"/>
        <w:rPr>
          <w:rFonts w:ascii="仿宋_GB2312" w:hAnsi="仿宋" w:eastAsia="仿宋_GB2312"/>
          <w:color w:val="000000"/>
          <w:sz w:val="32"/>
          <w:szCs w:val="32"/>
        </w:rPr>
      </w:pPr>
      <w:r>
        <w:rPr>
          <w:rFonts w:hint="eastAsia" w:ascii="仿宋_GB2312" w:hAnsi="仿宋" w:eastAsia="仿宋_GB2312"/>
          <w:b/>
          <w:color w:val="000000"/>
          <w:sz w:val="32"/>
          <w:szCs w:val="32"/>
        </w:rPr>
        <w:t>对个人和家庭补助0.42万元,</w:t>
      </w:r>
      <w:r>
        <w:rPr>
          <w:rFonts w:hint="eastAsia" w:ascii="仿宋_GB2312" w:hAnsi="仿宋" w:eastAsia="仿宋_GB2312"/>
          <w:color w:val="000000"/>
          <w:sz w:val="32"/>
          <w:szCs w:val="32"/>
        </w:rPr>
        <w:t>用于生活补助.</w:t>
      </w:r>
    </w:p>
    <w:p>
      <w:pPr>
        <w:spacing w:line="600" w:lineRule="exact"/>
        <w:ind w:firstLine="645"/>
        <w:rPr>
          <w:rFonts w:ascii="仿宋_GB2312" w:hAnsi="仿宋" w:eastAsia="仿宋_GB2312"/>
          <w:color w:val="000000"/>
          <w:sz w:val="32"/>
          <w:szCs w:val="32"/>
        </w:rPr>
      </w:pPr>
      <w:r>
        <w:rPr>
          <w:rFonts w:hint="eastAsia" w:ascii="仿宋_GB2312" w:hAnsi="仿宋" w:eastAsia="仿宋_GB2312"/>
          <w:b/>
          <w:bCs/>
          <w:color w:val="000000"/>
          <w:sz w:val="32"/>
          <w:szCs w:val="32"/>
        </w:rPr>
        <w:t>其他商业流通事务201.7</w:t>
      </w:r>
      <w:r>
        <w:rPr>
          <w:rFonts w:hint="eastAsia" w:ascii="仿宋_GB2312" w:hAnsi="仿宋" w:eastAsia="仿宋_GB2312"/>
          <w:b/>
          <w:color w:val="000000"/>
          <w:sz w:val="32"/>
          <w:szCs w:val="32"/>
        </w:rPr>
        <w:t>万元</w:t>
      </w:r>
    </w:p>
    <w:p>
      <w:pPr>
        <w:spacing w:line="600" w:lineRule="exact"/>
        <w:ind w:firstLine="640"/>
        <w:outlineLvl w:val="1"/>
        <w:rPr>
          <w:rStyle w:val="28"/>
          <w:rFonts w:ascii="黑体" w:hAnsi="黑体" w:eastAsia="黑体"/>
          <w:b w:val="0"/>
        </w:rPr>
      </w:pPr>
      <w:bookmarkStart w:id="36" w:name="_Toc15396609"/>
      <w:bookmarkStart w:id="37" w:name="_Toc15377215"/>
      <w:r>
        <w:rPr>
          <w:rFonts w:hint="eastAsia" w:ascii="黑体" w:eastAsia="黑体"/>
          <w:color w:val="000000"/>
          <w:sz w:val="32"/>
          <w:szCs w:val="32"/>
        </w:rPr>
        <w:t>七、</w:t>
      </w:r>
      <w:r>
        <w:rPr>
          <w:rStyle w:val="28"/>
          <w:rFonts w:hint="eastAsia" w:ascii="黑体" w:hAnsi="黑体" w:eastAsia="黑体"/>
        </w:rPr>
        <w:t>“</w:t>
      </w:r>
      <w:r>
        <w:rPr>
          <w:rStyle w:val="28"/>
          <w:rFonts w:hint="eastAsia" w:ascii="黑体" w:hAnsi="黑体" w:eastAsia="黑体"/>
          <w:b w:val="0"/>
        </w:rPr>
        <w:t>三公”经费财政拨款支出决算情况说明</w:t>
      </w:r>
      <w:bookmarkEnd w:id="36"/>
      <w:bookmarkEnd w:id="37"/>
    </w:p>
    <w:p>
      <w:pPr>
        <w:spacing w:line="600" w:lineRule="exact"/>
        <w:ind w:firstLine="640"/>
        <w:outlineLvl w:val="2"/>
        <w:rPr>
          <w:rFonts w:ascii="楷体_GB2312" w:hAnsi="仿宋" w:eastAsia="楷体_GB2312"/>
          <w:color w:val="000000"/>
          <w:sz w:val="32"/>
          <w:szCs w:val="32"/>
        </w:rPr>
      </w:pPr>
      <w:bookmarkStart w:id="38" w:name="_Toc15377216"/>
      <w:r>
        <w:rPr>
          <w:rFonts w:hint="eastAsia" w:ascii="楷体_GB2312" w:hAnsi="仿宋" w:eastAsia="楷体_GB2312"/>
          <w:color w:val="000000"/>
          <w:sz w:val="32"/>
          <w:szCs w:val="32"/>
        </w:rPr>
        <w:t>（一）“三公”经费财政拨款支出决算总体情况说明</w:t>
      </w:r>
      <w:bookmarkEnd w:id="38"/>
    </w:p>
    <w:p>
      <w:pPr>
        <w:spacing w:line="600" w:lineRule="exact"/>
        <w:ind w:firstLine="640"/>
        <w:rPr>
          <w:rFonts w:ascii="仿宋_GB2312" w:hAnsi="仿宋" w:eastAsia="仿宋_GB2312"/>
          <w:b/>
          <w:color w:val="FF0000"/>
          <w:sz w:val="32"/>
          <w:szCs w:val="32"/>
        </w:rPr>
      </w:pPr>
      <w:r>
        <w:rPr>
          <w:rFonts w:hint="eastAsia" w:ascii="仿宋_GB2312" w:hAnsi="仿宋" w:eastAsia="仿宋_GB2312"/>
          <w:color w:val="000000"/>
          <w:sz w:val="32"/>
          <w:szCs w:val="32"/>
        </w:rPr>
        <w:t>2020年“三公”经费财政拨款支出决算为0万元，完成预算0%。</w:t>
      </w:r>
    </w:p>
    <w:p>
      <w:pPr>
        <w:spacing w:line="600" w:lineRule="exact"/>
        <w:ind w:firstLine="640"/>
        <w:outlineLvl w:val="2"/>
        <w:rPr>
          <w:rFonts w:ascii="楷体_GB2312" w:hAnsi="仿宋" w:eastAsia="楷体_GB2312"/>
          <w:color w:val="000000"/>
          <w:sz w:val="32"/>
          <w:szCs w:val="32"/>
        </w:rPr>
      </w:pPr>
      <w:bookmarkStart w:id="39" w:name="_Toc15377217"/>
      <w:r>
        <w:rPr>
          <w:rFonts w:hint="eastAsia" w:ascii="楷体_GB2312" w:hAnsi="仿宋" w:eastAsia="楷体_GB2312"/>
          <w:color w:val="000000"/>
          <w:sz w:val="32"/>
          <w:szCs w:val="32"/>
        </w:rPr>
        <w:t>（二）“三公”经费财政拨款支出决算具体情况说明</w:t>
      </w:r>
      <w:bookmarkEnd w:id="39"/>
    </w:p>
    <w:p>
      <w:pPr>
        <w:spacing w:line="600" w:lineRule="exact"/>
        <w:ind w:firstLine="640"/>
        <w:rPr>
          <w:rFonts w:ascii="仿宋_GB2312" w:hAnsi="仿宋" w:eastAsia="仿宋_GB2312"/>
          <w:color w:val="000000"/>
          <w:sz w:val="32"/>
          <w:szCs w:val="32"/>
        </w:rPr>
      </w:pPr>
      <w:r>
        <w:rPr>
          <w:rFonts w:hint="eastAsia" w:ascii="仿宋_GB2312" w:hAnsi="仿宋" w:eastAsia="仿宋_GB2312"/>
          <w:color w:val="000000"/>
          <w:sz w:val="32"/>
          <w:szCs w:val="32"/>
        </w:rPr>
        <w:t>2020年“三公”经费财政拨款支出决算中，因公出国（境）费支出决算0万元，占0%；公务用车购置及运行维护费支出决算0万元，占100%；公务接待费支出决算0万元，占0%。具体情况如下：</w:t>
      </w:r>
    </w:p>
    <w:p>
      <w:pPr>
        <w:spacing w:line="600" w:lineRule="exact"/>
        <w:ind w:firstLine="640"/>
        <w:rPr>
          <w:rFonts w:ascii="仿宋_GB2312" w:eastAsia="仿宋_GB2312"/>
          <w:color w:val="000000"/>
          <w:sz w:val="32"/>
          <w:szCs w:val="32"/>
        </w:rPr>
      </w:pPr>
      <w:r>
        <w:rPr>
          <w:rFonts w:ascii="仿宋_GB2312" w:eastAsia="仿宋_GB2312"/>
          <w:b/>
          <w:color w:val="000000"/>
          <w:sz w:val="32"/>
          <w:szCs w:val="32"/>
        </w:rPr>
        <w:t>1.</w:t>
      </w:r>
      <w:r>
        <w:rPr>
          <w:rFonts w:hint="eastAsia" w:ascii="仿宋_GB2312" w:eastAsia="仿宋_GB2312"/>
          <w:b/>
          <w:color w:val="000000"/>
          <w:sz w:val="32"/>
          <w:szCs w:val="32"/>
        </w:rPr>
        <w:t>因公出国（境）经费支出</w:t>
      </w:r>
      <w:r>
        <w:rPr>
          <w:rFonts w:hint="eastAsia" w:ascii="仿宋_GB2312" w:eastAsia="仿宋_GB2312"/>
          <w:color w:val="000000"/>
          <w:sz w:val="32"/>
          <w:szCs w:val="32"/>
        </w:rPr>
        <w:t>0万元，</w:t>
      </w:r>
      <w:r>
        <w:rPr>
          <w:rStyle w:val="16"/>
          <w:rFonts w:hint="eastAsia" w:ascii="仿宋" w:hAnsi="仿宋" w:eastAsia="仿宋"/>
          <w:b w:val="0"/>
          <w:bCs/>
          <w:color w:val="000000"/>
          <w:sz w:val="32"/>
          <w:szCs w:val="32"/>
        </w:rPr>
        <w:t>完成预算0</w:t>
      </w:r>
      <w:r>
        <w:rPr>
          <w:rStyle w:val="16"/>
          <w:rFonts w:ascii="仿宋" w:hAnsi="仿宋" w:eastAsia="仿宋"/>
          <w:b w:val="0"/>
          <w:bCs/>
          <w:color w:val="000000"/>
          <w:sz w:val="32"/>
          <w:szCs w:val="32"/>
        </w:rPr>
        <w:t>%</w:t>
      </w:r>
      <w:r>
        <w:rPr>
          <w:rStyle w:val="16"/>
          <w:rFonts w:hint="eastAsia" w:ascii="仿宋" w:hAnsi="仿宋" w:eastAsia="仿宋"/>
          <w:b w:val="0"/>
          <w:bCs/>
          <w:color w:val="000000"/>
          <w:sz w:val="32"/>
          <w:szCs w:val="32"/>
        </w:rPr>
        <w:t>。</w:t>
      </w:r>
      <w:r>
        <w:rPr>
          <w:rFonts w:hint="eastAsia" w:ascii="仿宋_GB2312" w:eastAsia="仿宋_GB2312"/>
          <w:color w:val="000000"/>
          <w:sz w:val="32"/>
          <w:szCs w:val="32"/>
        </w:rPr>
        <w:t>2020年我局无因公出国(境)经费支出。因公出国（境）支出决算比</w:t>
      </w:r>
      <w:r>
        <w:rPr>
          <w:rFonts w:ascii="仿宋_GB2312" w:eastAsia="仿宋_GB2312"/>
          <w:color w:val="000000"/>
          <w:sz w:val="32"/>
          <w:szCs w:val="32"/>
        </w:rPr>
        <w:t>20</w:t>
      </w:r>
      <w:r>
        <w:rPr>
          <w:rFonts w:hint="eastAsia" w:ascii="仿宋_GB2312" w:eastAsia="仿宋_GB2312"/>
          <w:color w:val="000000"/>
          <w:sz w:val="32"/>
          <w:szCs w:val="32"/>
        </w:rPr>
        <w:t>20年无增减。</w:t>
      </w:r>
    </w:p>
    <w:p>
      <w:pPr>
        <w:spacing w:line="600" w:lineRule="exact"/>
        <w:ind w:firstLine="640"/>
        <w:rPr>
          <w:rFonts w:ascii="仿宋_GB2312" w:eastAsia="仿宋_GB2312"/>
          <w:color w:val="000000"/>
          <w:sz w:val="32"/>
          <w:szCs w:val="32"/>
        </w:rPr>
      </w:pPr>
      <w:r>
        <w:rPr>
          <w:rFonts w:ascii="仿宋_GB2312" w:eastAsia="仿宋_GB2312"/>
          <w:b/>
          <w:color w:val="000000"/>
          <w:sz w:val="32"/>
          <w:szCs w:val="32"/>
        </w:rPr>
        <w:t>2.</w:t>
      </w:r>
      <w:r>
        <w:rPr>
          <w:rFonts w:hint="eastAsia" w:ascii="仿宋_GB2312" w:eastAsia="仿宋_GB2312"/>
          <w:b/>
          <w:color w:val="000000"/>
          <w:sz w:val="32"/>
          <w:szCs w:val="32"/>
        </w:rPr>
        <w:t>公务用车购置及运行维护费支出0</w:t>
      </w:r>
      <w:r>
        <w:rPr>
          <w:rFonts w:hint="eastAsia" w:ascii="仿宋_GB2312" w:eastAsia="仿宋_GB2312"/>
          <w:color w:val="000000"/>
          <w:sz w:val="32"/>
          <w:szCs w:val="32"/>
        </w:rPr>
        <w:t>万元,</w:t>
      </w:r>
      <w:r>
        <w:rPr>
          <w:rStyle w:val="16"/>
          <w:rFonts w:hint="eastAsia" w:ascii="仿宋_GB2312" w:hAnsi="仿宋" w:eastAsia="仿宋_GB2312"/>
          <w:b w:val="0"/>
          <w:bCs/>
          <w:color w:val="000000"/>
          <w:sz w:val="32"/>
          <w:szCs w:val="32"/>
        </w:rPr>
        <w:t>完成预算100%。</w:t>
      </w:r>
    </w:p>
    <w:p>
      <w:pPr>
        <w:spacing w:line="600" w:lineRule="exact"/>
        <w:ind w:firstLine="640"/>
        <w:rPr>
          <w:rFonts w:ascii="仿宋_GB2312" w:eastAsia="仿宋_GB2312"/>
          <w:b/>
          <w:color w:val="000000"/>
          <w:sz w:val="32"/>
          <w:szCs w:val="32"/>
        </w:rPr>
      </w:pPr>
      <w:r>
        <w:rPr>
          <w:rFonts w:hint="eastAsia" w:ascii="仿宋_GB2312" w:eastAsia="仿宋_GB2312"/>
          <w:color w:val="000000"/>
          <w:sz w:val="32"/>
          <w:szCs w:val="32"/>
        </w:rPr>
        <w:t>3.</w:t>
      </w:r>
      <w:r>
        <w:rPr>
          <w:rFonts w:hint="eastAsia" w:ascii="仿宋_GB2312" w:eastAsia="仿宋_GB2312"/>
          <w:b/>
          <w:bCs/>
          <w:color w:val="000000"/>
          <w:sz w:val="32"/>
          <w:szCs w:val="32"/>
        </w:rPr>
        <w:t>公务接待费支出</w:t>
      </w:r>
      <w:r>
        <w:rPr>
          <w:rFonts w:hint="eastAsia" w:ascii="仿宋_GB2312" w:eastAsia="仿宋_GB2312"/>
          <w:color w:val="000000"/>
          <w:sz w:val="32"/>
          <w:szCs w:val="32"/>
        </w:rPr>
        <w:t>0万元，</w:t>
      </w:r>
      <w:r>
        <w:rPr>
          <w:rStyle w:val="16"/>
          <w:rFonts w:hint="eastAsia" w:ascii="仿宋_GB2312" w:hAnsi="仿宋" w:eastAsia="仿宋_GB2312"/>
          <w:b w:val="0"/>
          <w:bCs/>
          <w:color w:val="000000"/>
          <w:sz w:val="32"/>
          <w:szCs w:val="32"/>
        </w:rPr>
        <w:t>完成预算0%</w:t>
      </w:r>
      <w:r>
        <w:rPr>
          <w:rStyle w:val="16"/>
          <w:rFonts w:hint="eastAsia" w:ascii="仿宋" w:hAnsi="仿宋" w:eastAsia="仿宋"/>
          <w:b w:val="0"/>
          <w:bCs/>
          <w:color w:val="000000"/>
          <w:sz w:val="32"/>
          <w:szCs w:val="32"/>
        </w:rPr>
        <w:t>。</w:t>
      </w:r>
    </w:p>
    <w:p>
      <w:pPr>
        <w:spacing w:line="600" w:lineRule="exact"/>
        <w:ind w:firstLine="640"/>
        <w:outlineLvl w:val="1"/>
        <w:rPr>
          <w:rStyle w:val="28"/>
          <w:rFonts w:ascii="黑体" w:hAnsi="黑体" w:eastAsia="黑体"/>
        </w:rPr>
      </w:pPr>
      <w:bookmarkStart w:id="40" w:name="_Toc15396610"/>
      <w:bookmarkStart w:id="41" w:name="_Toc15377218"/>
      <w:r>
        <w:rPr>
          <w:rFonts w:hint="eastAsia" w:ascii="黑体" w:eastAsia="黑体"/>
          <w:color w:val="000000"/>
          <w:sz w:val="32"/>
          <w:szCs w:val="32"/>
        </w:rPr>
        <w:t>八、</w:t>
      </w:r>
      <w:r>
        <w:rPr>
          <w:rStyle w:val="28"/>
          <w:rFonts w:hint="eastAsia" w:ascii="黑体" w:hAnsi="黑体" w:eastAsia="黑体"/>
          <w:b w:val="0"/>
        </w:rPr>
        <w:t>政府性基金预算支出决算情况说明</w:t>
      </w:r>
      <w:bookmarkEnd w:id="40"/>
      <w:bookmarkEnd w:id="41"/>
    </w:p>
    <w:p>
      <w:pPr>
        <w:spacing w:line="600" w:lineRule="exact"/>
        <w:ind w:firstLine="640"/>
        <w:rPr>
          <w:rFonts w:ascii="仿宋_GB2312" w:eastAsia="仿宋_GB2312"/>
          <w:color w:val="000000"/>
          <w:sz w:val="32"/>
          <w:szCs w:val="32"/>
        </w:rPr>
      </w:pPr>
      <w:r>
        <w:rPr>
          <w:rFonts w:ascii="仿宋_GB2312" w:eastAsia="仿宋_GB2312"/>
          <w:color w:val="000000"/>
          <w:sz w:val="32"/>
          <w:szCs w:val="32"/>
        </w:rPr>
        <w:t>20</w:t>
      </w:r>
      <w:r>
        <w:rPr>
          <w:rFonts w:hint="eastAsia" w:ascii="仿宋_GB2312" w:eastAsia="仿宋_GB2312"/>
          <w:color w:val="000000"/>
          <w:sz w:val="32"/>
          <w:szCs w:val="32"/>
        </w:rPr>
        <w:t>20年政府性基金预算拨款支出0万元。</w:t>
      </w:r>
    </w:p>
    <w:p>
      <w:pPr>
        <w:numPr>
          <w:ilvl w:val="0"/>
          <w:numId w:val="1"/>
        </w:numPr>
        <w:spacing w:line="600" w:lineRule="exact"/>
        <w:ind w:firstLine="640"/>
        <w:outlineLvl w:val="1"/>
        <w:rPr>
          <w:rStyle w:val="28"/>
          <w:rFonts w:ascii="黑体" w:hAnsi="黑体" w:eastAsia="黑体"/>
          <w:b w:val="0"/>
        </w:rPr>
      </w:pPr>
      <w:bookmarkStart w:id="42" w:name="_Toc15377219"/>
      <w:bookmarkStart w:id="43" w:name="_Toc15396611"/>
      <w:r>
        <w:rPr>
          <w:rStyle w:val="28"/>
          <w:rFonts w:hint="eastAsia" w:ascii="黑体" w:hAnsi="黑体" w:eastAsia="黑体"/>
          <w:b w:val="0"/>
        </w:rPr>
        <w:t>国有资本经营预算支出决算情况说明</w:t>
      </w:r>
      <w:bookmarkEnd w:id="42"/>
      <w:bookmarkEnd w:id="43"/>
    </w:p>
    <w:p>
      <w:pPr>
        <w:spacing w:line="600" w:lineRule="exact"/>
        <w:ind w:firstLine="640"/>
        <w:rPr>
          <w:rFonts w:ascii="仿宋_GB2312" w:eastAsia="仿宋_GB2312"/>
          <w:color w:val="000000"/>
          <w:sz w:val="32"/>
          <w:szCs w:val="32"/>
        </w:rPr>
      </w:pPr>
      <w:r>
        <w:rPr>
          <w:rFonts w:ascii="仿宋_GB2312" w:eastAsia="仿宋_GB2312"/>
          <w:color w:val="000000"/>
          <w:sz w:val="32"/>
          <w:szCs w:val="32"/>
        </w:rPr>
        <w:t>20</w:t>
      </w:r>
      <w:r>
        <w:rPr>
          <w:rFonts w:hint="eastAsia" w:ascii="仿宋_GB2312" w:eastAsia="仿宋_GB2312"/>
          <w:color w:val="000000"/>
          <w:sz w:val="32"/>
          <w:szCs w:val="32"/>
        </w:rPr>
        <w:t>20年国有资本经营预算拨款支出0万元。</w:t>
      </w:r>
    </w:p>
    <w:p>
      <w:pPr>
        <w:spacing w:line="600" w:lineRule="exact"/>
        <w:ind w:firstLine="800" w:firstLineChars="250"/>
        <w:outlineLvl w:val="1"/>
        <w:rPr>
          <w:rStyle w:val="28"/>
          <w:rFonts w:ascii="黑体" w:hAnsi="黑体" w:eastAsia="黑体"/>
        </w:rPr>
      </w:pPr>
      <w:bookmarkStart w:id="44" w:name="_Toc15377221"/>
      <w:bookmarkStart w:id="45" w:name="_Toc15396612"/>
      <w:r>
        <w:rPr>
          <w:rFonts w:hint="eastAsia" w:ascii="黑体" w:hAnsi="黑体" w:eastAsia="黑体"/>
          <w:color w:val="000000"/>
          <w:sz w:val="32"/>
          <w:szCs w:val="32"/>
        </w:rPr>
        <w:t>十</w:t>
      </w:r>
      <w:r>
        <w:rPr>
          <w:rStyle w:val="28"/>
          <w:rFonts w:hint="eastAsia" w:ascii="黑体" w:hAnsi="黑体" w:eastAsia="黑体"/>
        </w:rPr>
        <w:t>、</w:t>
      </w:r>
      <w:r>
        <w:rPr>
          <w:rStyle w:val="28"/>
          <w:rFonts w:hint="eastAsia" w:ascii="黑体" w:hAnsi="黑体" w:eastAsia="黑体"/>
          <w:b w:val="0"/>
        </w:rPr>
        <w:t>其他重要事项的情况说明</w:t>
      </w:r>
      <w:bookmarkEnd w:id="44"/>
      <w:bookmarkEnd w:id="45"/>
    </w:p>
    <w:p>
      <w:pPr>
        <w:spacing w:line="600" w:lineRule="exact"/>
        <w:ind w:firstLine="640" w:firstLineChars="200"/>
        <w:outlineLvl w:val="2"/>
        <w:rPr>
          <w:rFonts w:ascii="楷体_GB2312" w:hAnsi="仿宋" w:eastAsia="楷体_GB2312"/>
          <w:color w:val="000000"/>
          <w:sz w:val="32"/>
          <w:szCs w:val="32"/>
        </w:rPr>
      </w:pPr>
      <w:bookmarkStart w:id="46" w:name="_Toc15377222"/>
      <w:r>
        <w:rPr>
          <w:rFonts w:hint="eastAsia" w:ascii="楷体_GB2312" w:hAnsi="仿宋" w:eastAsia="楷体_GB2312"/>
          <w:color w:val="000000"/>
          <w:sz w:val="32"/>
          <w:szCs w:val="32"/>
        </w:rPr>
        <w:t>（一）机关运行经费支出情况</w:t>
      </w:r>
      <w:bookmarkEnd w:id="46"/>
    </w:p>
    <w:p>
      <w:pPr>
        <w:spacing w:line="600" w:lineRule="exact"/>
        <w:ind w:firstLine="640" w:firstLineChars="200"/>
        <w:rPr>
          <w:rFonts w:ascii="仿宋_GB2312" w:eastAsia="仿宋_GB2312"/>
          <w:color w:val="000000" w:themeColor="text1"/>
          <w:sz w:val="32"/>
          <w:szCs w:val="32"/>
        </w:rPr>
      </w:pPr>
      <w:r>
        <w:rPr>
          <w:rFonts w:ascii="仿宋_GB2312" w:eastAsia="仿宋_GB2312"/>
          <w:color w:val="000000"/>
          <w:sz w:val="32"/>
          <w:szCs w:val="32"/>
        </w:rPr>
        <w:t>20</w:t>
      </w:r>
      <w:r>
        <w:rPr>
          <w:rFonts w:hint="eastAsia" w:ascii="仿宋_GB2312" w:eastAsia="仿宋_GB2312"/>
          <w:color w:val="000000"/>
          <w:sz w:val="32"/>
          <w:szCs w:val="32"/>
        </w:rPr>
        <w:t>20年，档案馆机关运行经费支出3.31万元，比</w:t>
      </w:r>
      <w:r>
        <w:rPr>
          <w:rFonts w:ascii="仿宋_GB2312" w:eastAsia="仿宋_GB2312"/>
          <w:color w:val="000000"/>
          <w:sz w:val="32"/>
          <w:szCs w:val="32"/>
        </w:rPr>
        <w:t>20</w:t>
      </w:r>
      <w:r>
        <w:rPr>
          <w:rFonts w:hint="eastAsia" w:ascii="仿宋_GB2312" w:eastAsia="仿宋_GB2312"/>
          <w:color w:val="000000"/>
          <w:sz w:val="32"/>
          <w:szCs w:val="32"/>
        </w:rPr>
        <w:t>19年增加0.01万元。</w:t>
      </w:r>
    </w:p>
    <w:p>
      <w:pPr>
        <w:autoSpaceDE w:val="0"/>
        <w:autoSpaceDN w:val="0"/>
        <w:adjustRightInd w:val="0"/>
        <w:spacing w:line="600" w:lineRule="exact"/>
        <w:ind w:firstLine="643" w:firstLineChars="200"/>
        <w:jc w:val="left"/>
        <w:outlineLvl w:val="2"/>
        <w:rPr>
          <w:rFonts w:ascii="仿宋" w:hAnsi="仿宋" w:eastAsia="仿宋"/>
          <w:b/>
          <w:color w:val="000000"/>
          <w:sz w:val="32"/>
          <w:szCs w:val="32"/>
        </w:rPr>
      </w:pPr>
      <w:bookmarkStart w:id="47" w:name="_Toc15377223"/>
      <w:r>
        <w:rPr>
          <w:rFonts w:hint="eastAsia" w:ascii="仿宋" w:hAnsi="仿宋" w:eastAsia="仿宋"/>
          <w:b/>
          <w:color w:val="000000"/>
          <w:sz w:val="32"/>
          <w:szCs w:val="32"/>
        </w:rPr>
        <w:t>（二）政府采购支出情况</w:t>
      </w:r>
      <w:bookmarkEnd w:id="47"/>
    </w:p>
    <w:p>
      <w:pPr>
        <w:spacing w:line="600" w:lineRule="exact"/>
        <w:ind w:firstLine="640" w:firstLineChars="200"/>
        <w:rPr>
          <w:rFonts w:ascii="仿宋_GB2312" w:eastAsia="仿宋_GB2312"/>
          <w:color w:val="000000"/>
          <w:sz w:val="32"/>
          <w:szCs w:val="32"/>
        </w:rPr>
      </w:pPr>
      <w:r>
        <w:rPr>
          <w:rFonts w:ascii="仿宋_GB2312" w:eastAsia="仿宋_GB2312"/>
          <w:color w:val="000000"/>
          <w:sz w:val="32"/>
          <w:szCs w:val="32"/>
        </w:rPr>
        <w:t>20</w:t>
      </w:r>
      <w:r>
        <w:rPr>
          <w:rFonts w:hint="eastAsia" w:ascii="仿宋_GB2312" w:eastAsia="仿宋_GB2312"/>
          <w:color w:val="000000"/>
          <w:sz w:val="32"/>
          <w:szCs w:val="32"/>
        </w:rPr>
        <w:t>20年，我单位无政府采购支出。</w:t>
      </w:r>
    </w:p>
    <w:p>
      <w:pPr>
        <w:autoSpaceDE w:val="0"/>
        <w:autoSpaceDN w:val="0"/>
        <w:adjustRightInd w:val="0"/>
        <w:spacing w:line="600" w:lineRule="exact"/>
        <w:ind w:firstLine="643" w:firstLineChars="200"/>
        <w:jc w:val="left"/>
        <w:outlineLvl w:val="2"/>
        <w:rPr>
          <w:rFonts w:ascii="仿宋" w:hAnsi="仿宋" w:eastAsia="仿宋"/>
          <w:b/>
          <w:color w:val="000000"/>
          <w:sz w:val="32"/>
          <w:szCs w:val="32"/>
        </w:rPr>
      </w:pPr>
      <w:bookmarkStart w:id="48" w:name="_Toc15377224"/>
      <w:r>
        <w:rPr>
          <w:rFonts w:hint="eastAsia" w:ascii="仿宋" w:hAnsi="仿宋" w:eastAsia="仿宋"/>
          <w:b/>
          <w:color w:val="000000"/>
          <w:sz w:val="32"/>
          <w:szCs w:val="32"/>
        </w:rPr>
        <w:t>（三）国有资产占有使用情况</w:t>
      </w:r>
      <w:bookmarkEnd w:id="48"/>
    </w:p>
    <w:p>
      <w:pPr>
        <w:autoSpaceDE w:val="0"/>
        <w:autoSpaceDN w:val="0"/>
        <w:adjustRightInd w:val="0"/>
        <w:spacing w:line="600" w:lineRule="exact"/>
        <w:ind w:firstLine="640" w:firstLineChars="200"/>
        <w:jc w:val="left"/>
        <w:rPr>
          <w:rFonts w:ascii="仿宋" w:hAnsi="仿宋" w:eastAsia="仿宋"/>
          <w:b/>
          <w:color w:val="FF0000"/>
          <w:sz w:val="32"/>
          <w:szCs w:val="32"/>
        </w:rPr>
      </w:pPr>
      <w:r>
        <w:rPr>
          <w:rFonts w:hint="eastAsia" w:ascii="仿宋_GB2312" w:eastAsia="仿宋_GB2312"/>
          <w:color w:val="000000"/>
          <w:sz w:val="32"/>
          <w:szCs w:val="32"/>
        </w:rPr>
        <w:t>截至</w:t>
      </w:r>
      <w:r>
        <w:rPr>
          <w:rFonts w:ascii="仿宋_GB2312" w:eastAsia="仿宋_GB2312"/>
          <w:color w:val="000000"/>
          <w:sz w:val="32"/>
          <w:szCs w:val="32"/>
        </w:rPr>
        <w:t>20</w:t>
      </w:r>
      <w:r>
        <w:rPr>
          <w:rFonts w:hint="eastAsia" w:ascii="仿宋_GB2312" w:eastAsia="仿宋_GB2312"/>
          <w:color w:val="000000"/>
          <w:sz w:val="32"/>
          <w:szCs w:val="32"/>
        </w:rPr>
        <w:t>20年</w:t>
      </w:r>
      <w:r>
        <w:rPr>
          <w:rFonts w:ascii="仿宋_GB2312" w:eastAsia="仿宋_GB2312"/>
          <w:color w:val="000000"/>
          <w:sz w:val="32"/>
          <w:szCs w:val="32"/>
        </w:rPr>
        <w:t>12</w:t>
      </w:r>
      <w:r>
        <w:rPr>
          <w:rFonts w:hint="eastAsia" w:ascii="仿宋_GB2312" w:eastAsia="仿宋_GB2312"/>
          <w:color w:val="000000"/>
          <w:sz w:val="32"/>
          <w:szCs w:val="32"/>
        </w:rPr>
        <w:t>月</w:t>
      </w:r>
      <w:r>
        <w:rPr>
          <w:rFonts w:ascii="仿宋_GB2312" w:eastAsia="仿宋_GB2312"/>
          <w:color w:val="000000"/>
          <w:sz w:val="32"/>
          <w:szCs w:val="32"/>
        </w:rPr>
        <w:t>31</w:t>
      </w:r>
      <w:r>
        <w:rPr>
          <w:rFonts w:hint="eastAsia" w:ascii="仿宋_GB2312" w:eastAsia="仿宋_GB2312"/>
          <w:color w:val="000000"/>
          <w:sz w:val="32"/>
          <w:szCs w:val="32"/>
        </w:rPr>
        <w:t>日，供销社共有车辆1辆，其中:公务用车1辆。</w:t>
      </w:r>
    </w:p>
    <w:p>
      <w:pPr>
        <w:autoSpaceDE w:val="0"/>
        <w:autoSpaceDN w:val="0"/>
        <w:adjustRightInd w:val="0"/>
        <w:spacing w:line="600" w:lineRule="exact"/>
        <w:ind w:firstLine="643" w:firstLineChars="200"/>
        <w:jc w:val="left"/>
        <w:outlineLvl w:val="2"/>
        <w:rPr>
          <w:rFonts w:ascii="仿宋" w:hAnsi="仿宋" w:eastAsia="仿宋"/>
          <w:b/>
          <w:color w:val="000000"/>
          <w:sz w:val="32"/>
          <w:szCs w:val="32"/>
        </w:rPr>
      </w:pPr>
      <w:r>
        <w:rPr>
          <w:rFonts w:hint="eastAsia" w:ascii="仿宋" w:hAnsi="仿宋" w:eastAsia="仿宋"/>
          <w:b/>
          <w:color w:val="000000"/>
          <w:sz w:val="32"/>
          <w:szCs w:val="32"/>
        </w:rPr>
        <w:t>（四）预算绩效管理情况。</w:t>
      </w:r>
    </w:p>
    <w:p>
      <w:pPr>
        <w:spacing w:line="58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根据预算绩效管理要求，本单位按要求对2020年部门整体支出开展绩效自评，从评价情况来看,严格按要求进行预算管理要求,对日常公用经费、项目支出严格按程序进行,预算收入基本等于支出。  </w:t>
      </w:r>
    </w:p>
    <w:p>
      <w:pPr>
        <w:spacing w:line="580" w:lineRule="exact"/>
        <w:ind w:firstLine="640" w:firstLineChars="200"/>
        <w:rPr>
          <w:rFonts w:ascii="仿宋_GB2312" w:hAnsi="仿宋_GB2312" w:eastAsia="仿宋_GB2312" w:cs="仿宋_GB2312"/>
          <w:sz w:val="32"/>
          <w:szCs w:val="32"/>
        </w:rPr>
      </w:pPr>
      <w:r>
        <w:rPr>
          <w:rFonts w:hint="eastAsia" w:ascii="楷体_GB2312" w:hAnsi="楷体_GB2312" w:eastAsia="楷体_GB2312" w:cs="楷体_GB2312"/>
          <w:sz w:val="32"/>
          <w:szCs w:val="32"/>
        </w:rPr>
        <w:t>1.项目绩效目标完成情况。</w:t>
      </w:r>
      <w:r>
        <w:rPr>
          <w:rFonts w:hint="eastAsia" w:ascii="楷体_GB2312" w:hAnsi="楷体_GB2312" w:eastAsia="楷体_GB2312" w:cs="楷体_GB2312"/>
          <w:sz w:val="32"/>
          <w:szCs w:val="32"/>
        </w:rPr>
        <w:br w:type="textWrapping"/>
      </w:r>
      <w:r>
        <w:rPr>
          <w:rFonts w:hint="eastAsia" w:ascii="仿宋_GB2312" w:hAnsi="仿宋_GB2312" w:eastAsia="仿宋_GB2312" w:cs="仿宋_GB2312"/>
          <w:sz w:val="32"/>
          <w:szCs w:val="32"/>
        </w:rPr>
        <w:t xml:space="preserve">    本单位2020年无项目.</w:t>
      </w:r>
    </w:p>
    <w:p>
      <w:pPr>
        <w:spacing w:line="580" w:lineRule="exact"/>
        <w:ind w:left="630"/>
        <w:rPr>
          <w:rFonts w:ascii="仿宋_GB2312" w:hAnsi="仿宋_GB2312" w:eastAsia="仿宋_GB2312" w:cs="仿宋_GB2312"/>
          <w:sz w:val="32"/>
          <w:szCs w:val="32"/>
        </w:rPr>
      </w:pPr>
      <w:r>
        <w:rPr>
          <w:rFonts w:hint="eastAsia" w:ascii="楷体_GB2312" w:hAnsi="楷体_GB2312" w:eastAsia="楷体_GB2312" w:cs="楷体_GB2312"/>
          <w:sz w:val="32"/>
          <w:szCs w:val="32"/>
        </w:rPr>
        <w:t>2.部门绩效评价结果。</w:t>
      </w:r>
    </w:p>
    <w:p>
      <w:pPr>
        <w:spacing w:line="58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本部门按要求对2020年部门整体支出绩效评价情况开展自评，《供销社2020年部门整体支出绩效评价报告》见附件（附件1）。</w:t>
      </w:r>
    </w:p>
    <w:p>
      <w:pPr>
        <w:spacing w:line="600" w:lineRule="exact"/>
        <w:ind w:left="660"/>
        <w:outlineLvl w:val="0"/>
        <w:rPr>
          <w:rFonts w:ascii="黑体" w:hAnsi="黑体" w:eastAsia="黑体"/>
          <w:bCs/>
          <w:kern w:val="44"/>
          <w:sz w:val="44"/>
          <w:szCs w:val="44"/>
        </w:rPr>
      </w:pPr>
      <w:bookmarkStart w:id="49" w:name="_Toc15396613"/>
      <w:bookmarkStart w:id="50" w:name="_Toc15377225"/>
    </w:p>
    <w:p>
      <w:pPr>
        <w:spacing w:line="600" w:lineRule="exact"/>
        <w:ind w:left="660"/>
        <w:outlineLvl w:val="0"/>
        <w:rPr>
          <w:rFonts w:ascii="黑体" w:hAnsi="黑体" w:eastAsia="黑体"/>
          <w:bCs/>
          <w:kern w:val="44"/>
          <w:sz w:val="44"/>
          <w:szCs w:val="44"/>
        </w:rPr>
      </w:pPr>
    </w:p>
    <w:p>
      <w:pPr>
        <w:spacing w:line="600" w:lineRule="exact"/>
        <w:ind w:left="660"/>
        <w:outlineLvl w:val="0"/>
        <w:rPr>
          <w:rFonts w:ascii="黑体" w:hAnsi="黑体" w:eastAsia="黑体"/>
          <w:bCs/>
          <w:kern w:val="44"/>
          <w:sz w:val="44"/>
          <w:szCs w:val="44"/>
        </w:rPr>
      </w:pPr>
    </w:p>
    <w:p>
      <w:pPr>
        <w:spacing w:line="600" w:lineRule="exact"/>
        <w:ind w:left="660"/>
        <w:outlineLvl w:val="0"/>
        <w:rPr>
          <w:rFonts w:ascii="黑体" w:hAnsi="黑体" w:eastAsia="黑体"/>
          <w:bCs/>
          <w:kern w:val="44"/>
          <w:sz w:val="44"/>
          <w:szCs w:val="44"/>
        </w:rPr>
      </w:pPr>
    </w:p>
    <w:p>
      <w:pPr>
        <w:spacing w:line="600" w:lineRule="exact"/>
        <w:ind w:left="660"/>
        <w:outlineLvl w:val="0"/>
        <w:rPr>
          <w:rFonts w:ascii="黑体" w:hAnsi="黑体" w:eastAsia="黑体"/>
          <w:bCs/>
          <w:kern w:val="44"/>
          <w:sz w:val="44"/>
          <w:szCs w:val="44"/>
        </w:rPr>
      </w:pPr>
    </w:p>
    <w:p>
      <w:pPr>
        <w:spacing w:line="600" w:lineRule="exact"/>
        <w:ind w:left="660"/>
        <w:outlineLvl w:val="0"/>
        <w:rPr>
          <w:rFonts w:ascii="黑体" w:hAnsi="黑体" w:eastAsia="黑体"/>
          <w:bCs/>
          <w:kern w:val="44"/>
          <w:sz w:val="44"/>
          <w:szCs w:val="44"/>
        </w:rPr>
      </w:pPr>
    </w:p>
    <w:p>
      <w:pPr>
        <w:spacing w:line="600" w:lineRule="exact"/>
        <w:ind w:left="660"/>
        <w:outlineLvl w:val="0"/>
        <w:rPr>
          <w:rFonts w:ascii="黑体" w:hAnsi="黑体" w:eastAsia="黑体"/>
          <w:bCs/>
          <w:kern w:val="44"/>
          <w:sz w:val="44"/>
          <w:szCs w:val="44"/>
        </w:rPr>
      </w:pPr>
    </w:p>
    <w:p>
      <w:pPr>
        <w:spacing w:line="600" w:lineRule="exact"/>
        <w:ind w:left="660"/>
        <w:outlineLvl w:val="0"/>
        <w:rPr>
          <w:rFonts w:ascii="黑体" w:hAnsi="黑体" w:eastAsia="黑体"/>
          <w:bCs/>
          <w:kern w:val="44"/>
          <w:sz w:val="44"/>
          <w:szCs w:val="44"/>
        </w:rPr>
      </w:pPr>
    </w:p>
    <w:p>
      <w:pPr>
        <w:spacing w:line="600" w:lineRule="exact"/>
        <w:ind w:left="660"/>
        <w:outlineLvl w:val="0"/>
        <w:rPr>
          <w:rFonts w:ascii="黑体" w:hAnsi="黑体" w:eastAsia="黑体"/>
          <w:bCs/>
          <w:kern w:val="44"/>
          <w:sz w:val="44"/>
          <w:szCs w:val="44"/>
        </w:rPr>
      </w:pPr>
    </w:p>
    <w:p>
      <w:pPr>
        <w:spacing w:line="600" w:lineRule="exact"/>
        <w:ind w:left="660"/>
        <w:outlineLvl w:val="0"/>
        <w:rPr>
          <w:rFonts w:ascii="黑体" w:hAnsi="黑体" w:eastAsia="黑体"/>
          <w:bCs/>
          <w:kern w:val="44"/>
          <w:sz w:val="44"/>
          <w:szCs w:val="44"/>
        </w:rPr>
      </w:pPr>
    </w:p>
    <w:p>
      <w:pPr>
        <w:spacing w:line="600" w:lineRule="exact"/>
        <w:ind w:left="660"/>
        <w:outlineLvl w:val="0"/>
        <w:rPr>
          <w:rFonts w:ascii="黑体" w:hAnsi="黑体" w:eastAsia="黑体"/>
          <w:bCs/>
          <w:kern w:val="44"/>
          <w:sz w:val="44"/>
          <w:szCs w:val="44"/>
        </w:rPr>
      </w:pPr>
    </w:p>
    <w:p>
      <w:pPr>
        <w:spacing w:line="600" w:lineRule="exact"/>
        <w:ind w:left="660"/>
        <w:outlineLvl w:val="0"/>
        <w:rPr>
          <w:rFonts w:ascii="黑体" w:hAnsi="黑体" w:eastAsia="黑体"/>
          <w:bCs/>
          <w:kern w:val="44"/>
          <w:sz w:val="44"/>
          <w:szCs w:val="44"/>
        </w:rPr>
      </w:pPr>
    </w:p>
    <w:p>
      <w:pPr>
        <w:spacing w:line="600" w:lineRule="exact"/>
        <w:outlineLvl w:val="0"/>
        <w:rPr>
          <w:rFonts w:ascii="黑体" w:hAnsi="黑体" w:eastAsia="黑体"/>
          <w:bCs/>
          <w:kern w:val="44"/>
          <w:sz w:val="44"/>
          <w:szCs w:val="44"/>
        </w:rPr>
      </w:pPr>
    </w:p>
    <w:p>
      <w:pPr>
        <w:numPr>
          <w:ilvl w:val="0"/>
          <w:numId w:val="2"/>
        </w:numPr>
        <w:spacing w:line="600" w:lineRule="exact"/>
        <w:ind w:firstLine="660" w:firstLineChars="150"/>
        <w:jc w:val="center"/>
        <w:outlineLvl w:val="0"/>
        <w:rPr>
          <w:rStyle w:val="27"/>
          <w:rFonts w:ascii="黑体" w:hAnsi="黑体" w:eastAsia="黑体"/>
          <w:b w:val="0"/>
        </w:rPr>
      </w:pPr>
      <w:r>
        <w:rPr>
          <w:rFonts w:hint="eastAsia" w:ascii="黑体" w:hAnsi="黑体" w:eastAsia="黑体"/>
          <w:color w:val="000000"/>
          <w:sz w:val="44"/>
          <w:szCs w:val="44"/>
        </w:rPr>
        <w:t>名</w:t>
      </w:r>
      <w:r>
        <w:rPr>
          <w:rStyle w:val="27"/>
          <w:rFonts w:hint="eastAsia" w:ascii="黑体" w:hAnsi="黑体" w:eastAsia="黑体"/>
          <w:b w:val="0"/>
        </w:rPr>
        <w:t>词解释</w:t>
      </w:r>
      <w:bookmarkEnd w:id="49"/>
      <w:bookmarkEnd w:id="50"/>
    </w:p>
    <w:p>
      <w:pPr>
        <w:pStyle w:val="25"/>
        <w:spacing w:line="560" w:lineRule="exact"/>
        <w:ind w:firstLine="640" w:firstLineChars="200"/>
        <w:rPr>
          <w:rFonts w:hint="eastAsia" w:ascii="仿宋_GB2312" w:eastAsia="仿宋_GB2312"/>
          <w:sz w:val="32"/>
          <w:szCs w:val="32"/>
        </w:rPr>
      </w:pPr>
      <w:r>
        <w:rPr>
          <w:rFonts w:ascii="仿宋_GB2312" w:eastAsia="仿宋_GB2312"/>
          <w:sz w:val="32"/>
          <w:szCs w:val="32"/>
        </w:rPr>
        <w:t>1.</w:t>
      </w:r>
      <w:r>
        <w:rPr>
          <w:rFonts w:hint="eastAsia" w:ascii="仿宋_GB2312" w:eastAsia="仿宋_GB2312"/>
          <w:sz w:val="32"/>
          <w:szCs w:val="32"/>
        </w:rPr>
        <w:t>财政拨款收入：指单位从同级财政部门取得的财政预算资金。</w:t>
      </w:r>
    </w:p>
    <w:p>
      <w:pPr>
        <w:pStyle w:val="25"/>
        <w:spacing w:line="560" w:lineRule="exact"/>
        <w:ind w:firstLine="640" w:firstLineChars="200"/>
        <w:rPr>
          <w:rFonts w:hint="eastAsia" w:ascii="仿宋_GB2312" w:eastAsia="仿宋_GB2312"/>
          <w:sz w:val="32"/>
          <w:szCs w:val="32"/>
        </w:rPr>
      </w:pPr>
      <w:r>
        <w:rPr>
          <w:rFonts w:ascii="仿宋_GB2312" w:eastAsia="仿宋_GB2312"/>
          <w:sz w:val="32"/>
          <w:szCs w:val="32"/>
        </w:rPr>
        <w:t>2.</w:t>
      </w:r>
      <w:r>
        <w:rPr>
          <w:rFonts w:hint="eastAsia" w:ascii="仿宋_GB2312" w:eastAsia="仿宋_GB2312"/>
          <w:sz w:val="32"/>
          <w:szCs w:val="32"/>
        </w:rPr>
        <w:t>事业收入：指事业单位开展专业业务活动及辅助活动取得的收入。如…（二级预算单位事业收入情况）等。</w:t>
      </w:r>
    </w:p>
    <w:p>
      <w:pPr>
        <w:pStyle w:val="25"/>
        <w:spacing w:line="560" w:lineRule="exact"/>
        <w:ind w:firstLine="640" w:firstLineChars="200"/>
        <w:rPr>
          <w:rFonts w:hint="eastAsia" w:ascii="仿宋_GB2312" w:eastAsia="仿宋_GB2312"/>
          <w:sz w:val="32"/>
          <w:szCs w:val="32"/>
        </w:rPr>
      </w:pPr>
      <w:r>
        <w:rPr>
          <w:rFonts w:ascii="仿宋_GB2312" w:eastAsia="仿宋_GB2312"/>
          <w:sz w:val="32"/>
          <w:szCs w:val="32"/>
        </w:rPr>
        <w:t>3.</w:t>
      </w:r>
      <w:r>
        <w:rPr>
          <w:rFonts w:hint="eastAsia" w:ascii="仿宋_GB2312" w:eastAsia="仿宋_GB2312"/>
          <w:sz w:val="32"/>
          <w:szCs w:val="32"/>
        </w:rPr>
        <w:t>经营收入：指事业单位在专业业务活动及其辅助活动之外开展非独立核算经营活动取得的收入。如…（二级预算单位经营收入情况）等。</w:t>
      </w:r>
    </w:p>
    <w:p>
      <w:pPr>
        <w:pStyle w:val="25"/>
        <w:spacing w:line="560" w:lineRule="exact"/>
        <w:ind w:firstLine="640" w:firstLineChars="200"/>
        <w:rPr>
          <w:rFonts w:hint="eastAsia" w:ascii="仿宋_GB2312" w:eastAsia="仿宋_GB2312"/>
          <w:sz w:val="32"/>
          <w:szCs w:val="32"/>
        </w:rPr>
      </w:pPr>
      <w:r>
        <w:rPr>
          <w:rFonts w:ascii="仿宋_GB2312" w:eastAsia="仿宋_GB2312"/>
          <w:sz w:val="32"/>
          <w:szCs w:val="32"/>
        </w:rPr>
        <w:t>4.</w:t>
      </w:r>
      <w:r>
        <w:rPr>
          <w:rFonts w:hint="eastAsia" w:ascii="仿宋_GB2312" w:eastAsia="仿宋_GB2312"/>
          <w:sz w:val="32"/>
          <w:szCs w:val="32"/>
        </w:rPr>
        <w:t>其他收入：指单位取得的除上述收入以外的各项收入。主要是…（收入类型）等。</w:t>
      </w:r>
      <w:r>
        <w:rPr>
          <w:rFonts w:ascii="仿宋_GB2312" w:eastAsia="仿宋_GB2312"/>
          <w:sz w:val="32"/>
          <w:szCs w:val="32"/>
        </w:rPr>
        <w:t xml:space="preserve"> </w:t>
      </w:r>
    </w:p>
    <w:p>
      <w:pPr>
        <w:pStyle w:val="25"/>
        <w:spacing w:line="560" w:lineRule="exact"/>
        <w:ind w:firstLine="640" w:firstLineChars="200"/>
        <w:rPr>
          <w:rFonts w:hint="eastAsia" w:ascii="仿宋_GB2312" w:eastAsia="仿宋_GB2312"/>
          <w:sz w:val="32"/>
          <w:szCs w:val="32"/>
        </w:rPr>
      </w:pPr>
      <w:r>
        <w:rPr>
          <w:rFonts w:ascii="仿宋_GB2312" w:eastAsia="仿宋_GB2312"/>
          <w:sz w:val="32"/>
          <w:szCs w:val="32"/>
        </w:rPr>
        <w:t>5.</w:t>
      </w:r>
      <w:r>
        <w:rPr>
          <w:rFonts w:hint="eastAsia" w:ascii="仿宋_GB2312" w:eastAsia="仿宋_GB2312"/>
          <w:sz w:val="32"/>
          <w:szCs w:val="32"/>
        </w:rPr>
        <w:t>用事业基金弥补收支差额：指事业单位在当年的财政拨款收入、事业收入、经营收入、其他收入不足以安排当年支出的情况下，使用以前年度积累的事业基金（事业单位当年收支相抵后按国家规定提取、用于弥补以后年度收支差额的基金）弥补本年度收支缺口的资金。</w:t>
      </w:r>
      <w:r>
        <w:rPr>
          <w:rFonts w:ascii="仿宋_GB2312" w:eastAsia="仿宋_GB2312"/>
          <w:sz w:val="32"/>
          <w:szCs w:val="32"/>
        </w:rPr>
        <w:t xml:space="preserve"> </w:t>
      </w:r>
    </w:p>
    <w:p>
      <w:pPr>
        <w:pStyle w:val="25"/>
        <w:spacing w:line="560" w:lineRule="exact"/>
        <w:ind w:firstLine="640" w:firstLineChars="200"/>
        <w:rPr>
          <w:rFonts w:hint="eastAsia" w:ascii="仿宋_GB2312" w:eastAsia="仿宋_GB2312"/>
          <w:sz w:val="32"/>
          <w:szCs w:val="32"/>
        </w:rPr>
      </w:pPr>
      <w:r>
        <w:rPr>
          <w:rFonts w:ascii="仿宋_GB2312" w:eastAsia="仿宋_GB2312"/>
          <w:sz w:val="32"/>
          <w:szCs w:val="32"/>
        </w:rPr>
        <w:t>6.</w:t>
      </w:r>
      <w:r>
        <w:rPr>
          <w:rFonts w:hint="eastAsia" w:ascii="仿宋_GB2312" w:eastAsia="仿宋_GB2312"/>
          <w:sz w:val="32"/>
          <w:szCs w:val="32"/>
        </w:rPr>
        <w:t>年初结转和结余：指以前年度尚未完成、结转到本年按有关规定继续使用的资金。</w:t>
      </w:r>
      <w:r>
        <w:rPr>
          <w:rFonts w:ascii="仿宋_GB2312" w:eastAsia="仿宋_GB2312"/>
          <w:sz w:val="32"/>
          <w:szCs w:val="32"/>
        </w:rPr>
        <w:t xml:space="preserve"> </w:t>
      </w:r>
    </w:p>
    <w:p>
      <w:pPr>
        <w:pStyle w:val="25"/>
        <w:spacing w:line="560" w:lineRule="exact"/>
        <w:ind w:firstLine="640" w:firstLineChars="200"/>
        <w:rPr>
          <w:rFonts w:hint="eastAsia" w:ascii="仿宋_GB2312" w:eastAsia="仿宋_GB2312"/>
          <w:sz w:val="32"/>
          <w:szCs w:val="32"/>
        </w:rPr>
      </w:pPr>
      <w:r>
        <w:rPr>
          <w:rFonts w:ascii="仿宋_GB2312" w:eastAsia="仿宋_GB2312"/>
          <w:sz w:val="32"/>
          <w:szCs w:val="32"/>
        </w:rPr>
        <w:t>7.</w:t>
      </w:r>
      <w:r>
        <w:rPr>
          <w:rFonts w:hint="eastAsia" w:ascii="仿宋_GB2312" w:eastAsia="仿宋_GB2312"/>
          <w:sz w:val="32"/>
          <w:szCs w:val="32"/>
        </w:rPr>
        <w:t>结余分配：指事业单位按照事业单位会计制度的规定从非财政补助结余中分配的事业基金和职工福利基金等。</w:t>
      </w:r>
    </w:p>
    <w:p>
      <w:pPr>
        <w:pStyle w:val="25"/>
        <w:spacing w:line="560" w:lineRule="exact"/>
        <w:ind w:firstLine="640" w:firstLineChars="200"/>
        <w:rPr>
          <w:rFonts w:hint="eastAsia" w:ascii="仿宋_GB2312" w:eastAsia="仿宋_GB2312"/>
          <w:sz w:val="32"/>
          <w:szCs w:val="32"/>
        </w:rPr>
      </w:pPr>
      <w:r>
        <w:rPr>
          <w:rFonts w:ascii="仿宋_GB2312" w:eastAsia="仿宋_GB2312"/>
          <w:sz w:val="32"/>
          <w:szCs w:val="32"/>
        </w:rPr>
        <w:t>8</w:t>
      </w:r>
      <w:r>
        <w:rPr>
          <w:rFonts w:hint="eastAsia" w:ascii="仿宋_GB2312" w:eastAsia="仿宋_GB2312"/>
          <w:sz w:val="32"/>
          <w:szCs w:val="32"/>
        </w:rPr>
        <w:t>、年末结转和结余：指单位按有关规定结转到下年或以后年度继续使用的资金。</w:t>
      </w:r>
    </w:p>
    <w:p>
      <w:pPr>
        <w:ind w:firstLine="640" w:firstLineChars="200"/>
        <w:rPr>
          <w:rFonts w:ascii="仿宋_GB2312" w:eastAsia="仿宋_GB2312"/>
          <w:color w:val="000000"/>
          <w:sz w:val="32"/>
          <w:szCs w:val="32"/>
        </w:rPr>
      </w:pPr>
      <w:r>
        <w:rPr>
          <w:rFonts w:ascii="仿宋_GB2312" w:eastAsia="仿宋_GB2312"/>
          <w:color w:val="000000"/>
          <w:sz w:val="32"/>
          <w:szCs w:val="32"/>
        </w:rPr>
        <w:t>9.</w:t>
      </w:r>
      <w:r>
        <w:rPr>
          <w:rFonts w:hint="eastAsia" w:ascii="仿宋_GB2312" w:eastAsia="仿宋_GB2312"/>
          <w:color w:val="000000"/>
          <w:sz w:val="32"/>
          <w:szCs w:val="32"/>
        </w:rPr>
        <w:t>一般公共服务（类）…（款）…（项）：指……。</w:t>
      </w:r>
    </w:p>
    <w:p>
      <w:pPr>
        <w:ind w:firstLine="640" w:firstLineChars="200"/>
        <w:rPr>
          <w:rFonts w:ascii="仿宋_GB2312" w:eastAsia="仿宋_GB2312"/>
          <w:color w:val="000000"/>
          <w:sz w:val="32"/>
          <w:szCs w:val="32"/>
        </w:rPr>
      </w:pPr>
      <w:r>
        <w:rPr>
          <w:rFonts w:ascii="仿宋_GB2312" w:eastAsia="仿宋_GB2312"/>
          <w:color w:val="000000"/>
          <w:sz w:val="32"/>
          <w:szCs w:val="32"/>
        </w:rPr>
        <w:t>10.</w:t>
      </w:r>
      <w:r>
        <w:rPr>
          <w:rFonts w:hint="eastAsia" w:ascii="仿宋_GB2312" w:eastAsia="仿宋_GB2312"/>
          <w:color w:val="000000"/>
          <w:sz w:val="32"/>
          <w:szCs w:val="32"/>
        </w:rPr>
        <w:t>外交（类）…（款）…（项）：指……。</w:t>
      </w:r>
    </w:p>
    <w:p>
      <w:pPr>
        <w:ind w:firstLine="640" w:firstLineChars="200"/>
        <w:rPr>
          <w:rFonts w:ascii="仿宋_GB2312" w:eastAsia="仿宋_GB2312"/>
          <w:color w:val="000000"/>
          <w:sz w:val="32"/>
          <w:szCs w:val="32"/>
        </w:rPr>
      </w:pPr>
      <w:r>
        <w:rPr>
          <w:rFonts w:ascii="仿宋_GB2312" w:eastAsia="仿宋_GB2312"/>
          <w:color w:val="000000"/>
          <w:sz w:val="32"/>
          <w:szCs w:val="32"/>
        </w:rPr>
        <w:t>11.</w:t>
      </w:r>
      <w:r>
        <w:rPr>
          <w:rFonts w:hint="eastAsia" w:ascii="仿宋_GB2312" w:eastAsia="仿宋_GB2312"/>
          <w:color w:val="000000"/>
          <w:sz w:val="32"/>
          <w:szCs w:val="32"/>
        </w:rPr>
        <w:t>公共安全（类）…（款）…（项）：指……。</w:t>
      </w:r>
    </w:p>
    <w:p>
      <w:pPr>
        <w:ind w:firstLine="640" w:firstLineChars="200"/>
        <w:rPr>
          <w:rFonts w:ascii="仿宋_GB2312" w:eastAsia="仿宋_GB2312"/>
          <w:color w:val="000000"/>
          <w:sz w:val="32"/>
          <w:szCs w:val="32"/>
        </w:rPr>
      </w:pPr>
      <w:r>
        <w:rPr>
          <w:rFonts w:ascii="仿宋_GB2312" w:eastAsia="仿宋_GB2312"/>
          <w:color w:val="000000"/>
          <w:sz w:val="32"/>
          <w:szCs w:val="32"/>
        </w:rPr>
        <w:t>12.</w:t>
      </w:r>
      <w:r>
        <w:rPr>
          <w:rFonts w:hint="eastAsia" w:ascii="仿宋_GB2312" w:eastAsia="仿宋_GB2312"/>
          <w:color w:val="000000"/>
          <w:sz w:val="32"/>
          <w:szCs w:val="32"/>
        </w:rPr>
        <w:t>教育（类）…（款）…（项）：指……。</w:t>
      </w:r>
    </w:p>
    <w:p>
      <w:pPr>
        <w:ind w:firstLine="640" w:firstLineChars="200"/>
        <w:rPr>
          <w:rFonts w:ascii="仿宋_GB2312" w:eastAsia="仿宋_GB2312"/>
          <w:color w:val="000000"/>
          <w:sz w:val="32"/>
          <w:szCs w:val="32"/>
        </w:rPr>
      </w:pPr>
      <w:r>
        <w:rPr>
          <w:rFonts w:ascii="仿宋_GB2312" w:eastAsia="仿宋_GB2312"/>
          <w:color w:val="000000"/>
          <w:sz w:val="32"/>
          <w:szCs w:val="32"/>
        </w:rPr>
        <w:t>13.</w:t>
      </w:r>
      <w:r>
        <w:rPr>
          <w:rFonts w:hint="eastAsia" w:ascii="仿宋_GB2312" w:eastAsia="仿宋_GB2312"/>
          <w:color w:val="000000"/>
          <w:sz w:val="32"/>
          <w:szCs w:val="32"/>
        </w:rPr>
        <w:t>科学技术（类）…（款）…（项）：指……。</w:t>
      </w:r>
    </w:p>
    <w:p>
      <w:pPr>
        <w:ind w:firstLine="640" w:firstLineChars="200"/>
        <w:rPr>
          <w:rFonts w:ascii="仿宋_GB2312" w:eastAsia="仿宋_GB2312"/>
          <w:color w:val="000000"/>
          <w:sz w:val="32"/>
          <w:szCs w:val="32"/>
        </w:rPr>
      </w:pPr>
      <w:r>
        <w:rPr>
          <w:rFonts w:ascii="仿宋_GB2312" w:eastAsia="仿宋_GB2312"/>
          <w:color w:val="000000"/>
          <w:sz w:val="32"/>
          <w:szCs w:val="32"/>
        </w:rPr>
        <w:t>14.</w:t>
      </w:r>
      <w:r>
        <w:rPr>
          <w:rFonts w:hint="eastAsia" w:ascii="仿宋_GB2312" w:eastAsia="仿宋_GB2312"/>
          <w:color w:val="000000"/>
          <w:sz w:val="32"/>
          <w:szCs w:val="32"/>
        </w:rPr>
        <w:t>文化体育与传媒（类）…（款）…（项）：指……。</w:t>
      </w:r>
    </w:p>
    <w:p>
      <w:pPr>
        <w:ind w:firstLine="640" w:firstLineChars="200"/>
        <w:rPr>
          <w:rFonts w:ascii="仿宋_GB2312" w:eastAsia="仿宋_GB2312"/>
          <w:color w:val="000000"/>
          <w:sz w:val="32"/>
          <w:szCs w:val="32"/>
        </w:rPr>
      </w:pPr>
      <w:r>
        <w:rPr>
          <w:rFonts w:ascii="仿宋_GB2312" w:eastAsia="仿宋_GB2312"/>
          <w:color w:val="000000"/>
          <w:sz w:val="32"/>
          <w:szCs w:val="32"/>
        </w:rPr>
        <w:t>15.</w:t>
      </w:r>
      <w:r>
        <w:rPr>
          <w:rFonts w:hint="eastAsia" w:ascii="仿宋_GB2312" w:eastAsia="仿宋_GB2312"/>
          <w:color w:val="000000"/>
          <w:sz w:val="32"/>
          <w:szCs w:val="32"/>
        </w:rPr>
        <w:t>社会保障和就业（类）…（款）…（项）：指……。</w:t>
      </w:r>
    </w:p>
    <w:p>
      <w:pPr>
        <w:ind w:firstLine="640" w:firstLineChars="200"/>
        <w:rPr>
          <w:rFonts w:ascii="仿宋_GB2312" w:eastAsia="仿宋_GB2312"/>
          <w:color w:val="000000"/>
          <w:sz w:val="32"/>
          <w:szCs w:val="32"/>
        </w:rPr>
      </w:pPr>
      <w:r>
        <w:rPr>
          <w:rFonts w:ascii="仿宋_GB2312" w:eastAsia="仿宋_GB2312"/>
          <w:color w:val="000000"/>
          <w:sz w:val="32"/>
          <w:szCs w:val="32"/>
        </w:rPr>
        <w:t>16.</w:t>
      </w:r>
      <w:r>
        <w:rPr>
          <w:rFonts w:hint="eastAsia" w:ascii="仿宋_GB2312" w:eastAsia="仿宋_GB2312"/>
          <w:color w:val="000000"/>
          <w:sz w:val="32"/>
          <w:szCs w:val="32"/>
        </w:rPr>
        <w:t>医疗卫生与计划生育（类）…（款）…（项）：指……。</w:t>
      </w:r>
    </w:p>
    <w:p>
      <w:pPr>
        <w:ind w:firstLine="640" w:firstLineChars="200"/>
        <w:rPr>
          <w:rFonts w:ascii="仿宋_GB2312" w:eastAsia="仿宋_GB2312"/>
          <w:color w:val="000000"/>
          <w:sz w:val="32"/>
          <w:szCs w:val="32"/>
        </w:rPr>
      </w:pPr>
      <w:r>
        <w:rPr>
          <w:rFonts w:ascii="仿宋_GB2312" w:eastAsia="仿宋_GB2312"/>
          <w:color w:val="000000"/>
          <w:sz w:val="32"/>
          <w:szCs w:val="32"/>
        </w:rPr>
        <w:t>17.</w:t>
      </w:r>
      <w:r>
        <w:rPr>
          <w:rFonts w:hint="eastAsia" w:ascii="仿宋_GB2312" w:eastAsia="仿宋_GB2312"/>
          <w:color w:val="000000"/>
          <w:sz w:val="32"/>
          <w:szCs w:val="32"/>
        </w:rPr>
        <w:t>节能环保（类）…（款）…（项）：指……。</w:t>
      </w:r>
    </w:p>
    <w:p>
      <w:pPr>
        <w:ind w:firstLine="640" w:firstLineChars="200"/>
        <w:rPr>
          <w:rFonts w:ascii="仿宋_GB2312" w:eastAsia="仿宋_GB2312"/>
          <w:color w:val="000000"/>
          <w:sz w:val="32"/>
          <w:szCs w:val="32"/>
        </w:rPr>
      </w:pPr>
      <w:r>
        <w:rPr>
          <w:rFonts w:ascii="仿宋_GB2312" w:eastAsia="仿宋_GB2312"/>
          <w:color w:val="000000"/>
          <w:sz w:val="32"/>
          <w:szCs w:val="32"/>
        </w:rPr>
        <w:t>18.</w:t>
      </w:r>
      <w:r>
        <w:rPr>
          <w:rFonts w:hint="eastAsia" w:ascii="仿宋_GB2312" w:eastAsia="仿宋_GB2312"/>
          <w:color w:val="000000"/>
          <w:sz w:val="32"/>
          <w:szCs w:val="32"/>
        </w:rPr>
        <w:t>城乡社区（类）…（款）…（项）：指……。</w:t>
      </w:r>
    </w:p>
    <w:p>
      <w:pPr>
        <w:ind w:firstLine="640" w:firstLineChars="200"/>
        <w:rPr>
          <w:rFonts w:ascii="仿宋_GB2312" w:eastAsia="仿宋_GB2312"/>
          <w:color w:val="000000"/>
          <w:sz w:val="32"/>
          <w:szCs w:val="32"/>
        </w:rPr>
      </w:pPr>
      <w:r>
        <w:rPr>
          <w:rFonts w:ascii="仿宋_GB2312" w:eastAsia="仿宋_GB2312"/>
          <w:color w:val="000000"/>
          <w:sz w:val="32"/>
          <w:szCs w:val="32"/>
        </w:rPr>
        <w:t>19.</w:t>
      </w:r>
      <w:r>
        <w:rPr>
          <w:rFonts w:hint="eastAsia" w:ascii="仿宋_GB2312" w:eastAsia="仿宋_GB2312"/>
          <w:color w:val="000000"/>
          <w:sz w:val="32"/>
          <w:szCs w:val="32"/>
        </w:rPr>
        <w:t>农林水（类）…（款）…（项）：指……。</w:t>
      </w:r>
    </w:p>
    <w:p>
      <w:pPr>
        <w:ind w:firstLine="640" w:firstLineChars="200"/>
        <w:rPr>
          <w:rFonts w:ascii="仿宋_GB2312" w:eastAsia="仿宋_GB2312"/>
          <w:color w:val="000000"/>
          <w:sz w:val="32"/>
          <w:szCs w:val="32"/>
        </w:rPr>
      </w:pPr>
      <w:r>
        <w:rPr>
          <w:rFonts w:ascii="仿宋_GB2312" w:eastAsia="仿宋_GB2312"/>
          <w:color w:val="000000"/>
          <w:sz w:val="32"/>
          <w:szCs w:val="32"/>
        </w:rPr>
        <w:t>20.</w:t>
      </w:r>
      <w:r>
        <w:rPr>
          <w:rFonts w:hint="eastAsia" w:ascii="仿宋_GB2312" w:eastAsia="仿宋_GB2312"/>
          <w:color w:val="000000"/>
          <w:sz w:val="32"/>
          <w:szCs w:val="32"/>
        </w:rPr>
        <w:t>交通运输（类）…（款）…（项）：指……。</w:t>
      </w:r>
    </w:p>
    <w:p>
      <w:pPr>
        <w:ind w:firstLine="640" w:firstLineChars="200"/>
        <w:rPr>
          <w:rFonts w:ascii="仿宋_GB2312" w:eastAsia="仿宋_GB2312"/>
          <w:color w:val="000000"/>
          <w:sz w:val="32"/>
          <w:szCs w:val="32"/>
        </w:rPr>
      </w:pPr>
      <w:r>
        <w:rPr>
          <w:rFonts w:ascii="仿宋_GB2312" w:eastAsia="仿宋_GB2312"/>
          <w:color w:val="000000"/>
          <w:sz w:val="32"/>
          <w:szCs w:val="32"/>
        </w:rPr>
        <w:t>21.</w:t>
      </w:r>
      <w:r>
        <w:rPr>
          <w:rFonts w:hint="eastAsia" w:ascii="仿宋_GB2312" w:eastAsia="仿宋_GB2312"/>
          <w:color w:val="000000"/>
          <w:sz w:val="32"/>
          <w:szCs w:val="32"/>
        </w:rPr>
        <w:t>资源勘探信息等（类）…（款）…（项）：指……。</w:t>
      </w:r>
    </w:p>
    <w:p>
      <w:pPr>
        <w:ind w:firstLine="640" w:firstLineChars="200"/>
        <w:rPr>
          <w:rFonts w:ascii="仿宋_GB2312" w:eastAsia="仿宋_GB2312"/>
          <w:color w:val="000000"/>
          <w:sz w:val="32"/>
          <w:szCs w:val="32"/>
        </w:rPr>
      </w:pPr>
      <w:r>
        <w:rPr>
          <w:rFonts w:ascii="仿宋_GB2312" w:eastAsia="仿宋_GB2312"/>
          <w:color w:val="000000"/>
          <w:sz w:val="32"/>
          <w:szCs w:val="32"/>
        </w:rPr>
        <w:t>22.</w:t>
      </w:r>
      <w:r>
        <w:rPr>
          <w:rFonts w:hint="eastAsia" w:ascii="仿宋_GB2312" w:eastAsia="仿宋_GB2312"/>
          <w:color w:val="000000"/>
          <w:sz w:val="32"/>
          <w:szCs w:val="32"/>
        </w:rPr>
        <w:t>商业服务业（类）…（款）…（项）：指……。</w:t>
      </w:r>
    </w:p>
    <w:p>
      <w:pPr>
        <w:ind w:firstLine="640" w:firstLineChars="200"/>
        <w:rPr>
          <w:rFonts w:ascii="仿宋_GB2312" w:eastAsia="仿宋_GB2312"/>
          <w:color w:val="000000"/>
          <w:sz w:val="32"/>
          <w:szCs w:val="32"/>
        </w:rPr>
      </w:pPr>
      <w:r>
        <w:rPr>
          <w:rFonts w:ascii="仿宋_GB2312" w:eastAsia="仿宋_GB2312"/>
          <w:color w:val="000000"/>
          <w:sz w:val="32"/>
          <w:szCs w:val="32"/>
        </w:rPr>
        <w:t>23.</w:t>
      </w:r>
      <w:r>
        <w:rPr>
          <w:rFonts w:hint="eastAsia" w:ascii="仿宋_GB2312" w:eastAsia="仿宋_GB2312"/>
          <w:color w:val="000000"/>
          <w:sz w:val="32"/>
          <w:szCs w:val="32"/>
        </w:rPr>
        <w:t>金融（类）…（款）…（项）：指……。</w:t>
      </w:r>
    </w:p>
    <w:p>
      <w:pPr>
        <w:ind w:firstLine="640" w:firstLineChars="200"/>
        <w:rPr>
          <w:rFonts w:ascii="仿宋_GB2312" w:eastAsia="仿宋_GB2312"/>
          <w:color w:val="000000"/>
          <w:sz w:val="32"/>
          <w:szCs w:val="32"/>
        </w:rPr>
      </w:pPr>
      <w:r>
        <w:rPr>
          <w:rFonts w:ascii="仿宋_GB2312" w:eastAsia="仿宋_GB2312"/>
          <w:color w:val="000000"/>
          <w:sz w:val="32"/>
          <w:szCs w:val="32"/>
        </w:rPr>
        <w:t>24.</w:t>
      </w:r>
      <w:r>
        <w:rPr>
          <w:rFonts w:hint="eastAsia" w:ascii="仿宋_GB2312" w:eastAsia="仿宋_GB2312"/>
          <w:color w:val="000000"/>
          <w:sz w:val="32"/>
          <w:szCs w:val="32"/>
        </w:rPr>
        <w:t>国土海洋气象等（类）…（款）…（项）：指……。</w:t>
      </w:r>
    </w:p>
    <w:p>
      <w:pPr>
        <w:ind w:firstLine="640" w:firstLineChars="200"/>
        <w:rPr>
          <w:rFonts w:ascii="仿宋_GB2312" w:eastAsia="仿宋_GB2312"/>
          <w:color w:val="000000"/>
          <w:sz w:val="32"/>
          <w:szCs w:val="32"/>
        </w:rPr>
      </w:pPr>
      <w:r>
        <w:rPr>
          <w:rFonts w:ascii="仿宋_GB2312" w:eastAsia="仿宋_GB2312"/>
          <w:color w:val="000000"/>
          <w:sz w:val="32"/>
          <w:szCs w:val="32"/>
        </w:rPr>
        <w:t>25.</w:t>
      </w:r>
      <w:r>
        <w:rPr>
          <w:rFonts w:hint="eastAsia" w:ascii="仿宋_GB2312" w:eastAsia="仿宋_GB2312"/>
          <w:color w:val="000000"/>
          <w:sz w:val="32"/>
          <w:szCs w:val="32"/>
        </w:rPr>
        <w:t>住房保障（类）…（款）…（项）：指……。</w:t>
      </w:r>
    </w:p>
    <w:p>
      <w:pPr>
        <w:ind w:firstLine="640" w:firstLineChars="200"/>
        <w:rPr>
          <w:rFonts w:ascii="仿宋_GB2312" w:eastAsia="仿宋_GB2312"/>
          <w:color w:val="000000"/>
          <w:sz w:val="32"/>
          <w:szCs w:val="32"/>
        </w:rPr>
      </w:pPr>
      <w:r>
        <w:rPr>
          <w:rFonts w:ascii="仿宋_GB2312" w:eastAsia="仿宋_GB2312"/>
          <w:color w:val="000000"/>
          <w:sz w:val="32"/>
          <w:szCs w:val="32"/>
        </w:rPr>
        <w:t>26.</w:t>
      </w:r>
      <w:r>
        <w:rPr>
          <w:rFonts w:hint="eastAsia" w:ascii="仿宋_GB2312" w:eastAsia="仿宋_GB2312"/>
          <w:color w:val="000000"/>
          <w:sz w:val="32"/>
          <w:szCs w:val="32"/>
        </w:rPr>
        <w:t>粮油物资储备（类）…（款）…（项）：指……。</w:t>
      </w:r>
    </w:p>
    <w:p>
      <w:pPr>
        <w:ind w:firstLine="640" w:firstLineChars="200"/>
        <w:rPr>
          <w:rFonts w:ascii="仿宋_GB2312" w:eastAsia="仿宋_GB2312"/>
          <w:color w:val="000000"/>
          <w:sz w:val="32"/>
          <w:szCs w:val="32"/>
        </w:rPr>
      </w:pPr>
      <w:r>
        <w:rPr>
          <w:rFonts w:hint="eastAsia" w:ascii="仿宋_GB2312" w:eastAsia="仿宋_GB2312"/>
          <w:color w:val="000000"/>
          <w:sz w:val="32"/>
          <w:szCs w:val="32"/>
        </w:rPr>
        <w:t>……</w:t>
      </w:r>
    </w:p>
    <w:p>
      <w:pPr>
        <w:spacing w:line="600" w:lineRule="exact"/>
        <w:ind w:firstLine="640"/>
        <w:rPr>
          <w:rFonts w:ascii="仿宋_GB2312" w:hAnsi="仿宋" w:eastAsia="仿宋_GB2312"/>
          <w:b/>
          <w:color w:val="000000"/>
          <w:sz w:val="32"/>
          <w:szCs w:val="32"/>
        </w:rPr>
      </w:pPr>
      <w:r>
        <w:rPr>
          <w:rFonts w:hint="eastAsia" w:ascii="仿宋_GB2312" w:hAnsi="仿宋" w:eastAsia="仿宋_GB2312"/>
          <w:b/>
          <w:color w:val="000000"/>
          <w:sz w:val="32"/>
          <w:szCs w:val="32"/>
        </w:rPr>
        <w:t>（解释本部门决算报表中全部功能分类科目至项级，请参照《2019年政府收支分类科目》增减内容。）</w:t>
      </w:r>
    </w:p>
    <w:p>
      <w:pPr>
        <w:ind w:firstLine="640" w:firstLineChars="200"/>
        <w:rPr>
          <w:rFonts w:ascii="仿宋_GB2312" w:eastAsia="仿宋_GB2312"/>
          <w:color w:val="000000"/>
          <w:sz w:val="32"/>
          <w:szCs w:val="32"/>
        </w:rPr>
      </w:pPr>
      <w:r>
        <w:rPr>
          <w:rFonts w:ascii="仿宋_GB2312" w:eastAsia="仿宋_GB2312"/>
          <w:color w:val="000000"/>
          <w:sz w:val="32"/>
          <w:szCs w:val="32"/>
        </w:rPr>
        <w:t>27.</w:t>
      </w:r>
      <w:r>
        <w:rPr>
          <w:rFonts w:hint="eastAsia" w:ascii="仿宋_GB2312" w:eastAsia="仿宋_GB2312"/>
          <w:color w:val="000000"/>
          <w:sz w:val="32"/>
          <w:szCs w:val="32"/>
        </w:rPr>
        <w:t>基本支出：指为保障机构正常运转、完成日常工作任务而发生的人员支出和公用支出。</w:t>
      </w:r>
    </w:p>
    <w:p>
      <w:pPr>
        <w:ind w:firstLine="640" w:firstLineChars="200"/>
        <w:rPr>
          <w:rFonts w:ascii="仿宋_GB2312" w:eastAsia="仿宋_GB2312"/>
          <w:color w:val="000000"/>
          <w:sz w:val="32"/>
          <w:szCs w:val="32"/>
        </w:rPr>
      </w:pPr>
      <w:r>
        <w:rPr>
          <w:rFonts w:ascii="仿宋_GB2312" w:eastAsia="仿宋_GB2312"/>
          <w:color w:val="000000"/>
          <w:sz w:val="32"/>
          <w:szCs w:val="32"/>
        </w:rPr>
        <w:t>28.</w:t>
      </w:r>
      <w:r>
        <w:rPr>
          <w:rFonts w:hint="eastAsia" w:ascii="仿宋_GB2312" w:eastAsia="仿宋_GB2312"/>
          <w:color w:val="000000"/>
          <w:sz w:val="32"/>
          <w:szCs w:val="32"/>
        </w:rPr>
        <w:t>项目支出：指在基本支出之外为完成特定行政任务和事业发展目标所发生的支出。</w:t>
      </w:r>
      <w:r>
        <w:rPr>
          <w:rFonts w:ascii="仿宋_GB2312" w:eastAsia="仿宋_GB2312"/>
          <w:color w:val="000000"/>
          <w:sz w:val="32"/>
          <w:szCs w:val="32"/>
        </w:rPr>
        <w:t xml:space="preserve"> </w:t>
      </w:r>
    </w:p>
    <w:p>
      <w:pPr>
        <w:ind w:firstLine="640" w:firstLineChars="200"/>
        <w:rPr>
          <w:rFonts w:ascii="仿宋_GB2312" w:eastAsia="仿宋_GB2312"/>
          <w:color w:val="000000"/>
          <w:sz w:val="32"/>
          <w:szCs w:val="32"/>
        </w:rPr>
      </w:pPr>
      <w:r>
        <w:rPr>
          <w:rFonts w:ascii="仿宋_GB2312" w:eastAsia="仿宋_GB2312"/>
          <w:color w:val="000000"/>
          <w:sz w:val="32"/>
          <w:szCs w:val="32"/>
        </w:rPr>
        <w:t>29.</w:t>
      </w:r>
      <w:r>
        <w:rPr>
          <w:rFonts w:hint="eastAsia" w:ascii="仿宋_GB2312" w:eastAsia="仿宋_GB2312"/>
          <w:color w:val="000000"/>
          <w:sz w:val="32"/>
          <w:szCs w:val="32"/>
        </w:rPr>
        <w:t>经营支出：指事业单位在专业业务活动及其辅助活动之外开展非独立核算经营活动发生的支出。</w:t>
      </w:r>
    </w:p>
    <w:p>
      <w:pPr>
        <w:pStyle w:val="25"/>
        <w:spacing w:line="560" w:lineRule="exact"/>
        <w:ind w:firstLine="640" w:firstLineChars="200"/>
        <w:rPr>
          <w:rFonts w:hint="eastAsia" w:ascii="仿宋_GB2312" w:eastAsia="仿宋_GB2312"/>
          <w:sz w:val="32"/>
          <w:szCs w:val="32"/>
        </w:rPr>
      </w:pPr>
      <w:r>
        <w:rPr>
          <w:rFonts w:ascii="仿宋_GB2312" w:eastAsia="仿宋_GB2312"/>
          <w:sz w:val="32"/>
          <w:szCs w:val="32"/>
        </w:rPr>
        <w:t>30.</w:t>
      </w:r>
      <w:r>
        <w:rPr>
          <w:rFonts w:hint="eastAsia" w:ascii="仿宋_GB2312" w:eastAsia="仿宋_GB2312"/>
          <w:sz w:val="32"/>
          <w:szCs w:val="32"/>
        </w:rPr>
        <w:t>“三公”经费：指部门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等支出；公务接待费反映单位按规定开支的各类公务接待（含外宾接待）支出。</w:t>
      </w:r>
    </w:p>
    <w:p>
      <w:pPr>
        <w:pStyle w:val="25"/>
        <w:spacing w:line="560" w:lineRule="exact"/>
        <w:ind w:firstLine="640" w:firstLineChars="200"/>
        <w:rPr>
          <w:rFonts w:hint="eastAsia" w:ascii="仿宋_GB2312" w:eastAsia="仿宋_GB2312"/>
          <w:sz w:val="32"/>
          <w:szCs w:val="32"/>
        </w:rPr>
      </w:pPr>
      <w:r>
        <w:rPr>
          <w:rFonts w:ascii="仿宋_GB2312" w:eastAsia="仿宋_GB2312"/>
          <w:sz w:val="32"/>
          <w:szCs w:val="32"/>
        </w:rPr>
        <w:t>31.</w:t>
      </w:r>
      <w:r>
        <w:rPr>
          <w:rFonts w:hint="eastAsia" w:ascii="仿宋_GB2312" w:eastAsia="仿宋_GB2312"/>
          <w:sz w:val="32"/>
          <w:szCs w:val="32"/>
        </w:rPr>
        <w:t>机关运行经费：为保障行政单位（含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p>
      <w:pPr>
        <w:pStyle w:val="25"/>
        <w:spacing w:line="560" w:lineRule="exact"/>
        <w:ind w:firstLine="640" w:firstLineChars="200"/>
        <w:rPr>
          <w:rFonts w:hint="eastAsia" w:ascii="仿宋_GB2312" w:eastAsia="仿宋_GB2312"/>
          <w:sz w:val="32"/>
          <w:szCs w:val="32"/>
        </w:rPr>
      </w:pPr>
      <w:r>
        <w:rPr>
          <w:rFonts w:ascii="仿宋_GB2312" w:eastAsia="仿宋_GB2312"/>
          <w:sz w:val="32"/>
          <w:szCs w:val="32"/>
        </w:rPr>
        <w:t>32.</w:t>
      </w:r>
      <w:r>
        <w:rPr>
          <w:rFonts w:hint="eastAsia" w:ascii="仿宋_GB2312" w:eastAsia="仿宋_GB2312"/>
          <w:sz w:val="32"/>
          <w:szCs w:val="32"/>
        </w:rPr>
        <w:t>……。</w:t>
      </w:r>
    </w:p>
    <w:p>
      <w:pPr>
        <w:ind w:firstLine="643" w:firstLineChars="200"/>
        <w:rPr>
          <w:rFonts w:ascii="仿宋_GB2312" w:hAnsi="仿宋" w:eastAsia="仿宋_GB2312"/>
          <w:b/>
          <w:color w:val="000000"/>
          <w:sz w:val="32"/>
          <w:szCs w:val="32"/>
        </w:rPr>
      </w:pPr>
      <w:r>
        <w:rPr>
          <w:rFonts w:hint="eastAsia" w:ascii="仿宋_GB2312" w:hAnsi="仿宋" w:eastAsia="仿宋_GB2312"/>
          <w:b/>
          <w:color w:val="000000"/>
          <w:sz w:val="32"/>
          <w:szCs w:val="32"/>
        </w:rPr>
        <w:t>（名词解释部分请根据各部门实际列支情况罗列，并根据本部门职责职能增减名词解释内容。）</w:t>
      </w:r>
    </w:p>
    <w:p>
      <w:pPr>
        <w:spacing w:line="600" w:lineRule="exact"/>
        <w:jc w:val="center"/>
        <w:outlineLvl w:val="0"/>
        <w:rPr>
          <w:rStyle w:val="27"/>
          <w:rFonts w:ascii="黑体" w:hAnsi="黑体" w:eastAsia="黑体"/>
          <w:b w:val="0"/>
        </w:rPr>
      </w:pPr>
      <w:bookmarkStart w:id="51" w:name="_Toc15377226"/>
      <w:r>
        <w:rPr>
          <w:rFonts w:hint="eastAsia" w:ascii="仿宋_GB2312" w:eastAsia="仿宋_GB2312"/>
          <w:b/>
          <w:color w:val="000000"/>
          <w:sz w:val="44"/>
          <w:szCs w:val="44"/>
        </w:rPr>
        <w:br w:type="page"/>
      </w:r>
      <w:bookmarkStart w:id="52" w:name="_Toc15396614"/>
      <w:r>
        <w:rPr>
          <w:rFonts w:hint="eastAsia" w:ascii="黑体" w:hAnsi="黑体" w:eastAsia="黑体"/>
          <w:color w:val="000000"/>
          <w:sz w:val="44"/>
          <w:szCs w:val="44"/>
        </w:rPr>
        <w:t>第</w:t>
      </w:r>
      <w:r>
        <w:rPr>
          <w:rStyle w:val="27"/>
          <w:rFonts w:hint="eastAsia" w:ascii="黑体" w:hAnsi="黑体" w:eastAsia="黑体"/>
          <w:b w:val="0"/>
        </w:rPr>
        <w:t>四部分 附件</w:t>
      </w:r>
      <w:bookmarkEnd w:id="52"/>
    </w:p>
    <w:p>
      <w:pPr>
        <w:spacing w:line="600" w:lineRule="exact"/>
        <w:jc w:val="left"/>
        <w:outlineLvl w:val="0"/>
        <w:rPr>
          <w:rFonts w:ascii="方正小标宋简体" w:hAnsi="方正小标宋简体" w:eastAsia="方正小标宋简体" w:cs="方正小标宋简体"/>
          <w:sz w:val="32"/>
          <w:szCs w:val="32"/>
        </w:rPr>
      </w:pPr>
      <w:r>
        <w:rPr>
          <w:rFonts w:hint="eastAsia" w:ascii="黑体" w:hAnsi="黑体" w:eastAsia="黑体" w:cs="黑体"/>
          <w:sz w:val="32"/>
          <w:szCs w:val="32"/>
        </w:rPr>
        <w:t>附件1</w:t>
      </w:r>
    </w:p>
    <w:p>
      <w:pPr>
        <w:widowControl/>
        <w:spacing w:line="480" w:lineRule="exact"/>
        <w:jc w:val="center"/>
        <w:rPr>
          <w:rFonts w:ascii="方正小标宋简体" w:hAnsi="宋体" w:eastAsia="方正小标宋简体"/>
          <w:sz w:val="44"/>
          <w:szCs w:val="44"/>
        </w:rPr>
      </w:pPr>
      <w:r>
        <w:rPr>
          <w:rFonts w:hint="eastAsia" w:ascii="方正小标宋简体" w:hAnsi="宋体" w:eastAsia="方正小标宋简体"/>
          <w:sz w:val="44"/>
          <w:szCs w:val="44"/>
        </w:rPr>
        <w:t>松潘县供销社</w:t>
      </w:r>
    </w:p>
    <w:p>
      <w:pPr>
        <w:widowControl/>
        <w:spacing w:line="480" w:lineRule="exact"/>
        <w:jc w:val="center"/>
        <w:rPr>
          <w:rFonts w:ascii="方正小标宋简体" w:hAnsi="宋体" w:eastAsia="方正小标宋简体"/>
          <w:sz w:val="44"/>
          <w:szCs w:val="44"/>
        </w:rPr>
      </w:pPr>
      <w:r>
        <w:rPr>
          <w:rFonts w:hint="eastAsia" w:ascii="方正小标宋简体" w:hAnsi="宋体" w:eastAsia="方正小标宋简体"/>
          <w:sz w:val="44"/>
          <w:szCs w:val="44"/>
        </w:rPr>
        <w:t>2020年部门整体支出绩效报告</w:t>
      </w:r>
    </w:p>
    <w:p>
      <w:pPr>
        <w:spacing w:line="400" w:lineRule="exact"/>
        <w:jc w:val="center"/>
        <w:rPr>
          <w:rFonts w:ascii="方正小标宋简体" w:hAnsi="宋体" w:eastAsia="方正小标宋简体"/>
          <w:sz w:val="44"/>
          <w:szCs w:val="44"/>
        </w:rPr>
      </w:pPr>
    </w:p>
    <w:p>
      <w:pPr>
        <w:adjustRightInd w:val="0"/>
        <w:snapToGrid w:val="0"/>
        <w:spacing w:line="560" w:lineRule="atLeast"/>
        <w:ind w:firstLine="720"/>
        <w:jc w:val="left"/>
        <w:rPr>
          <w:rFonts w:ascii="方正小标宋简体" w:hAnsi="宋体" w:eastAsia="方正小标宋简体" w:cs="宋体"/>
          <w:color w:val="000000"/>
          <w:kern w:val="0"/>
          <w:sz w:val="32"/>
          <w:szCs w:val="32"/>
          <w:lang w:val="zh-CN"/>
        </w:rPr>
      </w:pPr>
      <w:r>
        <w:rPr>
          <w:rFonts w:hint="eastAsia" w:ascii="方正小标宋简体" w:hAnsi="宋体" w:eastAsia="方正小标宋简体" w:cs="宋体"/>
          <w:color w:val="000000"/>
          <w:kern w:val="0"/>
          <w:sz w:val="32"/>
          <w:szCs w:val="32"/>
        </w:rPr>
        <w:t>一、</w:t>
      </w:r>
      <w:r>
        <w:rPr>
          <w:rFonts w:hint="eastAsia" w:ascii="方正小标宋简体" w:hAnsi="宋体" w:eastAsia="方正小标宋简体" w:cs="宋体"/>
          <w:color w:val="000000"/>
          <w:kern w:val="0"/>
          <w:sz w:val="32"/>
          <w:szCs w:val="32"/>
          <w:lang w:val="zh-CN"/>
        </w:rPr>
        <w:t>部门（单位）概况</w:t>
      </w:r>
    </w:p>
    <w:p>
      <w:pPr>
        <w:snapToGrid w:val="0"/>
        <w:spacing w:line="560" w:lineRule="atLeast"/>
        <w:ind w:firstLine="472" w:firstLineChars="147"/>
        <w:rPr>
          <w:rFonts w:ascii="仿宋_GB2312" w:hAnsi="宋体" w:cs="宋体"/>
          <w:b/>
          <w:color w:val="000000"/>
          <w:kern w:val="0"/>
          <w:sz w:val="32"/>
          <w:szCs w:val="32"/>
          <w:lang w:val="zh-CN"/>
        </w:rPr>
      </w:pPr>
      <w:r>
        <w:rPr>
          <w:rFonts w:hint="eastAsia" w:ascii="仿宋_GB2312" w:hAnsi="宋体" w:cs="宋体"/>
          <w:b/>
          <w:color w:val="000000"/>
          <w:kern w:val="0"/>
          <w:sz w:val="32"/>
          <w:szCs w:val="32"/>
          <w:lang w:val="zh-CN"/>
        </w:rPr>
        <w:t>（一）机构组成:</w:t>
      </w:r>
    </w:p>
    <w:p>
      <w:pPr>
        <w:snapToGrid w:val="0"/>
        <w:spacing w:line="560" w:lineRule="atLeast"/>
        <w:ind w:firstLine="640" w:firstLineChars="200"/>
        <w:rPr>
          <w:rFonts w:ascii="仿宋_GB2312" w:hAnsi="仿宋" w:eastAsia="仿宋_GB2312"/>
          <w:sz w:val="32"/>
          <w:szCs w:val="32"/>
        </w:rPr>
      </w:pPr>
      <w:r>
        <w:rPr>
          <w:rFonts w:hint="eastAsia" w:ascii="仿宋_GB2312" w:hAnsi="宋体" w:eastAsia="仿宋_GB2312" w:cs="宋体"/>
          <w:color w:val="000000"/>
          <w:kern w:val="0"/>
          <w:sz w:val="32"/>
          <w:szCs w:val="32"/>
        </w:rPr>
        <w:t>松潘县供销社属一级预算单位，属参照公务员管理事业单位。独立编制机构数1个，独立核算机构数1个。</w:t>
      </w:r>
    </w:p>
    <w:p>
      <w:pPr>
        <w:pStyle w:val="35"/>
        <w:widowControl w:val="0"/>
        <w:shd w:val="clear" w:color="auto" w:fill="FCFCFC"/>
        <w:spacing w:before="0" w:beforeAutospacing="0" w:after="0" w:afterAutospacing="0" w:line="580" w:lineRule="exact"/>
        <w:ind w:firstLine="630" w:firstLineChars="196"/>
        <w:rPr>
          <w:rFonts w:ascii="仿宋_GB2312"/>
          <w:b/>
          <w:color w:val="000000"/>
          <w:sz w:val="32"/>
          <w:szCs w:val="32"/>
          <w:lang w:val="zh-CN"/>
        </w:rPr>
      </w:pPr>
      <w:r>
        <w:rPr>
          <w:rFonts w:hint="eastAsia" w:ascii="仿宋_GB2312"/>
          <w:b/>
          <w:color w:val="000000"/>
          <w:sz w:val="32"/>
          <w:szCs w:val="32"/>
          <w:lang w:val="zh-CN"/>
        </w:rPr>
        <w:t>（二）机构职能:</w:t>
      </w:r>
    </w:p>
    <w:p>
      <w:pPr>
        <w:widowControl/>
        <w:shd w:val="clear" w:color="auto" w:fill="FBFBFB"/>
        <w:spacing w:line="580" w:lineRule="exact"/>
        <w:ind w:firstLine="707" w:firstLineChars="221"/>
        <w:jc w:val="left"/>
        <w:rPr>
          <w:rFonts w:ascii="楷体_GB2312" w:eastAsia="楷体_GB2312" w:cs="仿宋_GB2312"/>
          <w:color w:val="000000"/>
          <w:sz w:val="32"/>
          <w:szCs w:val="32"/>
          <w:shd w:val="clear" w:color="auto" w:fill="FBFBFB"/>
        </w:rPr>
      </w:pPr>
      <w:r>
        <w:rPr>
          <w:rFonts w:hint="eastAsia" w:ascii="楷体_GB2312" w:eastAsia="楷体_GB2312" w:cs="仿宋_GB2312"/>
          <w:color w:val="000000"/>
          <w:sz w:val="32"/>
          <w:szCs w:val="32"/>
          <w:shd w:val="clear" w:color="auto" w:fill="FBFBFB"/>
        </w:rPr>
        <w:t>主要职能、职责:</w:t>
      </w:r>
    </w:p>
    <w:p>
      <w:pPr>
        <w:widowControl/>
        <w:shd w:val="clear" w:color="auto" w:fill="FBFBFB"/>
        <w:spacing w:line="580" w:lineRule="exact"/>
        <w:ind w:firstLine="707" w:firstLineChars="221"/>
        <w:jc w:val="left"/>
        <w:rPr>
          <w:rFonts w:ascii="仿宋_GB2312" w:eastAsia="仿宋_GB2312" w:cs="仿宋_GB2312"/>
          <w:color w:val="000000"/>
          <w:sz w:val="32"/>
          <w:szCs w:val="32"/>
          <w:shd w:val="clear" w:color="auto" w:fill="FBFBFB"/>
        </w:rPr>
      </w:pPr>
      <w:r>
        <w:rPr>
          <w:rFonts w:hint="eastAsia" w:ascii="仿宋_GB2312" w:eastAsia="仿宋_GB2312" w:cs="仿宋_GB2312"/>
          <w:color w:val="000000"/>
          <w:sz w:val="32"/>
          <w:szCs w:val="32"/>
          <w:shd w:val="clear" w:color="auto" w:fill="FBFBFB"/>
        </w:rPr>
        <w:t>主要承担政府部门委托的组织、协调、扶持职能，协助政府部门开展行业管理，开展科技服务，提供信息和科研成果，普及农村合作经济组织知识，促进合作经济发展，推进农村合作经济组织的规范化、科学化、标准化、产业化建设。</w:t>
      </w:r>
    </w:p>
    <w:p>
      <w:pPr>
        <w:pStyle w:val="6"/>
        <w:spacing w:after="0" w:line="580" w:lineRule="exact"/>
        <w:ind w:left="0" w:leftChars="0"/>
        <w:jc w:val="left"/>
        <w:rPr>
          <w:rFonts w:ascii="仿宋_GB2312" w:hAnsi="宋体" w:eastAsia="仿宋_GB2312"/>
          <w:sz w:val="32"/>
          <w:szCs w:val="32"/>
        </w:rPr>
      </w:pPr>
      <w:r>
        <w:rPr>
          <w:rFonts w:hint="eastAsia" w:ascii="仿宋_GB2312" w:hAnsi="宋体" w:eastAsia="仿宋_GB2312"/>
          <w:sz w:val="32"/>
          <w:szCs w:val="32"/>
        </w:rPr>
        <w:t>根据上述职责，松潘县供销社核定事业编制4名，领导职数3人。下设1个内设机构：综合股，其职责是：承担处理供销社日常事务。拟定全县农村合作经济组织中长期发展规划及年度计划，起草综合性文稿；负责文电收发及机要、保密、党建、社会治安综合治理、信息等工作；负责机构编制、干部人事、劳动工资、计划生育、离退休人员的管理服务工作；负责国家法律法规和方针政策的学习宣传、贯彻实施；负责机关安全保卫、财务、车辆、公产管理、接待等后勤保障工作。</w:t>
      </w:r>
    </w:p>
    <w:p>
      <w:pPr>
        <w:tabs>
          <w:tab w:val="left" w:pos="750"/>
        </w:tabs>
        <w:spacing w:line="580" w:lineRule="exact"/>
        <w:ind w:firstLine="567"/>
        <w:rPr>
          <w:rFonts w:ascii="仿宋_GB2312" w:hAnsi="宋体" w:cs="宋体"/>
          <w:b/>
          <w:color w:val="000000"/>
          <w:kern w:val="0"/>
          <w:sz w:val="32"/>
          <w:szCs w:val="32"/>
          <w:lang w:val="zh-CN"/>
        </w:rPr>
      </w:pPr>
      <w:r>
        <w:rPr>
          <w:rFonts w:hint="eastAsia" w:ascii="仿宋_GB2312" w:hAnsi="宋体" w:cs="宋体"/>
          <w:b/>
          <w:color w:val="000000"/>
          <w:kern w:val="0"/>
          <w:sz w:val="32"/>
          <w:szCs w:val="32"/>
          <w:lang w:val="zh-CN"/>
        </w:rPr>
        <w:t>（三）人员概况:</w:t>
      </w:r>
    </w:p>
    <w:p>
      <w:pPr>
        <w:tabs>
          <w:tab w:val="left" w:pos="750"/>
        </w:tabs>
        <w:spacing w:line="580" w:lineRule="exact"/>
        <w:ind w:firstLine="726" w:firstLineChars="227"/>
        <w:rPr>
          <w:rFonts w:ascii="仿宋_GB2312" w:hAnsi="仿宋_GB2312" w:eastAsia="仿宋_GB2312" w:cs="仿宋_GB2312"/>
          <w:sz w:val="32"/>
          <w:szCs w:val="32"/>
        </w:rPr>
      </w:pPr>
      <w:r>
        <w:rPr>
          <w:rFonts w:hint="eastAsia" w:ascii="仿宋_GB2312" w:hAnsi="仿宋_GB2312" w:eastAsia="仿宋_GB2312" w:cs="仿宋_GB2312"/>
          <w:color w:val="000000"/>
          <w:kern w:val="0"/>
          <w:sz w:val="32"/>
          <w:szCs w:val="32"/>
        </w:rPr>
        <w:t>供销社现有编制4名，参照公务员法管理的在编事业人员4人，退休人员13人。</w:t>
      </w:r>
    </w:p>
    <w:p>
      <w:pPr>
        <w:snapToGrid w:val="0"/>
        <w:spacing w:line="560" w:lineRule="atLeast"/>
        <w:ind w:firstLine="800" w:firstLineChars="250"/>
        <w:rPr>
          <w:rFonts w:ascii="方正小标宋简体" w:hAnsi="宋体" w:eastAsia="方正小标宋简体" w:cs="宋体"/>
          <w:color w:val="000000"/>
          <w:kern w:val="0"/>
          <w:sz w:val="32"/>
          <w:szCs w:val="32"/>
        </w:rPr>
      </w:pPr>
      <w:r>
        <w:rPr>
          <w:rFonts w:hint="eastAsia" w:ascii="方正小标宋简体" w:hAnsi="宋体" w:eastAsia="方正小标宋简体" w:cs="宋体"/>
          <w:color w:val="000000"/>
          <w:kern w:val="0"/>
          <w:sz w:val="32"/>
          <w:szCs w:val="32"/>
        </w:rPr>
        <w:t>二、部门财政资金收支情况</w:t>
      </w:r>
    </w:p>
    <w:p>
      <w:pPr>
        <w:adjustRightInd w:val="0"/>
        <w:snapToGrid w:val="0"/>
        <w:spacing w:line="560" w:lineRule="atLeast"/>
        <w:ind w:firstLine="630" w:firstLineChars="196"/>
        <w:jc w:val="left"/>
        <w:rPr>
          <w:rFonts w:ascii="仿宋_GB2312" w:hAnsi="宋体" w:cs="宋体"/>
          <w:b/>
          <w:color w:val="000000"/>
          <w:kern w:val="0"/>
          <w:sz w:val="32"/>
          <w:szCs w:val="32"/>
          <w:lang w:val="zh-CN"/>
        </w:rPr>
      </w:pPr>
      <w:r>
        <w:rPr>
          <w:rFonts w:hint="eastAsia" w:ascii="仿宋_GB2312" w:hAnsi="宋体" w:cs="宋体"/>
          <w:b/>
          <w:color w:val="000000"/>
          <w:kern w:val="0"/>
          <w:sz w:val="32"/>
          <w:szCs w:val="32"/>
          <w:lang w:val="zh-CN"/>
        </w:rPr>
        <w:t>（一）部门财政资金收入情况:</w:t>
      </w:r>
    </w:p>
    <w:p>
      <w:pPr>
        <w:spacing w:line="580" w:lineRule="exact"/>
        <w:ind w:firstLine="640" w:firstLineChars="200"/>
        <w:rPr>
          <w:rFonts w:ascii="仿宋_GB2312" w:eastAsia="仿宋_GB2312"/>
          <w:sz w:val="32"/>
          <w:szCs w:val="32"/>
        </w:rPr>
      </w:pPr>
      <w:r>
        <w:rPr>
          <w:rFonts w:hint="eastAsia" w:ascii="仿宋_GB2312" w:hAnsi="仿宋_GB2312" w:eastAsia="仿宋_GB2312" w:cs="仿宋_GB2312"/>
          <w:sz w:val="32"/>
          <w:szCs w:val="32"/>
        </w:rPr>
        <w:t>2020年一般公共预算收入总数114.82万元，无基金预算。较2019年一般公共预算收入总数130.46万元，减少15.64万元，减11.99%。2021年实际收到一般公共预算收入总数123.32万元，无基金预算</w:t>
      </w:r>
      <w:r>
        <w:rPr>
          <w:rFonts w:hint="eastAsia" w:ascii="仿宋_GB2312" w:hAnsi="仿宋" w:eastAsia="仿宋_GB2312"/>
          <w:sz w:val="32"/>
          <w:szCs w:val="32"/>
        </w:rPr>
        <w:t>。</w:t>
      </w:r>
    </w:p>
    <w:p>
      <w:pPr>
        <w:adjustRightInd w:val="0"/>
        <w:snapToGrid w:val="0"/>
        <w:spacing w:line="560" w:lineRule="atLeast"/>
        <w:ind w:firstLine="630" w:firstLineChars="196"/>
        <w:jc w:val="left"/>
        <w:rPr>
          <w:rFonts w:ascii="仿宋_GB2312" w:hAnsi="宋体" w:cs="宋体"/>
          <w:b/>
          <w:color w:val="000000"/>
          <w:kern w:val="0"/>
          <w:sz w:val="32"/>
          <w:szCs w:val="32"/>
          <w:lang w:val="zh-CN"/>
        </w:rPr>
      </w:pPr>
      <w:r>
        <w:rPr>
          <w:rFonts w:hint="eastAsia" w:ascii="仿宋_GB2312" w:hAnsi="宋体" w:cs="宋体"/>
          <w:b/>
          <w:color w:val="000000"/>
          <w:kern w:val="0"/>
          <w:sz w:val="32"/>
          <w:szCs w:val="32"/>
          <w:lang w:val="zh-CN"/>
        </w:rPr>
        <w:t>（二）部门财政资金支出情况。</w:t>
      </w:r>
    </w:p>
    <w:p>
      <w:pPr>
        <w:pStyle w:val="36"/>
        <w:spacing w:before="0" w:after="0" w:line="580" w:lineRule="exact"/>
        <w:ind w:firstLine="640" w:firstLineChars="200"/>
        <w:rPr>
          <w:rFonts w:ascii="仿宋_GB2312" w:hAnsi="仿宋_GB2312" w:eastAsia="仿宋_GB2312" w:cs="仿宋_GB2312"/>
          <w:kern w:val="2"/>
          <w:sz w:val="32"/>
          <w:szCs w:val="32"/>
          <w:lang w:val="en-US"/>
        </w:rPr>
      </w:pPr>
      <w:r>
        <w:rPr>
          <w:rFonts w:hint="eastAsia" w:ascii="仿宋_GB2312" w:hAnsi="仿宋_GB2312" w:eastAsia="仿宋_GB2312" w:cs="仿宋_GB2312"/>
          <w:kern w:val="2"/>
          <w:sz w:val="32"/>
          <w:szCs w:val="32"/>
          <w:lang w:val="en-US"/>
        </w:rPr>
        <w:t>2020年部门预算基本支出预算总数63.08万元,较2019年部门预算基本支出预算总数64.15元减少1.07万元，减1.68%。</w:t>
      </w:r>
    </w:p>
    <w:p>
      <w:pPr>
        <w:pStyle w:val="36"/>
        <w:spacing w:before="0" w:after="0" w:line="580" w:lineRule="exact"/>
        <w:ind w:firstLine="640" w:firstLineChars="200"/>
        <w:rPr>
          <w:rFonts w:ascii="仿宋_GB2312" w:eastAsia="仿宋_GB2312"/>
          <w:sz w:val="32"/>
          <w:szCs w:val="32"/>
        </w:rPr>
      </w:pPr>
      <w:r>
        <w:rPr>
          <w:rFonts w:hint="eastAsia" w:ascii="仿宋_GB2312" w:eastAsia="仿宋_GB2312"/>
          <w:sz w:val="32"/>
          <w:szCs w:val="32"/>
        </w:rPr>
        <w:t>其中：（1）工资和福利支出57.33万元（基本工资19.34万元，津贴补贴21.16万元，奖金1.64万元，机关事业单位基本养老保险缴费6.48万元</w:t>
      </w:r>
      <w:r>
        <w:rPr>
          <w:rFonts w:hint="eastAsia" w:ascii="仿宋_GB2312" w:eastAsia="仿宋_GB2312"/>
          <w:sz w:val="32"/>
          <w:szCs w:val="32"/>
          <w:lang w:val="en-US"/>
        </w:rPr>
        <w:t>，其他社会保障缴费3.85万元，住房公积金4.86万元）；</w:t>
      </w:r>
      <w:r>
        <w:rPr>
          <w:rFonts w:hint="eastAsia" w:ascii="仿宋_GB2312" w:eastAsia="仿宋_GB2312"/>
          <w:sz w:val="32"/>
          <w:szCs w:val="32"/>
        </w:rPr>
        <w:t xml:space="preserve"> </w:t>
      </w:r>
    </w:p>
    <w:p>
      <w:pPr>
        <w:pStyle w:val="36"/>
        <w:spacing w:before="0" w:after="0" w:line="580" w:lineRule="exact"/>
        <w:ind w:firstLine="640" w:firstLineChars="200"/>
        <w:rPr>
          <w:rFonts w:ascii="仿宋_GB2312" w:eastAsia="仿宋_GB2312" w:cs="仿宋_GB2312"/>
          <w:sz w:val="32"/>
          <w:szCs w:val="32"/>
        </w:rPr>
      </w:pPr>
      <w:r>
        <w:rPr>
          <w:rFonts w:hint="eastAsia" w:ascii="仿宋_GB2312" w:eastAsia="仿宋_GB2312"/>
          <w:sz w:val="32"/>
          <w:szCs w:val="32"/>
        </w:rPr>
        <w:t>（2）</w:t>
      </w:r>
      <w:r>
        <w:rPr>
          <w:rFonts w:hint="eastAsia" w:ascii="仿宋_GB2312" w:eastAsia="仿宋_GB2312" w:cs="仿宋_GB2312"/>
          <w:sz w:val="32"/>
          <w:szCs w:val="32"/>
        </w:rPr>
        <w:t>商品和服务支出4.09万元（办公费0.97万元，电费0.11万元，水费0.01万元，邮电费0.14万元，取暖费0.07万元、差旅费1.44万元，培训费0.08万元，公务用车运行维护费0.72万元，公务接待:0.07万元;工会经费:0.41万元</w:t>
      </w:r>
      <w:r>
        <w:rPr>
          <w:rFonts w:ascii="仿宋_GB2312" w:eastAsia="仿宋_GB2312" w:cs="仿宋_GB2312"/>
          <w:sz w:val="32"/>
          <w:szCs w:val="32"/>
        </w:rPr>
        <w:t>;</w:t>
      </w:r>
      <w:r>
        <w:rPr>
          <w:rFonts w:hint="eastAsia" w:ascii="仿宋_GB2312" w:eastAsia="仿宋_GB2312" w:cs="仿宋_GB2312"/>
          <w:sz w:val="32"/>
          <w:szCs w:val="32"/>
        </w:rPr>
        <w:t>其他商品和服务支出0.07万元）。</w:t>
      </w:r>
    </w:p>
    <w:p>
      <w:pPr>
        <w:pStyle w:val="36"/>
        <w:spacing w:before="0" w:after="0" w:line="580" w:lineRule="exact"/>
        <w:ind w:firstLine="640" w:firstLineChars="200"/>
        <w:rPr>
          <w:rFonts w:ascii="仿宋_GB2312" w:eastAsia="仿宋_GB2312" w:cs="仿宋_GB2312"/>
          <w:sz w:val="32"/>
          <w:szCs w:val="32"/>
        </w:rPr>
      </w:pPr>
      <w:r>
        <w:rPr>
          <w:rFonts w:hint="eastAsia" w:ascii="仿宋_GB2312" w:eastAsia="仿宋_GB2312" w:cs="仿宋_GB2312"/>
          <w:sz w:val="32"/>
          <w:szCs w:val="32"/>
        </w:rPr>
        <w:t>（3）对个人和家庭的补助1.66万元(其中:生活补助1.62万元,其他对个人和家庭补助收入0.04万元)。</w:t>
      </w:r>
    </w:p>
    <w:p>
      <w:pPr>
        <w:pStyle w:val="36"/>
        <w:spacing w:before="0" w:after="0" w:line="580" w:lineRule="exact"/>
        <w:ind w:firstLine="480" w:firstLineChars="150"/>
        <w:rPr>
          <w:rFonts w:ascii="仿宋_GB2312" w:eastAsia="仿宋_GB2312" w:cs="仿宋_GB2312"/>
          <w:sz w:val="32"/>
          <w:szCs w:val="32"/>
        </w:rPr>
      </w:pPr>
      <w:r>
        <w:rPr>
          <w:rFonts w:hint="eastAsia" w:ascii="仿宋_GB2312" w:eastAsia="仿宋_GB2312" w:cs="仿宋_GB2312"/>
          <w:sz w:val="32"/>
          <w:szCs w:val="32"/>
        </w:rPr>
        <w:t>（4）项目支出0万元。</w:t>
      </w:r>
    </w:p>
    <w:p>
      <w:pPr>
        <w:adjustRightInd w:val="0"/>
        <w:snapToGrid w:val="0"/>
        <w:spacing w:line="560" w:lineRule="atLeast"/>
        <w:ind w:firstLine="640" w:firstLineChars="200"/>
        <w:jc w:val="left"/>
        <w:rPr>
          <w:rFonts w:ascii="方正小标宋简体" w:eastAsia="方正小标宋简体"/>
          <w:sz w:val="32"/>
          <w:szCs w:val="32"/>
        </w:rPr>
      </w:pPr>
      <w:r>
        <w:rPr>
          <w:rFonts w:hint="eastAsia" w:ascii="方正小标宋简体" w:hAnsi="宋体" w:eastAsia="方正小标宋简体" w:cs="宋体"/>
          <w:color w:val="000000"/>
          <w:kern w:val="0"/>
          <w:sz w:val="32"/>
          <w:szCs w:val="32"/>
        </w:rPr>
        <w:t>三、部门财政支出管理情况</w:t>
      </w:r>
    </w:p>
    <w:p>
      <w:pPr>
        <w:adjustRightInd w:val="0"/>
        <w:snapToGrid w:val="0"/>
        <w:spacing w:line="560" w:lineRule="atLeast"/>
        <w:ind w:firstLine="480" w:firstLineChars="150"/>
        <w:jc w:val="left"/>
        <w:rPr>
          <w:rFonts w:ascii="黑体" w:hAnsi="楷体" w:eastAsia="黑体" w:cs="宋体"/>
          <w:color w:val="000000"/>
          <w:kern w:val="0"/>
          <w:sz w:val="32"/>
          <w:szCs w:val="32"/>
          <w:lang w:val="zh-CN"/>
        </w:rPr>
      </w:pPr>
      <w:r>
        <w:rPr>
          <w:rFonts w:hint="eastAsia" w:ascii="黑体" w:hAnsi="楷体" w:eastAsia="黑体" w:cs="宋体"/>
          <w:color w:val="000000"/>
          <w:kern w:val="0"/>
          <w:sz w:val="32"/>
          <w:szCs w:val="32"/>
          <w:lang w:val="zh-CN"/>
        </w:rPr>
        <w:t>（一）预算编制情况。</w:t>
      </w:r>
    </w:p>
    <w:p>
      <w:pPr>
        <w:pStyle w:val="36"/>
        <w:spacing w:before="0" w:after="0" w:line="580" w:lineRule="exact"/>
        <w:ind w:firstLine="643" w:firstLineChars="200"/>
        <w:rPr>
          <w:rFonts w:ascii="仿宋_GB2312" w:eastAsia="仿宋_GB2312" w:cs="仿宋_GB2312"/>
          <w:b/>
          <w:sz w:val="32"/>
          <w:szCs w:val="32"/>
        </w:rPr>
      </w:pPr>
      <w:r>
        <w:rPr>
          <w:rFonts w:hint="eastAsia" w:ascii="仿宋_GB2312" w:eastAsia="仿宋_GB2312" w:cs="仿宋_GB2312"/>
          <w:b/>
          <w:sz w:val="32"/>
          <w:szCs w:val="32"/>
        </w:rPr>
        <w:t>1、预算编制质量</w:t>
      </w:r>
    </w:p>
    <w:p>
      <w:pPr>
        <w:pStyle w:val="36"/>
        <w:spacing w:before="0" w:after="0" w:line="580" w:lineRule="exact"/>
        <w:ind w:firstLine="640" w:firstLineChars="200"/>
        <w:rPr>
          <w:rFonts w:ascii="仿宋_GB2312" w:eastAsia="仿宋_GB2312" w:cs="仿宋_GB2312"/>
          <w:sz w:val="32"/>
          <w:szCs w:val="32"/>
        </w:rPr>
      </w:pPr>
      <w:r>
        <w:rPr>
          <w:rFonts w:hint="eastAsia" w:ascii="仿宋_GB2312" w:eastAsia="仿宋_GB2312" w:cs="仿宋_GB2312"/>
          <w:sz w:val="32"/>
          <w:szCs w:val="32"/>
        </w:rPr>
        <w:t>按照预算管理有关规定，目前部门预算的编制实行综合预算制度，即全部收入和支出都反映在预算中。本部门预算编制是由部门财务严格按照《预算法》的规定和财政部门预算股的要求，在即能保证本部门日常业务工作顺利开展的需要，又不浪费资金的前提下，合理编制出本部门的年度预算。</w:t>
      </w:r>
    </w:p>
    <w:p>
      <w:pPr>
        <w:pStyle w:val="36"/>
        <w:spacing w:before="0" w:after="0" w:line="580" w:lineRule="exact"/>
        <w:ind w:firstLine="643" w:firstLineChars="200"/>
        <w:rPr>
          <w:rFonts w:ascii="仿宋_GB2312" w:eastAsia="仿宋_GB2312" w:cs="仿宋_GB2312"/>
          <w:b/>
          <w:sz w:val="32"/>
          <w:szCs w:val="32"/>
        </w:rPr>
      </w:pPr>
      <w:r>
        <w:rPr>
          <w:rFonts w:hint="eastAsia" w:ascii="仿宋_GB2312" w:eastAsia="仿宋_GB2312" w:cs="仿宋_GB2312"/>
          <w:b/>
          <w:sz w:val="32"/>
          <w:szCs w:val="32"/>
        </w:rPr>
        <w:t>2、绩效目标填报</w:t>
      </w:r>
    </w:p>
    <w:p>
      <w:pPr>
        <w:pStyle w:val="36"/>
        <w:spacing w:before="0" w:after="0" w:line="580" w:lineRule="exact"/>
        <w:ind w:firstLine="640" w:firstLineChars="200"/>
        <w:rPr>
          <w:rFonts w:ascii="仿宋_GB2312" w:eastAsia="仿宋_GB2312" w:cs="仿宋_GB2312"/>
          <w:sz w:val="32"/>
          <w:szCs w:val="32"/>
        </w:rPr>
      </w:pPr>
      <w:r>
        <w:rPr>
          <w:rFonts w:hint="eastAsia" w:ascii="仿宋_GB2312" w:eastAsia="仿宋_GB2312" w:cs="仿宋_GB2312"/>
          <w:sz w:val="32"/>
          <w:szCs w:val="32"/>
        </w:rPr>
        <w:t>本部门不涉及绩效考评相关项目。</w:t>
      </w:r>
    </w:p>
    <w:p>
      <w:pPr>
        <w:pStyle w:val="36"/>
        <w:spacing w:before="0" w:after="0" w:line="580" w:lineRule="exact"/>
        <w:ind w:firstLine="643" w:firstLineChars="200"/>
        <w:rPr>
          <w:rFonts w:ascii="仿宋_GB2312" w:eastAsia="仿宋_GB2312" w:cs="仿宋_GB2312"/>
          <w:sz w:val="32"/>
          <w:szCs w:val="32"/>
        </w:rPr>
      </w:pPr>
      <w:r>
        <w:rPr>
          <w:rFonts w:hint="eastAsia" w:ascii="仿宋_GB2312" w:eastAsia="仿宋_GB2312" w:cs="仿宋_GB2312"/>
          <w:b/>
          <w:sz w:val="32"/>
          <w:szCs w:val="32"/>
        </w:rPr>
        <w:t>3、</w:t>
      </w:r>
      <w:r>
        <w:rPr>
          <w:rFonts w:hint="eastAsia" w:ascii="仿宋_GB2312" w:eastAsia="仿宋_GB2312" w:cs="仿宋_GB2312"/>
          <w:sz w:val="32"/>
          <w:szCs w:val="32"/>
        </w:rPr>
        <w:t>转移支付提前下达及专项转移支付分地区分项目编制情况</w:t>
      </w:r>
    </w:p>
    <w:p>
      <w:pPr>
        <w:pStyle w:val="36"/>
        <w:spacing w:before="0" w:after="0" w:line="580" w:lineRule="exact"/>
        <w:ind w:firstLine="640" w:firstLineChars="200"/>
        <w:rPr>
          <w:rFonts w:ascii="仿宋_GB2312" w:eastAsia="仿宋_GB2312" w:cs="仿宋_GB2312"/>
          <w:sz w:val="32"/>
          <w:szCs w:val="32"/>
        </w:rPr>
      </w:pPr>
      <w:r>
        <w:rPr>
          <w:rFonts w:hint="eastAsia" w:ascii="仿宋_GB2312" w:eastAsia="仿宋_GB2312" w:cs="仿宋_GB2312"/>
          <w:sz w:val="32"/>
          <w:szCs w:val="32"/>
        </w:rPr>
        <w:t>本部门转移支付资金为省级转移支付业务装备经费，转移支付资金本部门不参与预算编制，上级部门下达资金指标后，县财政部门按时足额将转移支付资金拨付到本部门。</w:t>
      </w:r>
    </w:p>
    <w:p>
      <w:pPr>
        <w:adjustRightInd w:val="0"/>
        <w:snapToGrid w:val="0"/>
        <w:spacing w:line="560" w:lineRule="atLeast"/>
        <w:ind w:firstLine="315" w:firstLineChars="150"/>
        <w:jc w:val="left"/>
        <w:rPr>
          <w:rFonts w:ascii="黑体" w:hAnsi="楷体" w:eastAsia="黑体" w:cs="宋体"/>
          <w:color w:val="000000"/>
          <w:kern w:val="0"/>
          <w:szCs w:val="32"/>
          <w:lang w:val="zh-CN"/>
        </w:rPr>
      </w:pPr>
      <w:r>
        <w:rPr>
          <w:rFonts w:hint="eastAsia" w:ascii="黑体" w:hAnsi="楷体" w:eastAsia="黑体" w:cs="宋体"/>
          <w:color w:val="000000"/>
          <w:kern w:val="0"/>
          <w:szCs w:val="32"/>
          <w:lang w:val="zh-CN"/>
        </w:rPr>
        <w:t>（二）执行管理情况。</w:t>
      </w:r>
    </w:p>
    <w:p>
      <w:pPr>
        <w:tabs>
          <w:tab w:val="left" w:pos="750"/>
        </w:tabs>
        <w:spacing w:line="58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从整体情况来看，我馆严格按照年初预算进行部门整体支出。在支出过程中，及时落实资金，为本单位业务工作顺利开展提供了强有力的财力</w:t>
      </w:r>
      <w:r>
        <w:rPr>
          <w:rFonts w:hint="eastAsia" w:ascii="仿宋_GB2312" w:eastAsia="仿宋_GB2312" w:cs="仿宋_GB2312"/>
          <w:sz w:val="32"/>
          <w:szCs w:val="32"/>
        </w:rPr>
        <w:t>保障。</w:t>
      </w:r>
      <w:r>
        <w:rPr>
          <w:rFonts w:hint="eastAsia" w:ascii="仿宋_GB2312" w:hAnsi="仿宋_GB2312" w:eastAsia="仿宋_GB2312" w:cs="仿宋_GB2312"/>
          <w:sz w:val="32"/>
          <w:szCs w:val="32"/>
        </w:rPr>
        <w:t>工作中能严格遵守各项规章制度，“三公经费”明显下降。实行了先有预算、后有执行、“用钱必问效、无效必问责”的新常态。</w:t>
      </w:r>
    </w:p>
    <w:p>
      <w:pPr>
        <w:snapToGrid w:val="0"/>
        <w:spacing w:line="578"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1.2020年，我单位行政运行支出数为6.17万元，比上年同期25.88万元减少19.71万元，减少76.16 %。其中2020年人员经费支出为91.03万元，同比2019年71.71万元增19.32万元，增26.94%，增加原因是工资水平增加。日常公用经费支出3.31万元，同比2019年5.3万元增加1.99万元 ，增加37.55%。</w:t>
      </w:r>
    </w:p>
    <w:p>
      <w:pPr>
        <w:snapToGrid w:val="0"/>
        <w:spacing w:line="578" w:lineRule="exact"/>
        <w:ind w:firstLine="640" w:firstLineChars="200"/>
        <w:rPr>
          <w:rFonts w:ascii="仿宋_GB2312" w:hAnsi="仿宋" w:eastAsia="仿宋_GB2312" w:cs="仿宋"/>
          <w:sz w:val="32"/>
          <w:szCs w:val="32"/>
        </w:rPr>
      </w:pPr>
      <w:r>
        <w:rPr>
          <w:rFonts w:hint="eastAsia" w:ascii="仿宋_GB2312" w:hAnsi="仿宋_GB2312" w:eastAsia="仿宋_GB2312" w:cs="仿宋_GB2312"/>
          <w:sz w:val="32"/>
          <w:szCs w:val="32"/>
        </w:rPr>
        <w:t>2020年社会保障和就业支出支出数为13.26万元,完成预算100%。行政单位医疗支出数为7.24万元，完成预算100%。住房公积金2020年决算数为7.09万元，完成预算100%。</w:t>
      </w:r>
      <w:r>
        <w:rPr>
          <w:rFonts w:hint="eastAsia" w:ascii="仿宋_GB2312" w:hAnsi="仿宋" w:eastAsia="仿宋_GB2312" w:cs="仿宋"/>
          <w:sz w:val="32"/>
          <w:szCs w:val="32"/>
        </w:rPr>
        <w:t xml:space="preserve"> </w:t>
      </w:r>
    </w:p>
    <w:p>
      <w:pPr>
        <w:widowControl/>
        <w:spacing w:line="360" w:lineRule="auto"/>
        <w:ind w:firstLine="640" w:firstLineChars="200"/>
        <w:jc w:val="left"/>
        <w:rPr>
          <w:rFonts w:ascii="仿宋_GB2312" w:hAnsi="仿宋" w:eastAsia="仿宋_GB2312"/>
          <w:sz w:val="32"/>
          <w:szCs w:val="32"/>
        </w:rPr>
      </w:pPr>
      <w:r>
        <w:rPr>
          <w:rFonts w:hint="eastAsia" w:ascii="仿宋_GB2312" w:hAnsi="仿宋" w:eastAsia="仿宋_GB2312" w:cs="仿宋"/>
          <w:sz w:val="32"/>
          <w:szCs w:val="32"/>
        </w:rPr>
        <w:t>（</w:t>
      </w:r>
      <w:r>
        <w:rPr>
          <w:rFonts w:hint="eastAsia" w:ascii="仿宋_GB2312" w:hAnsi="仿宋" w:eastAsia="仿宋_GB2312"/>
          <w:sz w:val="32"/>
          <w:szCs w:val="32"/>
        </w:rPr>
        <w:t>1）公务接待费，2020年年初预算安排公务接待费0.1万元,相较2019年有所增长,主要原因是消费水平提高，但仍然严格执行厉行节约的要求，认真贯彻落实中央八项规定及省委省政府十项规定要求，严格控制接待规模及接待标准。</w:t>
      </w:r>
    </w:p>
    <w:p>
      <w:pPr>
        <w:widowControl/>
        <w:spacing w:line="360" w:lineRule="auto"/>
        <w:ind w:firstLine="640" w:firstLineChars="200"/>
        <w:jc w:val="left"/>
        <w:rPr>
          <w:rFonts w:ascii="仿宋_GB2312" w:hAnsi="仿宋"/>
          <w:sz w:val="32"/>
          <w:szCs w:val="32"/>
        </w:rPr>
      </w:pPr>
      <w:r>
        <w:rPr>
          <w:rFonts w:hint="eastAsia" w:ascii="仿宋_GB2312" w:hAnsi="仿宋" w:eastAsia="仿宋_GB2312"/>
          <w:sz w:val="32"/>
          <w:szCs w:val="32"/>
        </w:rPr>
        <w:t>（3）公务用车购置及运行维护费，2020年公车运行维护费0.87万元，相较2019年0.72万元减少0.11万元，同比减少15.28%。</w:t>
      </w:r>
    </w:p>
    <w:p>
      <w:pPr>
        <w:adjustRightInd w:val="0"/>
        <w:snapToGrid w:val="0"/>
        <w:spacing w:line="560" w:lineRule="atLeast"/>
        <w:ind w:firstLine="480" w:firstLineChars="150"/>
        <w:jc w:val="left"/>
        <w:rPr>
          <w:rFonts w:ascii="黑体" w:hAnsi="楷体" w:eastAsia="黑体" w:cs="宋体"/>
          <w:color w:val="000000"/>
          <w:kern w:val="0"/>
          <w:sz w:val="32"/>
          <w:szCs w:val="32"/>
          <w:lang w:val="zh-CN"/>
        </w:rPr>
      </w:pPr>
      <w:r>
        <w:rPr>
          <w:rFonts w:hint="eastAsia" w:ascii="黑体" w:hAnsi="楷体" w:eastAsia="黑体" w:cs="宋体"/>
          <w:color w:val="000000"/>
          <w:kern w:val="0"/>
          <w:sz w:val="32"/>
          <w:szCs w:val="32"/>
          <w:lang w:val="zh-CN"/>
        </w:rPr>
        <w:t>（三）综合管理情况。</w:t>
      </w:r>
    </w:p>
    <w:p>
      <w:pPr>
        <w:widowControl/>
        <w:spacing w:line="360" w:lineRule="auto"/>
        <w:ind w:firstLine="640" w:firstLineChars="200"/>
        <w:jc w:val="left"/>
        <w:rPr>
          <w:rFonts w:ascii="仿宋_GB2312" w:hAnsi="仿宋" w:eastAsia="仿宋_GB2312"/>
          <w:sz w:val="32"/>
          <w:szCs w:val="32"/>
        </w:rPr>
      </w:pPr>
      <w:r>
        <w:rPr>
          <w:rFonts w:hint="eastAsia" w:ascii="仿宋_GB2312" w:hAnsi="仿宋" w:eastAsia="仿宋_GB2312"/>
          <w:sz w:val="32"/>
          <w:szCs w:val="32"/>
        </w:rPr>
        <w:t>1.我单位无政府性债务。</w:t>
      </w:r>
    </w:p>
    <w:p>
      <w:pPr>
        <w:widowControl/>
        <w:spacing w:line="360" w:lineRule="auto"/>
        <w:ind w:firstLine="640" w:firstLineChars="200"/>
        <w:jc w:val="left"/>
        <w:rPr>
          <w:rFonts w:ascii="仿宋_GB2312" w:hAnsi="仿宋" w:eastAsia="仿宋_GB2312"/>
          <w:sz w:val="32"/>
          <w:szCs w:val="32"/>
        </w:rPr>
      </w:pPr>
      <w:r>
        <w:rPr>
          <w:rFonts w:hint="eastAsia" w:ascii="仿宋_GB2312" w:hAnsi="仿宋" w:eastAsia="仿宋_GB2312"/>
          <w:sz w:val="32"/>
          <w:szCs w:val="32"/>
        </w:rPr>
        <w:t>2.非税收严格按照县财政局要求，及时上缴国库，无挪用现象。</w:t>
      </w:r>
    </w:p>
    <w:p>
      <w:pPr>
        <w:widowControl/>
        <w:spacing w:line="360" w:lineRule="auto"/>
        <w:ind w:firstLine="640" w:firstLineChars="200"/>
        <w:jc w:val="left"/>
        <w:rPr>
          <w:rFonts w:ascii="仿宋_GB2312" w:hAnsi="仿宋" w:eastAsia="仿宋_GB2312"/>
          <w:sz w:val="32"/>
          <w:szCs w:val="32"/>
        </w:rPr>
      </w:pPr>
      <w:r>
        <w:rPr>
          <w:rFonts w:hint="eastAsia" w:ascii="仿宋_GB2312" w:hAnsi="仿宋" w:eastAsia="仿宋_GB2312"/>
          <w:sz w:val="32"/>
          <w:szCs w:val="32"/>
        </w:rPr>
        <w:t>3.政府采购严格按照相关采购规定执行。</w:t>
      </w:r>
    </w:p>
    <w:p>
      <w:pPr>
        <w:widowControl/>
        <w:spacing w:line="360" w:lineRule="auto"/>
        <w:ind w:firstLine="640" w:firstLineChars="200"/>
        <w:jc w:val="left"/>
        <w:rPr>
          <w:rFonts w:ascii="仿宋_GB2312" w:hAnsi="仿宋" w:eastAsia="仿宋_GB2312"/>
          <w:sz w:val="32"/>
          <w:szCs w:val="32"/>
        </w:rPr>
      </w:pPr>
      <w:r>
        <w:rPr>
          <w:rFonts w:hint="eastAsia" w:ascii="仿宋_GB2312" w:hAnsi="仿宋" w:eastAsia="仿宋_GB2312"/>
          <w:sz w:val="32"/>
          <w:szCs w:val="32"/>
        </w:rPr>
        <w:t>4.资产管理严格按照资产管理制度执行，严格执行法律、法规和有关规章制度;与行政单位履行职能需要相适应;科学合理,充分发挥资产使用效益;勤俭节约,从严控制。</w:t>
      </w:r>
    </w:p>
    <w:p>
      <w:pPr>
        <w:widowControl/>
        <w:spacing w:line="360" w:lineRule="auto"/>
        <w:ind w:firstLine="640" w:firstLineChars="200"/>
        <w:jc w:val="left"/>
        <w:rPr>
          <w:rFonts w:ascii="仿宋_GB2312" w:hAnsi="仿宋" w:eastAsia="仿宋_GB2312"/>
          <w:sz w:val="32"/>
          <w:szCs w:val="32"/>
        </w:rPr>
      </w:pPr>
      <w:r>
        <w:rPr>
          <w:rFonts w:hint="eastAsia" w:ascii="仿宋_GB2312" w:hAnsi="仿宋" w:eastAsia="仿宋_GB2312"/>
          <w:sz w:val="32"/>
          <w:szCs w:val="32"/>
        </w:rPr>
        <w:t>5.建立单位内控制度，在单位内部控制不断完善的基础上，针对其行政事业单位内部控制的独特性开展内部控制自我评价工作，可以使单位全体人员及时发现内部控制存在的问题，并采取有效改进措施，加大内部控制执行力度，保证行政事业单位内部控制目标的实现。</w:t>
      </w:r>
    </w:p>
    <w:p>
      <w:pPr>
        <w:widowControl/>
        <w:spacing w:line="360" w:lineRule="auto"/>
        <w:ind w:firstLine="640" w:firstLineChars="200"/>
        <w:jc w:val="left"/>
        <w:rPr>
          <w:rFonts w:ascii="仿宋_GB2312" w:hAnsi="仿宋" w:eastAsia="仿宋_GB2312"/>
          <w:sz w:val="32"/>
          <w:szCs w:val="32"/>
        </w:rPr>
      </w:pPr>
      <w:r>
        <w:rPr>
          <w:rFonts w:hint="eastAsia" w:ascii="仿宋_GB2312" w:hAnsi="仿宋" w:eastAsia="仿宋_GB2312"/>
          <w:sz w:val="32"/>
          <w:szCs w:val="32"/>
        </w:rPr>
        <w:t>6.我部门将同级财政部门批复的本部门预决算报表及相关说明全部在政府门户网站公开，包括部门收支总体情况和财政拨款收支情况，公开公示了我部门“三公”经费财政拨款预决算总额和分项数额。本部门公开预决算的同时，一并公开了本部门的职责、机构设置情况、预决算收支增减变化、机关运行经费安排以及政府采购等情况的说明，并对专业性较强的名词进行解释。</w:t>
      </w:r>
    </w:p>
    <w:p>
      <w:pPr>
        <w:widowControl/>
        <w:spacing w:line="360" w:lineRule="auto"/>
        <w:ind w:firstLine="640" w:firstLineChars="200"/>
        <w:jc w:val="left"/>
        <w:rPr>
          <w:rFonts w:ascii="仿宋_GB2312" w:hAnsi="仿宋" w:eastAsia="仿宋_GB2312"/>
          <w:sz w:val="32"/>
          <w:szCs w:val="32"/>
        </w:rPr>
      </w:pPr>
      <w:r>
        <w:rPr>
          <w:rFonts w:hint="eastAsia" w:ascii="仿宋_GB2312" w:hAnsi="仿宋" w:eastAsia="仿宋_GB2312"/>
          <w:sz w:val="32"/>
          <w:szCs w:val="32"/>
        </w:rPr>
        <w:t>7.我部门财务各项工作自觉配合县财政和上级部门的监督检查，对检查中存在的问题，严肃对待，认真开展整改落实。</w:t>
      </w:r>
    </w:p>
    <w:p>
      <w:pPr>
        <w:adjustRightInd w:val="0"/>
        <w:snapToGrid w:val="0"/>
        <w:spacing w:line="560" w:lineRule="atLeast"/>
        <w:ind w:firstLine="480" w:firstLineChars="150"/>
        <w:jc w:val="left"/>
        <w:rPr>
          <w:rFonts w:hint="eastAsia" w:ascii="黑体" w:hAnsi="楷体" w:eastAsia="黑体" w:cs="宋体"/>
          <w:color w:val="000000"/>
          <w:kern w:val="0"/>
          <w:sz w:val="32"/>
          <w:szCs w:val="32"/>
          <w:lang w:val="zh-CN"/>
        </w:rPr>
      </w:pPr>
      <w:r>
        <w:rPr>
          <w:rFonts w:hint="eastAsia" w:ascii="黑体" w:hAnsi="楷体" w:eastAsia="黑体" w:cs="宋体"/>
          <w:color w:val="000000"/>
          <w:kern w:val="0"/>
          <w:sz w:val="32"/>
          <w:szCs w:val="32"/>
          <w:lang w:val="zh-CN"/>
        </w:rPr>
        <w:t>（四）整体绩效。</w:t>
      </w:r>
    </w:p>
    <w:p>
      <w:pPr>
        <w:adjustRightInd w:val="0"/>
        <w:snapToGrid w:val="0"/>
        <w:spacing w:line="560" w:lineRule="atLeast"/>
        <w:ind w:firstLine="480" w:firstLineChars="150"/>
        <w:jc w:val="left"/>
        <w:rPr>
          <w:rFonts w:ascii="黑体" w:hAnsi="楷体" w:eastAsia="黑体" w:cs="宋体"/>
          <w:color w:val="000000"/>
          <w:kern w:val="0"/>
          <w:sz w:val="32"/>
          <w:szCs w:val="32"/>
          <w:lang w:val="zh-CN"/>
        </w:rPr>
      </w:pPr>
      <w:r>
        <w:rPr>
          <w:rFonts w:hint="eastAsia" w:ascii="仿宋_GB2312" w:hAnsi="仿宋" w:eastAsia="仿宋_GB2312"/>
          <w:sz w:val="32"/>
          <w:szCs w:val="32"/>
        </w:rPr>
        <w:t>紧紧围绕县委、县政府中心工作和构建和谐社会的总体目标，按照“为人民服务”的要求，夯实基层基础，更好地为我县经济发展和社会和谐稳定提供优质、高效、便捷的服务。</w:t>
      </w:r>
    </w:p>
    <w:p>
      <w:pPr>
        <w:adjustRightInd w:val="0"/>
        <w:snapToGrid w:val="0"/>
        <w:spacing w:line="560" w:lineRule="atLeast"/>
        <w:ind w:firstLine="640" w:firstLineChars="200"/>
        <w:jc w:val="left"/>
        <w:rPr>
          <w:rFonts w:ascii="方正小标宋简体" w:hAnsi="宋体" w:eastAsia="方正小标宋简体" w:cs="宋体"/>
          <w:color w:val="000000"/>
          <w:kern w:val="0"/>
          <w:sz w:val="32"/>
          <w:szCs w:val="32"/>
        </w:rPr>
      </w:pPr>
      <w:r>
        <w:rPr>
          <w:rFonts w:hint="eastAsia" w:ascii="方正小标宋简体" w:hAnsi="宋体" w:eastAsia="方正小标宋简体" w:cs="宋体"/>
          <w:color w:val="000000"/>
          <w:kern w:val="0"/>
          <w:sz w:val="32"/>
          <w:szCs w:val="32"/>
        </w:rPr>
        <w:t>四、评价结论及建议</w:t>
      </w:r>
    </w:p>
    <w:p>
      <w:pPr>
        <w:widowControl/>
        <w:spacing w:line="360" w:lineRule="auto"/>
        <w:ind w:firstLine="480" w:firstLineChars="150"/>
        <w:jc w:val="left"/>
        <w:rPr>
          <w:rFonts w:ascii="仿宋_GB2312" w:hAnsi="仿宋"/>
          <w:sz w:val="32"/>
          <w:szCs w:val="32"/>
        </w:rPr>
      </w:pPr>
      <w:r>
        <w:rPr>
          <w:rFonts w:hint="eastAsia" w:ascii="黑体" w:hAnsi="仿宋" w:eastAsia="黑体"/>
          <w:sz w:val="32"/>
          <w:szCs w:val="32"/>
        </w:rPr>
        <w:t>（一）评价结论。</w:t>
      </w:r>
    </w:p>
    <w:p>
      <w:pPr>
        <w:widowControl/>
        <w:spacing w:line="360" w:lineRule="auto"/>
        <w:ind w:firstLine="640" w:firstLineChars="200"/>
        <w:jc w:val="left"/>
        <w:rPr>
          <w:rFonts w:ascii="仿宋_GB2312" w:hAnsi="仿宋" w:eastAsia="仿宋_GB2312"/>
          <w:sz w:val="32"/>
          <w:szCs w:val="32"/>
        </w:rPr>
      </w:pPr>
      <w:r>
        <w:rPr>
          <w:rFonts w:hint="eastAsia" w:ascii="仿宋_GB2312" w:hAnsi="仿宋" w:eastAsia="仿宋_GB2312"/>
          <w:sz w:val="32"/>
          <w:szCs w:val="32"/>
        </w:rPr>
        <w:t>规范了财政资金的管理，强化财政支出绩效理念，提升任意识，提高资金使用效益。各项工作有序开展的进度，财政资金收支情况同时也按进度执行，有个别需要进一步加大力度开展。</w:t>
      </w:r>
    </w:p>
    <w:p>
      <w:pPr>
        <w:widowControl/>
        <w:spacing w:line="360" w:lineRule="auto"/>
        <w:ind w:firstLine="480" w:firstLineChars="150"/>
        <w:jc w:val="left"/>
        <w:rPr>
          <w:rFonts w:ascii="黑体" w:hAnsi="仿宋" w:eastAsia="黑体"/>
          <w:sz w:val="32"/>
          <w:szCs w:val="32"/>
        </w:rPr>
      </w:pPr>
      <w:r>
        <w:rPr>
          <w:rFonts w:hint="eastAsia" w:ascii="黑体" w:hAnsi="仿宋" w:eastAsia="黑体"/>
          <w:sz w:val="32"/>
          <w:szCs w:val="32"/>
        </w:rPr>
        <w:t>（二）存在的问题</w:t>
      </w:r>
    </w:p>
    <w:p>
      <w:pPr>
        <w:widowControl/>
        <w:spacing w:line="360" w:lineRule="auto"/>
        <w:ind w:firstLine="640" w:firstLineChars="200"/>
        <w:jc w:val="left"/>
        <w:rPr>
          <w:rFonts w:ascii="仿宋_GB2312" w:hAnsi="仿宋" w:eastAsia="仿宋_GB2312"/>
          <w:sz w:val="32"/>
          <w:szCs w:val="32"/>
        </w:rPr>
      </w:pPr>
      <w:r>
        <w:rPr>
          <w:rFonts w:hint="eastAsia" w:ascii="仿宋_GB2312" w:hAnsi="仿宋" w:eastAsia="仿宋_GB2312"/>
          <w:sz w:val="32"/>
          <w:szCs w:val="32"/>
        </w:rPr>
        <w:t>1.资金使用科目不明确，存在错录科目的问题。</w:t>
      </w:r>
    </w:p>
    <w:p>
      <w:pPr>
        <w:widowControl/>
        <w:spacing w:line="360" w:lineRule="auto"/>
        <w:ind w:firstLine="640" w:firstLineChars="200"/>
        <w:jc w:val="left"/>
        <w:rPr>
          <w:rFonts w:ascii="仿宋_GB2312" w:hAnsi="仿宋" w:eastAsia="仿宋_GB2312"/>
          <w:sz w:val="32"/>
          <w:szCs w:val="32"/>
        </w:rPr>
      </w:pPr>
      <w:r>
        <w:rPr>
          <w:rFonts w:hint="eastAsia" w:ascii="仿宋_GB2312" w:hAnsi="仿宋" w:eastAsia="仿宋_GB2312"/>
          <w:sz w:val="32"/>
          <w:szCs w:val="32"/>
        </w:rPr>
        <w:t>2.资金使用效益有待进一步提高。</w:t>
      </w:r>
    </w:p>
    <w:p>
      <w:pPr>
        <w:spacing w:line="360" w:lineRule="auto"/>
        <w:ind w:firstLine="480" w:firstLineChars="150"/>
        <w:jc w:val="left"/>
        <w:rPr>
          <w:rFonts w:ascii="黑体" w:hAnsi="仿宋" w:eastAsia="黑体"/>
          <w:sz w:val="32"/>
          <w:szCs w:val="32"/>
        </w:rPr>
      </w:pPr>
      <w:r>
        <w:rPr>
          <w:rFonts w:hint="eastAsia" w:ascii="黑体" w:hAnsi="仿宋" w:eastAsia="黑体"/>
          <w:sz w:val="32"/>
          <w:szCs w:val="32"/>
        </w:rPr>
        <w:t>（三）改进建议</w:t>
      </w:r>
    </w:p>
    <w:p>
      <w:pPr>
        <w:spacing w:line="360" w:lineRule="auto"/>
        <w:ind w:firstLine="640" w:firstLineChars="200"/>
        <w:jc w:val="left"/>
        <w:rPr>
          <w:rFonts w:ascii="仿宋_GB2312" w:hAnsi="仿宋" w:eastAsia="仿宋_GB2312"/>
          <w:sz w:val="32"/>
          <w:szCs w:val="32"/>
        </w:rPr>
      </w:pPr>
      <w:r>
        <w:rPr>
          <w:rFonts w:hint="eastAsia" w:ascii="仿宋_GB2312" w:hAnsi="仿宋" w:eastAsia="仿宋_GB2312"/>
          <w:sz w:val="32"/>
          <w:szCs w:val="32"/>
        </w:rPr>
        <w:t>1、建议财政部门能组织各单位财务人员进行业务的培训，不断提升各单位财务人员的业务素质和职业道德。</w:t>
      </w:r>
    </w:p>
    <w:p>
      <w:pPr>
        <w:widowControl/>
        <w:spacing w:line="360" w:lineRule="auto"/>
        <w:ind w:firstLine="640" w:firstLineChars="200"/>
        <w:jc w:val="left"/>
        <w:rPr>
          <w:rFonts w:ascii="仿宋_GB2312" w:hAnsi="仿宋" w:eastAsia="仿宋_GB2312"/>
          <w:sz w:val="32"/>
          <w:szCs w:val="32"/>
        </w:rPr>
      </w:pPr>
      <w:r>
        <w:rPr>
          <w:rFonts w:hint="eastAsia" w:ascii="仿宋_GB2312" w:hAnsi="仿宋" w:eastAsia="仿宋_GB2312"/>
          <w:sz w:val="32"/>
          <w:szCs w:val="32"/>
        </w:rPr>
        <w:t>2、进一步加强资产的管理。</w:t>
      </w:r>
    </w:p>
    <w:p>
      <w:pPr>
        <w:widowControl/>
        <w:spacing w:line="540" w:lineRule="exact"/>
        <w:rPr>
          <w:rFonts w:ascii="仿宋_GB2312" w:cs="宋体"/>
          <w:color w:val="000000"/>
          <w:sz w:val="32"/>
          <w:szCs w:val="32"/>
        </w:rPr>
      </w:pPr>
    </w:p>
    <w:p>
      <w:pPr>
        <w:spacing w:line="600" w:lineRule="exact"/>
        <w:jc w:val="center"/>
        <w:outlineLvl w:val="0"/>
        <w:rPr>
          <w:rStyle w:val="27"/>
          <w:rFonts w:ascii="黑体" w:hAnsi="黑体" w:eastAsia="黑体"/>
          <w:b w:val="0"/>
          <w:sz w:val="32"/>
          <w:szCs w:val="32"/>
        </w:rPr>
      </w:pPr>
    </w:p>
    <w:p>
      <w:pPr>
        <w:spacing w:line="600" w:lineRule="exact"/>
        <w:jc w:val="center"/>
        <w:outlineLvl w:val="0"/>
        <w:rPr>
          <w:rStyle w:val="27"/>
          <w:rFonts w:ascii="黑体" w:hAnsi="黑体" w:eastAsia="黑体"/>
          <w:b w:val="0"/>
          <w:sz w:val="32"/>
          <w:szCs w:val="32"/>
        </w:rPr>
      </w:pPr>
    </w:p>
    <w:p>
      <w:pPr>
        <w:spacing w:line="600" w:lineRule="exact"/>
        <w:jc w:val="center"/>
        <w:outlineLvl w:val="0"/>
        <w:rPr>
          <w:rStyle w:val="27"/>
          <w:rFonts w:hint="eastAsia" w:ascii="黑体" w:hAnsi="黑体" w:eastAsia="黑体"/>
          <w:b w:val="0"/>
          <w:sz w:val="32"/>
          <w:szCs w:val="32"/>
        </w:rPr>
      </w:pPr>
    </w:p>
    <w:p>
      <w:pPr>
        <w:spacing w:line="600" w:lineRule="exact"/>
        <w:jc w:val="center"/>
        <w:outlineLvl w:val="0"/>
        <w:rPr>
          <w:rStyle w:val="27"/>
          <w:rFonts w:hint="eastAsia" w:ascii="黑体" w:hAnsi="黑体" w:eastAsia="黑体"/>
          <w:b w:val="0"/>
          <w:sz w:val="32"/>
          <w:szCs w:val="32"/>
        </w:rPr>
      </w:pPr>
    </w:p>
    <w:p>
      <w:pPr>
        <w:spacing w:line="600" w:lineRule="exact"/>
        <w:jc w:val="center"/>
        <w:outlineLvl w:val="0"/>
        <w:rPr>
          <w:rStyle w:val="27"/>
          <w:rFonts w:hint="eastAsia" w:ascii="黑体" w:hAnsi="黑体" w:eastAsia="黑体"/>
          <w:b w:val="0"/>
          <w:sz w:val="32"/>
          <w:szCs w:val="32"/>
        </w:rPr>
      </w:pPr>
    </w:p>
    <w:p>
      <w:pPr>
        <w:spacing w:line="600" w:lineRule="exact"/>
        <w:jc w:val="center"/>
        <w:outlineLvl w:val="0"/>
        <w:rPr>
          <w:rStyle w:val="27"/>
          <w:rFonts w:hint="eastAsia" w:ascii="黑体" w:hAnsi="黑体" w:eastAsia="黑体"/>
          <w:b w:val="0"/>
          <w:sz w:val="32"/>
          <w:szCs w:val="32"/>
        </w:rPr>
      </w:pPr>
    </w:p>
    <w:p>
      <w:pPr>
        <w:spacing w:line="600" w:lineRule="exact"/>
        <w:jc w:val="center"/>
        <w:outlineLvl w:val="0"/>
        <w:rPr>
          <w:rStyle w:val="27"/>
          <w:rFonts w:ascii="黑体" w:hAnsi="黑体" w:eastAsia="黑体"/>
          <w:b w:val="0"/>
          <w:sz w:val="32"/>
          <w:szCs w:val="32"/>
        </w:rPr>
      </w:pPr>
    </w:p>
    <w:p>
      <w:pPr>
        <w:spacing w:line="600" w:lineRule="exact"/>
        <w:jc w:val="center"/>
        <w:outlineLvl w:val="0"/>
        <w:rPr>
          <w:rStyle w:val="27"/>
          <w:rFonts w:ascii="黑体" w:hAnsi="黑体" w:eastAsia="黑体"/>
          <w:b w:val="0"/>
        </w:rPr>
      </w:pPr>
      <w:bookmarkStart w:id="53" w:name="_Toc15396618"/>
      <w:r>
        <w:rPr>
          <w:rFonts w:hint="eastAsia" w:ascii="黑体" w:hAnsi="黑体" w:eastAsia="黑体"/>
          <w:color w:val="000000"/>
          <w:sz w:val="44"/>
          <w:szCs w:val="44"/>
        </w:rPr>
        <w:t>第</w:t>
      </w:r>
      <w:r>
        <w:rPr>
          <w:rStyle w:val="27"/>
          <w:rFonts w:hint="eastAsia" w:ascii="黑体" w:hAnsi="黑体" w:eastAsia="黑体"/>
          <w:b w:val="0"/>
        </w:rPr>
        <w:t>五部分 附表</w:t>
      </w:r>
      <w:bookmarkEnd w:id="51"/>
      <w:bookmarkEnd w:id="53"/>
    </w:p>
    <w:p>
      <w:pPr>
        <w:spacing w:line="600" w:lineRule="exact"/>
        <w:jc w:val="center"/>
        <w:outlineLvl w:val="0"/>
        <w:rPr>
          <w:rFonts w:ascii="仿宋" w:hAnsi="仿宋" w:eastAsia="仿宋"/>
          <w:b/>
          <w:color w:val="000000"/>
          <w:sz w:val="44"/>
          <w:szCs w:val="44"/>
        </w:rPr>
      </w:pPr>
    </w:p>
    <w:p>
      <w:pPr>
        <w:pStyle w:val="3"/>
        <w:rPr>
          <w:rFonts w:ascii="仿宋" w:hAnsi="仿宋" w:eastAsia="仿宋"/>
          <w:color w:val="000000"/>
        </w:rPr>
      </w:pPr>
      <w:bookmarkStart w:id="54" w:name="_Toc15396619"/>
      <w:r>
        <w:rPr>
          <w:rFonts w:hint="eastAsia" w:ascii="仿宋" w:hAnsi="仿宋" w:eastAsia="仿宋"/>
          <w:b w:val="0"/>
          <w:color w:val="000000"/>
        </w:rPr>
        <w:t>一、收</w:t>
      </w:r>
      <w:r>
        <w:rPr>
          <w:rStyle w:val="28"/>
          <w:rFonts w:hint="eastAsia" w:ascii="仿宋" w:hAnsi="仿宋" w:eastAsia="仿宋"/>
          <w:b w:val="0"/>
          <w:bCs w:val="0"/>
        </w:rPr>
        <w:t>入支出决算总表</w:t>
      </w:r>
      <w:bookmarkEnd w:id="54"/>
    </w:p>
    <w:p>
      <w:pPr>
        <w:pStyle w:val="3"/>
        <w:rPr>
          <w:rFonts w:ascii="仿宋" w:hAnsi="仿宋" w:eastAsia="仿宋"/>
          <w:color w:val="000000"/>
        </w:rPr>
      </w:pPr>
      <w:bookmarkStart w:id="55" w:name="_Toc15396620"/>
      <w:r>
        <w:rPr>
          <w:rFonts w:hint="eastAsia" w:ascii="仿宋" w:hAnsi="仿宋" w:eastAsia="仿宋"/>
          <w:b w:val="0"/>
          <w:color w:val="000000"/>
        </w:rPr>
        <w:t>二、收</w:t>
      </w:r>
      <w:r>
        <w:rPr>
          <w:rStyle w:val="28"/>
          <w:rFonts w:hint="eastAsia" w:ascii="仿宋" w:hAnsi="仿宋" w:eastAsia="仿宋"/>
          <w:b w:val="0"/>
          <w:bCs w:val="0"/>
        </w:rPr>
        <w:t>入决算表</w:t>
      </w:r>
      <w:bookmarkEnd w:id="55"/>
    </w:p>
    <w:p>
      <w:pPr>
        <w:pStyle w:val="3"/>
        <w:rPr>
          <w:rFonts w:ascii="仿宋" w:hAnsi="仿宋" w:eastAsia="仿宋"/>
          <w:color w:val="000000"/>
        </w:rPr>
      </w:pPr>
      <w:bookmarkStart w:id="56" w:name="_Toc15396621"/>
      <w:r>
        <w:rPr>
          <w:rStyle w:val="28"/>
          <w:rFonts w:hint="eastAsia" w:ascii="仿宋" w:hAnsi="仿宋" w:eastAsia="仿宋"/>
          <w:b w:val="0"/>
          <w:bCs w:val="0"/>
        </w:rPr>
        <w:t>三、</w:t>
      </w:r>
      <w:r>
        <w:rPr>
          <w:rFonts w:hint="eastAsia" w:ascii="仿宋" w:hAnsi="仿宋" w:eastAsia="仿宋"/>
          <w:b w:val="0"/>
          <w:color w:val="000000"/>
        </w:rPr>
        <w:t>支</w:t>
      </w:r>
      <w:r>
        <w:rPr>
          <w:rStyle w:val="28"/>
          <w:rFonts w:hint="eastAsia" w:ascii="仿宋" w:hAnsi="仿宋" w:eastAsia="仿宋"/>
          <w:b w:val="0"/>
          <w:bCs w:val="0"/>
        </w:rPr>
        <w:t>出决算表</w:t>
      </w:r>
      <w:bookmarkEnd w:id="56"/>
    </w:p>
    <w:p>
      <w:pPr>
        <w:pStyle w:val="3"/>
        <w:rPr>
          <w:rFonts w:ascii="仿宋" w:hAnsi="仿宋" w:eastAsia="仿宋"/>
          <w:b w:val="0"/>
          <w:color w:val="000000"/>
        </w:rPr>
      </w:pPr>
      <w:bookmarkStart w:id="57" w:name="_Toc15396622"/>
      <w:r>
        <w:rPr>
          <w:rStyle w:val="28"/>
          <w:rFonts w:hint="eastAsia" w:ascii="仿宋" w:hAnsi="仿宋" w:eastAsia="仿宋"/>
          <w:b w:val="0"/>
          <w:bCs w:val="0"/>
        </w:rPr>
        <w:t>四、</w:t>
      </w:r>
      <w:r>
        <w:rPr>
          <w:rFonts w:hint="eastAsia" w:ascii="仿宋" w:hAnsi="仿宋" w:eastAsia="仿宋"/>
          <w:b w:val="0"/>
          <w:color w:val="000000"/>
        </w:rPr>
        <w:t>财</w:t>
      </w:r>
      <w:r>
        <w:rPr>
          <w:rStyle w:val="28"/>
          <w:rFonts w:hint="eastAsia" w:ascii="仿宋" w:hAnsi="仿宋" w:eastAsia="仿宋"/>
          <w:b w:val="0"/>
          <w:bCs w:val="0"/>
        </w:rPr>
        <w:t>政拨款收入支出决算总表</w:t>
      </w:r>
      <w:bookmarkEnd w:id="57"/>
    </w:p>
    <w:p>
      <w:pPr>
        <w:pStyle w:val="3"/>
        <w:rPr>
          <w:rStyle w:val="28"/>
          <w:rFonts w:ascii="仿宋" w:hAnsi="仿宋" w:eastAsia="仿宋"/>
          <w:b w:val="0"/>
          <w:bCs w:val="0"/>
        </w:rPr>
      </w:pPr>
      <w:bookmarkStart w:id="58" w:name="_Toc15396623"/>
      <w:r>
        <w:rPr>
          <w:rStyle w:val="28"/>
          <w:rFonts w:hint="eastAsia" w:ascii="仿宋" w:hAnsi="仿宋" w:eastAsia="仿宋"/>
          <w:b w:val="0"/>
          <w:bCs w:val="0"/>
        </w:rPr>
        <w:t>五、</w:t>
      </w:r>
      <w:r>
        <w:rPr>
          <w:rFonts w:hint="eastAsia" w:ascii="仿宋" w:hAnsi="仿宋" w:eastAsia="仿宋"/>
          <w:b w:val="0"/>
          <w:color w:val="000000"/>
        </w:rPr>
        <w:t>财</w:t>
      </w:r>
      <w:r>
        <w:rPr>
          <w:rStyle w:val="28"/>
          <w:rFonts w:hint="eastAsia" w:ascii="仿宋" w:hAnsi="仿宋" w:eastAsia="仿宋"/>
          <w:b w:val="0"/>
          <w:bCs w:val="0"/>
        </w:rPr>
        <w:t>政拨款支出决算明细表</w:t>
      </w:r>
      <w:bookmarkEnd w:id="58"/>
      <w:bookmarkStart w:id="59" w:name="_Toc15396624"/>
    </w:p>
    <w:p>
      <w:pPr>
        <w:pStyle w:val="3"/>
        <w:rPr>
          <w:rFonts w:ascii="仿宋" w:hAnsi="仿宋" w:eastAsia="仿宋"/>
          <w:color w:val="000000"/>
        </w:rPr>
      </w:pPr>
      <w:r>
        <w:rPr>
          <w:rStyle w:val="28"/>
          <w:rFonts w:hint="eastAsia" w:ascii="仿宋" w:hAnsi="仿宋" w:eastAsia="仿宋"/>
          <w:b w:val="0"/>
          <w:bCs w:val="0"/>
        </w:rPr>
        <w:t>六、</w:t>
      </w:r>
      <w:r>
        <w:rPr>
          <w:rFonts w:hint="eastAsia" w:ascii="仿宋" w:hAnsi="仿宋" w:eastAsia="仿宋"/>
          <w:b w:val="0"/>
          <w:color w:val="000000"/>
        </w:rPr>
        <w:t>一</w:t>
      </w:r>
      <w:r>
        <w:rPr>
          <w:rStyle w:val="28"/>
          <w:rFonts w:hint="eastAsia" w:ascii="仿宋" w:hAnsi="仿宋" w:eastAsia="仿宋"/>
          <w:b w:val="0"/>
          <w:bCs w:val="0"/>
        </w:rPr>
        <w:t>般公共预算财政拨款支出决算表</w:t>
      </w:r>
      <w:bookmarkEnd w:id="59"/>
    </w:p>
    <w:p>
      <w:pPr>
        <w:pStyle w:val="3"/>
        <w:rPr>
          <w:rFonts w:ascii="仿宋" w:hAnsi="仿宋" w:eastAsia="仿宋"/>
          <w:color w:val="000000"/>
        </w:rPr>
      </w:pPr>
      <w:bookmarkStart w:id="60" w:name="_Toc15396625"/>
      <w:r>
        <w:rPr>
          <w:rStyle w:val="28"/>
          <w:rFonts w:hint="eastAsia" w:ascii="仿宋" w:hAnsi="仿宋" w:eastAsia="仿宋"/>
          <w:b w:val="0"/>
          <w:bCs w:val="0"/>
        </w:rPr>
        <w:t>七、</w:t>
      </w:r>
      <w:r>
        <w:rPr>
          <w:rFonts w:hint="eastAsia" w:ascii="仿宋" w:hAnsi="仿宋" w:eastAsia="仿宋"/>
          <w:b w:val="0"/>
          <w:color w:val="000000"/>
        </w:rPr>
        <w:t>一</w:t>
      </w:r>
      <w:r>
        <w:rPr>
          <w:rStyle w:val="28"/>
          <w:rFonts w:hint="eastAsia" w:ascii="仿宋" w:hAnsi="仿宋" w:eastAsia="仿宋"/>
          <w:b w:val="0"/>
          <w:bCs w:val="0"/>
        </w:rPr>
        <w:t>般公共预算财政拨款支出决算明细表</w:t>
      </w:r>
      <w:bookmarkEnd w:id="60"/>
    </w:p>
    <w:p>
      <w:pPr>
        <w:pStyle w:val="3"/>
        <w:rPr>
          <w:rFonts w:ascii="仿宋" w:hAnsi="仿宋" w:eastAsia="仿宋"/>
          <w:color w:val="000000"/>
        </w:rPr>
      </w:pPr>
      <w:bookmarkStart w:id="61" w:name="_Toc15396626"/>
      <w:r>
        <w:rPr>
          <w:rStyle w:val="28"/>
          <w:rFonts w:hint="eastAsia" w:ascii="仿宋" w:hAnsi="仿宋" w:eastAsia="仿宋"/>
          <w:b w:val="0"/>
          <w:bCs w:val="0"/>
        </w:rPr>
        <w:t>八、</w:t>
      </w:r>
      <w:r>
        <w:rPr>
          <w:rFonts w:hint="eastAsia" w:ascii="仿宋" w:hAnsi="仿宋" w:eastAsia="仿宋"/>
          <w:b w:val="0"/>
          <w:color w:val="000000"/>
        </w:rPr>
        <w:t>一</w:t>
      </w:r>
      <w:r>
        <w:rPr>
          <w:rStyle w:val="28"/>
          <w:rFonts w:hint="eastAsia" w:ascii="仿宋" w:hAnsi="仿宋" w:eastAsia="仿宋"/>
          <w:b w:val="0"/>
          <w:bCs w:val="0"/>
        </w:rPr>
        <w:t>般公共预算财政拨款基本支出决算表</w:t>
      </w:r>
      <w:bookmarkEnd w:id="61"/>
    </w:p>
    <w:p>
      <w:pPr>
        <w:pStyle w:val="3"/>
        <w:rPr>
          <w:rFonts w:ascii="仿宋" w:hAnsi="仿宋" w:eastAsia="仿宋"/>
          <w:color w:val="000000"/>
        </w:rPr>
      </w:pPr>
      <w:bookmarkStart w:id="62" w:name="_Toc15396627"/>
      <w:r>
        <w:rPr>
          <w:rStyle w:val="28"/>
          <w:rFonts w:hint="eastAsia" w:ascii="仿宋" w:hAnsi="仿宋" w:eastAsia="仿宋"/>
          <w:b w:val="0"/>
          <w:bCs w:val="0"/>
        </w:rPr>
        <w:t>九、</w:t>
      </w:r>
      <w:r>
        <w:rPr>
          <w:rFonts w:hint="eastAsia" w:ascii="仿宋" w:hAnsi="仿宋" w:eastAsia="仿宋"/>
          <w:b w:val="0"/>
          <w:color w:val="000000"/>
        </w:rPr>
        <w:t>一</w:t>
      </w:r>
      <w:r>
        <w:rPr>
          <w:rStyle w:val="28"/>
          <w:rFonts w:hint="eastAsia" w:ascii="仿宋" w:hAnsi="仿宋" w:eastAsia="仿宋"/>
          <w:b w:val="0"/>
          <w:bCs w:val="0"/>
        </w:rPr>
        <w:t>般公共预算财政拨款项目支出决算表</w:t>
      </w:r>
      <w:bookmarkEnd w:id="62"/>
    </w:p>
    <w:p>
      <w:pPr>
        <w:pStyle w:val="3"/>
        <w:rPr>
          <w:rFonts w:ascii="仿宋" w:hAnsi="仿宋" w:eastAsia="仿宋"/>
          <w:color w:val="000000"/>
        </w:rPr>
      </w:pPr>
      <w:bookmarkStart w:id="63" w:name="_Toc15396628"/>
      <w:r>
        <w:rPr>
          <w:rStyle w:val="28"/>
          <w:rFonts w:hint="eastAsia" w:ascii="仿宋" w:hAnsi="仿宋" w:eastAsia="仿宋"/>
          <w:b w:val="0"/>
          <w:bCs w:val="0"/>
        </w:rPr>
        <w:t>十、</w:t>
      </w:r>
      <w:r>
        <w:rPr>
          <w:rFonts w:hint="eastAsia" w:ascii="仿宋" w:hAnsi="仿宋" w:eastAsia="仿宋"/>
          <w:b w:val="0"/>
          <w:color w:val="000000"/>
        </w:rPr>
        <w:t>一</w:t>
      </w:r>
      <w:r>
        <w:rPr>
          <w:rStyle w:val="28"/>
          <w:rFonts w:hint="eastAsia" w:ascii="仿宋" w:hAnsi="仿宋" w:eastAsia="仿宋"/>
          <w:b w:val="0"/>
          <w:bCs w:val="0"/>
        </w:rPr>
        <w:t>般公共预算财政拨款“三公”经费支出决算表</w:t>
      </w:r>
      <w:bookmarkEnd w:id="63"/>
    </w:p>
    <w:p>
      <w:pPr>
        <w:pStyle w:val="3"/>
        <w:rPr>
          <w:rFonts w:ascii="仿宋" w:hAnsi="仿宋" w:eastAsia="仿宋"/>
          <w:color w:val="000000"/>
        </w:rPr>
      </w:pPr>
      <w:bookmarkStart w:id="64" w:name="_Toc15396629"/>
      <w:r>
        <w:rPr>
          <w:rStyle w:val="28"/>
          <w:rFonts w:hint="eastAsia" w:ascii="仿宋" w:hAnsi="仿宋" w:eastAsia="仿宋"/>
          <w:b w:val="0"/>
          <w:bCs w:val="0"/>
        </w:rPr>
        <w:t>十一、</w:t>
      </w:r>
      <w:r>
        <w:rPr>
          <w:rFonts w:hint="eastAsia" w:ascii="仿宋" w:hAnsi="仿宋" w:eastAsia="仿宋"/>
          <w:b w:val="0"/>
          <w:color w:val="000000"/>
        </w:rPr>
        <w:t>政</w:t>
      </w:r>
      <w:r>
        <w:rPr>
          <w:rStyle w:val="28"/>
          <w:rFonts w:hint="eastAsia" w:ascii="仿宋" w:hAnsi="仿宋" w:eastAsia="仿宋"/>
          <w:b w:val="0"/>
          <w:bCs w:val="0"/>
        </w:rPr>
        <w:t>府性基金预算财政拨款收入支出决算表</w:t>
      </w:r>
      <w:bookmarkEnd w:id="64"/>
    </w:p>
    <w:p>
      <w:pPr>
        <w:pStyle w:val="3"/>
        <w:rPr>
          <w:rFonts w:ascii="仿宋" w:hAnsi="仿宋" w:eastAsia="仿宋"/>
          <w:color w:val="000000"/>
        </w:rPr>
      </w:pPr>
      <w:bookmarkStart w:id="65" w:name="_Toc15396630"/>
      <w:r>
        <w:rPr>
          <w:rStyle w:val="28"/>
          <w:rFonts w:hint="eastAsia" w:ascii="仿宋" w:hAnsi="仿宋" w:eastAsia="仿宋"/>
          <w:b w:val="0"/>
          <w:bCs w:val="0"/>
        </w:rPr>
        <w:t>十二、</w:t>
      </w:r>
      <w:r>
        <w:rPr>
          <w:rFonts w:hint="eastAsia" w:ascii="仿宋" w:hAnsi="仿宋" w:eastAsia="仿宋"/>
          <w:b w:val="0"/>
          <w:color w:val="000000"/>
        </w:rPr>
        <w:t>政</w:t>
      </w:r>
      <w:r>
        <w:rPr>
          <w:rStyle w:val="28"/>
          <w:rFonts w:hint="eastAsia" w:ascii="仿宋" w:hAnsi="仿宋" w:eastAsia="仿宋"/>
          <w:b w:val="0"/>
          <w:bCs w:val="0"/>
        </w:rPr>
        <w:t>府性基金预算财政拨款“三公”经费支出决算表</w:t>
      </w:r>
      <w:bookmarkEnd w:id="65"/>
    </w:p>
    <w:p>
      <w:pPr>
        <w:pStyle w:val="3"/>
        <w:rPr>
          <w:rStyle w:val="37"/>
          <w:rFonts w:hint="eastAsia" w:ascii="仿宋" w:hAnsi="仿宋" w:eastAsia="仿宋"/>
          <w:b w:val="0"/>
          <w:bCs w:val="0"/>
          <w:lang w:eastAsia="zh-CN"/>
        </w:rPr>
      </w:pPr>
      <w:r>
        <w:rPr>
          <w:rStyle w:val="37"/>
          <w:rFonts w:hint="eastAsia" w:ascii="仿宋" w:hAnsi="仿宋" w:eastAsia="仿宋"/>
          <w:b w:val="0"/>
          <w:bCs w:val="0"/>
          <w:lang w:eastAsia="zh-CN"/>
        </w:rPr>
        <w:t>十三、国有资本经营预算财政拨款收入支出决算表</w:t>
      </w:r>
    </w:p>
    <w:p>
      <w:pPr>
        <w:pStyle w:val="3"/>
        <w:rPr>
          <w:rFonts w:ascii="仿宋" w:hAnsi="仿宋" w:eastAsia="仿宋"/>
          <w:color w:val="000000" w:themeColor="text1"/>
        </w:rPr>
      </w:pPr>
      <w:r>
        <w:rPr>
          <w:rStyle w:val="37"/>
          <w:rFonts w:hint="eastAsia" w:ascii="仿宋" w:hAnsi="仿宋" w:eastAsia="仿宋"/>
          <w:b w:val="0"/>
          <w:bCs w:val="0"/>
          <w:lang w:eastAsia="zh-CN"/>
        </w:rPr>
        <w:t>十四、国有资本经</w:t>
      </w:r>
      <w:bookmarkStart w:id="66" w:name="_GoBack"/>
      <w:bookmarkEnd w:id="66"/>
      <w:r>
        <w:rPr>
          <w:rStyle w:val="37"/>
          <w:rFonts w:hint="eastAsia" w:ascii="仿宋" w:hAnsi="仿宋" w:eastAsia="仿宋"/>
          <w:b w:val="0"/>
          <w:bCs w:val="0"/>
          <w:lang w:eastAsia="zh-CN"/>
        </w:rPr>
        <w:t>营预算财政拨款支出决算表</w:t>
      </w:r>
    </w:p>
    <w:sectPr>
      <w:headerReference r:id="rId3" w:type="default"/>
      <w:footerReference r:id="rId4" w:type="default"/>
      <w:pgSz w:w="11906" w:h="16838"/>
      <w:pgMar w:top="2098" w:right="1474" w:bottom="1985" w:left="1588" w:header="851" w:footer="992" w:gutter="0"/>
      <w:pgNumType w:start="1"/>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方正小标宋简体">
    <w:altName w:val="方正舒体"/>
    <w:panose1 w:val="02010601030101010101"/>
    <w:charset w:val="86"/>
    <w:family w:val="auto"/>
    <w:pitch w:val="default"/>
    <w:sig w:usb0="00000000" w:usb1="00000000" w:usb2="00000010" w:usb3="00000000" w:csb0="00040000" w:csb1="00000000"/>
  </w:font>
  <w:font w:name="楷体_GB2312">
    <w:panose1 w:val="02010609030101010101"/>
    <w:charset w:val="86"/>
    <w:family w:val="modern"/>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 w:name="方正舒体">
    <w:panose1 w:val="02010601030101010101"/>
    <w:charset w:val="86"/>
    <w:family w:val="auto"/>
    <w:pitch w:val="default"/>
    <w:sig w:usb0="00000003" w:usb1="080E0000" w:usb2="00000000" w:usb3="00000000" w:csb0="00040000" w:csb1="00000000"/>
  </w:font>
  <w:font w:name="Arial">
    <w:panose1 w:val="020B0604020202020204"/>
    <w:charset w:val="00"/>
    <w:family w:val="auto"/>
    <w:pitch w:val="default"/>
    <w:sig w:usb0="E0002AFF" w:usb1="C0007843" w:usb2="00000009" w:usb3="00000000" w:csb0="400001FF" w:csb1="FFFF0000"/>
  </w:font>
  <w:font w:name="??">
    <w:altName w:val="Times New Roman"/>
    <w:panose1 w:val="00000000000000000000"/>
    <w:charset w:val="00"/>
    <w:family w:val="auto"/>
    <w:pitch w:val="default"/>
    <w:sig w:usb0="00000000" w:usb1="00000000" w:usb2="00000000" w:usb3="00000000" w:csb0="00000001" w:csb1="00000000"/>
  </w:font>
  <w:font w:name="Arial Unicode MS">
    <w:panose1 w:val="020B0604020202020204"/>
    <w:charset w:val="86"/>
    <w:family w:val="auto"/>
    <w:pitch w:val="default"/>
    <w:sig w:usb0="FFFFFFFF" w:usb1="E9FFFFFF" w:usb2="0000003F" w:usb3="00000000" w:csb0="603F01FF" w:csb1="FFFF0000"/>
  </w:font>
  <w:font w:name="新宋体">
    <w:panose1 w:val="02010609030101010101"/>
    <w:charset w:val="86"/>
    <w:family w:val="modern"/>
    <w:pitch w:val="default"/>
    <w:sig w:usb0="00000003" w:usb1="288F0000" w:usb2="00000006" w:usb3="00000000" w:csb0="00040001" w:csb1="00000000"/>
  </w:font>
  <w:font w:name="Segoe UI">
    <w:panose1 w:val="020B0502040204020203"/>
    <w:charset w:val="00"/>
    <w:family w:val="auto"/>
    <w:pitch w:val="default"/>
    <w:sig w:usb0="E10022FF" w:usb1="C000E47F" w:usb2="00000029" w:usb3="00000000" w:csb0="200001DF" w:csb1="20000000"/>
  </w:font>
  <w:font w:name="微软雅黑">
    <w:panose1 w:val="020B0503020204020204"/>
    <w:charset w:val="86"/>
    <w:family w:val="swiss"/>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994781956"/>
    </w:sdtPr>
    <w:sdtContent>
      <w:p>
        <w:pPr>
          <w:pStyle w:val="9"/>
          <w:jc w:val="center"/>
          <w:rPr>
            <w:rFonts w:hint="eastAsia"/>
          </w:rPr>
        </w:pPr>
        <w:r>
          <w:rPr>
            <w:rFonts w:hint="eastAsia"/>
          </w:rPr>
          <w:fldChar w:fldCharType="begin"/>
        </w:r>
        <w:r>
          <w:instrText xml:space="preserve">PAGE   \* MERGEFORMAT</w:instrText>
        </w:r>
        <w:r>
          <w:rPr>
            <w:rFonts w:hint="eastAsia"/>
          </w:rPr>
          <w:fldChar w:fldCharType="separate"/>
        </w:r>
        <w:r>
          <w:rPr>
            <w:rFonts w:hint="eastAsia"/>
            <w:lang w:val="zh-CN"/>
          </w:rPr>
          <w:t>20</w:t>
        </w:r>
        <w:r>
          <w:rPr>
            <w:rFonts w:hint="eastAsia"/>
            <w:lang w:val="zh-CN"/>
          </w:rPr>
          <w:fldChar w:fldCharType="end"/>
        </w:r>
      </w:p>
    </w:sdtContent>
  </w:sdt>
  <w:p>
    <w:pPr>
      <w:pStyle w:val="9"/>
      <w:rPr>
        <w:rFonts w:hint="eastAsia"/>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Bdr>
        <w:bottom w:val="none" w:color="auto" w:sz="0" w:space="0"/>
      </w:pBdr>
      <w:rPr>
        <w:rFonts w:hint="eastAsia"/>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CF652CEC"/>
    <w:multiLevelType w:val="singleLevel"/>
    <w:tmpl w:val="CF652CEC"/>
    <w:lvl w:ilvl="0" w:tentative="0">
      <w:start w:val="9"/>
      <w:numFmt w:val="chineseCounting"/>
      <w:suff w:val="nothing"/>
      <w:lvlText w:val="%1、"/>
      <w:lvlJc w:val="left"/>
      <w:rPr>
        <w:rFonts w:hint="eastAsia"/>
      </w:rPr>
    </w:lvl>
  </w:abstractNum>
  <w:abstractNum w:abstractNumId="1">
    <w:nsid w:val="E2FA047D"/>
    <w:multiLevelType w:val="singleLevel"/>
    <w:tmpl w:val="E2FA047D"/>
    <w:lvl w:ilvl="0" w:tentative="0">
      <w:start w:val="3"/>
      <w:numFmt w:val="chineseCounting"/>
      <w:suff w:val="space"/>
      <w:lvlText w:val="第%1部分"/>
      <w:lvlJc w:val="left"/>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HorizontalSpacing w:val="105"/>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00F1361C"/>
    <w:rsid w:val="000135E0"/>
    <w:rsid w:val="000222C6"/>
    <w:rsid w:val="0002549F"/>
    <w:rsid w:val="000468DB"/>
    <w:rsid w:val="0006487A"/>
    <w:rsid w:val="00065F8F"/>
    <w:rsid w:val="00070A43"/>
    <w:rsid w:val="000768F2"/>
    <w:rsid w:val="000827AB"/>
    <w:rsid w:val="0009184B"/>
    <w:rsid w:val="00094236"/>
    <w:rsid w:val="0009593C"/>
    <w:rsid w:val="00097322"/>
    <w:rsid w:val="000A6A92"/>
    <w:rsid w:val="000B047F"/>
    <w:rsid w:val="000B3A2A"/>
    <w:rsid w:val="000B5923"/>
    <w:rsid w:val="000B5A48"/>
    <w:rsid w:val="000B6FF3"/>
    <w:rsid w:val="000C3467"/>
    <w:rsid w:val="000C3CA6"/>
    <w:rsid w:val="000C7860"/>
    <w:rsid w:val="000D1267"/>
    <w:rsid w:val="000D1D50"/>
    <w:rsid w:val="000D5782"/>
    <w:rsid w:val="000E6613"/>
    <w:rsid w:val="000E7119"/>
    <w:rsid w:val="00107389"/>
    <w:rsid w:val="00114E9B"/>
    <w:rsid w:val="001253D2"/>
    <w:rsid w:val="001262BA"/>
    <w:rsid w:val="00142216"/>
    <w:rsid w:val="00144D6A"/>
    <w:rsid w:val="0014729F"/>
    <w:rsid w:val="00157BAB"/>
    <w:rsid w:val="001654D1"/>
    <w:rsid w:val="00174518"/>
    <w:rsid w:val="0018106D"/>
    <w:rsid w:val="001877A7"/>
    <w:rsid w:val="00191536"/>
    <w:rsid w:val="00196687"/>
    <w:rsid w:val="001C0962"/>
    <w:rsid w:val="001D7531"/>
    <w:rsid w:val="001E737D"/>
    <w:rsid w:val="001F0592"/>
    <w:rsid w:val="001F7506"/>
    <w:rsid w:val="002006CD"/>
    <w:rsid w:val="00202B36"/>
    <w:rsid w:val="00204B7A"/>
    <w:rsid w:val="00204CDE"/>
    <w:rsid w:val="0021101A"/>
    <w:rsid w:val="00220536"/>
    <w:rsid w:val="00235629"/>
    <w:rsid w:val="00254908"/>
    <w:rsid w:val="00260C38"/>
    <w:rsid w:val="002616C0"/>
    <w:rsid w:val="00265372"/>
    <w:rsid w:val="002662AA"/>
    <w:rsid w:val="002737A6"/>
    <w:rsid w:val="00280496"/>
    <w:rsid w:val="00294DC9"/>
    <w:rsid w:val="00295495"/>
    <w:rsid w:val="002A31DE"/>
    <w:rsid w:val="002B2613"/>
    <w:rsid w:val="002D19B0"/>
    <w:rsid w:val="002D6D05"/>
    <w:rsid w:val="002F1818"/>
    <w:rsid w:val="002F567B"/>
    <w:rsid w:val="003216A9"/>
    <w:rsid w:val="00335A74"/>
    <w:rsid w:val="0036561B"/>
    <w:rsid w:val="0037013F"/>
    <w:rsid w:val="00380C92"/>
    <w:rsid w:val="0038585D"/>
    <w:rsid w:val="0039480F"/>
    <w:rsid w:val="00396AE0"/>
    <w:rsid w:val="00396C60"/>
    <w:rsid w:val="003A1AD7"/>
    <w:rsid w:val="003A484F"/>
    <w:rsid w:val="003A4883"/>
    <w:rsid w:val="003B0BE0"/>
    <w:rsid w:val="003B0C1B"/>
    <w:rsid w:val="003B688C"/>
    <w:rsid w:val="003C0291"/>
    <w:rsid w:val="003C39AE"/>
    <w:rsid w:val="003C7B60"/>
    <w:rsid w:val="003D0C0F"/>
    <w:rsid w:val="003D1FB2"/>
    <w:rsid w:val="003D66DA"/>
    <w:rsid w:val="003E1310"/>
    <w:rsid w:val="003E6F55"/>
    <w:rsid w:val="003F6619"/>
    <w:rsid w:val="00404E77"/>
    <w:rsid w:val="00406254"/>
    <w:rsid w:val="00416CD4"/>
    <w:rsid w:val="00421A7A"/>
    <w:rsid w:val="004223DE"/>
    <w:rsid w:val="00434489"/>
    <w:rsid w:val="00437085"/>
    <w:rsid w:val="00443880"/>
    <w:rsid w:val="004464F4"/>
    <w:rsid w:val="00471401"/>
    <w:rsid w:val="00473F31"/>
    <w:rsid w:val="00473FF0"/>
    <w:rsid w:val="0048263A"/>
    <w:rsid w:val="00487E5D"/>
    <w:rsid w:val="004A711F"/>
    <w:rsid w:val="004B199D"/>
    <w:rsid w:val="004B4690"/>
    <w:rsid w:val="004E0A2D"/>
    <w:rsid w:val="004E206B"/>
    <w:rsid w:val="004E4781"/>
    <w:rsid w:val="004E6DF7"/>
    <w:rsid w:val="004F0FBD"/>
    <w:rsid w:val="004F403E"/>
    <w:rsid w:val="00505A47"/>
    <w:rsid w:val="00512FDA"/>
    <w:rsid w:val="00520DA0"/>
    <w:rsid w:val="005664BB"/>
    <w:rsid w:val="00566FFA"/>
    <w:rsid w:val="0057481D"/>
    <w:rsid w:val="00575F0B"/>
    <w:rsid w:val="0058486E"/>
    <w:rsid w:val="00585B33"/>
    <w:rsid w:val="0059014D"/>
    <w:rsid w:val="005B5C64"/>
    <w:rsid w:val="005C6BD0"/>
    <w:rsid w:val="005C6C4C"/>
    <w:rsid w:val="005D1C8B"/>
    <w:rsid w:val="005D468D"/>
    <w:rsid w:val="005D4B5A"/>
    <w:rsid w:val="005D5CED"/>
    <w:rsid w:val="005F1A4C"/>
    <w:rsid w:val="00605688"/>
    <w:rsid w:val="006070AF"/>
    <w:rsid w:val="00607E6C"/>
    <w:rsid w:val="006101B1"/>
    <w:rsid w:val="00614E44"/>
    <w:rsid w:val="0062270A"/>
    <w:rsid w:val="00622830"/>
    <w:rsid w:val="00623DA0"/>
    <w:rsid w:val="00630AEF"/>
    <w:rsid w:val="006325F8"/>
    <w:rsid w:val="00633463"/>
    <w:rsid w:val="00634C9A"/>
    <w:rsid w:val="006440E4"/>
    <w:rsid w:val="0066343B"/>
    <w:rsid w:val="00664777"/>
    <w:rsid w:val="006748A4"/>
    <w:rsid w:val="00681A31"/>
    <w:rsid w:val="00683E73"/>
    <w:rsid w:val="006A3141"/>
    <w:rsid w:val="006A5E34"/>
    <w:rsid w:val="006B2422"/>
    <w:rsid w:val="006B2B9A"/>
    <w:rsid w:val="006C1937"/>
    <w:rsid w:val="006E6492"/>
    <w:rsid w:val="006F020C"/>
    <w:rsid w:val="007127B7"/>
    <w:rsid w:val="0071798E"/>
    <w:rsid w:val="00727533"/>
    <w:rsid w:val="007416B6"/>
    <w:rsid w:val="0074366E"/>
    <w:rsid w:val="00746F48"/>
    <w:rsid w:val="0075404D"/>
    <w:rsid w:val="0076182A"/>
    <w:rsid w:val="00767B7E"/>
    <w:rsid w:val="007770C3"/>
    <w:rsid w:val="00784D24"/>
    <w:rsid w:val="00785FBA"/>
    <w:rsid w:val="00786E4A"/>
    <w:rsid w:val="007875EB"/>
    <w:rsid w:val="0079426B"/>
    <w:rsid w:val="00796DEF"/>
    <w:rsid w:val="007A4B82"/>
    <w:rsid w:val="007A5B6C"/>
    <w:rsid w:val="007D1682"/>
    <w:rsid w:val="007D312A"/>
    <w:rsid w:val="007D3F19"/>
    <w:rsid w:val="007E23B0"/>
    <w:rsid w:val="007F1991"/>
    <w:rsid w:val="007F2C2F"/>
    <w:rsid w:val="007F55FC"/>
    <w:rsid w:val="007F5665"/>
    <w:rsid w:val="00800112"/>
    <w:rsid w:val="00803BA6"/>
    <w:rsid w:val="00813348"/>
    <w:rsid w:val="008253BB"/>
    <w:rsid w:val="00833962"/>
    <w:rsid w:val="0083706E"/>
    <w:rsid w:val="008408F6"/>
    <w:rsid w:val="008423A5"/>
    <w:rsid w:val="00843789"/>
    <w:rsid w:val="00847BD9"/>
    <w:rsid w:val="00850625"/>
    <w:rsid w:val="00853718"/>
    <w:rsid w:val="00855221"/>
    <w:rsid w:val="00860645"/>
    <w:rsid w:val="00871F71"/>
    <w:rsid w:val="00872FD8"/>
    <w:rsid w:val="00885AF4"/>
    <w:rsid w:val="008939CD"/>
    <w:rsid w:val="008952C4"/>
    <w:rsid w:val="008B768C"/>
    <w:rsid w:val="008C4DB1"/>
    <w:rsid w:val="008C4EAF"/>
    <w:rsid w:val="008C5176"/>
    <w:rsid w:val="008C7FD0"/>
    <w:rsid w:val="008E1DE7"/>
    <w:rsid w:val="008E3FBC"/>
    <w:rsid w:val="008E707C"/>
    <w:rsid w:val="00900B08"/>
    <w:rsid w:val="00902155"/>
    <w:rsid w:val="00902FA3"/>
    <w:rsid w:val="00910764"/>
    <w:rsid w:val="00923564"/>
    <w:rsid w:val="0092392E"/>
    <w:rsid w:val="009315F9"/>
    <w:rsid w:val="00933499"/>
    <w:rsid w:val="00935C98"/>
    <w:rsid w:val="00946945"/>
    <w:rsid w:val="00951248"/>
    <w:rsid w:val="0095152F"/>
    <w:rsid w:val="00954C49"/>
    <w:rsid w:val="00955E37"/>
    <w:rsid w:val="0097099F"/>
    <w:rsid w:val="00971997"/>
    <w:rsid w:val="00971FFC"/>
    <w:rsid w:val="0098660A"/>
    <w:rsid w:val="009931C3"/>
    <w:rsid w:val="009B2C43"/>
    <w:rsid w:val="009B4EAE"/>
    <w:rsid w:val="009B7573"/>
    <w:rsid w:val="009C22F4"/>
    <w:rsid w:val="009C2E98"/>
    <w:rsid w:val="009C37FB"/>
    <w:rsid w:val="009D3447"/>
    <w:rsid w:val="009D4711"/>
    <w:rsid w:val="009F1185"/>
    <w:rsid w:val="009F18CD"/>
    <w:rsid w:val="009F2A13"/>
    <w:rsid w:val="009F7527"/>
    <w:rsid w:val="00A039ED"/>
    <w:rsid w:val="00A04EB0"/>
    <w:rsid w:val="00A13CC1"/>
    <w:rsid w:val="00A16847"/>
    <w:rsid w:val="00A237D8"/>
    <w:rsid w:val="00A268C4"/>
    <w:rsid w:val="00A307CD"/>
    <w:rsid w:val="00A331C8"/>
    <w:rsid w:val="00A35117"/>
    <w:rsid w:val="00A40A00"/>
    <w:rsid w:val="00A4142F"/>
    <w:rsid w:val="00A422EB"/>
    <w:rsid w:val="00A45BB7"/>
    <w:rsid w:val="00A46BEA"/>
    <w:rsid w:val="00A56DF2"/>
    <w:rsid w:val="00A56E6E"/>
    <w:rsid w:val="00A67AB5"/>
    <w:rsid w:val="00A733B2"/>
    <w:rsid w:val="00A741C2"/>
    <w:rsid w:val="00A87AE6"/>
    <w:rsid w:val="00A91760"/>
    <w:rsid w:val="00A93B00"/>
    <w:rsid w:val="00A93C21"/>
    <w:rsid w:val="00AB64C9"/>
    <w:rsid w:val="00AC3C6A"/>
    <w:rsid w:val="00AD0F83"/>
    <w:rsid w:val="00AD5620"/>
    <w:rsid w:val="00AD656B"/>
    <w:rsid w:val="00AD69B3"/>
    <w:rsid w:val="00AD7C1B"/>
    <w:rsid w:val="00AE16BA"/>
    <w:rsid w:val="00AE1EBE"/>
    <w:rsid w:val="00AF37A0"/>
    <w:rsid w:val="00B03C9D"/>
    <w:rsid w:val="00B060AE"/>
    <w:rsid w:val="00B10517"/>
    <w:rsid w:val="00B14E76"/>
    <w:rsid w:val="00B161B8"/>
    <w:rsid w:val="00B2048C"/>
    <w:rsid w:val="00B310B9"/>
    <w:rsid w:val="00B35F3F"/>
    <w:rsid w:val="00B36CBB"/>
    <w:rsid w:val="00B425E0"/>
    <w:rsid w:val="00B42D54"/>
    <w:rsid w:val="00B440AA"/>
    <w:rsid w:val="00B44B70"/>
    <w:rsid w:val="00B53C56"/>
    <w:rsid w:val="00B57DAF"/>
    <w:rsid w:val="00B77EA6"/>
    <w:rsid w:val="00B81598"/>
    <w:rsid w:val="00B841F1"/>
    <w:rsid w:val="00B920C2"/>
    <w:rsid w:val="00B944D6"/>
    <w:rsid w:val="00BB2062"/>
    <w:rsid w:val="00BB4DF0"/>
    <w:rsid w:val="00BC289F"/>
    <w:rsid w:val="00BC2D50"/>
    <w:rsid w:val="00BC5361"/>
    <w:rsid w:val="00BC5460"/>
    <w:rsid w:val="00BC6B50"/>
    <w:rsid w:val="00BD0E25"/>
    <w:rsid w:val="00BF0596"/>
    <w:rsid w:val="00BF5BD6"/>
    <w:rsid w:val="00C039F8"/>
    <w:rsid w:val="00C03E31"/>
    <w:rsid w:val="00C27036"/>
    <w:rsid w:val="00C27F24"/>
    <w:rsid w:val="00C30E69"/>
    <w:rsid w:val="00C33E72"/>
    <w:rsid w:val="00C354B2"/>
    <w:rsid w:val="00C35554"/>
    <w:rsid w:val="00C42709"/>
    <w:rsid w:val="00C533CC"/>
    <w:rsid w:val="00C561CF"/>
    <w:rsid w:val="00C5751C"/>
    <w:rsid w:val="00C61BFC"/>
    <w:rsid w:val="00C62B85"/>
    <w:rsid w:val="00C65438"/>
    <w:rsid w:val="00C91CBB"/>
    <w:rsid w:val="00C97A1C"/>
    <w:rsid w:val="00CA1607"/>
    <w:rsid w:val="00CB4E70"/>
    <w:rsid w:val="00CC09B6"/>
    <w:rsid w:val="00CC666F"/>
    <w:rsid w:val="00CD1E3F"/>
    <w:rsid w:val="00CE2206"/>
    <w:rsid w:val="00CE44F6"/>
    <w:rsid w:val="00CE49DA"/>
    <w:rsid w:val="00CE7B61"/>
    <w:rsid w:val="00D00095"/>
    <w:rsid w:val="00D114F0"/>
    <w:rsid w:val="00D179F5"/>
    <w:rsid w:val="00D20620"/>
    <w:rsid w:val="00D2207C"/>
    <w:rsid w:val="00D254F7"/>
    <w:rsid w:val="00D26091"/>
    <w:rsid w:val="00D2685C"/>
    <w:rsid w:val="00D34E7C"/>
    <w:rsid w:val="00D35489"/>
    <w:rsid w:val="00D36AFE"/>
    <w:rsid w:val="00D51276"/>
    <w:rsid w:val="00D5370F"/>
    <w:rsid w:val="00D7035F"/>
    <w:rsid w:val="00DA634F"/>
    <w:rsid w:val="00DA65AC"/>
    <w:rsid w:val="00DB1913"/>
    <w:rsid w:val="00DC410D"/>
    <w:rsid w:val="00DC5A81"/>
    <w:rsid w:val="00DC68CA"/>
    <w:rsid w:val="00DC7CBA"/>
    <w:rsid w:val="00DD73B7"/>
    <w:rsid w:val="00DF28BC"/>
    <w:rsid w:val="00DF34B9"/>
    <w:rsid w:val="00DF7548"/>
    <w:rsid w:val="00E01053"/>
    <w:rsid w:val="00E07ACF"/>
    <w:rsid w:val="00E331A1"/>
    <w:rsid w:val="00E33202"/>
    <w:rsid w:val="00E336A9"/>
    <w:rsid w:val="00E40AFD"/>
    <w:rsid w:val="00E472B1"/>
    <w:rsid w:val="00E50624"/>
    <w:rsid w:val="00E568DF"/>
    <w:rsid w:val="00E57B76"/>
    <w:rsid w:val="00E64269"/>
    <w:rsid w:val="00E657EE"/>
    <w:rsid w:val="00E66797"/>
    <w:rsid w:val="00E6695B"/>
    <w:rsid w:val="00E82267"/>
    <w:rsid w:val="00E853CE"/>
    <w:rsid w:val="00E867B6"/>
    <w:rsid w:val="00E87F08"/>
    <w:rsid w:val="00E95A8E"/>
    <w:rsid w:val="00EA010F"/>
    <w:rsid w:val="00EB4BA4"/>
    <w:rsid w:val="00ED1B63"/>
    <w:rsid w:val="00ED3C1F"/>
    <w:rsid w:val="00ED4085"/>
    <w:rsid w:val="00ED420E"/>
    <w:rsid w:val="00ED6FBE"/>
    <w:rsid w:val="00EE2F57"/>
    <w:rsid w:val="00EF4C34"/>
    <w:rsid w:val="00EF77C6"/>
    <w:rsid w:val="00F0269C"/>
    <w:rsid w:val="00F03568"/>
    <w:rsid w:val="00F05438"/>
    <w:rsid w:val="00F0648D"/>
    <w:rsid w:val="00F1361C"/>
    <w:rsid w:val="00F156F0"/>
    <w:rsid w:val="00F160C7"/>
    <w:rsid w:val="00F2408F"/>
    <w:rsid w:val="00F240E9"/>
    <w:rsid w:val="00F36D8F"/>
    <w:rsid w:val="00F417B1"/>
    <w:rsid w:val="00F45853"/>
    <w:rsid w:val="00F47B8E"/>
    <w:rsid w:val="00F602DF"/>
    <w:rsid w:val="00F61820"/>
    <w:rsid w:val="00F754A1"/>
    <w:rsid w:val="00F81FD9"/>
    <w:rsid w:val="00F841AA"/>
    <w:rsid w:val="00F84A94"/>
    <w:rsid w:val="00F87E96"/>
    <w:rsid w:val="00FA23E8"/>
    <w:rsid w:val="00FB1891"/>
    <w:rsid w:val="00FC4E57"/>
    <w:rsid w:val="00FD2792"/>
    <w:rsid w:val="00FD3CC1"/>
    <w:rsid w:val="00FE657A"/>
    <w:rsid w:val="00FF1E02"/>
    <w:rsid w:val="00FF30B4"/>
    <w:rsid w:val="0F5979E8"/>
    <w:rsid w:val="10C055FF"/>
    <w:rsid w:val="16BB723D"/>
    <w:rsid w:val="22D662E0"/>
    <w:rsid w:val="240371BF"/>
    <w:rsid w:val="29FD04D3"/>
    <w:rsid w:val="2AB21A94"/>
    <w:rsid w:val="319F7F4E"/>
    <w:rsid w:val="31A25996"/>
    <w:rsid w:val="4C8B2625"/>
    <w:rsid w:val="4ECE2238"/>
    <w:rsid w:val="58C10A89"/>
    <w:rsid w:val="5B9D2FBF"/>
    <w:rsid w:val="72734D90"/>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nhideWhenUsed="0" w:uiPriority="99"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nhideWhenUsed="0" w:uiPriority="99" w:semiHidden="0" w:name="Body Text"/>
    <w:lsdException w:qFormat="1"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99"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27"/>
    <w:qFormat/>
    <w:uiPriority w:val="9"/>
    <w:pPr>
      <w:keepNext/>
      <w:keepLines/>
      <w:spacing w:before="340" w:after="330" w:line="578" w:lineRule="auto"/>
      <w:outlineLvl w:val="0"/>
    </w:pPr>
    <w:rPr>
      <w:b/>
      <w:bCs/>
      <w:kern w:val="44"/>
      <w:sz w:val="44"/>
      <w:szCs w:val="44"/>
    </w:rPr>
  </w:style>
  <w:style w:type="paragraph" w:styleId="3">
    <w:name w:val="heading 2"/>
    <w:basedOn w:val="1"/>
    <w:next w:val="1"/>
    <w:link w:val="37"/>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paragraph" w:styleId="4">
    <w:name w:val="heading 3"/>
    <w:basedOn w:val="1"/>
    <w:next w:val="1"/>
    <w:link w:val="31"/>
    <w:unhideWhenUsed/>
    <w:qFormat/>
    <w:uiPriority w:val="9"/>
    <w:pPr>
      <w:keepNext/>
      <w:keepLines/>
      <w:spacing w:before="260" w:after="260" w:line="416" w:lineRule="auto"/>
      <w:outlineLvl w:val="2"/>
    </w:pPr>
    <w:rPr>
      <w:b/>
      <w:bCs/>
      <w:sz w:val="32"/>
      <w:szCs w:val="32"/>
    </w:rPr>
  </w:style>
  <w:style w:type="character" w:default="1" w:styleId="14">
    <w:name w:val="Default Paragraph Font"/>
    <w:link w:val="15"/>
    <w:unhideWhenUsed/>
    <w:uiPriority w:val="1"/>
    <w:rPr>
      <w:kern w:val="0"/>
      <w:sz w:val="24"/>
      <w:szCs w:val="24"/>
    </w:rPr>
  </w:style>
  <w:style w:type="table" w:default="1" w:styleId="18">
    <w:name w:val="Normal Table"/>
    <w:unhideWhenUsed/>
    <w:qFormat/>
    <w:uiPriority w:val="99"/>
    <w:tblPr>
      <w:tblLayout w:type="fixed"/>
      <w:tblCellMar>
        <w:top w:w="0" w:type="dxa"/>
        <w:left w:w="108" w:type="dxa"/>
        <w:bottom w:w="0" w:type="dxa"/>
        <w:right w:w="108" w:type="dxa"/>
      </w:tblCellMar>
    </w:tblPr>
  </w:style>
  <w:style w:type="paragraph" w:styleId="5">
    <w:name w:val="Body Text"/>
    <w:basedOn w:val="1"/>
    <w:link w:val="24"/>
    <w:uiPriority w:val="99"/>
    <w:pPr>
      <w:spacing w:beforeLines="30"/>
    </w:pPr>
    <w:rPr>
      <w:rFonts w:ascii="仿宋_GB2312" w:eastAsia="仿宋_GB2312"/>
      <w:kern w:val="0"/>
      <w:sz w:val="30"/>
    </w:rPr>
  </w:style>
  <w:style w:type="paragraph" w:styleId="6">
    <w:name w:val="Body Text Indent"/>
    <w:basedOn w:val="1"/>
    <w:link w:val="34"/>
    <w:unhideWhenUsed/>
    <w:qFormat/>
    <w:uiPriority w:val="99"/>
    <w:pPr>
      <w:spacing w:after="120"/>
      <w:ind w:left="420" w:leftChars="200"/>
    </w:pPr>
  </w:style>
  <w:style w:type="paragraph" w:styleId="7">
    <w:name w:val="toc 3"/>
    <w:basedOn w:val="1"/>
    <w:next w:val="1"/>
    <w:unhideWhenUsed/>
    <w:qFormat/>
    <w:uiPriority w:val="39"/>
    <w:pPr>
      <w:tabs>
        <w:tab w:val="right" w:leader="dot" w:pos="8296"/>
      </w:tabs>
      <w:ind w:left="840" w:leftChars="400"/>
    </w:pPr>
  </w:style>
  <w:style w:type="paragraph" w:styleId="8">
    <w:name w:val="Balloon Text"/>
    <w:basedOn w:val="1"/>
    <w:link w:val="30"/>
    <w:unhideWhenUsed/>
    <w:qFormat/>
    <w:uiPriority w:val="99"/>
    <w:rPr>
      <w:sz w:val="18"/>
      <w:szCs w:val="18"/>
    </w:rPr>
  </w:style>
  <w:style w:type="paragraph" w:styleId="9">
    <w:name w:val="footer"/>
    <w:basedOn w:val="1"/>
    <w:link w:val="22"/>
    <w:qFormat/>
    <w:uiPriority w:val="99"/>
    <w:pPr>
      <w:tabs>
        <w:tab w:val="center" w:pos="4153"/>
        <w:tab w:val="right" w:pos="8306"/>
      </w:tabs>
      <w:snapToGrid w:val="0"/>
      <w:jc w:val="left"/>
    </w:pPr>
    <w:rPr>
      <w:rFonts w:ascii="Calibri" w:hAnsi="Calibri"/>
      <w:kern w:val="0"/>
      <w:sz w:val="18"/>
      <w:szCs w:val="18"/>
    </w:rPr>
  </w:style>
  <w:style w:type="paragraph" w:styleId="10">
    <w:name w:val="header"/>
    <w:basedOn w:val="1"/>
    <w:link w:val="20"/>
    <w:semiHidden/>
    <w:qFormat/>
    <w:uiPriority w:val="99"/>
    <w:pPr>
      <w:pBdr>
        <w:bottom w:val="single" w:color="auto" w:sz="6" w:space="1"/>
      </w:pBdr>
      <w:tabs>
        <w:tab w:val="center" w:pos="4153"/>
        <w:tab w:val="right" w:pos="8306"/>
      </w:tabs>
      <w:snapToGrid w:val="0"/>
      <w:jc w:val="center"/>
    </w:pPr>
    <w:rPr>
      <w:rFonts w:ascii="Calibri" w:hAnsi="Calibri"/>
      <w:kern w:val="0"/>
      <w:sz w:val="18"/>
      <w:szCs w:val="18"/>
    </w:rPr>
  </w:style>
  <w:style w:type="paragraph" w:styleId="11">
    <w:name w:val="toc 1"/>
    <w:basedOn w:val="1"/>
    <w:next w:val="1"/>
    <w:unhideWhenUsed/>
    <w:qFormat/>
    <w:uiPriority w:val="39"/>
    <w:pPr>
      <w:tabs>
        <w:tab w:val="right" w:leader="dot" w:pos="8296"/>
      </w:tabs>
      <w:spacing w:before="93"/>
      <w:jc w:val="center"/>
    </w:pPr>
    <w:rPr>
      <w:rFonts w:ascii="仿宋" w:hAnsi="仿宋" w:eastAsia="仿宋"/>
      <w:sz w:val="28"/>
      <w:szCs w:val="28"/>
    </w:rPr>
  </w:style>
  <w:style w:type="paragraph" w:styleId="12">
    <w:name w:val="toc 2"/>
    <w:basedOn w:val="1"/>
    <w:next w:val="1"/>
    <w:unhideWhenUsed/>
    <w:qFormat/>
    <w:uiPriority w:val="39"/>
    <w:pPr>
      <w:tabs>
        <w:tab w:val="right" w:leader="dot" w:pos="8296"/>
      </w:tabs>
      <w:ind w:left="420" w:leftChars="200"/>
    </w:pPr>
  </w:style>
  <w:style w:type="paragraph" w:styleId="13">
    <w:name w:val="Normal (Web)"/>
    <w:basedOn w:val="1"/>
    <w:qFormat/>
    <w:uiPriority w:val="0"/>
    <w:pPr>
      <w:spacing w:before="100" w:beforeAutospacing="1" w:after="100" w:afterAutospacing="1"/>
      <w:jc w:val="left"/>
    </w:pPr>
    <w:rPr>
      <w:kern w:val="0"/>
      <w:sz w:val="24"/>
    </w:rPr>
  </w:style>
  <w:style w:type="paragraph" w:customStyle="1" w:styleId="15">
    <w:name w:val="Char"/>
    <w:basedOn w:val="1"/>
    <w:next w:val="1"/>
    <w:link w:val="14"/>
    <w:uiPriority w:val="0"/>
    <w:pPr>
      <w:tabs>
        <w:tab w:val="left" w:pos="777"/>
      </w:tabs>
      <w:spacing w:beforeLines="50" w:line="360" w:lineRule="auto"/>
      <w:ind w:left="4420" w:hanging="748"/>
      <w:jc w:val="center"/>
    </w:pPr>
    <w:rPr>
      <w:kern w:val="0"/>
      <w:sz w:val="24"/>
      <w:szCs w:val="24"/>
    </w:rPr>
  </w:style>
  <w:style w:type="character" w:styleId="16">
    <w:name w:val="Strong"/>
    <w:basedOn w:val="14"/>
    <w:qFormat/>
    <w:uiPriority w:val="99"/>
    <w:rPr>
      <w:b/>
    </w:rPr>
  </w:style>
  <w:style w:type="character" w:styleId="17">
    <w:name w:val="Hyperlink"/>
    <w:basedOn w:val="14"/>
    <w:unhideWhenUsed/>
    <w:qFormat/>
    <w:uiPriority w:val="99"/>
    <w:rPr>
      <w:color w:val="0000FF" w:themeColor="hyperlink"/>
      <w:u w:val="single"/>
    </w:rPr>
  </w:style>
  <w:style w:type="character" w:customStyle="1" w:styleId="19">
    <w:name w:val="Header Char"/>
    <w:basedOn w:val="14"/>
    <w:semiHidden/>
    <w:qFormat/>
    <w:uiPriority w:val="99"/>
    <w:rPr>
      <w:rFonts w:ascii="Times New Roman" w:hAnsi="Times New Roman"/>
      <w:sz w:val="18"/>
      <w:szCs w:val="18"/>
    </w:rPr>
  </w:style>
  <w:style w:type="character" w:customStyle="1" w:styleId="20">
    <w:name w:val="页眉 Char"/>
    <w:link w:val="10"/>
    <w:semiHidden/>
    <w:qFormat/>
    <w:locked/>
    <w:uiPriority w:val="99"/>
    <w:rPr>
      <w:sz w:val="18"/>
    </w:rPr>
  </w:style>
  <w:style w:type="character" w:customStyle="1" w:styleId="21">
    <w:name w:val="Footer Char"/>
    <w:basedOn w:val="14"/>
    <w:semiHidden/>
    <w:qFormat/>
    <w:uiPriority w:val="99"/>
    <w:rPr>
      <w:rFonts w:ascii="Times New Roman" w:hAnsi="Times New Roman"/>
      <w:sz w:val="18"/>
      <w:szCs w:val="18"/>
    </w:rPr>
  </w:style>
  <w:style w:type="character" w:customStyle="1" w:styleId="22">
    <w:name w:val="页脚 Char"/>
    <w:link w:val="9"/>
    <w:qFormat/>
    <w:locked/>
    <w:uiPriority w:val="99"/>
    <w:rPr>
      <w:sz w:val="18"/>
    </w:rPr>
  </w:style>
  <w:style w:type="character" w:customStyle="1" w:styleId="23">
    <w:name w:val="Body Text Char"/>
    <w:basedOn w:val="14"/>
    <w:semiHidden/>
    <w:qFormat/>
    <w:uiPriority w:val="99"/>
    <w:rPr>
      <w:rFonts w:ascii="Times New Roman" w:hAnsi="Times New Roman"/>
      <w:szCs w:val="24"/>
    </w:rPr>
  </w:style>
  <w:style w:type="character" w:customStyle="1" w:styleId="24">
    <w:name w:val="正文文本 Char"/>
    <w:link w:val="5"/>
    <w:qFormat/>
    <w:locked/>
    <w:uiPriority w:val="99"/>
    <w:rPr>
      <w:rFonts w:ascii="仿宋_GB2312" w:hAnsi="Times New Roman" w:eastAsia="仿宋_GB2312"/>
      <w:sz w:val="24"/>
    </w:rPr>
  </w:style>
  <w:style w:type="paragraph" w:customStyle="1" w:styleId="25">
    <w:name w:val="Default"/>
    <w:qFormat/>
    <w:uiPriority w:val="99"/>
    <w:pPr>
      <w:widowControl w:val="0"/>
      <w:autoSpaceDE w:val="0"/>
      <w:autoSpaceDN w:val="0"/>
      <w:adjustRightInd w:val="0"/>
    </w:pPr>
    <w:rPr>
      <w:rFonts w:ascii="仿宋" w:hAnsi="Calibri" w:eastAsia="仿宋" w:cs="仿宋"/>
      <w:color w:val="000000"/>
      <w:sz w:val="24"/>
      <w:szCs w:val="24"/>
      <w:lang w:val="en-US" w:eastAsia="zh-CN" w:bidi="ar-SA"/>
    </w:rPr>
  </w:style>
  <w:style w:type="paragraph" w:customStyle="1" w:styleId="26">
    <w:name w:val="List Paragraph"/>
    <w:basedOn w:val="1"/>
    <w:qFormat/>
    <w:uiPriority w:val="34"/>
    <w:pPr>
      <w:ind w:firstLine="420" w:firstLineChars="200"/>
    </w:pPr>
  </w:style>
  <w:style w:type="character" w:customStyle="1" w:styleId="27">
    <w:name w:val="标题 1 Char"/>
    <w:basedOn w:val="14"/>
    <w:link w:val="2"/>
    <w:qFormat/>
    <w:uiPriority w:val="9"/>
    <w:rPr>
      <w:rFonts w:ascii="Times New Roman" w:hAnsi="Times New Roman"/>
      <w:b/>
      <w:bCs/>
      <w:kern w:val="44"/>
      <w:sz w:val="44"/>
      <w:szCs w:val="44"/>
    </w:rPr>
  </w:style>
  <w:style w:type="character" w:customStyle="1" w:styleId="28">
    <w:name w:val="标题 2 Char"/>
    <w:basedOn w:val="14"/>
    <w:link w:val="3"/>
    <w:qFormat/>
    <w:uiPriority w:val="9"/>
    <w:rPr>
      <w:rFonts w:asciiTheme="majorHAnsi" w:hAnsiTheme="majorHAnsi" w:eastAsiaTheme="majorEastAsia" w:cstheme="majorBidi"/>
      <w:b/>
      <w:bCs/>
      <w:kern w:val="2"/>
      <w:sz w:val="32"/>
      <w:szCs w:val="32"/>
    </w:rPr>
  </w:style>
  <w:style w:type="paragraph" w:customStyle="1" w:styleId="29">
    <w:name w:val="TOC 标题1"/>
    <w:basedOn w:val="2"/>
    <w:next w:val="1"/>
    <w:unhideWhenUsed/>
    <w:qFormat/>
    <w:uiPriority w:val="39"/>
    <w:pPr>
      <w:widowControl/>
      <w:spacing w:before="480" w:after="0" w:line="276" w:lineRule="auto"/>
      <w:jc w:val="left"/>
      <w:outlineLvl w:val="9"/>
    </w:pPr>
    <w:rPr>
      <w:rFonts w:asciiTheme="majorHAnsi" w:hAnsiTheme="majorHAnsi" w:eastAsiaTheme="majorEastAsia" w:cstheme="majorBidi"/>
      <w:color w:val="366091" w:themeColor="accent1" w:themeShade="BF"/>
      <w:kern w:val="0"/>
      <w:sz w:val="28"/>
      <w:szCs w:val="28"/>
    </w:rPr>
  </w:style>
  <w:style w:type="character" w:customStyle="1" w:styleId="30">
    <w:name w:val="批注框文本 Char"/>
    <w:basedOn w:val="14"/>
    <w:link w:val="8"/>
    <w:semiHidden/>
    <w:qFormat/>
    <w:uiPriority w:val="99"/>
    <w:rPr>
      <w:rFonts w:ascii="Times New Roman" w:hAnsi="Times New Roman"/>
      <w:kern w:val="2"/>
      <w:sz w:val="18"/>
      <w:szCs w:val="18"/>
    </w:rPr>
  </w:style>
  <w:style w:type="character" w:customStyle="1" w:styleId="31">
    <w:name w:val="标题 3 Char"/>
    <w:basedOn w:val="14"/>
    <w:link w:val="4"/>
    <w:qFormat/>
    <w:uiPriority w:val="9"/>
    <w:rPr>
      <w:rFonts w:ascii="Times New Roman" w:hAnsi="Times New Roman"/>
      <w:b/>
      <w:bCs/>
      <w:kern w:val="2"/>
      <w:sz w:val="32"/>
      <w:szCs w:val="32"/>
    </w:rPr>
  </w:style>
  <w:style w:type="paragraph" w:customStyle="1" w:styleId="32">
    <w:name w:val="TOC 标题2"/>
    <w:basedOn w:val="2"/>
    <w:next w:val="1"/>
    <w:unhideWhenUsed/>
    <w:qFormat/>
    <w:uiPriority w:val="39"/>
    <w:pPr>
      <w:widowControl/>
      <w:spacing w:before="480" w:after="0" w:line="276" w:lineRule="auto"/>
      <w:jc w:val="left"/>
      <w:outlineLvl w:val="9"/>
    </w:pPr>
    <w:rPr>
      <w:rFonts w:asciiTheme="majorHAnsi" w:hAnsiTheme="majorHAnsi" w:eastAsiaTheme="majorEastAsia" w:cstheme="majorBidi"/>
      <w:color w:val="366091" w:themeColor="accent1" w:themeShade="BF"/>
      <w:kern w:val="0"/>
      <w:sz w:val="28"/>
      <w:szCs w:val="28"/>
    </w:rPr>
  </w:style>
  <w:style w:type="paragraph" w:customStyle="1" w:styleId="33">
    <w:name w:val="p0"/>
    <w:basedOn w:val="1"/>
    <w:qFormat/>
    <w:uiPriority w:val="0"/>
    <w:pPr>
      <w:widowControl/>
    </w:pPr>
    <w:rPr>
      <w:kern w:val="0"/>
      <w:szCs w:val="21"/>
    </w:rPr>
  </w:style>
  <w:style w:type="character" w:customStyle="1" w:styleId="34">
    <w:name w:val="正文文本缩进 Char"/>
    <w:basedOn w:val="14"/>
    <w:link w:val="6"/>
    <w:semiHidden/>
    <w:qFormat/>
    <w:uiPriority w:val="99"/>
    <w:rPr>
      <w:rFonts w:ascii="Times New Roman" w:hAnsi="Times New Roman"/>
      <w:kern w:val="2"/>
      <w:sz w:val="21"/>
      <w:szCs w:val="24"/>
    </w:rPr>
  </w:style>
  <w:style w:type="paragraph" w:customStyle="1" w:styleId="35">
    <w:name w:val="reader-word-layer reader-word-s1-8"/>
    <w:basedOn w:val="1"/>
    <w:qFormat/>
    <w:uiPriority w:val="0"/>
    <w:pPr>
      <w:widowControl/>
      <w:spacing w:before="100" w:beforeAutospacing="1" w:after="100" w:afterAutospacing="1"/>
      <w:jc w:val="left"/>
    </w:pPr>
    <w:rPr>
      <w:rFonts w:ascii="宋体" w:hAnsi="宋体" w:eastAsia="仿宋_GB2312" w:cs="宋体"/>
      <w:kern w:val="0"/>
      <w:sz w:val="24"/>
    </w:rPr>
  </w:style>
  <w:style w:type="paragraph" w:customStyle="1" w:styleId="36">
    <w:name w:val="普通(网站)1"/>
    <w:basedOn w:val="1"/>
    <w:qFormat/>
    <w:uiPriority w:val="0"/>
    <w:pPr>
      <w:autoSpaceDE w:val="0"/>
      <w:autoSpaceDN w:val="0"/>
      <w:adjustRightInd w:val="0"/>
      <w:spacing w:before="100" w:after="100"/>
      <w:jc w:val="left"/>
    </w:pPr>
    <w:rPr>
      <w:rFonts w:ascii="宋体" w:hAnsi="宋体" w:cs="宋体"/>
      <w:kern w:val="0"/>
      <w:sz w:val="24"/>
      <w:lang w:val="zh-CN"/>
    </w:rPr>
  </w:style>
  <w:style w:type="character" w:customStyle="1" w:styleId="37">
    <w:name w:val=" Char Char5"/>
    <w:basedOn w:val="14"/>
    <w:link w:val="3"/>
    <w:qFormat/>
    <w:uiPriority w:val="9"/>
    <w:rPr>
      <w:rFonts w:ascii="Cambria" w:hAnsi="Cambria" w:eastAsia="宋体" w:cs="Times New Roman"/>
      <w:b/>
      <w:bCs/>
      <w:kern w:val="2"/>
      <w:sz w:val="32"/>
      <w:szCs w:val="32"/>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2.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77C7DF7B-29DB-4D79-BD4D-2FB47749E85E}">
  <ds:schemaRefs/>
</ds:datastoreItem>
</file>

<file path=docProps/app.xml><?xml version="1.0" encoding="utf-8"?>
<Properties xmlns="http://schemas.openxmlformats.org/officeDocument/2006/extended-properties" xmlns:vt="http://schemas.openxmlformats.org/officeDocument/2006/docPropsVTypes">
  <Template>Normal</Template>
  <Company>四川省财政厅</Company>
  <Pages>20</Pages>
  <Words>1176</Words>
  <Characters>6704</Characters>
  <Lines>55</Lines>
  <Paragraphs>15</Paragraphs>
  <TotalTime>0</TotalTime>
  <ScaleCrop>false</ScaleCrop>
  <LinksUpToDate>false</LinksUpToDate>
  <CharactersWithSpaces>7865</CharactersWithSpaces>
  <Application>WPS Office_10.1.0.6749_F1E327BC-269C-435d-A152-05C5408002CA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2020-08-04T01:49:00Z</dcterms:created>
  <dc:creator>曹颖</dc:creator>
  <cp:lastModifiedBy>123</cp:lastModifiedBy>
  <cp:lastPrinted>2020-07-23T02:58:00Z</cp:lastPrinted>
  <dcterms:modified xsi:type="dcterms:W3CDTF">2021-09-24T02:43:52Z</dcterms:modified>
  <dc:title>四川省***</dc:title>
  <cp:revision>71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2052-10.1.0.6749</vt:lpwstr>
  </property>
</Properties>
</file>