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DADF" w14:textId="77777777" w:rsidR="00FE5C94" w:rsidRDefault="00FE5C94">
      <w:pPr>
        <w:spacing w:line="600" w:lineRule="exact"/>
        <w:rPr>
          <w:rFonts w:ascii="方正小标宋简体" w:eastAsia="方正小标宋简体" w:hAnsi="宋体"/>
          <w:color w:val="000000"/>
          <w:sz w:val="72"/>
          <w:szCs w:val="72"/>
        </w:rPr>
      </w:pPr>
      <w:bookmarkStart w:id="0" w:name="_Toc15306267"/>
    </w:p>
    <w:p w14:paraId="022D7F8C" w14:textId="77777777" w:rsidR="00FE5C94" w:rsidRDefault="00000000">
      <w:pPr>
        <w:jc w:val="center"/>
        <w:rPr>
          <w:rFonts w:ascii="黑体" w:eastAsia="黑体" w:hAnsi="黑体"/>
          <w:sz w:val="72"/>
          <w:szCs w:val="72"/>
        </w:rPr>
      </w:pPr>
      <w:bookmarkStart w:id="1" w:name="_Toc15377425"/>
      <w:bookmarkStart w:id="2" w:name="_Toc15377193"/>
      <w:bookmarkStart w:id="3" w:name="_Toc15396597"/>
      <w:bookmarkStart w:id="4" w:name="_Toc15396475"/>
      <w:bookmarkStart w:id="5" w:name="_Toc15378441"/>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2682CBDE" w14:textId="77777777" w:rsidR="00FE5C94" w:rsidRDefault="00000000">
      <w:pPr>
        <w:jc w:val="center"/>
        <w:rPr>
          <w:rFonts w:ascii="方正小标宋简体" w:eastAsia="方正小标宋简体"/>
          <w:sz w:val="72"/>
          <w:szCs w:val="72"/>
        </w:rPr>
      </w:pPr>
      <w:bookmarkStart w:id="6" w:name="_Toc15378442"/>
      <w:bookmarkStart w:id="7" w:name="_Toc15396476"/>
      <w:bookmarkStart w:id="8" w:name="_Toc15396598"/>
      <w:bookmarkStart w:id="9" w:name="_Toc15377426"/>
      <w:bookmarkStart w:id="10" w:name="_Toc15377194"/>
      <w:r>
        <w:rPr>
          <w:rFonts w:ascii="方正小标宋简体" w:eastAsia="方正小标宋简体" w:hint="eastAsia"/>
          <w:sz w:val="72"/>
          <w:szCs w:val="72"/>
        </w:rPr>
        <w:t>四川省阿坝州松潘县</w:t>
      </w:r>
      <w:bookmarkStart w:id="11" w:name="_Toc15306268"/>
      <w:bookmarkEnd w:id="0"/>
    </w:p>
    <w:p w14:paraId="02D3CB5C" w14:textId="77777777" w:rsidR="00FE5C94" w:rsidRDefault="00000000">
      <w:pPr>
        <w:jc w:val="center"/>
        <w:rPr>
          <w:rFonts w:ascii="方正小标宋简体" w:eastAsia="方正小标宋简体"/>
          <w:sz w:val="72"/>
          <w:szCs w:val="72"/>
        </w:rPr>
      </w:pPr>
      <w:r>
        <w:rPr>
          <w:rFonts w:ascii="方正小标宋简体" w:eastAsia="方正小标宋简体" w:hint="eastAsia"/>
          <w:sz w:val="72"/>
          <w:szCs w:val="72"/>
        </w:rPr>
        <w:t>综合行政执法局部门决算</w:t>
      </w:r>
      <w:bookmarkEnd w:id="6"/>
      <w:bookmarkEnd w:id="7"/>
      <w:bookmarkEnd w:id="8"/>
      <w:bookmarkEnd w:id="9"/>
      <w:bookmarkEnd w:id="10"/>
      <w:bookmarkEnd w:id="11"/>
    </w:p>
    <w:p w14:paraId="122D4C63" w14:textId="77777777" w:rsidR="00FE5C94" w:rsidRDefault="00FE5C94">
      <w:pPr>
        <w:widowControl/>
        <w:jc w:val="center"/>
        <w:rPr>
          <w:rFonts w:ascii="方正小标宋简体" w:eastAsia="方正小标宋简体" w:hAnsi="宋体"/>
          <w:color w:val="000000"/>
          <w:sz w:val="36"/>
          <w:szCs w:val="36"/>
        </w:rPr>
      </w:pPr>
    </w:p>
    <w:p w14:paraId="6ED81BC6" w14:textId="77777777" w:rsidR="00FE5C94" w:rsidRDefault="00FE5C94">
      <w:pPr>
        <w:rPr>
          <w:rFonts w:ascii="方正小标宋简体" w:eastAsia="方正小标宋简体" w:hAnsi="宋体"/>
          <w:sz w:val="36"/>
          <w:szCs w:val="36"/>
        </w:rPr>
      </w:pPr>
    </w:p>
    <w:p w14:paraId="73AE7968" w14:textId="77777777" w:rsidR="00FE5C94" w:rsidRDefault="00FE5C94">
      <w:pPr>
        <w:rPr>
          <w:rFonts w:ascii="方正小标宋简体" w:eastAsia="方正小标宋简体" w:hAnsi="宋体"/>
          <w:sz w:val="36"/>
          <w:szCs w:val="36"/>
        </w:rPr>
      </w:pPr>
    </w:p>
    <w:p w14:paraId="07747C00" w14:textId="77777777" w:rsidR="00FE5C94" w:rsidRDefault="00FE5C94">
      <w:pPr>
        <w:rPr>
          <w:rFonts w:ascii="方正小标宋简体" w:eastAsia="方正小标宋简体" w:hAnsi="宋体"/>
          <w:sz w:val="36"/>
          <w:szCs w:val="36"/>
        </w:rPr>
      </w:pPr>
    </w:p>
    <w:p w14:paraId="1AC5D129" w14:textId="77777777" w:rsidR="00FE5C94" w:rsidRDefault="00FE5C94">
      <w:pPr>
        <w:rPr>
          <w:rFonts w:ascii="方正小标宋简体" w:eastAsia="方正小标宋简体" w:hAnsi="宋体"/>
          <w:sz w:val="36"/>
          <w:szCs w:val="36"/>
        </w:rPr>
      </w:pPr>
    </w:p>
    <w:p w14:paraId="31F5DE79" w14:textId="77777777" w:rsidR="00FE5C94"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406493DC" w14:textId="77777777" w:rsidR="00FE5C94" w:rsidRDefault="00000000">
      <w:pPr>
        <w:pStyle w:val="1"/>
        <w:jc w:val="center"/>
        <w:rPr>
          <w:rFonts w:ascii="黑体" w:eastAsia="黑体" w:hAnsi="黑体"/>
          <w:color w:val="000000"/>
          <w:sz w:val="48"/>
          <w:szCs w:val="48"/>
        </w:rPr>
      </w:pPr>
      <w:bookmarkStart w:id="12" w:name="_Toc18528"/>
      <w:r>
        <w:rPr>
          <w:rFonts w:ascii="宋体" w:hAnsi="宋体" w:cs="仿宋_GB2312" w:hint="eastAsia"/>
          <w:sz w:val="32"/>
          <w:szCs w:val="32"/>
        </w:rPr>
        <w:t>部门主要负责人审签情况：已审签，同意对外公开</w:t>
      </w: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bookmarkEnd w:id="12"/>
    </w:p>
    <w:p w14:paraId="6D8938D5" w14:textId="77777777" w:rsidR="00FE5C94" w:rsidRDefault="00000000">
      <w:pPr>
        <w:pStyle w:val="TOC1"/>
        <w:spacing w:line="240" w:lineRule="exact"/>
        <w:jc w:val="center"/>
        <w:rPr>
          <w:rFonts w:ascii="仿宋_GB2312" w:eastAsia="仿宋_GB2312" w:hAnsi="仿宋_GB2312" w:cs="仿宋_GB2312"/>
          <w:b w:val="0"/>
          <w:bCs w:val="0"/>
        </w:rPr>
      </w:pPr>
      <w:r>
        <w:rPr>
          <w:rFonts w:ascii="仿宋_GB2312" w:eastAsia="仿宋_GB2312" w:hAnsi="仿宋_GB2312" w:cs="仿宋_GB2312" w:hint="eastAsia"/>
          <w:b w:val="0"/>
          <w:bCs w:val="0"/>
        </w:rPr>
        <w:t>公开时间：2022年9月23日</w:t>
      </w:r>
    </w:p>
    <w:sdt>
      <w:sdtPr>
        <w:rPr>
          <w:rFonts w:ascii="仿宋_GB2312" w:eastAsia="仿宋_GB2312" w:hAnsi="仿宋_GB2312" w:cs="仿宋_GB2312" w:hint="eastAsia"/>
          <w:sz w:val="20"/>
          <w:szCs w:val="20"/>
        </w:rPr>
        <w:id w:val="147469689"/>
        <w15:color w:val="DBDBDB"/>
      </w:sdtPr>
      <w:sdtEndPr>
        <w:rPr>
          <w:rFonts w:ascii="仿宋" w:eastAsia="仿宋" w:hAnsi="仿宋" w:cs="仿宋"/>
          <w:sz w:val="32"/>
          <w:szCs w:val="32"/>
        </w:rPr>
      </w:sdtEndPr>
      <w:sdtContent>
        <w:p w14:paraId="44564262" w14:textId="77777777" w:rsidR="00FE5C94" w:rsidRDefault="00FE5C94">
          <w:pPr>
            <w:spacing w:line="240" w:lineRule="exact"/>
            <w:jc w:val="center"/>
            <w:rPr>
              <w:rFonts w:ascii="仿宋_GB2312" w:eastAsia="仿宋_GB2312" w:hAnsi="仿宋_GB2312" w:cs="仿宋_GB2312"/>
              <w:sz w:val="20"/>
              <w:szCs w:val="20"/>
            </w:rPr>
          </w:pPr>
        </w:p>
        <w:p w14:paraId="3C3D7EF2" w14:textId="77777777" w:rsidR="00FE5C94" w:rsidRDefault="00000000">
          <w:pPr>
            <w:pStyle w:val="TOC1"/>
            <w:tabs>
              <w:tab w:val="right" w:leader="dot" w:pos="8306"/>
            </w:tabs>
            <w:spacing w:line="240" w:lineRule="exact"/>
            <w:rPr>
              <w:rFonts w:ascii="仿宋_GB2312" w:eastAsia="仿宋_GB2312" w:hAnsi="仿宋_GB2312" w:cs="仿宋_GB2312"/>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TOC \o "1-3" \h \u </w:instrText>
          </w:r>
          <w:r>
            <w:rPr>
              <w:rFonts w:ascii="仿宋_GB2312" w:eastAsia="仿宋_GB2312" w:hAnsi="仿宋_GB2312" w:cs="仿宋_GB2312" w:hint="eastAsia"/>
            </w:rPr>
            <w:fldChar w:fldCharType="separate"/>
          </w:r>
          <w:hyperlink w:anchor="_Toc1205" w:history="1">
            <w:r>
              <w:rPr>
                <w:rFonts w:ascii="仿宋_GB2312" w:eastAsia="仿宋_GB2312" w:hAnsi="仿宋_GB2312" w:cs="仿宋_GB2312" w:hint="eastAsia"/>
              </w:rPr>
              <w:t>第一部分</w:t>
            </w:r>
            <w:r>
              <w:rPr>
                <w:rFonts w:ascii="仿宋_GB2312" w:eastAsia="仿宋_GB2312" w:hAnsi="仿宋_GB2312" w:cs="仿宋_GB2312" w:hint="eastAsia"/>
                <w:bCs w:val="0"/>
              </w:rPr>
              <w:t>部门概况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_Toc1205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w:t>
            </w:r>
            <w:r>
              <w:rPr>
                <w:rFonts w:ascii="仿宋_GB2312" w:eastAsia="仿宋_GB2312" w:hAnsi="仿宋_GB2312" w:cs="仿宋_GB2312" w:hint="eastAsia"/>
              </w:rPr>
              <w:fldChar w:fldCharType="end"/>
            </w:r>
          </w:hyperlink>
        </w:p>
        <w:p w14:paraId="1E3BDF7C"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4885" w:history="1">
            <w:r>
              <w:rPr>
                <w:rFonts w:ascii="仿宋_GB2312" w:eastAsia="仿宋_GB2312" w:hAnsi="仿宋_GB2312" w:cs="仿宋_GB2312" w:hint="eastAsia"/>
              </w:rPr>
              <w:t>一、基本职能及主要工作</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_Toc14885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w:t>
            </w:r>
            <w:r>
              <w:rPr>
                <w:rFonts w:ascii="仿宋_GB2312" w:eastAsia="仿宋_GB2312" w:hAnsi="仿宋_GB2312" w:cs="仿宋_GB2312" w:hint="eastAsia"/>
              </w:rPr>
              <w:fldChar w:fldCharType="end"/>
            </w:r>
          </w:hyperlink>
        </w:p>
        <w:p w14:paraId="79F95C27"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14780" w:history="1">
            <w:r>
              <w:rPr>
                <w:rFonts w:ascii="仿宋_GB2312" w:eastAsia="仿宋_GB2312" w:hAnsi="仿宋_GB2312" w:cs="仿宋_GB2312" w:hint="eastAsia"/>
                <w:bCs/>
              </w:rPr>
              <w:t>（一）主要职能。</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_Toc14780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w:t>
            </w:r>
            <w:r>
              <w:rPr>
                <w:rFonts w:ascii="仿宋_GB2312" w:eastAsia="仿宋_GB2312" w:hAnsi="仿宋_GB2312" w:cs="仿宋_GB2312" w:hint="eastAsia"/>
              </w:rPr>
              <w:fldChar w:fldCharType="end"/>
            </w:r>
          </w:hyperlink>
        </w:p>
        <w:p w14:paraId="6E5148A4"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32181" w:history="1">
            <w:r>
              <w:rPr>
                <w:rFonts w:ascii="仿宋_GB2312" w:eastAsia="仿宋_GB2312" w:hAnsi="仿宋_GB2312" w:cs="仿宋_GB2312" w:hint="eastAsia"/>
                <w:bCs/>
              </w:rPr>
              <w:t>（二）2021年重点工作完成情况。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_Toc32181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w:t>
            </w:r>
            <w:r>
              <w:rPr>
                <w:rFonts w:ascii="仿宋_GB2312" w:eastAsia="仿宋_GB2312" w:hAnsi="仿宋_GB2312" w:cs="仿宋_GB2312" w:hint="eastAsia"/>
              </w:rPr>
              <w:fldChar w:fldCharType="end"/>
            </w:r>
          </w:hyperlink>
        </w:p>
        <w:p w14:paraId="3F5C9AD0"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6957" w:history="1">
            <w:r>
              <w:rPr>
                <w:rFonts w:ascii="仿宋_GB2312" w:eastAsia="仿宋_GB2312" w:hAnsi="仿宋_GB2312" w:cs="仿宋_GB2312" w:hint="eastAsia"/>
              </w:rPr>
              <w:t>二、机构设置</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_Toc16957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4</w:t>
            </w:r>
            <w:r>
              <w:rPr>
                <w:rFonts w:ascii="仿宋_GB2312" w:eastAsia="仿宋_GB2312" w:hAnsi="仿宋_GB2312" w:cs="仿宋_GB2312" w:hint="eastAsia"/>
              </w:rPr>
              <w:fldChar w:fldCharType="end"/>
            </w:r>
          </w:hyperlink>
        </w:p>
        <w:p w14:paraId="5EABF24E" w14:textId="77777777" w:rsidR="00FE5C94" w:rsidRDefault="00000000">
          <w:pPr>
            <w:pStyle w:val="TOC1"/>
            <w:tabs>
              <w:tab w:val="right" w:leader="dot" w:pos="8306"/>
            </w:tabs>
            <w:spacing w:line="240" w:lineRule="exact"/>
            <w:rPr>
              <w:rFonts w:ascii="仿宋_GB2312" w:eastAsia="仿宋_GB2312" w:hAnsi="仿宋_GB2312" w:cs="仿宋_GB2312"/>
            </w:rPr>
          </w:pPr>
          <w:hyperlink w:anchor="_Toc31032" w:history="1">
            <w:r>
              <w:rPr>
                <w:rFonts w:ascii="仿宋_GB2312" w:eastAsia="仿宋_GB2312" w:hAnsi="仿宋_GB2312" w:cs="仿宋_GB2312" w:hint="eastAsia"/>
              </w:rPr>
              <w:t>第二部分</w:t>
            </w:r>
            <w:r>
              <w:rPr>
                <w:rFonts w:ascii="仿宋_GB2312" w:eastAsia="仿宋_GB2312" w:hAnsi="仿宋_GB2312" w:cs="仿宋_GB2312" w:hint="eastAsia"/>
                <w:bCs w:val="0"/>
              </w:rPr>
              <w:t>2021年度部门决算情况说明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_Toc31032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5</w:t>
            </w:r>
            <w:r>
              <w:rPr>
                <w:rFonts w:ascii="仿宋_GB2312" w:eastAsia="仿宋_GB2312" w:hAnsi="仿宋_GB2312" w:cs="仿宋_GB2312" w:hint="eastAsia"/>
              </w:rPr>
              <w:fldChar w:fldCharType="end"/>
            </w:r>
          </w:hyperlink>
        </w:p>
        <w:p w14:paraId="057B84E3"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25793" w:history="1">
            <w:r>
              <w:rPr>
                <w:rFonts w:ascii="仿宋_GB2312" w:eastAsia="仿宋_GB2312" w:hAnsi="仿宋_GB2312" w:cs="仿宋_GB2312" w:hint="eastAsia"/>
              </w:rPr>
              <w:t>一、 收入支出决算总体情况说明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_Toc25793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5</w:t>
            </w:r>
            <w:r>
              <w:rPr>
                <w:rFonts w:ascii="仿宋_GB2312" w:eastAsia="仿宋_GB2312" w:hAnsi="仿宋_GB2312" w:cs="仿宋_GB2312" w:hint="eastAsia"/>
              </w:rPr>
              <w:fldChar w:fldCharType="end"/>
            </w:r>
          </w:hyperlink>
        </w:p>
        <w:p w14:paraId="6EA5B72D"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22055" w:history="1">
            <w:r>
              <w:rPr>
                <w:rFonts w:ascii="仿宋_GB2312" w:eastAsia="仿宋_GB2312" w:hAnsi="仿宋_GB2312" w:cs="仿宋_GB2312" w:hint="eastAsia"/>
              </w:rPr>
              <w:t>二、 收入决算情况说明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_Toc22055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5</w:t>
            </w:r>
            <w:r>
              <w:rPr>
                <w:rFonts w:ascii="仿宋_GB2312" w:eastAsia="仿宋_GB2312" w:hAnsi="仿宋_GB2312" w:cs="仿宋_GB2312" w:hint="eastAsia"/>
              </w:rPr>
              <w:fldChar w:fldCharType="end"/>
            </w:r>
          </w:hyperlink>
        </w:p>
        <w:p w14:paraId="66713AD2"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30117" w:history="1">
            <w:r>
              <w:rPr>
                <w:rFonts w:ascii="仿宋_GB2312" w:eastAsia="仿宋_GB2312" w:hAnsi="仿宋_GB2312" w:cs="仿宋_GB2312" w:hint="eastAsia"/>
              </w:rPr>
              <w:t>三、 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_Toc30117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6</w:t>
            </w:r>
            <w:r>
              <w:rPr>
                <w:rFonts w:ascii="仿宋_GB2312" w:eastAsia="仿宋_GB2312" w:hAnsi="仿宋_GB2312" w:cs="仿宋_GB2312" w:hint="eastAsia"/>
              </w:rPr>
              <w:fldChar w:fldCharType="end"/>
            </w:r>
          </w:hyperlink>
        </w:p>
        <w:p w14:paraId="20EA85B3"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9724" w:history="1">
            <w:r>
              <w:rPr>
                <w:rFonts w:ascii="仿宋_GB2312" w:eastAsia="仿宋_GB2312" w:hAnsi="仿宋_GB2312" w:cs="仿宋_GB2312" w:hint="eastAsia"/>
              </w:rPr>
              <w:t>四、财政拨款收入支出决算总体情况说明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_Toc19724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hyperlink>
        </w:p>
        <w:p w14:paraId="6017DDB8"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2898" w:history="1">
            <w:r>
              <w:rPr>
                <w:rFonts w:ascii="仿宋_GB2312" w:eastAsia="仿宋_GB2312" w:hAnsi="仿宋_GB2312" w:cs="仿宋_GB2312" w:hint="eastAsia"/>
              </w:rPr>
              <w:t>五、一般公共预算财政拨款支出决算情况说明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_Toc12898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hyperlink>
        </w:p>
        <w:p w14:paraId="0EA1D6CE"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22575" w:history="1">
            <w:r>
              <w:rPr>
                <w:rFonts w:ascii="仿宋_GB2312" w:eastAsia="仿宋_GB2312" w:hAnsi="仿宋_GB2312" w:cs="仿宋_GB2312" w:hint="eastAsia"/>
              </w:rPr>
              <w:t>（一）一般公共预算财政拨款支出决算总体情况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_Toc22575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7</w:t>
            </w:r>
            <w:r>
              <w:rPr>
                <w:rFonts w:ascii="仿宋_GB2312" w:eastAsia="仿宋_GB2312" w:hAnsi="仿宋_GB2312" w:cs="仿宋_GB2312" w:hint="eastAsia"/>
              </w:rPr>
              <w:fldChar w:fldCharType="end"/>
            </w:r>
          </w:hyperlink>
        </w:p>
        <w:p w14:paraId="71BA5315"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23564" w:history="1">
            <w:r>
              <w:rPr>
                <w:rFonts w:ascii="仿宋_GB2312" w:eastAsia="仿宋_GB2312" w:hAnsi="仿宋_GB2312" w:cs="仿宋_GB2312" w:hint="eastAsia"/>
              </w:rPr>
              <w:t>（二）一般公共预算财政拨款支出决算结构情况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_Toc23564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8</w:t>
            </w:r>
            <w:r>
              <w:rPr>
                <w:rFonts w:ascii="仿宋_GB2312" w:eastAsia="仿宋_GB2312" w:hAnsi="仿宋_GB2312" w:cs="仿宋_GB2312" w:hint="eastAsia"/>
              </w:rPr>
              <w:fldChar w:fldCharType="end"/>
            </w:r>
          </w:hyperlink>
        </w:p>
        <w:p w14:paraId="141239F4"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19603" w:history="1">
            <w:r>
              <w:rPr>
                <w:rFonts w:ascii="仿宋_GB2312" w:eastAsia="仿宋_GB2312" w:hAnsi="仿宋_GB2312" w:cs="仿宋_GB2312" w:hint="eastAsia"/>
              </w:rPr>
              <w:t>（三）一般公共预算财政拨款支出决算具体情况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_Toc19603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9</w:t>
            </w:r>
            <w:r>
              <w:rPr>
                <w:rFonts w:ascii="仿宋_GB2312" w:eastAsia="仿宋_GB2312" w:hAnsi="仿宋_GB2312" w:cs="仿宋_GB2312" w:hint="eastAsia"/>
              </w:rPr>
              <w:fldChar w:fldCharType="end"/>
            </w:r>
          </w:hyperlink>
        </w:p>
        <w:p w14:paraId="1A45F9B8"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3015" w:history="1">
            <w:r>
              <w:rPr>
                <w:rFonts w:ascii="仿宋_GB2312" w:eastAsia="仿宋_GB2312" w:hAnsi="仿宋_GB2312" w:cs="仿宋_GB2312" w:hint="eastAsia"/>
              </w:rPr>
              <w:t>六、一般公共预算财政拨款基本支出决算情况说明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_Toc13015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9</w:t>
            </w:r>
            <w:r>
              <w:rPr>
                <w:rFonts w:ascii="仿宋_GB2312" w:eastAsia="仿宋_GB2312" w:hAnsi="仿宋_GB2312" w:cs="仿宋_GB2312" w:hint="eastAsia"/>
              </w:rPr>
              <w:fldChar w:fldCharType="end"/>
            </w:r>
          </w:hyperlink>
        </w:p>
        <w:p w14:paraId="0989C48A"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5105" w:history="1">
            <w:r>
              <w:rPr>
                <w:rFonts w:ascii="仿宋_GB2312" w:eastAsia="仿宋_GB2312" w:hAnsi="仿宋_GB2312" w:cs="仿宋_GB2312" w:hint="eastAsia"/>
              </w:rPr>
              <w:t>七、“三公”经费财政拨款支出决算情况说明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_Toc5105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10</w:t>
            </w:r>
            <w:r>
              <w:rPr>
                <w:rFonts w:ascii="仿宋_GB2312" w:eastAsia="仿宋_GB2312" w:hAnsi="仿宋_GB2312" w:cs="仿宋_GB2312" w:hint="eastAsia"/>
              </w:rPr>
              <w:fldChar w:fldCharType="end"/>
            </w:r>
          </w:hyperlink>
        </w:p>
        <w:p w14:paraId="05459A8F"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17053" w:history="1">
            <w:r>
              <w:rPr>
                <w:rFonts w:ascii="仿宋_GB2312" w:eastAsia="仿宋_GB2312" w:hAnsi="仿宋_GB2312" w:cs="仿宋_GB2312" w:hint="eastAsia"/>
              </w:rPr>
              <w:t>（一）“三公”经费财政拨款支出决算总体情况说明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_Toc17053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10</w:t>
            </w:r>
            <w:r>
              <w:rPr>
                <w:rFonts w:ascii="仿宋_GB2312" w:eastAsia="仿宋_GB2312" w:hAnsi="仿宋_GB2312" w:cs="仿宋_GB2312" w:hint="eastAsia"/>
              </w:rPr>
              <w:fldChar w:fldCharType="end"/>
            </w:r>
          </w:hyperlink>
        </w:p>
        <w:p w14:paraId="5A470ACF"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12473" w:history="1">
            <w:r>
              <w:rPr>
                <w:rFonts w:ascii="仿宋_GB2312" w:eastAsia="仿宋_GB2312" w:hAnsi="仿宋_GB2312" w:cs="仿宋_GB2312" w:hint="eastAsia"/>
              </w:rPr>
              <w:t>（二）“三公”经费财政拨款支出决算具体情况说明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_Toc12473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10</w:t>
            </w:r>
            <w:r>
              <w:rPr>
                <w:rFonts w:ascii="仿宋_GB2312" w:eastAsia="仿宋_GB2312" w:hAnsi="仿宋_GB2312" w:cs="仿宋_GB2312" w:hint="eastAsia"/>
              </w:rPr>
              <w:fldChar w:fldCharType="end"/>
            </w:r>
          </w:hyperlink>
        </w:p>
        <w:p w14:paraId="72767D24"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1130" w:history="1">
            <w:r>
              <w:rPr>
                <w:rFonts w:ascii="仿宋_GB2312" w:eastAsia="仿宋_GB2312" w:hAnsi="仿宋_GB2312" w:cs="仿宋_GB2312" w:hint="eastAsia"/>
              </w:rPr>
              <w:t>八、政府性基金预算支出决算情况说明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_Toc11130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11</w:t>
            </w:r>
            <w:r>
              <w:rPr>
                <w:rFonts w:ascii="仿宋_GB2312" w:eastAsia="仿宋_GB2312" w:hAnsi="仿宋_GB2312" w:cs="仿宋_GB2312" w:hint="eastAsia"/>
              </w:rPr>
              <w:fldChar w:fldCharType="end"/>
            </w:r>
          </w:hyperlink>
        </w:p>
        <w:p w14:paraId="46ABB508"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32190" w:history="1">
            <w:r>
              <w:rPr>
                <w:rFonts w:ascii="仿宋_GB2312" w:eastAsia="仿宋_GB2312" w:hAnsi="仿宋_GB2312" w:cs="仿宋_GB2312" w:hint="eastAsia"/>
              </w:rPr>
              <w:t>九、 国有资本经营预算支出决算情况说明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_Toc32190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11</w:t>
            </w:r>
            <w:r>
              <w:rPr>
                <w:rFonts w:ascii="仿宋_GB2312" w:eastAsia="仿宋_GB2312" w:hAnsi="仿宋_GB2312" w:cs="仿宋_GB2312" w:hint="eastAsia"/>
              </w:rPr>
              <w:fldChar w:fldCharType="end"/>
            </w:r>
          </w:hyperlink>
        </w:p>
        <w:p w14:paraId="444CBD90"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330" w:history="1">
            <w:r>
              <w:rPr>
                <w:rFonts w:ascii="仿宋_GB2312" w:eastAsia="仿宋_GB2312" w:hAnsi="仿宋_GB2312" w:cs="仿宋_GB2312" w:hint="eastAsia"/>
              </w:rPr>
              <w:t>十、其他重要事项的情况说明</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_Toc330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4F1105FE"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460" w:history="1">
            <w:r>
              <w:rPr>
                <w:rFonts w:ascii="仿宋_GB2312" w:eastAsia="仿宋_GB2312" w:hAnsi="仿宋_GB2312" w:cs="仿宋_GB2312" w:hint="eastAsia"/>
              </w:rPr>
              <w:t>（一）机关运行经费支出情况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_Toc460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5B1FC274"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12358" w:history="1">
            <w:r>
              <w:rPr>
                <w:rFonts w:ascii="仿宋_GB2312" w:eastAsia="仿宋_GB2312" w:hAnsi="仿宋_GB2312" w:cs="仿宋_GB2312" w:hint="eastAsia"/>
              </w:rPr>
              <w:t>（二）政府采购支出情况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_Toc12358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6C73CC88"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24714" w:history="1">
            <w:r>
              <w:rPr>
                <w:rFonts w:ascii="仿宋_GB2312" w:eastAsia="仿宋_GB2312" w:hAnsi="仿宋_GB2312" w:cs="仿宋_GB2312" w:hint="eastAsia"/>
              </w:rPr>
              <w:t>（三）国有资产占有使用情况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_Toc24714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317A68EE" w14:textId="77777777" w:rsidR="00FE5C94" w:rsidRDefault="00000000">
          <w:pPr>
            <w:pStyle w:val="TOC3"/>
            <w:tabs>
              <w:tab w:val="right" w:leader="dot" w:pos="8306"/>
            </w:tabs>
            <w:spacing w:line="240" w:lineRule="exact"/>
            <w:rPr>
              <w:rFonts w:ascii="仿宋_GB2312" w:eastAsia="仿宋_GB2312" w:hAnsi="仿宋_GB2312" w:cs="仿宋_GB2312"/>
            </w:rPr>
          </w:pPr>
          <w:hyperlink w:anchor="_Toc31125" w:history="1">
            <w:r>
              <w:rPr>
                <w:rFonts w:ascii="仿宋_GB2312" w:eastAsia="仿宋_GB2312" w:hAnsi="仿宋_GB2312" w:cs="仿宋_GB2312" w:hint="eastAsia"/>
              </w:rPr>
              <w:t>（四）预算绩效管理情况。</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_Toc31125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12</w:t>
            </w:r>
            <w:r>
              <w:rPr>
                <w:rFonts w:ascii="仿宋_GB2312" w:eastAsia="仿宋_GB2312" w:hAnsi="仿宋_GB2312" w:cs="仿宋_GB2312" w:hint="eastAsia"/>
              </w:rPr>
              <w:fldChar w:fldCharType="end"/>
            </w:r>
          </w:hyperlink>
        </w:p>
        <w:p w14:paraId="40183F1D" w14:textId="77777777" w:rsidR="00FE5C94" w:rsidRDefault="00000000">
          <w:pPr>
            <w:pStyle w:val="TOC1"/>
            <w:tabs>
              <w:tab w:val="right" w:leader="dot" w:pos="8306"/>
            </w:tabs>
            <w:spacing w:line="240" w:lineRule="exact"/>
            <w:rPr>
              <w:rFonts w:ascii="仿宋_GB2312" w:eastAsia="仿宋_GB2312" w:hAnsi="仿宋_GB2312" w:cs="仿宋_GB2312"/>
            </w:rPr>
          </w:pPr>
          <w:hyperlink w:anchor="_Toc23068" w:history="1">
            <w:r>
              <w:rPr>
                <w:rFonts w:ascii="仿宋_GB2312" w:eastAsia="仿宋_GB2312" w:hAnsi="仿宋_GB2312" w:cs="仿宋_GB2312" w:hint="eastAsia"/>
              </w:rPr>
              <w:t>第三部分 名词解释</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_Toc23068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13</w:t>
            </w:r>
            <w:r>
              <w:rPr>
                <w:rFonts w:ascii="仿宋_GB2312" w:eastAsia="仿宋_GB2312" w:hAnsi="仿宋_GB2312" w:cs="仿宋_GB2312" w:hint="eastAsia"/>
              </w:rPr>
              <w:fldChar w:fldCharType="end"/>
            </w:r>
          </w:hyperlink>
        </w:p>
        <w:p w14:paraId="7D3A0E67" w14:textId="77777777" w:rsidR="00FE5C94" w:rsidRDefault="00000000">
          <w:pPr>
            <w:pStyle w:val="TOC1"/>
            <w:tabs>
              <w:tab w:val="right" w:leader="dot" w:pos="8306"/>
            </w:tabs>
            <w:spacing w:line="240" w:lineRule="exact"/>
            <w:rPr>
              <w:rFonts w:ascii="仿宋_GB2312" w:eastAsia="仿宋_GB2312" w:hAnsi="仿宋_GB2312" w:cs="仿宋_GB2312"/>
            </w:rPr>
          </w:pPr>
          <w:hyperlink w:anchor="_Toc31237" w:history="1">
            <w:r>
              <w:rPr>
                <w:rFonts w:ascii="仿宋_GB2312" w:eastAsia="仿宋_GB2312" w:hAnsi="仿宋_GB2312" w:cs="仿宋_GB2312" w:hint="eastAsia"/>
              </w:rPr>
              <w:t>第四部分 松潘县综合行政执法局2021年部门整体支出绩效评价报告</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_Toc31237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14</w:t>
            </w:r>
            <w:r>
              <w:rPr>
                <w:rFonts w:ascii="仿宋_GB2312" w:eastAsia="仿宋_GB2312" w:hAnsi="仿宋_GB2312" w:cs="仿宋_GB2312" w:hint="eastAsia"/>
              </w:rPr>
              <w:fldChar w:fldCharType="end"/>
            </w:r>
          </w:hyperlink>
        </w:p>
        <w:p w14:paraId="37478193" w14:textId="77777777" w:rsidR="00FE5C94" w:rsidRDefault="00000000">
          <w:pPr>
            <w:pStyle w:val="TOC1"/>
            <w:tabs>
              <w:tab w:val="right" w:leader="dot" w:pos="8306"/>
            </w:tabs>
            <w:spacing w:line="240" w:lineRule="exact"/>
            <w:rPr>
              <w:rFonts w:ascii="仿宋_GB2312" w:eastAsia="仿宋_GB2312" w:hAnsi="仿宋_GB2312" w:cs="仿宋_GB2312"/>
            </w:rPr>
          </w:pPr>
          <w:hyperlink w:anchor="_Toc23198" w:history="1">
            <w:r>
              <w:rPr>
                <w:rFonts w:ascii="仿宋_GB2312" w:eastAsia="仿宋_GB2312" w:hAnsi="仿宋_GB2312" w:cs="仿宋_GB2312" w:hint="eastAsia"/>
              </w:rPr>
              <w:t>第五部分附表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_Toc23198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4D42BD7E"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4479" w:history="1">
            <w:r>
              <w:rPr>
                <w:rFonts w:ascii="仿宋_GB2312" w:eastAsia="仿宋_GB2312" w:hAnsi="仿宋_GB2312" w:cs="仿宋_GB2312" w:hint="eastAsia"/>
              </w:rPr>
              <w:t>一、收入支出决算总表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_Toc4479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146C637E"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31545" w:history="1">
            <w:r>
              <w:rPr>
                <w:rFonts w:ascii="仿宋_GB2312" w:eastAsia="仿宋_GB2312" w:hAnsi="仿宋_GB2312" w:cs="仿宋_GB2312" w:hint="eastAsia"/>
              </w:rPr>
              <w:t>二、收入决算表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_Toc31545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1D318EA6"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0793" w:history="1">
            <w:r>
              <w:rPr>
                <w:rFonts w:ascii="仿宋_GB2312" w:eastAsia="仿宋_GB2312" w:hAnsi="仿宋_GB2312" w:cs="仿宋_GB2312" w:hint="eastAsia"/>
              </w:rPr>
              <w:t>三、支出决算表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_Toc10793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113A40C9"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21365" w:history="1">
            <w:r>
              <w:rPr>
                <w:rFonts w:ascii="仿宋_GB2312" w:eastAsia="仿宋_GB2312" w:hAnsi="仿宋_GB2312" w:cs="仿宋_GB2312" w:hint="eastAsia"/>
              </w:rPr>
              <w:t>四、财政拨款收入支出决算总表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_Toc21365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02D427A1"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516" w:history="1">
            <w:r>
              <w:rPr>
                <w:rFonts w:ascii="仿宋_GB2312" w:eastAsia="仿宋_GB2312" w:hAnsi="仿宋_GB2312" w:cs="仿宋_GB2312" w:hint="eastAsia"/>
              </w:rPr>
              <w:t>五、财政拨款支出决算明细表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_Toc1516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2000FF57"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2647" w:history="1">
            <w:r>
              <w:rPr>
                <w:rFonts w:ascii="仿宋_GB2312" w:eastAsia="仿宋_GB2312" w:hAnsi="仿宋_GB2312" w:cs="仿宋_GB2312" w:hint="eastAsia"/>
              </w:rPr>
              <w:t>六、一般公共预算财政拨款支出决算表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_Toc12647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61507AC2"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5493" w:history="1">
            <w:r>
              <w:rPr>
                <w:rFonts w:ascii="仿宋_GB2312" w:eastAsia="仿宋_GB2312" w:hAnsi="仿宋_GB2312" w:cs="仿宋_GB2312" w:hint="eastAsia"/>
              </w:rPr>
              <w:t>七、一般公共预算财政拨款支出决算明细表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_Toc15493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67824043"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2266" w:history="1">
            <w:r>
              <w:rPr>
                <w:rFonts w:ascii="仿宋_GB2312" w:eastAsia="仿宋_GB2312" w:hAnsi="仿宋_GB2312" w:cs="仿宋_GB2312" w:hint="eastAsia"/>
              </w:rPr>
              <w:t>八、一般公共预算财政拨款基本支出决算表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_Toc12266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0AE837BD"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7985" w:history="1">
            <w:r>
              <w:rPr>
                <w:rFonts w:ascii="仿宋_GB2312" w:eastAsia="仿宋_GB2312" w:hAnsi="仿宋_GB2312" w:cs="仿宋_GB2312" w:hint="eastAsia"/>
              </w:rPr>
              <w:t>九、一般公共预算财政拨款项目支出决算表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_Toc7985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09AF08A2"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7657" w:history="1">
            <w:r>
              <w:rPr>
                <w:rFonts w:ascii="仿宋_GB2312" w:eastAsia="仿宋_GB2312" w:hAnsi="仿宋_GB2312" w:cs="仿宋_GB2312" w:hint="eastAsia"/>
              </w:rPr>
              <w:t>十、一般公共预算财政拨款“三公”经费支出决算表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_Toc7657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1AEAE075"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323" w:history="1">
            <w:r>
              <w:rPr>
                <w:rFonts w:ascii="仿宋_GB2312" w:eastAsia="仿宋_GB2312" w:hAnsi="仿宋_GB2312" w:cs="仿宋_GB2312" w:hint="eastAsia"/>
              </w:rPr>
              <w:t>十一、政府性基金预算财政拨款收入支出决算表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_Toc323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3FB1A56C"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0530" w:history="1">
            <w:r>
              <w:rPr>
                <w:rFonts w:ascii="仿宋_GB2312" w:eastAsia="仿宋_GB2312" w:hAnsi="仿宋_GB2312" w:cs="仿宋_GB2312" w:hint="eastAsia"/>
              </w:rPr>
              <w:t>十二、政府性基金预算财政拨款“三公”经费支出决算表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_Toc10530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1D23ED90"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0866" w:history="1">
            <w:r>
              <w:rPr>
                <w:rFonts w:ascii="仿宋_GB2312" w:eastAsia="仿宋_GB2312" w:hAnsi="仿宋_GB2312" w:cs="仿宋_GB2312" w:hint="eastAsia"/>
              </w:rPr>
              <w:t>十三、国有资本经营预算财政拨款收入支出决算表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_Toc10866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065D722D" w14:textId="77777777" w:rsidR="00FE5C94" w:rsidRDefault="00000000">
          <w:pPr>
            <w:pStyle w:val="TOC2"/>
            <w:tabs>
              <w:tab w:val="right" w:leader="dot" w:pos="8306"/>
            </w:tabs>
            <w:spacing w:line="240" w:lineRule="exact"/>
            <w:rPr>
              <w:rFonts w:ascii="仿宋_GB2312" w:eastAsia="仿宋_GB2312" w:hAnsi="仿宋_GB2312" w:cs="仿宋_GB2312"/>
            </w:rPr>
          </w:pPr>
          <w:hyperlink w:anchor="_Toc12203" w:history="1">
            <w:r>
              <w:rPr>
                <w:rFonts w:ascii="仿宋_GB2312" w:eastAsia="仿宋_GB2312" w:hAnsi="仿宋_GB2312" w:cs="仿宋_GB2312" w:hint="eastAsia"/>
              </w:rPr>
              <w:t>十四、国有资本经营预算财政拨款支出决算表</w:t>
            </w:r>
            <w:r>
              <w:rPr>
                <w:rFonts w:ascii="仿宋_GB2312" w:eastAsia="仿宋_GB2312" w:hAnsi="仿宋_GB2312" w:cs="仿宋_GB2312" w:hint="eastAsia"/>
              </w:rP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_Toc12203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23</w:t>
            </w:r>
            <w:r>
              <w:rPr>
                <w:rFonts w:ascii="仿宋_GB2312" w:eastAsia="仿宋_GB2312" w:hAnsi="仿宋_GB2312" w:cs="仿宋_GB2312" w:hint="eastAsia"/>
              </w:rPr>
              <w:fldChar w:fldCharType="end"/>
            </w:r>
          </w:hyperlink>
        </w:p>
        <w:p w14:paraId="49F1D90D" w14:textId="77777777" w:rsidR="00FE5C94" w:rsidRDefault="00000000">
          <w:pPr>
            <w:spacing w:line="240" w:lineRule="exact"/>
            <w:rPr>
              <w:rFonts w:ascii="仿宋" w:eastAsia="仿宋" w:hAnsi="仿宋" w:cs="仿宋"/>
              <w:sz w:val="32"/>
              <w:szCs w:val="32"/>
            </w:rPr>
            <w:sectPr w:rsidR="00FE5C94">
              <w:headerReference w:type="default" r:id="rId9"/>
              <w:footerReference w:type="default" r:id="rId10"/>
              <w:pgSz w:w="11906" w:h="16838"/>
              <w:pgMar w:top="1440" w:right="1800" w:bottom="1440" w:left="1800" w:header="851" w:footer="992" w:gutter="0"/>
              <w:pgNumType w:start="1"/>
              <w:cols w:space="425"/>
              <w:titlePg/>
              <w:docGrid w:type="lines" w:linePitch="312"/>
            </w:sectPr>
          </w:pPr>
          <w:r>
            <w:rPr>
              <w:rFonts w:ascii="仿宋_GB2312" w:eastAsia="仿宋_GB2312" w:hAnsi="仿宋_GB2312" w:cs="仿宋_GB2312" w:hint="eastAsia"/>
              <w:sz w:val="20"/>
              <w:szCs w:val="20"/>
            </w:rPr>
            <w:fldChar w:fldCharType="end"/>
          </w:r>
        </w:p>
      </w:sdtContent>
    </w:sdt>
    <w:p w14:paraId="5E20A41C" w14:textId="77777777" w:rsidR="00FE5C94" w:rsidRDefault="00FE5C94">
      <w:pPr>
        <w:pStyle w:val="a0"/>
      </w:pPr>
    </w:p>
    <w:p w14:paraId="25449E97" w14:textId="77777777" w:rsidR="00FE5C94" w:rsidRDefault="00000000">
      <w:pPr>
        <w:pStyle w:val="1"/>
        <w:jc w:val="center"/>
        <w:rPr>
          <w:rStyle w:val="10"/>
          <w:rFonts w:ascii="黑体" w:eastAsia="黑体" w:hAnsi="黑体"/>
          <w:b/>
        </w:rPr>
      </w:pPr>
      <w:bookmarkStart w:id="13" w:name="_Toc15396599"/>
      <w:bookmarkStart w:id="14" w:name="_Toc79163601"/>
      <w:bookmarkStart w:id="15" w:name="_Toc79163851"/>
      <w:bookmarkStart w:id="16" w:name="_Toc15377196"/>
      <w:bookmarkStart w:id="17" w:name="_Toc1205"/>
      <w:r>
        <w:rPr>
          <w:rFonts w:ascii="黑体" w:eastAsia="黑体" w:hAnsi="黑体" w:hint="eastAsia"/>
          <w:b w:val="0"/>
        </w:rPr>
        <w:t>第一部分</w:t>
      </w:r>
      <w:r>
        <w:rPr>
          <w:rStyle w:val="10"/>
          <w:rFonts w:ascii="黑体" w:eastAsia="黑体" w:hAnsi="黑体" w:hint="eastAsia"/>
        </w:rPr>
        <w:t>部门概况</w:t>
      </w:r>
      <w:bookmarkEnd w:id="13"/>
      <w:bookmarkEnd w:id="14"/>
      <w:bookmarkEnd w:id="15"/>
      <w:bookmarkEnd w:id="16"/>
      <w:bookmarkEnd w:id="17"/>
    </w:p>
    <w:p w14:paraId="5484C738" w14:textId="77777777" w:rsidR="00FE5C94" w:rsidRDefault="00FE5C94">
      <w:pPr>
        <w:widowControl/>
        <w:jc w:val="left"/>
        <w:rPr>
          <w:rFonts w:ascii="黑体" w:eastAsia="黑体"/>
          <w:color w:val="000000"/>
          <w:sz w:val="32"/>
          <w:szCs w:val="32"/>
        </w:rPr>
      </w:pPr>
    </w:p>
    <w:p w14:paraId="04DB8A50" w14:textId="77777777" w:rsidR="00FE5C94" w:rsidRDefault="00000000">
      <w:pPr>
        <w:pStyle w:val="2"/>
        <w:rPr>
          <w:rStyle w:val="20"/>
          <w:rFonts w:ascii="仿宋" w:eastAsia="仿宋" w:hAnsi="仿宋"/>
        </w:rPr>
      </w:pPr>
      <w:bookmarkStart w:id="18" w:name="_Toc15396600"/>
      <w:bookmarkStart w:id="19" w:name="_Toc79163852"/>
      <w:bookmarkStart w:id="20" w:name="_Toc15377197"/>
      <w:bookmarkStart w:id="21" w:name="_Toc79163602"/>
      <w:bookmarkStart w:id="22" w:name="_Toc14885"/>
      <w:r>
        <w:rPr>
          <w:rFonts w:ascii="黑体" w:eastAsia="黑体" w:hAnsi="黑体" w:hint="eastAsia"/>
          <w:b w:val="0"/>
          <w:color w:val="000000"/>
        </w:rPr>
        <w:t>一、基</w:t>
      </w:r>
      <w:r>
        <w:rPr>
          <w:rStyle w:val="20"/>
          <w:rFonts w:ascii="黑体" w:eastAsia="黑体" w:hAnsi="黑体" w:hint="eastAsia"/>
        </w:rPr>
        <w:t>本职能及主要工作</w:t>
      </w:r>
      <w:bookmarkEnd w:id="18"/>
      <w:bookmarkEnd w:id="19"/>
      <w:bookmarkEnd w:id="20"/>
      <w:bookmarkEnd w:id="21"/>
      <w:bookmarkEnd w:id="22"/>
    </w:p>
    <w:p w14:paraId="7555BFCE" w14:textId="77777777" w:rsidR="00FE5C94" w:rsidRDefault="00000000">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23" w:name="_Toc79163603"/>
      <w:bookmarkStart w:id="24" w:name="_Toc79163853"/>
      <w:bookmarkStart w:id="25" w:name="_Toc15377198"/>
      <w:bookmarkStart w:id="26" w:name="_Toc15378445"/>
      <w:bookmarkStart w:id="27" w:name="_Toc14780"/>
      <w:r>
        <w:rPr>
          <w:rFonts w:ascii="仿宋" w:eastAsia="仿宋" w:hAnsi="仿宋" w:hint="eastAsia"/>
          <w:bCs/>
          <w:color w:val="000000"/>
          <w:sz w:val="32"/>
          <w:szCs w:val="32"/>
        </w:rPr>
        <w:t>（一）主要职能。</w:t>
      </w:r>
      <w:bookmarkStart w:id="28" w:name="_Toc15377199"/>
      <w:bookmarkStart w:id="29" w:name="_Toc79163854"/>
      <w:bookmarkStart w:id="30" w:name="_Toc79163604"/>
      <w:bookmarkStart w:id="31" w:name="_Toc15378446"/>
      <w:bookmarkEnd w:id="23"/>
      <w:bookmarkEnd w:id="24"/>
      <w:bookmarkEnd w:id="25"/>
      <w:bookmarkEnd w:id="26"/>
      <w:bookmarkEnd w:id="27"/>
    </w:p>
    <w:p w14:paraId="75AC2A22" w14:textId="77777777" w:rsidR="00FE5C94" w:rsidRDefault="00000000">
      <w:pPr>
        <w:spacing w:line="578" w:lineRule="exact"/>
        <w:ind w:firstLineChars="200" w:firstLine="640"/>
        <w:rPr>
          <w:rFonts w:ascii="仿宋_GB2312" w:eastAsia="仿宋_GB2312"/>
          <w:kern w:val="0"/>
          <w:sz w:val="32"/>
          <w:szCs w:val="32"/>
        </w:rPr>
      </w:pPr>
      <w:r>
        <w:rPr>
          <w:rFonts w:ascii="仿宋_GB2312" w:eastAsia="仿宋_GB2312" w:hint="eastAsia"/>
          <w:kern w:val="0"/>
          <w:sz w:val="32"/>
          <w:szCs w:val="32"/>
        </w:rPr>
        <w:t>1、履行政治领导责任，做好理论武装和思想政治工作，负责学习、宣传、贯彻执行党的理论和路线方针政策，贯彻落实党中央、省委、州委、县委的决策部署，发挥好把方向、管大局、</w:t>
      </w:r>
      <w:proofErr w:type="gramStart"/>
      <w:r>
        <w:rPr>
          <w:rFonts w:ascii="仿宋_GB2312" w:eastAsia="仿宋_GB2312" w:hint="eastAsia"/>
          <w:kern w:val="0"/>
          <w:sz w:val="32"/>
          <w:szCs w:val="32"/>
        </w:rPr>
        <w:t>保落实</w:t>
      </w:r>
      <w:proofErr w:type="gramEnd"/>
      <w:r>
        <w:rPr>
          <w:rFonts w:ascii="仿宋_GB2312" w:eastAsia="仿宋_GB2312" w:hint="eastAsia"/>
          <w:kern w:val="0"/>
          <w:sz w:val="32"/>
          <w:szCs w:val="32"/>
        </w:rPr>
        <w:t>的重要作用。</w:t>
      </w:r>
    </w:p>
    <w:p w14:paraId="68D9548F" w14:textId="77777777" w:rsidR="00FE5C94" w:rsidRDefault="00000000">
      <w:pPr>
        <w:spacing w:line="578" w:lineRule="exact"/>
        <w:ind w:firstLineChars="200" w:firstLine="640"/>
        <w:rPr>
          <w:rFonts w:ascii="仿宋_GB2312" w:eastAsia="仿宋_GB2312"/>
          <w:kern w:val="0"/>
          <w:sz w:val="32"/>
          <w:szCs w:val="32"/>
        </w:rPr>
      </w:pPr>
      <w:r>
        <w:rPr>
          <w:rFonts w:ascii="仿宋_GB2312" w:eastAsia="仿宋_GB2312" w:hint="eastAsia"/>
          <w:kern w:val="0"/>
          <w:sz w:val="32"/>
          <w:szCs w:val="32"/>
        </w:rPr>
        <w:t>2、讨论和决定本单位下列重大问题。党的路线方针政策、国家法律法规和上级党组织重要会议、重要文件、重大决策部署的贯彻落实事项。需要向上级党组织请示报告的重要事项。内部机构设置、职责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748DD5AD" w14:textId="77777777" w:rsidR="00FE5C94" w:rsidRDefault="00000000">
      <w:pPr>
        <w:spacing w:line="578" w:lineRule="exact"/>
        <w:ind w:firstLineChars="200" w:firstLine="640"/>
        <w:rPr>
          <w:rFonts w:ascii="仿宋_GB2312" w:eastAsia="仿宋_GB2312"/>
          <w:kern w:val="0"/>
          <w:sz w:val="32"/>
          <w:szCs w:val="32"/>
        </w:rPr>
      </w:pPr>
      <w:r>
        <w:rPr>
          <w:rFonts w:ascii="仿宋_GB2312" w:eastAsia="仿宋_GB2312" w:hint="eastAsia"/>
          <w:kern w:val="0"/>
          <w:sz w:val="32"/>
          <w:szCs w:val="32"/>
        </w:rPr>
        <w:t>3、贯彻党管干部原则，加强干部队伍建设，完善干部培养选拔机制，加强干部教育管理监督。贯彻党</w:t>
      </w:r>
      <w:proofErr w:type="gramStart"/>
      <w:r>
        <w:rPr>
          <w:rFonts w:ascii="仿宋_GB2312" w:eastAsia="仿宋_GB2312" w:hint="eastAsia"/>
          <w:kern w:val="0"/>
          <w:sz w:val="32"/>
          <w:szCs w:val="32"/>
        </w:rPr>
        <w:t>管人才</w:t>
      </w:r>
      <w:proofErr w:type="gramEnd"/>
      <w:r>
        <w:rPr>
          <w:rFonts w:ascii="仿宋_GB2312" w:eastAsia="仿宋_GB2312" w:hint="eastAsia"/>
          <w:kern w:val="0"/>
          <w:sz w:val="32"/>
          <w:szCs w:val="32"/>
        </w:rPr>
        <w:t>原则，加强人才队伍建设。加强对本单位工会、共青团、妇联等群团工作的领导。</w:t>
      </w:r>
    </w:p>
    <w:p w14:paraId="004B44FD" w14:textId="77777777" w:rsidR="00FE5C94" w:rsidRDefault="00000000">
      <w:pPr>
        <w:spacing w:line="578" w:lineRule="exact"/>
        <w:ind w:firstLineChars="200" w:firstLine="640"/>
        <w:rPr>
          <w:rFonts w:ascii="仿宋" w:eastAsia="仿宋" w:hAnsi="仿宋"/>
          <w:bCs/>
          <w:color w:val="000000"/>
          <w:sz w:val="32"/>
          <w:szCs w:val="32"/>
        </w:rPr>
      </w:pPr>
      <w:r>
        <w:rPr>
          <w:rFonts w:ascii="仿宋_GB2312" w:eastAsia="仿宋_GB2312" w:hint="eastAsia"/>
          <w:kern w:val="0"/>
          <w:sz w:val="32"/>
          <w:szCs w:val="32"/>
        </w:rPr>
        <w:lastRenderedPageBreak/>
        <w:t>4、履行党要管党、从严治党责任，加强对本单位党的建设的领导，落实党建工作责任制。认真履行党风廉政建设主体责任，支持纪检监察机构履行监督责任。</w:t>
      </w:r>
    </w:p>
    <w:p w14:paraId="62A24A31" w14:textId="77777777" w:rsidR="00FE5C94" w:rsidRDefault="00000000">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32" w:name="_Toc32181"/>
      <w:r>
        <w:rPr>
          <w:rFonts w:ascii="仿宋" w:eastAsia="仿宋" w:hAnsi="仿宋" w:hint="eastAsia"/>
          <w:bCs/>
          <w:color w:val="000000"/>
          <w:sz w:val="32"/>
          <w:szCs w:val="32"/>
        </w:rPr>
        <w:t>（二）</w:t>
      </w:r>
      <w:r>
        <w:rPr>
          <w:rFonts w:ascii="仿宋" w:eastAsia="仿宋" w:hAnsi="仿宋"/>
          <w:bCs/>
          <w:color w:val="000000"/>
          <w:sz w:val="32"/>
          <w:szCs w:val="32"/>
        </w:rPr>
        <w:t>202</w:t>
      </w:r>
      <w:r>
        <w:rPr>
          <w:rFonts w:ascii="仿宋" w:eastAsia="仿宋" w:hAnsi="仿宋" w:hint="eastAsia"/>
          <w:bCs/>
          <w:color w:val="000000"/>
          <w:sz w:val="32"/>
          <w:szCs w:val="32"/>
        </w:rPr>
        <w:t>1年重点工作完成情况。</w:t>
      </w:r>
      <w:bookmarkEnd w:id="28"/>
      <w:bookmarkEnd w:id="29"/>
      <w:bookmarkEnd w:id="30"/>
      <w:bookmarkEnd w:id="31"/>
      <w:bookmarkEnd w:id="32"/>
    </w:p>
    <w:p w14:paraId="0705210F" w14:textId="77777777" w:rsidR="00FE5C94" w:rsidRDefault="00000000">
      <w:pPr>
        <w:spacing w:line="576" w:lineRule="exact"/>
        <w:ind w:firstLineChars="200" w:firstLine="643"/>
        <w:rPr>
          <w:rFonts w:eastAsia="楷体_GB2312"/>
          <w:b/>
          <w:bCs/>
          <w:kern w:val="21"/>
          <w:sz w:val="32"/>
          <w:szCs w:val="32"/>
        </w:rPr>
      </w:pPr>
      <w:r>
        <w:rPr>
          <w:rFonts w:eastAsia="楷体_GB2312" w:hint="eastAsia"/>
          <w:b/>
          <w:bCs/>
          <w:kern w:val="21"/>
          <w:sz w:val="32"/>
          <w:szCs w:val="32"/>
        </w:rPr>
        <w:t>（</w:t>
      </w:r>
      <w:r>
        <w:rPr>
          <w:rFonts w:eastAsia="楷体_GB2312" w:hint="eastAsia"/>
          <w:b/>
          <w:bCs/>
          <w:kern w:val="21"/>
          <w:sz w:val="32"/>
          <w:szCs w:val="32"/>
        </w:rPr>
        <w:t>1</w:t>
      </w:r>
      <w:r>
        <w:rPr>
          <w:rFonts w:eastAsia="楷体_GB2312" w:hint="eastAsia"/>
          <w:b/>
          <w:bCs/>
          <w:kern w:val="21"/>
          <w:sz w:val="32"/>
          <w:szCs w:val="32"/>
        </w:rPr>
        <w:t>）</w:t>
      </w:r>
      <w:r>
        <w:rPr>
          <w:rFonts w:eastAsia="楷体_GB2312"/>
          <w:b/>
          <w:bCs/>
          <w:kern w:val="21"/>
          <w:sz w:val="32"/>
          <w:szCs w:val="32"/>
        </w:rPr>
        <w:t>健全机制，</w:t>
      </w:r>
      <w:r>
        <w:rPr>
          <w:rFonts w:eastAsia="楷体_GB2312" w:hint="eastAsia"/>
          <w:b/>
          <w:bCs/>
          <w:kern w:val="21"/>
          <w:sz w:val="32"/>
          <w:szCs w:val="32"/>
        </w:rPr>
        <w:t>强化案件查办</w:t>
      </w:r>
    </w:p>
    <w:p w14:paraId="6AD1E37C" w14:textId="77777777" w:rsidR="00FE5C94"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我局现有文化旅游、市场监管、交通运输、农业四个执法中队，负责组织旅游市场秩序管理、文娱场所管理、食品安全管理、道路运输管理、川主寺超限站管理、路域环境整治、“互联网+监管”和</w:t>
      </w:r>
      <w:proofErr w:type="gramStart"/>
      <w:r>
        <w:rPr>
          <w:rFonts w:ascii="仿宋_GB2312" w:eastAsia="仿宋_GB2312" w:hAnsi="仿宋_GB2312" w:cs="仿宋_GB2312" w:hint="eastAsia"/>
          <w:sz w:val="32"/>
          <w:szCs w:val="32"/>
        </w:rPr>
        <w:t>农资门</w:t>
      </w:r>
      <w:proofErr w:type="gramEnd"/>
      <w:r>
        <w:rPr>
          <w:rFonts w:ascii="仿宋_GB2312" w:eastAsia="仿宋_GB2312" w:hAnsi="仿宋_GB2312" w:cs="仿宋_GB2312" w:hint="eastAsia"/>
          <w:sz w:val="32"/>
          <w:szCs w:val="32"/>
        </w:rPr>
        <w:t>店经营管理等工作。今年共办结案件59件，罚没金额共计49.9万元；</w:t>
      </w:r>
      <w:proofErr w:type="gramStart"/>
      <w:r>
        <w:rPr>
          <w:rFonts w:ascii="仿宋_GB2312" w:eastAsia="仿宋_GB2312" w:hAnsi="仿宋_GB2312" w:cs="仿宋_GB2312" w:hint="eastAsia"/>
          <w:sz w:val="32"/>
          <w:szCs w:val="32"/>
        </w:rPr>
        <w:t>受理县</w:t>
      </w:r>
      <w:proofErr w:type="gramEnd"/>
      <w:r>
        <w:rPr>
          <w:rFonts w:ascii="仿宋_GB2312" w:eastAsia="仿宋_GB2312" w:hAnsi="仿宋_GB2312" w:cs="仿宋_GB2312" w:hint="eastAsia"/>
          <w:sz w:val="32"/>
          <w:szCs w:val="32"/>
        </w:rPr>
        <w:t>信访等部门情况反映共计56件，</w:t>
      </w:r>
      <w:r>
        <w:rPr>
          <w:rFonts w:ascii="仿宋_GB2312" w:eastAsia="仿宋_GB2312" w:hAnsi="仿宋_GB2312" w:cs="仿宋_GB2312"/>
          <w:sz w:val="32"/>
          <w:szCs w:val="32"/>
        </w:rPr>
        <w:t>企业售后服务中心集中受理退换货2127件，退款金额为566万</w:t>
      </w:r>
      <w:r>
        <w:rPr>
          <w:rFonts w:ascii="仿宋_GB2312" w:eastAsia="仿宋_GB2312" w:hAnsi="仿宋_GB2312" w:cs="仿宋_GB2312" w:hint="eastAsia"/>
          <w:sz w:val="32"/>
          <w:szCs w:val="32"/>
        </w:rPr>
        <w:t>余</w:t>
      </w:r>
      <w:r>
        <w:rPr>
          <w:rFonts w:ascii="仿宋_GB2312" w:eastAsia="仿宋_GB2312" w:hAnsi="仿宋_GB2312" w:cs="仿宋_GB2312"/>
          <w:sz w:val="32"/>
          <w:szCs w:val="32"/>
        </w:rPr>
        <w:t>元</w:t>
      </w:r>
      <w:r>
        <w:rPr>
          <w:rFonts w:ascii="仿宋_GB2312" w:eastAsia="仿宋_GB2312" w:hAnsi="仿宋_GB2312" w:cs="仿宋_GB2312" w:hint="eastAsia"/>
          <w:sz w:val="32"/>
          <w:szCs w:val="32"/>
        </w:rPr>
        <w:t>；旅游投诉办结率100%，游客满意度98%，共收到游客感谢信28件，锦旗3面。</w:t>
      </w:r>
    </w:p>
    <w:p w14:paraId="1110FE3E" w14:textId="77777777" w:rsidR="00FE5C94" w:rsidRDefault="00000000">
      <w:pPr>
        <w:spacing w:line="576" w:lineRule="exact"/>
        <w:ind w:firstLineChars="200" w:firstLine="643"/>
        <w:rPr>
          <w:rFonts w:ascii="仿宋_GB2312" w:eastAsia="仿宋_GB2312" w:hAnsi="仿宋_GB2312" w:cs="仿宋_GB2312"/>
          <w:b/>
          <w:bCs/>
          <w:kern w:val="0"/>
          <w:sz w:val="32"/>
          <w:szCs w:val="32"/>
          <w:lang w:bidi="ar"/>
        </w:rPr>
      </w:pPr>
      <w:r>
        <w:rPr>
          <w:rFonts w:ascii="仿宋_GB2312" w:eastAsia="仿宋_GB2312" w:hAnsi="仿宋_GB2312" w:cs="仿宋_GB2312" w:hint="eastAsia"/>
          <w:b/>
          <w:bCs/>
          <w:kern w:val="0"/>
          <w:sz w:val="32"/>
          <w:szCs w:val="32"/>
          <w:lang w:bidi="ar"/>
        </w:rPr>
        <w:t>（2）服务和监管相结合，</w:t>
      </w:r>
      <w:proofErr w:type="gramStart"/>
      <w:r>
        <w:rPr>
          <w:rFonts w:ascii="仿宋_GB2312" w:eastAsia="仿宋_GB2312" w:hAnsi="仿宋_GB2312" w:cs="仿宋_GB2312" w:hint="eastAsia"/>
          <w:b/>
          <w:bCs/>
          <w:kern w:val="0"/>
          <w:sz w:val="32"/>
          <w:szCs w:val="32"/>
          <w:lang w:bidi="ar"/>
        </w:rPr>
        <w:t>开展文旅市场</w:t>
      </w:r>
      <w:proofErr w:type="gramEnd"/>
      <w:r>
        <w:rPr>
          <w:rFonts w:ascii="仿宋_GB2312" w:eastAsia="仿宋_GB2312" w:hAnsi="仿宋_GB2312" w:cs="仿宋_GB2312" w:hint="eastAsia"/>
          <w:b/>
          <w:bCs/>
          <w:kern w:val="0"/>
          <w:sz w:val="32"/>
          <w:szCs w:val="32"/>
          <w:lang w:bidi="ar"/>
        </w:rPr>
        <w:t>整治工作</w:t>
      </w:r>
    </w:p>
    <w:p w14:paraId="53F63D1B" w14:textId="77777777" w:rsidR="00FE5C94" w:rsidRDefault="00000000">
      <w:pPr>
        <w:pStyle w:val="a0"/>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先后召开部门协调会及现场整改工作，对辖区内22家KTV进行整改，有16家证照齐全符合开业条件，6家经整改后仍然达不到开业条件，已关门停业。</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开展出版物、网吧、演艺、印刷、书刊零售的日常检查；以“扫黄打非”为抓手，全力开展“固边、秋风、护苗、净网、清源”及“珠峰.贡嘎山”6个专项整治行动。</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健全完善松潘县旅游市场监管“1+1+10+N”机制及办法。完善“两方案</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办法</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标准”，重新拟定旅游投诉处理、预先垫付、联合执法、应急处置、区域联动、联席会议、行刑衔接、责任追究等16项切实可行的机制，形成机制汇编，打造“松潘经验”</w:t>
      </w:r>
      <w:r>
        <w:rPr>
          <w:rFonts w:ascii="仿宋_GB2312" w:hAnsi="仿宋_GB2312" w:cs="仿宋_GB2312" w:hint="eastAsia"/>
          <w:sz w:val="32"/>
          <w:szCs w:val="32"/>
        </w:rPr>
        <w:t>。</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lastRenderedPageBreak/>
        <w:t>今年，共</w:t>
      </w:r>
      <w:proofErr w:type="gramStart"/>
      <w:r>
        <w:rPr>
          <w:rFonts w:ascii="仿宋_GB2312" w:eastAsia="仿宋_GB2312" w:hAnsi="仿宋_GB2312" w:cs="仿宋_GB2312" w:hint="eastAsia"/>
          <w:sz w:val="32"/>
          <w:szCs w:val="32"/>
        </w:rPr>
        <w:t>审查涉旅经营</w:t>
      </w:r>
      <w:proofErr w:type="gramEnd"/>
      <w:r>
        <w:rPr>
          <w:rFonts w:ascii="仿宋_GB2312" w:eastAsia="仿宋_GB2312" w:hAnsi="仿宋_GB2312" w:cs="仿宋_GB2312" w:hint="eastAsia"/>
          <w:sz w:val="32"/>
          <w:szCs w:val="32"/>
        </w:rPr>
        <w:t>户81家次，累计提出整改意见452条，通过审查55家。</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售后服务中心完成提档升级，并搭建集“监管、会议、办公”为一体的旅游市场监管大数据中心，将旅游市场秩序整治与常态监管同步推进，完成线上与线下监管相结合的旅游市场监管体系。</w:t>
      </w:r>
    </w:p>
    <w:p w14:paraId="28931192" w14:textId="77777777" w:rsidR="00FE5C94" w:rsidRDefault="00000000">
      <w:pPr>
        <w:spacing w:line="576" w:lineRule="exact"/>
        <w:ind w:firstLineChars="200" w:firstLine="643"/>
        <w:rPr>
          <w:rFonts w:ascii="仿宋_GB2312" w:eastAsia="仿宋_GB2312" w:hAnsi="仿宋_GB2312" w:cs="仿宋_GB2312"/>
          <w:b/>
          <w:bCs/>
          <w:kern w:val="0"/>
          <w:sz w:val="32"/>
          <w:szCs w:val="32"/>
          <w:lang w:bidi="ar"/>
        </w:rPr>
      </w:pPr>
      <w:r>
        <w:rPr>
          <w:rFonts w:ascii="仿宋_GB2312" w:eastAsia="仿宋_GB2312" w:hAnsi="仿宋_GB2312" w:cs="仿宋_GB2312" w:hint="eastAsia"/>
          <w:b/>
          <w:bCs/>
          <w:kern w:val="0"/>
          <w:sz w:val="32"/>
          <w:szCs w:val="32"/>
          <w:lang w:bidi="ar"/>
        </w:rPr>
        <w:t>（3）开展运政、路政工作，确保交通运输安全</w:t>
      </w:r>
    </w:p>
    <w:p w14:paraId="2D15E2EF" w14:textId="77777777" w:rsidR="00FE5C94" w:rsidRDefault="00000000">
      <w:pPr>
        <w:spacing w:line="576" w:lineRule="exact"/>
        <w:ind w:firstLineChars="200" w:firstLine="643"/>
        <w:rPr>
          <w:rFonts w:ascii="仿宋_GB2312" w:eastAsia="仿宋_GB2312" w:hAnsi="仿宋_GB2312" w:cs="仿宋_GB2312"/>
          <w:kern w:val="0"/>
          <w:sz w:val="32"/>
          <w:szCs w:val="32"/>
          <w:lang w:bidi="ar"/>
        </w:rPr>
      </w:pPr>
      <w:r>
        <w:rPr>
          <w:rFonts w:ascii="仿宋_GB2312" w:eastAsia="仿宋_GB2312" w:hAnsi="仿宋_GB2312" w:cs="仿宋_GB2312" w:hint="eastAsia"/>
          <w:b/>
          <w:bCs/>
          <w:kern w:val="0"/>
          <w:sz w:val="32"/>
          <w:szCs w:val="32"/>
          <w:lang w:bidi="ar"/>
        </w:rPr>
        <w:t>一是</w:t>
      </w:r>
      <w:r>
        <w:rPr>
          <w:rFonts w:ascii="仿宋_GB2312" w:eastAsia="仿宋_GB2312" w:hAnsi="仿宋_GB2312" w:cs="仿宋_GB2312" w:hint="eastAsia"/>
          <w:sz w:val="32"/>
          <w:szCs w:val="32"/>
        </w:rPr>
        <w:t>开展道路运输非法营运专项整治行动，对行驶中悬挂彩灯的非法营运车辆进行重点查处。</w:t>
      </w:r>
      <w:r>
        <w:rPr>
          <w:rFonts w:ascii="仿宋_GB2312" w:eastAsia="仿宋_GB2312" w:hAnsi="仿宋_GB2312" w:cs="仿宋_GB2312" w:hint="eastAsia"/>
          <w:b/>
          <w:bCs/>
          <w:kern w:val="0"/>
          <w:sz w:val="32"/>
          <w:szCs w:val="32"/>
          <w:lang w:bidi="ar"/>
        </w:rPr>
        <w:t>二是</w:t>
      </w:r>
      <w:r>
        <w:rPr>
          <w:rFonts w:ascii="仿宋_GB2312" w:eastAsia="仿宋_GB2312" w:hAnsi="仿宋_GB2312" w:cs="仿宋_GB2312" w:hint="eastAsia"/>
          <w:kern w:val="0"/>
          <w:sz w:val="32"/>
          <w:szCs w:val="32"/>
          <w:lang w:bidi="ar"/>
        </w:rPr>
        <w:t>多</w:t>
      </w:r>
      <w:proofErr w:type="gramStart"/>
      <w:r>
        <w:rPr>
          <w:rFonts w:ascii="仿宋_GB2312" w:eastAsia="仿宋_GB2312" w:hAnsi="仿宋_GB2312" w:cs="仿宋_GB2312" w:hint="eastAsia"/>
          <w:kern w:val="0"/>
          <w:sz w:val="32"/>
          <w:szCs w:val="32"/>
          <w:lang w:bidi="ar"/>
        </w:rPr>
        <w:t>措</w:t>
      </w:r>
      <w:proofErr w:type="gramEnd"/>
      <w:r>
        <w:rPr>
          <w:rFonts w:ascii="仿宋_GB2312" w:eastAsia="仿宋_GB2312" w:hAnsi="仿宋_GB2312" w:cs="仿宋_GB2312" w:hint="eastAsia"/>
          <w:kern w:val="0"/>
          <w:sz w:val="32"/>
          <w:szCs w:val="32"/>
          <w:lang w:bidi="ar"/>
        </w:rPr>
        <w:t>并举，开展安全生产、维修企业、冷链运输及“毒驾”检查，开展路政巡查、公路路域环境专项整治等工作。</w:t>
      </w:r>
      <w:r>
        <w:rPr>
          <w:rFonts w:ascii="仿宋_GB2312" w:eastAsia="仿宋_GB2312" w:hAnsi="仿宋_GB2312" w:cs="仿宋_GB2312" w:hint="eastAsia"/>
          <w:b/>
          <w:bCs/>
          <w:kern w:val="0"/>
          <w:sz w:val="32"/>
          <w:szCs w:val="32"/>
          <w:lang w:bidi="ar"/>
        </w:rPr>
        <w:t>三是</w:t>
      </w:r>
      <w:r>
        <w:rPr>
          <w:rFonts w:ascii="仿宋_GB2312" w:eastAsia="仿宋_GB2312" w:hAnsi="仿宋_GB2312" w:cs="仿宋_GB2312" w:hint="eastAsia"/>
          <w:kern w:val="0"/>
          <w:sz w:val="32"/>
          <w:szCs w:val="32"/>
          <w:lang w:bidi="ar"/>
        </w:rPr>
        <w:t>加强公路超限运输治理工作，川主寺超限站实行24小时值班制，切实履行责任主体职能。</w:t>
      </w:r>
    </w:p>
    <w:p w14:paraId="3BAFBCF2" w14:textId="77777777" w:rsidR="00FE5C94" w:rsidRDefault="00000000">
      <w:pPr>
        <w:spacing w:line="576" w:lineRule="exact"/>
        <w:ind w:firstLineChars="200" w:firstLine="613"/>
        <w:rPr>
          <w:rFonts w:ascii="仿宋_GB2312" w:eastAsia="仿宋_GB2312" w:hAnsi="仿宋_GB2312" w:cs="仿宋_GB2312"/>
          <w:b/>
          <w:bCs/>
          <w:sz w:val="32"/>
          <w:szCs w:val="32"/>
        </w:rPr>
      </w:pPr>
      <w:r>
        <w:rPr>
          <w:rFonts w:ascii="仿宋_GB2312" w:eastAsia="仿宋_GB2312" w:hAnsi="仿宋_GB2312" w:cs="仿宋_GB2312" w:hint="eastAsia"/>
          <w:b/>
          <w:bCs/>
          <w:w w:val="95"/>
          <w:kern w:val="0"/>
          <w:sz w:val="32"/>
          <w:szCs w:val="32"/>
        </w:rPr>
        <w:t>（4）优化营商环境</w:t>
      </w:r>
      <w:r>
        <w:rPr>
          <w:rFonts w:ascii="仿宋_GB2312" w:eastAsia="仿宋_GB2312" w:hAnsi="仿宋_GB2312" w:cs="仿宋_GB2312" w:hint="eastAsia"/>
          <w:b/>
          <w:bCs/>
          <w:sz w:val="32"/>
          <w:szCs w:val="32"/>
        </w:rPr>
        <w:t>，营造良好市场环境</w:t>
      </w:r>
    </w:p>
    <w:p w14:paraId="5FF06CC0" w14:textId="77777777" w:rsidR="00FE5C94" w:rsidRDefault="00000000">
      <w:pPr>
        <w:spacing w:line="576"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严厉打击营业执照经营范围未按照全国统一的经营范围登记规范要求执行;店招、店牌、公章、设备与营业执照登记信息不一致等问题；</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严厉打击不按规定明码标价的违法行为；</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严厉打击计量器具未按照法定计量技术机构检定、不在有效期、量值不准确行为；</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严厉</w:t>
      </w:r>
      <w:proofErr w:type="gramStart"/>
      <w:r>
        <w:rPr>
          <w:rFonts w:ascii="仿宋_GB2312" w:eastAsia="仿宋_GB2312" w:hAnsi="仿宋_GB2312" w:cs="仿宋_GB2312" w:hint="eastAsia"/>
          <w:sz w:val="32"/>
          <w:szCs w:val="32"/>
        </w:rPr>
        <w:t>打击涉旅市场</w:t>
      </w:r>
      <w:proofErr w:type="gramEnd"/>
      <w:r>
        <w:rPr>
          <w:rFonts w:ascii="仿宋_GB2312" w:eastAsia="仿宋_GB2312" w:hAnsi="仿宋_GB2312" w:cs="仿宋_GB2312" w:hint="eastAsia"/>
          <w:sz w:val="32"/>
          <w:szCs w:val="32"/>
        </w:rPr>
        <w:t>以及景区周边散装，预包装食品存在的问题；</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督促各营业单位落实疫情防控各项措施</w:t>
      </w:r>
      <w:r>
        <w:rPr>
          <w:rFonts w:ascii="仿宋_GB2312" w:eastAsia="仿宋_GB2312" w:hAnsi="仿宋_GB2312" w:cs="仿宋_GB2312" w:hint="eastAsia"/>
          <w:snapToGrid w:val="0"/>
          <w:sz w:val="32"/>
          <w:szCs w:val="32"/>
        </w:rPr>
        <w:t>。</w:t>
      </w:r>
    </w:p>
    <w:p w14:paraId="2588DD9D" w14:textId="77777777" w:rsidR="00FE5C94" w:rsidRDefault="00000000">
      <w:pPr>
        <w:spacing w:line="576" w:lineRule="exact"/>
        <w:ind w:firstLineChars="200" w:firstLine="643"/>
        <w:rPr>
          <w:rFonts w:ascii="仿宋_GB2312" w:eastAsia="仿宋_GB2312" w:hAnsi="仿宋_GB2312" w:cs="仿宋_GB2312"/>
          <w:b/>
          <w:bCs/>
          <w:kern w:val="0"/>
          <w:sz w:val="32"/>
          <w:szCs w:val="32"/>
          <w:lang w:bidi="ar"/>
        </w:rPr>
      </w:pPr>
      <w:r>
        <w:rPr>
          <w:rFonts w:ascii="仿宋_GB2312" w:eastAsia="仿宋_GB2312" w:hAnsi="仿宋_GB2312" w:cs="仿宋_GB2312" w:hint="eastAsia"/>
          <w:b/>
          <w:bCs/>
          <w:kern w:val="0"/>
          <w:sz w:val="32"/>
          <w:szCs w:val="32"/>
          <w:lang w:bidi="ar"/>
        </w:rPr>
        <w:t>（5）专项治理，规范农资市场秩序</w:t>
      </w:r>
    </w:p>
    <w:p w14:paraId="0EAA9E0A" w14:textId="77777777" w:rsidR="00FE5C94"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深入农户家中，加强宣传，并开展专项治理工作，</w:t>
      </w:r>
      <w:r>
        <w:rPr>
          <w:rFonts w:ascii="仿宋_GB2312" w:eastAsia="仿宋_GB2312" w:hAnsi="仿宋_GB2312" w:cs="仿宋_GB2312" w:hint="eastAsia"/>
          <w:sz w:val="32"/>
          <w:szCs w:val="32"/>
        </w:rPr>
        <w:t>对禁用限用农药和过期农药进行了全面清理，责令下架禁用限用农药1个、过期农药9个。检查农药50品种次；为确保农</w:t>
      </w:r>
      <w:r>
        <w:rPr>
          <w:rFonts w:ascii="仿宋_GB2312" w:eastAsia="仿宋_GB2312" w:hAnsi="仿宋_GB2312" w:cs="仿宋_GB2312" w:hint="eastAsia"/>
          <w:sz w:val="32"/>
          <w:szCs w:val="32"/>
        </w:rPr>
        <w:lastRenderedPageBreak/>
        <w:t>资产品质量安全，加大抽检力度对全县13个</w:t>
      </w:r>
      <w:proofErr w:type="gramStart"/>
      <w:r>
        <w:rPr>
          <w:rFonts w:ascii="仿宋_GB2312" w:eastAsia="仿宋_GB2312" w:hAnsi="仿宋_GB2312" w:cs="仿宋_GB2312" w:hint="eastAsia"/>
          <w:sz w:val="32"/>
          <w:szCs w:val="32"/>
        </w:rPr>
        <w:t>农资店</w:t>
      </w:r>
      <w:proofErr w:type="gramEnd"/>
      <w:r>
        <w:rPr>
          <w:rFonts w:ascii="仿宋_GB2312" w:eastAsia="仿宋_GB2312" w:hAnsi="仿宋_GB2312" w:cs="仿宋_GB2312" w:hint="eastAsia"/>
          <w:sz w:val="32"/>
          <w:szCs w:val="32"/>
        </w:rPr>
        <w:t>进行农药样品全面抽样。</w:t>
      </w:r>
    </w:p>
    <w:p w14:paraId="427D9C7B" w14:textId="77777777" w:rsidR="00FE5C94" w:rsidRDefault="00000000">
      <w:pPr>
        <w:spacing w:line="576" w:lineRule="exact"/>
        <w:ind w:firstLineChars="200" w:firstLine="613"/>
        <w:rPr>
          <w:rFonts w:ascii="仿宋" w:eastAsia="仿宋" w:hAnsi="仿宋"/>
          <w:bCs/>
          <w:color w:val="000000"/>
          <w:sz w:val="32"/>
          <w:szCs w:val="32"/>
        </w:rPr>
      </w:pPr>
      <w:r>
        <w:rPr>
          <w:rFonts w:ascii="楷体_GB2312" w:eastAsia="楷体_GB2312" w:hAnsi="楷体_GB2312" w:cs="楷体_GB2312" w:hint="eastAsia"/>
          <w:b/>
          <w:bCs/>
          <w:w w:val="95"/>
          <w:kern w:val="0"/>
          <w:sz w:val="32"/>
          <w:szCs w:val="32"/>
        </w:rPr>
        <w:t>（6）多</w:t>
      </w:r>
      <w:proofErr w:type="gramStart"/>
      <w:r>
        <w:rPr>
          <w:rFonts w:ascii="楷体_GB2312" w:eastAsia="楷体_GB2312" w:hAnsi="楷体_GB2312" w:cs="楷体_GB2312" w:hint="eastAsia"/>
          <w:b/>
          <w:bCs/>
          <w:w w:val="95"/>
          <w:kern w:val="0"/>
          <w:sz w:val="32"/>
          <w:szCs w:val="32"/>
        </w:rPr>
        <w:t>措</w:t>
      </w:r>
      <w:proofErr w:type="gramEnd"/>
      <w:r>
        <w:rPr>
          <w:rFonts w:ascii="楷体_GB2312" w:eastAsia="楷体_GB2312" w:hAnsi="楷体_GB2312" w:cs="楷体_GB2312" w:hint="eastAsia"/>
          <w:b/>
          <w:bCs/>
          <w:w w:val="95"/>
          <w:kern w:val="0"/>
          <w:sz w:val="32"/>
          <w:szCs w:val="32"/>
        </w:rPr>
        <w:t>并举，全力做好其他工作</w:t>
      </w:r>
    </w:p>
    <w:p w14:paraId="67E8F306" w14:textId="77777777" w:rsidR="00FE5C94" w:rsidRDefault="00000000">
      <w:pPr>
        <w:pStyle w:val="2"/>
        <w:rPr>
          <w:rStyle w:val="20"/>
        </w:rPr>
      </w:pPr>
      <w:bookmarkStart w:id="33" w:name="_Toc79163605"/>
      <w:bookmarkStart w:id="34" w:name="_Toc15396601"/>
      <w:bookmarkStart w:id="35" w:name="_Toc15377200"/>
      <w:bookmarkStart w:id="36" w:name="_Toc79163855"/>
      <w:bookmarkStart w:id="37" w:name="_Toc16957"/>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33"/>
      <w:bookmarkEnd w:id="34"/>
      <w:bookmarkEnd w:id="35"/>
      <w:bookmarkEnd w:id="36"/>
      <w:bookmarkEnd w:id="37"/>
    </w:p>
    <w:p w14:paraId="6EC00CEF" w14:textId="77777777" w:rsidR="00FE5C94" w:rsidRDefault="00000000">
      <w:pPr>
        <w:pStyle w:val="ad"/>
        <w:shd w:val="clear" w:color="auto" w:fill="FFFFFF"/>
        <w:spacing w:before="0" w:beforeAutospacing="0" w:after="0" w:afterAutospacing="0" w:line="576"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 w:cs="仿宋" w:hint="eastAsia"/>
          <w:sz w:val="32"/>
          <w:szCs w:val="32"/>
        </w:rPr>
        <w:t>根据上述职责，松潘县综合行政执法局设5个内设机构：</w:t>
      </w:r>
      <w:r>
        <w:rPr>
          <w:rFonts w:ascii="仿宋_GB2312" w:eastAsia="仿宋_GB2312" w:hAnsi="仿宋" w:cs="仿宋" w:hint="eastAsia"/>
          <w:b/>
          <w:bCs/>
          <w:color w:val="000000"/>
          <w:sz w:val="32"/>
          <w:szCs w:val="32"/>
        </w:rPr>
        <w:t>综合业务股、文化旅游行政执法中队、交通运输行政执法中队、农业行政执法中队、市场监管行政执法中队</w:t>
      </w:r>
      <w:r>
        <w:rPr>
          <w:rFonts w:ascii="仿宋_GB2312" w:eastAsia="仿宋_GB2312" w:hAnsi="仿宋" w:cs="仿宋" w:hint="eastAsia"/>
          <w:color w:val="000000"/>
          <w:sz w:val="32"/>
          <w:szCs w:val="32"/>
        </w:rPr>
        <w:t>。职责：</w:t>
      </w:r>
      <w:r>
        <w:rPr>
          <w:rFonts w:ascii="仿宋_GB2312" w:eastAsia="仿宋_GB2312" w:hAnsi="仿宋" w:cs="仿宋" w:hint="eastAsia"/>
          <w:sz w:val="32"/>
          <w:szCs w:val="32"/>
        </w:rPr>
        <w:t>承担本单位党的建设、党风廉政建设、意识形态等工作，负责制定工作制度。负责本单位依法行政、文电、会务、档案、机要等日常工作。承担保密、信息、绩效管理、政务公开、信访、财务、国有资产管理、后勤等工作。贯彻执行有关综合行政执法法律、法规、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r>
        <w:rPr>
          <w:rFonts w:ascii="仿宋_GB2312" w:eastAsia="仿宋_GB2312" w:hAnsi="仿宋_GB2312" w:cs="仿宋_GB2312" w:hint="eastAsia"/>
          <w:sz w:val="32"/>
          <w:szCs w:val="32"/>
          <w:shd w:val="clear" w:color="auto" w:fill="FFFFFF"/>
        </w:rPr>
        <w:t>服务和监管相结合，继续开展文化市场工作。开展出版物、网吧、演艺、印刷、书刊零售的日常</w:t>
      </w:r>
      <w:proofErr w:type="gramStart"/>
      <w:r>
        <w:rPr>
          <w:rFonts w:ascii="仿宋_GB2312" w:eastAsia="仿宋_GB2312" w:hAnsi="仿宋_GB2312" w:cs="仿宋_GB2312" w:hint="eastAsia"/>
          <w:sz w:val="32"/>
          <w:szCs w:val="32"/>
          <w:shd w:val="clear" w:color="auto" w:fill="FFFFFF"/>
        </w:rPr>
        <w:t>检开展运</w:t>
      </w:r>
      <w:proofErr w:type="gramEnd"/>
      <w:r>
        <w:rPr>
          <w:rFonts w:ascii="仿宋_GB2312" w:eastAsia="仿宋_GB2312" w:hAnsi="仿宋_GB2312" w:cs="仿宋_GB2312" w:hint="eastAsia"/>
          <w:sz w:val="32"/>
          <w:szCs w:val="32"/>
          <w:shd w:val="clear" w:color="auto" w:fill="FFFFFF"/>
        </w:rPr>
        <w:t>政、路政工作，打击非法营运确保交通运输安全。开展安全生产、冷链运输及“毒驾”检查；开展路政巡查工作。优化营商环境，营造良好市场环境。坚持督促各营业单位标价签，要求做到合理定价、明码标价，在销售过程中做到价</w:t>
      </w:r>
      <w:r>
        <w:rPr>
          <w:rFonts w:ascii="仿宋_GB2312" w:eastAsia="仿宋_GB2312" w:hAnsi="仿宋_GB2312" w:cs="仿宋_GB2312" w:hint="eastAsia"/>
          <w:sz w:val="32"/>
          <w:szCs w:val="32"/>
          <w:shd w:val="clear" w:color="auto" w:fill="FFFFFF"/>
        </w:rPr>
        <w:lastRenderedPageBreak/>
        <w:t>格清晰、明确，不搞坐地起价、价格欺诈；打击虚假宣传，引诱消。专项治理，规范农资市场秩序。深入农户家中，加强宣传；开展专项治理，对禁用限用农药和过期农药进行了全面清理。</w:t>
      </w:r>
    </w:p>
    <w:p w14:paraId="58BD3245" w14:textId="77777777" w:rsidR="00FE5C94" w:rsidRDefault="00000000">
      <w:pPr>
        <w:pStyle w:val="1"/>
        <w:ind w:right="440"/>
        <w:jc w:val="right"/>
      </w:pPr>
      <w:bookmarkStart w:id="38" w:name="_Toc79163859"/>
      <w:bookmarkStart w:id="39" w:name="_Toc15377204"/>
      <w:bookmarkStart w:id="40" w:name="_Toc79163609"/>
      <w:bookmarkStart w:id="41" w:name="_Toc15396602"/>
      <w:bookmarkStart w:id="42" w:name="_Toc31032"/>
      <w:r>
        <w:rPr>
          <w:rFonts w:ascii="黑体" w:eastAsia="黑体" w:hAnsi="黑体" w:hint="eastAsia"/>
          <w:b w:val="0"/>
          <w:color w:val="000000"/>
        </w:rPr>
        <w:t>第二部分</w:t>
      </w:r>
      <w:r>
        <w:rPr>
          <w:rStyle w:val="10"/>
          <w:rFonts w:ascii="黑体" w:eastAsia="黑体" w:hAnsi="黑体"/>
        </w:rPr>
        <w:t>202</w:t>
      </w:r>
      <w:r>
        <w:rPr>
          <w:rStyle w:val="10"/>
          <w:rFonts w:ascii="黑体" w:eastAsia="黑体" w:hAnsi="黑体" w:hint="eastAsia"/>
        </w:rPr>
        <w:t>1年度部门决算情况说明</w:t>
      </w:r>
      <w:bookmarkEnd w:id="38"/>
      <w:bookmarkEnd w:id="39"/>
      <w:bookmarkEnd w:id="40"/>
      <w:bookmarkEnd w:id="41"/>
      <w:bookmarkEnd w:id="42"/>
    </w:p>
    <w:p w14:paraId="6D3E6E3C" w14:textId="77777777" w:rsidR="00FE5C94" w:rsidRDefault="00000000">
      <w:pPr>
        <w:pStyle w:val="11"/>
        <w:numPr>
          <w:ilvl w:val="0"/>
          <w:numId w:val="1"/>
        </w:numPr>
        <w:spacing w:line="600" w:lineRule="exact"/>
        <w:ind w:firstLineChars="0"/>
        <w:outlineLvl w:val="1"/>
        <w:rPr>
          <w:rStyle w:val="20"/>
          <w:rFonts w:ascii="黑体" w:eastAsia="黑体" w:hAnsi="黑体"/>
          <w:b w:val="0"/>
        </w:rPr>
      </w:pPr>
      <w:bookmarkStart w:id="43" w:name="_Toc79163860"/>
      <w:bookmarkStart w:id="44" w:name="_Toc15377205"/>
      <w:bookmarkStart w:id="45" w:name="_Toc15396603"/>
      <w:bookmarkStart w:id="46" w:name="_Toc79163610"/>
      <w:bookmarkStart w:id="47" w:name="_Toc2579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43"/>
      <w:bookmarkEnd w:id="44"/>
      <w:bookmarkEnd w:id="45"/>
      <w:bookmarkEnd w:id="46"/>
      <w:bookmarkEnd w:id="47"/>
    </w:p>
    <w:p w14:paraId="0F17E697" w14:textId="77777777" w:rsidR="00FE5C94" w:rsidRDefault="00000000">
      <w:pPr>
        <w:pStyle w:val="ad"/>
        <w:shd w:val="clear" w:color="auto" w:fill="FFFFFF"/>
        <w:spacing w:before="0" w:beforeAutospacing="0" w:after="0" w:afterAutospacing="0" w:line="576" w:lineRule="exact"/>
        <w:ind w:firstLineChars="200" w:firstLine="640"/>
        <w:rPr>
          <w:rFonts w:ascii="仿宋_GB2312" w:eastAsia="仿宋_GB2312"/>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1年度收入</w:t>
      </w:r>
      <w:r>
        <w:rPr>
          <w:rFonts w:ascii="仿宋_GB2312" w:eastAsia="仿宋_GB2312" w:hAnsi="仿宋" w:cs="仿宋" w:hint="eastAsia"/>
          <w:sz w:val="32"/>
          <w:szCs w:val="32"/>
        </w:rPr>
        <w:t>505.09万元，上年结转1.06万元；</w:t>
      </w:r>
      <w:r>
        <w:rPr>
          <w:rFonts w:ascii="仿宋" w:eastAsia="仿宋" w:hAnsi="仿宋" w:hint="eastAsia"/>
          <w:color w:val="000000"/>
          <w:sz w:val="32"/>
          <w:szCs w:val="32"/>
        </w:rPr>
        <w:t>支出总计</w:t>
      </w:r>
      <w:r>
        <w:rPr>
          <w:rFonts w:ascii="仿宋_GB2312" w:eastAsia="仿宋_GB2312" w:hAnsi="仿宋" w:cs="仿宋" w:hint="eastAsia"/>
          <w:sz w:val="32"/>
          <w:szCs w:val="32"/>
        </w:rPr>
        <w:t>506.15</w:t>
      </w:r>
      <w:r>
        <w:rPr>
          <w:rFonts w:ascii="仿宋" w:eastAsia="仿宋" w:hAnsi="仿宋" w:hint="eastAsia"/>
          <w:color w:val="000000"/>
          <w:sz w:val="32"/>
          <w:szCs w:val="32"/>
        </w:rPr>
        <w:t>万元。与</w:t>
      </w:r>
      <w:r>
        <w:rPr>
          <w:rFonts w:ascii="仿宋" w:eastAsia="仿宋" w:hAnsi="仿宋"/>
          <w:color w:val="000000"/>
          <w:sz w:val="32"/>
          <w:szCs w:val="32"/>
        </w:rPr>
        <w:t>20</w:t>
      </w:r>
      <w:r>
        <w:rPr>
          <w:rFonts w:ascii="仿宋" w:eastAsia="仿宋" w:hAnsi="仿宋" w:hint="eastAsia"/>
          <w:color w:val="000000"/>
          <w:sz w:val="32"/>
          <w:szCs w:val="32"/>
        </w:rPr>
        <w:t>20年相比，收入总计308.87万元、支出总计308.10万元各增加196.22、198.05万元，增长63.53</w:t>
      </w:r>
      <w:r>
        <w:rPr>
          <w:rFonts w:ascii="仿宋" w:eastAsia="仿宋" w:hAnsi="仿宋"/>
          <w:color w:val="000000"/>
          <w:sz w:val="32"/>
          <w:szCs w:val="32"/>
        </w:rPr>
        <w:t>%</w:t>
      </w:r>
      <w:r>
        <w:rPr>
          <w:rFonts w:ascii="仿宋" w:eastAsia="仿宋" w:hAnsi="仿宋" w:hint="eastAsia"/>
          <w:color w:val="000000"/>
          <w:sz w:val="32"/>
          <w:szCs w:val="32"/>
        </w:rPr>
        <w:t>、64.28</w:t>
      </w:r>
      <w:r>
        <w:rPr>
          <w:rFonts w:ascii="仿宋" w:eastAsia="仿宋" w:hAnsi="仿宋"/>
          <w:color w:val="000000"/>
          <w:sz w:val="32"/>
          <w:szCs w:val="32"/>
        </w:rPr>
        <w:t>%</w:t>
      </w:r>
      <w:r>
        <w:rPr>
          <w:rFonts w:ascii="仿宋" w:eastAsia="仿宋" w:hAnsi="仿宋" w:hint="eastAsia"/>
          <w:color w:val="000000"/>
          <w:sz w:val="32"/>
          <w:szCs w:val="32"/>
        </w:rPr>
        <w:t>。主要变动原因是综合执法改革，</w:t>
      </w:r>
      <w:r>
        <w:rPr>
          <w:rFonts w:ascii="仿宋_GB2312" w:eastAsia="仿宋_GB2312" w:hAnsi="仿宋_GB2312" w:cs="仿宋_GB2312" w:hint="eastAsia"/>
          <w:sz w:val="32"/>
          <w:szCs w:val="32"/>
        </w:rPr>
        <w:t>市场监管、交通运输、农业3个执法领域的</w:t>
      </w:r>
      <w:r>
        <w:rPr>
          <w:rFonts w:ascii="仿宋" w:eastAsia="仿宋" w:hAnsi="仿宋" w:hint="eastAsia"/>
          <w:color w:val="000000"/>
          <w:sz w:val="32"/>
          <w:szCs w:val="32"/>
        </w:rPr>
        <w:t>人员转隶到我局增加相应的人员经费等。</w:t>
      </w:r>
    </w:p>
    <w:p w14:paraId="22F5ECD3" w14:textId="77777777" w:rsidR="00FE5C94" w:rsidRDefault="00000000">
      <w:pPr>
        <w:rPr>
          <w:rFonts w:ascii="仿宋_GB2312" w:eastAsia="仿宋_GB2312"/>
          <w:color w:val="000000"/>
          <w:sz w:val="32"/>
          <w:szCs w:val="32"/>
        </w:rPr>
      </w:pPr>
      <w:r>
        <w:rPr>
          <w:noProof/>
        </w:rPr>
        <w:drawing>
          <wp:inline distT="0" distB="0" distL="114300" distR="114300" wp14:anchorId="06FA13A6" wp14:editId="42D08D4A">
            <wp:extent cx="5247640" cy="3036570"/>
            <wp:effectExtent l="4445" t="4445" r="5715" b="69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8B1672" w14:textId="77777777" w:rsidR="00FE5C94" w:rsidRDefault="00FE5C94">
      <w:pPr>
        <w:pStyle w:val="21"/>
        <w:ind w:firstLine="640"/>
      </w:pPr>
    </w:p>
    <w:p w14:paraId="25E8EB4F" w14:textId="77777777" w:rsidR="00FE5C94" w:rsidRDefault="00000000">
      <w:pPr>
        <w:pStyle w:val="11"/>
        <w:numPr>
          <w:ilvl w:val="0"/>
          <w:numId w:val="1"/>
        </w:numPr>
        <w:spacing w:line="600" w:lineRule="exact"/>
        <w:ind w:firstLineChars="0"/>
        <w:outlineLvl w:val="1"/>
        <w:rPr>
          <w:rStyle w:val="20"/>
          <w:rFonts w:ascii="黑体" w:eastAsia="黑体" w:hAnsi="黑体"/>
          <w:b w:val="0"/>
        </w:rPr>
      </w:pPr>
      <w:bookmarkStart w:id="48" w:name="_Toc15377206"/>
      <w:bookmarkStart w:id="49" w:name="_Toc79163611"/>
      <w:bookmarkStart w:id="50" w:name="_Toc15396604"/>
      <w:bookmarkStart w:id="51" w:name="_Toc79163861"/>
      <w:bookmarkStart w:id="52" w:name="_Toc22055"/>
      <w:r>
        <w:rPr>
          <w:rFonts w:ascii="黑体" w:eastAsia="黑体" w:hAnsi="黑体" w:hint="eastAsia"/>
          <w:color w:val="000000"/>
          <w:sz w:val="32"/>
          <w:szCs w:val="32"/>
        </w:rPr>
        <w:t>收</w:t>
      </w:r>
      <w:r>
        <w:rPr>
          <w:rStyle w:val="20"/>
          <w:rFonts w:ascii="黑体" w:eastAsia="黑体" w:hAnsi="黑体" w:hint="eastAsia"/>
          <w:b w:val="0"/>
        </w:rPr>
        <w:t>入决算情况说明</w:t>
      </w:r>
      <w:bookmarkEnd w:id="48"/>
      <w:bookmarkEnd w:id="49"/>
      <w:bookmarkEnd w:id="50"/>
      <w:bookmarkEnd w:id="51"/>
      <w:bookmarkEnd w:id="52"/>
    </w:p>
    <w:p w14:paraId="7397EBA5" w14:textId="77777777" w:rsidR="00FE5C94" w:rsidRDefault="00000000">
      <w:pPr>
        <w:spacing w:line="600" w:lineRule="exact"/>
        <w:ind w:firstLineChars="200" w:firstLine="640"/>
        <w:rPr>
          <w:rFonts w:ascii="仿宋_GB2312" w:eastAsia="仿宋_GB2312"/>
          <w:color w:val="FF0000"/>
          <w:sz w:val="32"/>
          <w:szCs w:val="32"/>
        </w:rPr>
      </w:pPr>
      <w:r>
        <w:rPr>
          <w:rFonts w:ascii="仿宋" w:eastAsia="仿宋" w:hAnsi="仿宋"/>
          <w:color w:val="000000"/>
          <w:sz w:val="32"/>
          <w:szCs w:val="32"/>
        </w:rPr>
        <w:lastRenderedPageBreak/>
        <w:t>202</w:t>
      </w:r>
      <w:r>
        <w:rPr>
          <w:rFonts w:ascii="仿宋" w:eastAsia="仿宋" w:hAnsi="仿宋" w:hint="eastAsia"/>
          <w:color w:val="000000"/>
          <w:sz w:val="32"/>
          <w:szCs w:val="32"/>
        </w:rPr>
        <w:t>1年本年收入合计505.09万元，其中：一般公共预算财政拨款收入505.09万元，占100</w:t>
      </w:r>
      <w:r>
        <w:rPr>
          <w:rFonts w:ascii="仿宋" w:eastAsia="仿宋" w:hAnsi="仿宋"/>
          <w:color w:val="000000"/>
          <w:sz w:val="32"/>
          <w:szCs w:val="32"/>
        </w:rPr>
        <w:t>%</w:t>
      </w:r>
      <w:r>
        <w:rPr>
          <w:rFonts w:ascii="仿宋" w:eastAsia="仿宋" w:hAnsi="仿宋" w:hint="eastAsia"/>
          <w:color w:val="000000"/>
          <w:sz w:val="32"/>
          <w:szCs w:val="32"/>
        </w:rPr>
        <w:t>。</w:t>
      </w:r>
    </w:p>
    <w:p w14:paraId="263810C1" w14:textId="77777777" w:rsidR="00FE5C94" w:rsidRDefault="00000000">
      <w:r>
        <w:rPr>
          <w:noProof/>
        </w:rPr>
        <w:drawing>
          <wp:inline distT="0" distB="0" distL="114300" distR="114300" wp14:anchorId="55C91C62" wp14:editId="1F52C6E7">
            <wp:extent cx="5038090" cy="3009265"/>
            <wp:effectExtent l="4445" t="4445" r="5715" b="1524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E780AC" w14:textId="77777777" w:rsidR="00FE5C94" w:rsidRDefault="00000000">
      <w:pPr>
        <w:pStyle w:val="11"/>
        <w:numPr>
          <w:ilvl w:val="0"/>
          <w:numId w:val="1"/>
        </w:numPr>
        <w:spacing w:line="600" w:lineRule="exact"/>
        <w:ind w:firstLineChars="0"/>
        <w:outlineLvl w:val="1"/>
        <w:rPr>
          <w:rStyle w:val="20"/>
          <w:rFonts w:ascii="黑体" w:eastAsia="黑体" w:hAnsi="黑体"/>
          <w:b w:val="0"/>
        </w:rPr>
      </w:pPr>
      <w:bookmarkStart w:id="53" w:name="_Toc79163862"/>
      <w:bookmarkStart w:id="54" w:name="_Toc15396605"/>
      <w:bookmarkStart w:id="55" w:name="_Toc79163612"/>
      <w:bookmarkStart w:id="56" w:name="_Toc15377207"/>
      <w:bookmarkStart w:id="57" w:name="_Toc30117"/>
      <w:r>
        <w:rPr>
          <w:rFonts w:ascii="黑体" w:eastAsia="黑体" w:hAnsi="黑体" w:hint="eastAsia"/>
          <w:color w:val="000000"/>
          <w:sz w:val="32"/>
          <w:szCs w:val="32"/>
        </w:rPr>
        <w:t>支</w:t>
      </w:r>
      <w:r>
        <w:rPr>
          <w:rStyle w:val="20"/>
          <w:rFonts w:ascii="黑体" w:eastAsia="黑体" w:hAnsi="黑体" w:hint="eastAsia"/>
          <w:b w:val="0"/>
        </w:rPr>
        <w:t>出决算情况说明</w:t>
      </w:r>
      <w:bookmarkEnd w:id="53"/>
      <w:bookmarkEnd w:id="54"/>
      <w:bookmarkEnd w:id="55"/>
      <w:bookmarkEnd w:id="56"/>
      <w:bookmarkEnd w:id="57"/>
    </w:p>
    <w:p w14:paraId="7F40280A" w14:textId="77777777" w:rsidR="00FE5C94" w:rsidRDefault="00000000">
      <w:pPr>
        <w:spacing w:line="600" w:lineRule="exact"/>
        <w:ind w:firstLineChars="200" w:firstLine="640"/>
        <w:rPr>
          <w:rFonts w:ascii="仿宋_GB2312" w:eastAsia="仿宋_GB2312"/>
          <w:color w:val="FF0000"/>
          <w:sz w:val="32"/>
          <w:szCs w:val="32"/>
        </w:rPr>
      </w:pPr>
      <w:r>
        <w:rPr>
          <w:rFonts w:ascii="仿宋_GB2312" w:eastAsia="仿宋_GB2312"/>
          <w:sz w:val="32"/>
          <w:szCs w:val="32"/>
        </w:rPr>
        <w:t>202</w:t>
      </w:r>
      <w:r>
        <w:rPr>
          <w:rFonts w:ascii="仿宋_GB2312" w:eastAsia="仿宋_GB2312" w:hint="eastAsia"/>
          <w:sz w:val="32"/>
          <w:szCs w:val="32"/>
        </w:rPr>
        <w:t>1年本年支出合计506.15万元，其中：基本支出407.28万元，占80.47</w:t>
      </w:r>
      <w:r>
        <w:rPr>
          <w:rFonts w:ascii="仿宋_GB2312" w:eastAsia="仿宋_GB2312"/>
          <w:sz w:val="32"/>
          <w:szCs w:val="32"/>
        </w:rPr>
        <w:t>%</w:t>
      </w:r>
      <w:r>
        <w:rPr>
          <w:rFonts w:ascii="仿宋_GB2312" w:eastAsia="仿宋_GB2312" w:hint="eastAsia"/>
          <w:sz w:val="32"/>
          <w:szCs w:val="32"/>
        </w:rPr>
        <w:t>；项目支出98.87万元，占19.53%。</w:t>
      </w:r>
    </w:p>
    <w:p w14:paraId="5B4CF481" w14:textId="77777777" w:rsidR="00FE5C94" w:rsidRDefault="00000000">
      <w:pPr>
        <w:rPr>
          <w:rFonts w:ascii="仿宋_GB2312" w:eastAsia="仿宋_GB2312"/>
          <w:color w:val="FF0000"/>
          <w:sz w:val="32"/>
          <w:szCs w:val="32"/>
        </w:rPr>
      </w:pPr>
      <w:r>
        <w:rPr>
          <w:noProof/>
        </w:rPr>
        <w:drawing>
          <wp:inline distT="0" distB="0" distL="114300" distR="114300" wp14:anchorId="45A54397" wp14:editId="701ED01E">
            <wp:extent cx="5161915" cy="3113405"/>
            <wp:effectExtent l="4445" t="4445" r="15240" b="635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4CCFDB" w14:textId="77777777" w:rsidR="00FE5C94" w:rsidRDefault="00FE5C94">
      <w:pPr>
        <w:pStyle w:val="21"/>
        <w:ind w:firstLine="640"/>
      </w:pPr>
    </w:p>
    <w:p w14:paraId="47CED9FA" w14:textId="77777777" w:rsidR="00FE5C94" w:rsidRDefault="00000000">
      <w:pPr>
        <w:spacing w:line="600" w:lineRule="exact"/>
        <w:ind w:firstLineChars="200" w:firstLine="640"/>
        <w:outlineLvl w:val="1"/>
        <w:rPr>
          <w:rStyle w:val="20"/>
          <w:rFonts w:ascii="黑体" w:eastAsia="黑体" w:hAnsi="黑体"/>
          <w:b w:val="0"/>
        </w:rPr>
      </w:pPr>
      <w:bookmarkStart w:id="58" w:name="_Toc15377208"/>
      <w:bookmarkStart w:id="59" w:name="_Toc15396606"/>
      <w:bookmarkStart w:id="60" w:name="_Toc79163613"/>
      <w:bookmarkStart w:id="61" w:name="_Toc79163863"/>
      <w:bookmarkStart w:id="62" w:name="_Toc19724"/>
      <w:r>
        <w:rPr>
          <w:rFonts w:ascii="黑体" w:eastAsia="黑体" w:hAnsi="黑体" w:hint="eastAsia"/>
          <w:color w:val="000000"/>
          <w:sz w:val="32"/>
          <w:szCs w:val="32"/>
        </w:rPr>
        <w:lastRenderedPageBreak/>
        <w:t>四、财</w:t>
      </w:r>
      <w:r>
        <w:rPr>
          <w:rStyle w:val="20"/>
          <w:rFonts w:ascii="黑体" w:eastAsia="黑体" w:hAnsi="黑体" w:hint="eastAsia"/>
          <w:b w:val="0"/>
        </w:rPr>
        <w:t>政拨款收入支出决算总体情况说明</w:t>
      </w:r>
      <w:bookmarkEnd w:id="58"/>
      <w:bookmarkEnd w:id="59"/>
      <w:bookmarkEnd w:id="60"/>
      <w:bookmarkEnd w:id="61"/>
      <w:bookmarkEnd w:id="62"/>
    </w:p>
    <w:p w14:paraId="658D285B" w14:textId="77777777" w:rsidR="00FE5C94"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1年度财政拨款收入、支出总计</w:t>
      </w:r>
      <w:r>
        <w:rPr>
          <w:rFonts w:ascii="仿宋_GB2312" w:eastAsia="仿宋_GB2312" w:hAnsi="仿宋" w:cs="仿宋" w:hint="eastAsia"/>
          <w:sz w:val="32"/>
          <w:szCs w:val="32"/>
        </w:rPr>
        <w:t>505.09万元、506.15</w:t>
      </w:r>
      <w:r>
        <w:rPr>
          <w:rFonts w:ascii="仿宋" w:eastAsia="仿宋" w:hAnsi="仿宋" w:hint="eastAsia"/>
          <w:color w:val="000000"/>
          <w:sz w:val="32"/>
          <w:szCs w:val="32"/>
        </w:rPr>
        <w:t>万元。与</w:t>
      </w:r>
      <w:r>
        <w:rPr>
          <w:rFonts w:ascii="仿宋" w:eastAsia="仿宋" w:hAnsi="仿宋"/>
          <w:color w:val="000000"/>
          <w:sz w:val="32"/>
          <w:szCs w:val="32"/>
        </w:rPr>
        <w:t>20</w:t>
      </w:r>
      <w:r>
        <w:rPr>
          <w:rFonts w:ascii="仿宋" w:eastAsia="仿宋" w:hAnsi="仿宋" w:hint="eastAsia"/>
          <w:color w:val="000000"/>
          <w:sz w:val="32"/>
          <w:szCs w:val="32"/>
        </w:rPr>
        <w:t>20年相比，收入总计308.87万元、支出总计308.10万元各增加196.22、198.05万元，增长63.53</w:t>
      </w:r>
      <w:r>
        <w:rPr>
          <w:rFonts w:ascii="仿宋" w:eastAsia="仿宋" w:hAnsi="仿宋"/>
          <w:color w:val="000000"/>
          <w:sz w:val="32"/>
          <w:szCs w:val="32"/>
        </w:rPr>
        <w:t>%</w:t>
      </w:r>
      <w:r>
        <w:rPr>
          <w:rFonts w:ascii="仿宋" w:eastAsia="仿宋" w:hAnsi="仿宋" w:hint="eastAsia"/>
          <w:color w:val="000000"/>
          <w:sz w:val="32"/>
          <w:szCs w:val="32"/>
        </w:rPr>
        <w:t>、64.28</w:t>
      </w:r>
      <w:r>
        <w:rPr>
          <w:rFonts w:ascii="仿宋" w:eastAsia="仿宋" w:hAnsi="仿宋"/>
          <w:color w:val="000000"/>
          <w:sz w:val="32"/>
          <w:szCs w:val="32"/>
        </w:rPr>
        <w:t>%</w:t>
      </w:r>
      <w:r>
        <w:rPr>
          <w:rFonts w:ascii="仿宋" w:eastAsia="仿宋" w:hAnsi="仿宋" w:hint="eastAsia"/>
          <w:color w:val="000000"/>
          <w:sz w:val="32"/>
          <w:szCs w:val="32"/>
        </w:rPr>
        <w:t>。主要变动原因是综合执法改革，</w:t>
      </w:r>
      <w:r>
        <w:rPr>
          <w:rFonts w:ascii="仿宋_GB2312" w:eastAsia="仿宋_GB2312" w:hAnsi="仿宋_GB2312" w:cs="仿宋_GB2312" w:hint="eastAsia"/>
          <w:sz w:val="32"/>
          <w:szCs w:val="32"/>
        </w:rPr>
        <w:t>市场监管、交通运输、农业3个执法领域的</w:t>
      </w:r>
      <w:r>
        <w:rPr>
          <w:rFonts w:ascii="仿宋" w:eastAsia="仿宋" w:hAnsi="仿宋" w:hint="eastAsia"/>
          <w:color w:val="000000"/>
          <w:sz w:val="32"/>
          <w:szCs w:val="32"/>
        </w:rPr>
        <w:t>人员转隶到我局增加相应的人员经费等增加。</w:t>
      </w:r>
    </w:p>
    <w:p w14:paraId="73521168" w14:textId="77777777" w:rsidR="00FE5C94" w:rsidRDefault="00000000">
      <w:pPr>
        <w:rPr>
          <w:rFonts w:ascii="仿宋" w:eastAsia="仿宋" w:hAnsi="仿宋"/>
          <w:color w:val="000000"/>
          <w:sz w:val="32"/>
          <w:szCs w:val="32"/>
        </w:rPr>
      </w:pPr>
      <w:r>
        <w:rPr>
          <w:noProof/>
        </w:rPr>
        <w:drawing>
          <wp:inline distT="0" distB="0" distL="114300" distR="114300" wp14:anchorId="69230E0D" wp14:editId="00DEEC02">
            <wp:extent cx="5581015" cy="2942590"/>
            <wp:effectExtent l="4445" t="4445" r="15240" b="571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72C7A1" w14:textId="77777777" w:rsidR="00FE5C94" w:rsidRDefault="00000000">
      <w:pPr>
        <w:spacing w:line="600" w:lineRule="exact"/>
        <w:ind w:firstLineChars="200" w:firstLine="640"/>
        <w:outlineLvl w:val="1"/>
        <w:rPr>
          <w:rStyle w:val="20"/>
          <w:rFonts w:ascii="黑体" w:eastAsia="黑体" w:hAnsi="黑体"/>
          <w:b w:val="0"/>
        </w:rPr>
      </w:pPr>
      <w:bookmarkStart w:id="63" w:name="_Toc15396607"/>
      <w:bookmarkStart w:id="64" w:name="_Toc79163614"/>
      <w:bookmarkStart w:id="65" w:name="_Toc15377209"/>
      <w:bookmarkStart w:id="66" w:name="_Toc79163864"/>
      <w:bookmarkStart w:id="67" w:name="_Toc12898"/>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63"/>
      <w:bookmarkEnd w:id="64"/>
      <w:bookmarkEnd w:id="65"/>
      <w:bookmarkEnd w:id="66"/>
      <w:bookmarkEnd w:id="67"/>
    </w:p>
    <w:p w14:paraId="04614748" w14:textId="77777777" w:rsidR="00FE5C94" w:rsidRDefault="00000000">
      <w:pPr>
        <w:spacing w:line="600" w:lineRule="exact"/>
        <w:ind w:firstLineChars="200" w:firstLine="643"/>
        <w:outlineLvl w:val="2"/>
        <w:rPr>
          <w:rFonts w:ascii="仿宋" w:eastAsia="仿宋" w:hAnsi="仿宋"/>
          <w:b/>
          <w:color w:val="000000"/>
          <w:sz w:val="32"/>
          <w:szCs w:val="32"/>
        </w:rPr>
      </w:pPr>
      <w:bookmarkStart w:id="68" w:name="_Toc79163615"/>
      <w:bookmarkStart w:id="69" w:name="_Toc79163865"/>
      <w:bookmarkStart w:id="70" w:name="_Toc15377210"/>
      <w:bookmarkStart w:id="71" w:name="_Toc22575"/>
      <w:r>
        <w:rPr>
          <w:rFonts w:ascii="仿宋" w:eastAsia="仿宋" w:hAnsi="仿宋" w:hint="eastAsia"/>
          <w:b/>
          <w:color w:val="000000"/>
          <w:sz w:val="32"/>
          <w:szCs w:val="32"/>
        </w:rPr>
        <w:t>（一）一般公共预算财政拨款支出决算总体情况</w:t>
      </w:r>
      <w:bookmarkEnd w:id="68"/>
      <w:bookmarkEnd w:id="69"/>
      <w:bookmarkEnd w:id="70"/>
      <w:bookmarkEnd w:id="71"/>
    </w:p>
    <w:p w14:paraId="22F835D4" w14:textId="77777777" w:rsidR="00FE5C94" w:rsidRDefault="00000000">
      <w:pPr>
        <w:spacing w:line="600" w:lineRule="exact"/>
        <w:ind w:firstLineChars="200" w:firstLine="640"/>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1年一般公共预算财政拨款支出506.15万元，占本年支出合计的100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20年308.10万元相比，一般公共预算财政拨款增加198.05万元，增长64.28</w:t>
      </w:r>
      <w:r>
        <w:rPr>
          <w:rFonts w:ascii="仿宋" w:eastAsia="仿宋" w:hAnsi="仿宋"/>
          <w:color w:val="000000"/>
          <w:sz w:val="32"/>
          <w:szCs w:val="32"/>
        </w:rPr>
        <w:t>%</w:t>
      </w:r>
      <w:r>
        <w:rPr>
          <w:rFonts w:ascii="仿宋" w:eastAsia="仿宋" w:hAnsi="仿宋" w:hint="eastAsia"/>
          <w:color w:val="000000"/>
          <w:sz w:val="32"/>
          <w:szCs w:val="32"/>
        </w:rPr>
        <w:t>。主要变动原因是综合执法改革，</w:t>
      </w:r>
      <w:r>
        <w:rPr>
          <w:rFonts w:ascii="仿宋_GB2312" w:eastAsia="仿宋_GB2312" w:hAnsi="仿宋_GB2312" w:cs="仿宋_GB2312" w:hint="eastAsia"/>
          <w:sz w:val="32"/>
          <w:szCs w:val="32"/>
        </w:rPr>
        <w:t>市场监管、交通运输、农业3个执法领域的</w:t>
      </w:r>
      <w:r>
        <w:rPr>
          <w:rFonts w:ascii="仿宋" w:eastAsia="仿宋" w:hAnsi="仿宋" w:hint="eastAsia"/>
          <w:color w:val="000000"/>
          <w:sz w:val="32"/>
          <w:szCs w:val="32"/>
        </w:rPr>
        <w:t>人员转隶到我局增加相应的人员经费等增加。</w:t>
      </w:r>
    </w:p>
    <w:p w14:paraId="2735C0FC" w14:textId="77777777" w:rsidR="00FE5C94" w:rsidRDefault="00FE5C94">
      <w:pPr>
        <w:spacing w:line="600" w:lineRule="exact"/>
        <w:ind w:firstLineChars="200" w:firstLine="640"/>
        <w:rPr>
          <w:rFonts w:ascii="仿宋" w:eastAsia="仿宋" w:hAnsi="仿宋"/>
          <w:color w:val="000000"/>
          <w:sz w:val="32"/>
          <w:szCs w:val="32"/>
        </w:rPr>
      </w:pPr>
    </w:p>
    <w:p w14:paraId="54395B83" w14:textId="77777777" w:rsidR="00FE5C94" w:rsidRDefault="00FE5C94">
      <w:pPr>
        <w:pStyle w:val="21"/>
        <w:ind w:firstLine="640"/>
        <w:rPr>
          <w:rFonts w:ascii="仿宋" w:eastAsia="仿宋" w:hAnsi="仿宋"/>
          <w:color w:val="000000"/>
        </w:rPr>
      </w:pPr>
    </w:p>
    <w:p w14:paraId="377893DF" w14:textId="77777777" w:rsidR="00FE5C94" w:rsidRDefault="00000000">
      <w:r>
        <w:rPr>
          <w:noProof/>
        </w:rPr>
        <w:drawing>
          <wp:inline distT="0" distB="0" distL="114300" distR="114300" wp14:anchorId="0310AFB1" wp14:editId="3230DE2A">
            <wp:extent cx="4961890" cy="2952115"/>
            <wp:effectExtent l="4445" t="4445" r="5715" b="1524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CD9F57" w14:textId="77777777" w:rsidR="00FE5C94" w:rsidRDefault="00000000">
      <w:pPr>
        <w:spacing w:line="600" w:lineRule="exact"/>
        <w:ind w:firstLineChars="200" w:firstLine="643"/>
        <w:outlineLvl w:val="2"/>
        <w:rPr>
          <w:rFonts w:ascii="仿宋" w:eastAsia="仿宋" w:hAnsi="仿宋"/>
          <w:b/>
          <w:color w:val="000000"/>
          <w:sz w:val="32"/>
          <w:szCs w:val="32"/>
        </w:rPr>
      </w:pPr>
      <w:bookmarkStart w:id="72" w:name="_Toc79163616"/>
      <w:bookmarkStart w:id="73" w:name="_Toc15377211"/>
      <w:bookmarkStart w:id="74" w:name="_Toc79163866"/>
      <w:bookmarkStart w:id="75" w:name="_Toc23564"/>
      <w:r>
        <w:rPr>
          <w:rFonts w:ascii="仿宋" w:eastAsia="仿宋" w:hAnsi="仿宋" w:hint="eastAsia"/>
          <w:b/>
          <w:color w:val="000000"/>
          <w:sz w:val="32"/>
          <w:szCs w:val="32"/>
        </w:rPr>
        <w:t>（二）一般公共预算财政拨款支出决算结构情况</w:t>
      </w:r>
      <w:bookmarkEnd w:id="72"/>
      <w:bookmarkEnd w:id="73"/>
      <w:bookmarkEnd w:id="74"/>
      <w:bookmarkEnd w:id="75"/>
    </w:p>
    <w:p w14:paraId="16669178" w14:textId="77777777" w:rsidR="00FE5C94"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1年一般公共预算财政拨款支出506.15万元，主要用于以下方面</w:t>
      </w:r>
      <w:r>
        <w:rPr>
          <w:rFonts w:ascii="仿宋" w:eastAsia="仿宋" w:hAnsi="仿宋"/>
          <w:color w:val="000000"/>
          <w:sz w:val="32"/>
          <w:szCs w:val="32"/>
        </w:rPr>
        <w:t>:</w:t>
      </w:r>
      <w:r>
        <w:rPr>
          <w:rFonts w:ascii="仿宋" w:eastAsia="仿宋" w:hAnsi="仿宋" w:hint="eastAsia"/>
          <w:b/>
          <w:bCs/>
          <w:color w:val="000000"/>
          <w:sz w:val="32"/>
          <w:szCs w:val="32"/>
        </w:rPr>
        <w:t>文化旅游体育与传媒支出</w:t>
      </w:r>
      <w:r>
        <w:rPr>
          <w:rFonts w:ascii="仿宋" w:eastAsia="仿宋" w:hAnsi="仿宋" w:hint="eastAsia"/>
          <w:color w:val="000000"/>
          <w:sz w:val="32"/>
          <w:szCs w:val="32"/>
        </w:rPr>
        <w:t>409.08万元</w:t>
      </w:r>
      <w:r>
        <w:rPr>
          <w:rFonts w:ascii="仿宋" w:eastAsia="仿宋" w:hAnsi="仿宋" w:hint="eastAsia"/>
          <w:b/>
          <w:bCs/>
          <w:color w:val="000000"/>
          <w:sz w:val="32"/>
          <w:szCs w:val="32"/>
        </w:rPr>
        <w:t>，</w:t>
      </w:r>
      <w:r>
        <w:rPr>
          <w:rFonts w:ascii="仿宋" w:eastAsia="仿宋" w:hAnsi="仿宋" w:hint="eastAsia"/>
          <w:color w:val="000000"/>
          <w:sz w:val="32"/>
          <w:szCs w:val="32"/>
        </w:rPr>
        <w:t>占80.82</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w:t>
      </w:r>
      <w:r>
        <w:rPr>
          <w:rFonts w:ascii="仿宋" w:eastAsia="仿宋" w:hAnsi="仿宋" w:hint="eastAsia"/>
          <w:b/>
          <w:bCs/>
          <w:color w:val="000000"/>
          <w:sz w:val="32"/>
          <w:szCs w:val="32"/>
        </w:rPr>
        <w:t>支出</w:t>
      </w:r>
      <w:r>
        <w:rPr>
          <w:rFonts w:ascii="仿宋" w:eastAsia="仿宋" w:hAnsi="仿宋" w:hint="eastAsia"/>
          <w:color w:val="000000"/>
          <w:sz w:val="32"/>
          <w:szCs w:val="32"/>
        </w:rPr>
        <w:t>47.15万元，占9.32</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17.28万元，占3.41</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住房保障支出</w:t>
      </w:r>
      <w:r>
        <w:rPr>
          <w:rFonts w:ascii="仿宋" w:eastAsia="仿宋" w:hAnsi="仿宋" w:hint="eastAsia"/>
          <w:color w:val="000000"/>
          <w:sz w:val="32"/>
          <w:szCs w:val="32"/>
        </w:rPr>
        <w:t>32.64万元，占6.45</w:t>
      </w:r>
      <w:r>
        <w:rPr>
          <w:rFonts w:ascii="仿宋" w:eastAsia="仿宋" w:hAnsi="仿宋"/>
          <w:color w:val="000000"/>
          <w:sz w:val="32"/>
          <w:szCs w:val="32"/>
        </w:rPr>
        <w:t>%</w:t>
      </w:r>
      <w:r>
        <w:rPr>
          <w:rFonts w:ascii="仿宋" w:eastAsia="仿宋" w:hAnsi="仿宋" w:hint="eastAsia"/>
          <w:color w:val="000000"/>
          <w:sz w:val="32"/>
          <w:szCs w:val="32"/>
        </w:rPr>
        <w:t>。</w:t>
      </w:r>
    </w:p>
    <w:p w14:paraId="77E7594B" w14:textId="77777777" w:rsidR="00FE5C94" w:rsidRDefault="00FE5C94"/>
    <w:p w14:paraId="01599500" w14:textId="77777777" w:rsidR="00FE5C94" w:rsidRDefault="00000000">
      <w:r>
        <w:rPr>
          <w:noProof/>
        </w:rPr>
        <w:drawing>
          <wp:inline distT="0" distB="0" distL="114300" distR="114300" wp14:anchorId="17C7AD77" wp14:editId="62565BE6">
            <wp:extent cx="4067810" cy="2628265"/>
            <wp:effectExtent l="4445" t="4445" r="23495" b="1524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B5D320" w14:textId="77777777" w:rsidR="00FE5C94" w:rsidRDefault="00FE5C94"/>
    <w:p w14:paraId="2E716053" w14:textId="77777777" w:rsidR="00FE5C94" w:rsidRDefault="00000000">
      <w:pPr>
        <w:spacing w:line="600" w:lineRule="exact"/>
        <w:ind w:firstLineChars="200" w:firstLine="643"/>
        <w:outlineLvl w:val="2"/>
        <w:rPr>
          <w:rFonts w:ascii="仿宋" w:eastAsia="仿宋" w:hAnsi="仿宋"/>
          <w:b/>
          <w:color w:val="000000"/>
          <w:sz w:val="32"/>
          <w:szCs w:val="32"/>
        </w:rPr>
      </w:pPr>
      <w:bookmarkStart w:id="76" w:name="_Toc79163617"/>
      <w:bookmarkStart w:id="77" w:name="_Toc79163867"/>
      <w:bookmarkStart w:id="78" w:name="_Toc15377212"/>
      <w:bookmarkStart w:id="79" w:name="_Toc19603"/>
      <w:r>
        <w:rPr>
          <w:rFonts w:ascii="仿宋" w:eastAsia="仿宋" w:hAnsi="仿宋" w:hint="eastAsia"/>
          <w:b/>
          <w:color w:val="000000"/>
          <w:sz w:val="32"/>
          <w:szCs w:val="32"/>
        </w:rPr>
        <w:t>（三）一般公共预算财政拨款支出决算具体情况</w:t>
      </w:r>
      <w:bookmarkEnd w:id="76"/>
      <w:bookmarkEnd w:id="77"/>
      <w:bookmarkEnd w:id="78"/>
      <w:bookmarkEnd w:id="79"/>
    </w:p>
    <w:p w14:paraId="4E890C18" w14:textId="77777777" w:rsidR="00FE5C94" w:rsidRDefault="00000000">
      <w:pPr>
        <w:spacing w:line="576"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（1）文化旅游体育与传媒支出：409.08万元，完成预算100%；其中：2070101行政运行310.21万元，2070102一般行政管理事务83.87万元，文化和旅游市场管理15万元。</w:t>
      </w:r>
    </w:p>
    <w:p w14:paraId="7AA1DA8B" w14:textId="77777777" w:rsidR="00FE5C94" w:rsidRDefault="00000000">
      <w:pPr>
        <w:spacing w:line="576"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(1)社会保障和就业:47.15万元，完成预算100%；其中：2080505机关事业单位基本养老保险缴费支出决算数为31.43万元；2080506机关事业单位职业年金缴费支出15.72万元。</w:t>
      </w:r>
    </w:p>
    <w:p w14:paraId="2E4A00EE" w14:textId="77777777" w:rsidR="00FE5C94" w:rsidRDefault="00000000">
      <w:pPr>
        <w:spacing w:line="576" w:lineRule="exact"/>
        <w:ind w:firstLine="711"/>
        <w:rPr>
          <w:rFonts w:ascii="仿宋_GB2312" w:eastAsia="仿宋_GB2312" w:hAnsi="仿宋" w:cs="仿宋"/>
          <w:sz w:val="32"/>
          <w:szCs w:val="32"/>
        </w:rPr>
      </w:pPr>
      <w:r>
        <w:rPr>
          <w:rFonts w:ascii="仿宋_GB2312" w:eastAsia="仿宋_GB2312" w:hAnsi="仿宋" w:cs="仿宋" w:hint="eastAsia"/>
          <w:sz w:val="32"/>
          <w:szCs w:val="32"/>
        </w:rPr>
        <w:t>(2)卫生健康支出:17.28万元，完成预算100%；其中：2101101行政单位医疗支出12.89万元，2101103公务员医疗补助支出4.39万元.</w:t>
      </w:r>
    </w:p>
    <w:p w14:paraId="68127CCE" w14:textId="77777777" w:rsidR="00FE5C94" w:rsidRDefault="00000000">
      <w:pPr>
        <w:spacing w:line="600" w:lineRule="exact"/>
        <w:ind w:firstLine="640"/>
        <w:rPr>
          <w:rFonts w:ascii="仿宋" w:eastAsia="仿宋" w:hAnsi="仿宋"/>
          <w:b/>
          <w:color w:val="000000"/>
          <w:sz w:val="32"/>
          <w:szCs w:val="32"/>
        </w:rPr>
      </w:pPr>
      <w:r>
        <w:rPr>
          <w:rFonts w:ascii="仿宋_GB2312" w:eastAsia="仿宋_GB2312" w:hAnsi="仿宋" w:cs="仿宋" w:hint="eastAsia"/>
          <w:sz w:val="32"/>
          <w:szCs w:val="32"/>
        </w:rPr>
        <w:t>(3)住房保障支出:32.64万，完成预算100%；其中2210201住房公积金支出32.64万元。</w:t>
      </w:r>
    </w:p>
    <w:p w14:paraId="284ADC94" w14:textId="77777777" w:rsidR="00FE5C94" w:rsidRDefault="00000000">
      <w:pPr>
        <w:tabs>
          <w:tab w:val="right" w:pos="8306"/>
        </w:tabs>
        <w:spacing w:line="600" w:lineRule="exact"/>
        <w:ind w:firstLine="640"/>
        <w:outlineLvl w:val="1"/>
        <w:rPr>
          <w:rStyle w:val="20"/>
        </w:rPr>
      </w:pPr>
      <w:bookmarkStart w:id="80" w:name="_Toc79163618"/>
      <w:bookmarkStart w:id="81" w:name="_Toc15396608"/>
      <w:bookmarkStart w:id="82" w:name="_Toc79163868"/>
      <w:bookmarkStart w:id="83" w:name="_Toc15377214"/>
      <w:bookmarkStart w:id="84" w:name="_Toc13015"/>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80"/>
      <w:bookmarkEnd w:id="81"/>
      <w:bookmarkEnd w:id="82"/>
      <w:bookmarkEnd w:id="83"/>
      <w:bookmarkEnd w:id="84"/>
      <w:r>
        <w:rPr>
          <w:rStyle w:val="20"/>
          <w:rFonts w:ascii="黑体" w:eastAsia="黑体" w:hAnsi="黑体"/>
          <w:b w:val="0"/>
        </w:rPr>
        <w:tab/>
      </w:r>
    </w:p>
    <w:p w14:paraId="5AFCE943" w14:textId="77777777" w:rsidR="00FE5C94"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松潘县综合行政执法局</w:t>
      </w:r>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w:t>
      </w:r>
      <w:r>
        <w:rPr>
          <w:rFonts w:ascii="仿宋_GB2312" w:eastAsia="仿宋_GB2312" w:hAnsi="仿宋" w:cs="仿宋" w:hint="eastAsia"/>
          <w:sz w:val="32"/>
          <w:szCs w:val="32"/>
        </w:rPr>
        <w:t>407.28</w:t>
      </w:r>
      <w:r>
        <w:rPr>
          <w:rFonts w:ascii="仿宋" w:eastAsia="仿宋" w:hAnsi="仿宋" w:hint="eastAsia"/>
          <w:color w:val="000000"/>
          <w:sz w:val="32"/>
          <w:szCs w:val="32"/>
        </w:rPr>
        <w:t>万元，其中：</w:t>
      </w:r>
    </w:p>
    <w:p w14:paraId="338DA4D4" w14:textId="77777777" w:rsidR="00FE5C94"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_GB2312" w:eastAsia="仿宋_GB2312" w:hAnsi="仿宋" w:cs="仿宋" w:hint="eastAsia"/>
          <w:sz w:val="32"/>
          <w:szCs w:val="32"/>
        </w:rPr>
        <w:t>354.35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BF92BA9" w14:textId="77777777" w:rsidR="00FE5C94"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w:t>
      </w:r>
      <w:r>
        <w:rPr>
          <w:rFonts w:ascii="仿宋_GB2312" w:eastAsia="仿宋_GB2312" w:hAnsi="仿宋" w:cs="仿宋" w:hint="eastAsia"/>
          <w:sz w:val="32"/>
          <w:szCs w:val="32"/>
        </w:rPr>
        <w:t>52.93</w:t>
      </w:r>
      <w:r>
        <w:rPr>
          <w:rFonts w:ascii="仿宋" w:eastAsia="仿宋" w:hAnsi="仿宋" w:hint="eastAsia"/>
          <w:color w:val="000000"/>
          <w:sz w:val="32"/>
          <w:szCs w:val="32"/>
        </w:rPr>
        <w:t>万元，主要包括：办公费、印刷费、咨询费、手续费、水费、电费、邮电费、取暖费、物业管理</w:t>
      </w:r>
      <w:r>
        <w:rPr>
          <w:rFonts w:ascii="仿宋" w:eastAsia="仿宋" w:hAnsi="仿宋" w:hint="eastAsia"/>
          <w:color w:val="000000"/>
          <w:sz w:val="32"/>
          <w:szCs w:val="32"/>
        </w:rPr>
        <w:lastRenderedPageBreak/>
        <w:t>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10CD9A6" w14:textId="77777777" w:rsidR="00FE5C94" w:rsidRDefault="00000000">
      <w:pPr>
        <w:spacing w:line="600" w:lineRule="exact"/>
        <w:ind w:firstLine="640"/>
        <w:outlineLvl w:val="1"/>
        <w:rPr>
          <w:rStyle w:val="20"/>
          <w:rFonts w:ascii="黑体" w:eastAsia="黑体" w:hAnsi="黑体"/>
          <w:b w:val="0"/>
        </w:rPr>
      </w:pPr>
      <w:bookmarkStart w:id="85" w:name="_Toc15396609"/>
      <w:bookmarkStart w:id="86" w:name="_Toc15377215"/>
      <w:bookmarkStart w:id="87" w:name="_Toc79163619"/>
      <w:bookmarkStart w:id="88" w:name="_Toc79163869"/>
      <w:bookmarkStart w:id="89" w:name="_Toc5105"/>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85"/>
      <w:bookmarkEnd w:id="86"/>
      <w:bookmarkEnd w:id="87"/>
      <w:bookmarkEnd w:id="88"/>
      <w:bookmarkEnd w:id="89"/>
    </w:p>
    <w:p w14:paraId="65067451" w14:textId="77777777" w:rsidR="00FE5C94" w:rsidRDefault="00000000">
      <w:pPr>
        <w:spacing w:line="600" w:lineRule="exact"/>
        <w:ind w:firstLine="640"/>
        <w:outlineLvl w:val="2"/>
        <w:rPr>
          <w:rFonts w:ascii="仿宋" w:eastAsia="仿宋" w:hAnsi="仿宋"/>
          <w:b/>
          <w:color w:val="000000"/>
          <w:sz w:val="32"/>
          <w:szCs w:val="32"/>
        </w:rPr>
      </w:pPr>
      <w:bookmarkStart w:id="90" w:name="_Toc15377216"/>
      <w:bookmarkStart w:id="91" w:name="_Toc79163620"/>
      <w:bookmarkStart w:id="92" w:name="_Toc79163870"/>
      <w:bookmarkStart w:id="93" w:name="_Toc17053"/>
      <w:r>
        <w:rPr>
          <w:rFonts w:ascii="仿宋" w:eastAsia="仿宋" w:hAnsi="仿宋" w:hint="eastAsia"/>
          <w:b/>
          <w:color w:val="000000"/>
          <w:sz w:val="32"/>
          <w:szCs w:val="32"/>
        </w:rPr>
        <w:t>（一）“三公”经费财政拨款支出决算总体情况说明</w:t>
      </w:r>
      <w:bookmarkEnd w:id="90"/>
      <w:bookmarkEnd w:id="91"/>
      <w:bookmarkEnd w:id="92"/>
      <w:bookmarkEnd w:id="93"/>
    </w:p>
    <w:p w14:paraId="43A93E6A" w14:textId="77777777" w:rsidR="00FE5C94" w:rsidRDefault="00000000">
      <w:pPr>
        <w:spacing w:line="600" w:lineRule="exact"/>
        <w:ind w:firstLine="640"/>
        <w:outlineLvl w:val="2"/>
        <w:rPr>
          <w:rFonts w:ascii="仿宋_GB2312" w:eastAsia="仿宋_GB2312" w:hAnsi="仿宋" w:cs="仿宋"/>
          <w:sz w:val="32"/>
          <w:szCs w:val="32"/>
        </w:rPr>
      </w:pPr>
      <w:bookmarkStart w:id="94" w:name="_Toc22431"/>
      <w:bookmarkStart w:id="95" w:name="_Toc15377217"/>
      <w:bookmarkStart w:id="96" w:name="_Toc79163621"/>
      <w:bookmarkStart w:id="97" w:name="_Toc79163871"/>
      <w:r>
        <w:rPr>
          <w:rFonts w:ascii="仿宋_GB2312" w:eastAsia="仿宋_GB2312" w:hAnsi="仿宋" w:cs="仿宋" w:hint="eastAsia"/>
          <w:sz w:val="32"/>
          <w:szCs w:val="32"/>
        </w:rPr>
        <w:t>2021年度“三公”经费财政拨款支出决算为49.87万元，完成预算100%，其中：因公出国（境）费支出决算为0万元，完成预算100%；公务用车购置及运行维护费支出决算为49.87万元，完成预算100%；公务接待费支出决算为0万元，完成预算100%。2021年度“三公”经费支出决算数与预算数持平的主要原因是严格按照中央八项规定和行政单位会计制度执行。同2020年度6.23万元相比,增加支出43.64万元，增加较大是因机构改革，从运管所划转3辆公务用车，因工作需要新购2辆皮卡车，导致公务用车购费增加36.28万元，借用</w:t>
      </w:r>
      <w:proofErr w:type="gramStart"/>
      <w:r>
        <w:rPr>
          <w:rFonts w:ascii="仿宋_GB2312" w:eastAsia="仿宋_GB2312" w:hAnsi="仿宋" w:cs="仿宋" w:hint="eastAsia"/>
          <w:sz w:val="32"/>
          <w:szCs w:val="32"/>
        </w:rPr>
        <w:t>卫健局1辆</w:t>
      </w:r>
      <w:proofErr w:type="gramEnd"/>
      <w:r>
        <w:rPr>
          <w:rFonts w:ascii="仿宋_GB2312" w:eastAsia="仿宋_GB2312" w:hAnsi="仿宋" w:cs="仿宋" w:hint="eastAsia"/>
          <w:sz w:val="32"/>
          <w:szCs w:val="32"/>
        </w:rPr>
        <w:t>公务用车，公务用车运行维护费增加7.36万元。</w:t>
      </w:r>
      <w:bookmarkEnd w:id="94"/>
    </w:p>
    <w:p w14:paraId="4ECC3888" w14:textId="77777777" w:rsidR="00FE5C94" w:rsidRDefault="00000000">
      <w:pPr>
        <w:spacing w:line="600" w:lineRule="exact"/>
        <w:ind w:firstLine="640"/>
        <w:outlineLvl w:val="2"/>
        <w:rPr>
          <w:rFonts w:ascii="仿宋" w:eastAsia="仿宋" w:hAnsi="仿宋"/>
          <w:b/>
          <w:color w:val="000000"/>
          <w:sz w:val="32"/>
          <w:szCs w:val="32"/>
        </w:rPr>
      </w:pPr>
      <w:bookmarkStart w:id="98" w:name="_Toc12473"/>
      <w:r>
        <w:rPr>
          <w:rFonts w:ascii="仿宋" w:eastAsia="仿宋" w:hAnsi="仿宋" w:hint="eastAsia"/>
          <w:b/>
          <w:color w:val="000000"/>
          <w:sz w:val="32"/>
          <w:szCs w:val="32"/>
        </w:rPr>
        <w:t>（二）“三公”经费财政拨款支出决算具体情况说明</w:t>
      </w:r>
      <w:bookmarkEnd w:id="95"/>
      <w:bookmarkEnd w:id="96"/>
      <w:bookmarkEnd w:id="97"/>
      <w:bookmarkEnd w:id="98"/>
    </w:p>
    <w:p w14:paraId="0BA192F3" w14:textId="77777777" w:rsidR="00FE5C94" w:rsidRDefault="00000000">
      <w:pPr>
        <w:spacing w:line="576" w:lineRule="exact"/>
        <w:ind w:firstLineChars="200" w:firstLine="640"/>
        <w:rPr>
          <w:rFonts w:ascii="仿宋_GB2312" w:eastAsia="仿宋_GB2312" w:hAnsi="仿宋"/>
          <w:b/>
          <w:bCs/>
          <w:sz w:val="32"/>
          <w:szCs w:val="32"/>
        </w:rPr>
      </w:pPr>
      <w:r>
        <w:rPr>
          <w:rFonts w:ascii="仿宋_GB2312" w:eastAsia="仿宋_GB2312" w:hAnsi="仿宋" w:cs="仿宋" w:hint="eastAsia"/>
          <w:sz w:val="32"/>
          <w:szCs w:val="32"/>
        </w:rPr>
        <w:t>2021年度“三公”经费财政拨款支出决算中，因公出国（境）费支出决算0万元，占0%；公务用车购置及运行维护费支出决算49.87万元，占100%；公务接待费支出决算0万元，占0%。具体情况如下：</w:t>
      </w:r>
    </w:p>
    <w:p w14:paraId="508F2A13" w14:textId="77777777" w:rsidR="00FE5C94" w:rsidRDefault="00000000">
      <w:pPr>
        <w:spacing w:line="576"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lastRenderedPageBreak/>
        <w:t>1.因公出国（境）经费</w:t>
      </w:r>
      <w:r>
        <w:rPr>
          <w:rFonts w:ascii="仿宋_GB2312" w:eastAsia="仿宋_GB2312" w:hAnsi="仿宋" w:cs="仿宋" w:hint="eastAsia"/>
          <w:sz w:val="32"/>
          <w:szCs w:val="32"/>
        </w:rPr>
        <w:t>:无开支内容。</w:t>
      </w:r>
    </w:p>
    <w:p w14:paraId="1F4E04C7" w14:textId="77777777" w:rsidR="00FE5C94" w:rsidRDefault="00000000">
      <w:pPr>
        <w:spacing w:line="576" w:lineRule="exact"/>
        <w:ind w:firstLineChars="200" w:firstLine="643"/>
        <w:rPr>
          <w:rFonts w:ascii="仿宋_GB2312" w:eastAsia="仿宋_GB2312" w:hAnsiTheme="minorEastAsia" w:cs="仿宋"/>
          <w:sz w:val="32"/>
          <w:szCs w:val="32"/>
        </w:rPr>
      </w:pPr>
      <w:r>
        <w:rPr>
          <w:rFonts w:ascii="仿宋_GB2312" w:eastAsia="仿宋_GB2312" w:hAnsi="仿宋" w:cs="仿宋" w:hint="eastAsia"/>
          <w:b/>
          <w:bCs/>
          <w:sz w:val="32"/>
          <w:szCs w:val="32"/>
        </w:rPr>
        <w:t>2.公务用车购置及运行维护费:</w:t>
      </w:r>
      <w:r>
        <w:rPr>
          <w:rFonts w:ascii="仿宋_GB2312" w:eastAsia="仿宋_GB2312" w:hAnsiTheme="minorEastAsia" w:cs="仿宋" w:hint="eastAsia"/>
          <w:sz w:val="32"/>
          <w:szCs w:val="32"/>
        </w:rPr>
        <w:t>2021年公务用车购置及运行维护费49.87万元,其中：公务用车购置支出36.28万元，运行维护费13.59万元。截至2021年12月底，单位共有公务用车6辆，其中：一般公务用车6辆。公务用车运行维护费支出13.59万元。主要用于</w:t>
      </w:r>
      <w:r>
        <w:rPr>
          <w:rFonts w:ascii="仿宋_GB2312" w:eastAsia="仿宋_GB2312" w:hAnsiTheme="minorEastAsia" w:hint="eastAsia"/>
          <w:sz w:val="32"/>
          <w:szCs w:val="32"/>
        </w:rPr>
        <w:t>综合行政执法法律、法规、规章，负责行政复议、行政应诉、行政调解等工作、</w:t>
      </w:r>
      <w:r>
        <w:rPr>
          <w:rFonts w:ascii="仿宋_GB2312" w:eastAsia="仿宋_GB2312" w:hAnsiTheme="minorEastAsia" w:cs="仿宋" w:hint="eastAsia"/>
          <w:sz w:val="32"/>
          <w:szCs w:val="32"/>
        </w:rPr>
        <w:t>联乡包村等所需的公务用车燃料费、维修费、过路过桥费、保险费等支出。</w:t>
      </w:r>
    </w:p>
    <w:p w14:paraId="0F1A1306" w14:textId="77777777" w:rsidR="00FE5C94" w:rsidRDefault="00000000">
      <w:pPr>
        <w:spacing w:line="576"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3.公务接待费:</w:t>
      </w:r>
      <w:r>
        <w:rPr>
          <w:rFonts w:ascii="仿宋_GB2312" w:eastAsia="仿宋_GB2312" w:hAnsi="仿宋" w:cs="仿宋" w:hint="eastAsia"/>
          <w:sz w:val="32"/>
          <w:szCs w:val="32"/>
        </w:rPr>
        <w:t>无开支内容。</w:t>
      </w:r>
    </w:p>
    <w:p w14:paraId="765880A7" w14:textId="77777777" w:rsidR="00FE5C94" w:rsidRDefault="00000000">
      <w:pPr>
        <w:rPr>
          <w:rFonts w:ascii="仿宋_GB2312" w:eastAsia="仿宋_GB2312" w:hAnsi="仿宋" w:cs="仿宋"/>
          <w:sz w:val="32"/>
          <w:szCs w:val="32"/>
        </w:rPr>
      </w:pPr>
      <w:r>
        <w:rPr>
          <w:noProof/>
        </w:rPr>
        <w:drawing>
          <wp:inline distT="0" distB="0" distL="114300" distR="114300" wp14:anchorId="26106873" wp14:editId="5E83D67F">
            <wp:extent cx="5001260" cy="3267710"/>
            <wp:effectExtent l="4445" t="4445" r="23495" b="2349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4C7EB4" w14:textId="77777777" w:rsidR="00FE5C94" w:rsidRDefault="00FE5C94"/>
    <w:p w14:paraId="5DA598EE" w14:textId="77777777" w:rsidR="00FE5C94" w:rsidRDefault="00000000">
      <w:pPr>
        <w:spacing w:line="600" w:lineRule="exact"/>
        <w:ind w:firstLine="640"/>
        <w:outlineLvl w:val="1"/>
        <w:rPr>
          <w:rStyle w:val="20"/>
          <w:rFonts w:ascii="黑体" w:eastAsia="黑体" w:hAnsi="黑体"/>
        </w:rPr>
      </w:pPr>
      <w:bookmarkStart w:id="99" w:name="_Toc79163622"/>
      <w:bookmarkStart w:id="100" w:name="_Toc15377218"/>
      <w:bookmarkStart w:id="101" w:name="_Toc79163872"/>
      <w:bookmarkStart w:id="102" w:name="_Toc15396610"/>
      <w:bookmarkStart w:id="103" w:name="_Toc11130"/>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99"/>
      <w:bookmarkEnd w:id="100"/>
      <w:bookmarkEnd w:id="101"/>
      <w:bookmarkEnd w:id="102"/>
      <w:bookmarkEnd w:id="103"/>
    </w:p>
    <w:p w14:paraId="34E8BEA0" w14:textId="77777777" w:rsidR="00FE5C94"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1年无政府性基金预算拨款支出。</w:t>
      </w:r>
    </w:p>
    <w:p w14:paraId="5FE5C3A2" w14:textId="77777777" w:rsidR="00FE5C94" w:rsidRDefault="00000000">
      <w:pPr>
        <w:numPr>
          <w:ilvl w:val="0"/>
          <w:numId w:val="2"/>
        </w:numPr>
        <w:spacing w:line="600" w:lineRule="exact"/>
        <w:ind w:firstLine="640"/>
        <w:outlineLvl w:val="1"/>
        <w:rPr>
          <w:rStyle w:val="20"/>
          <w:rFonts w:ascii="黑体" w:eastAsia="黑体" w:hAnsi="黑体"/>
          <w:b w:val="0"/>
        </w:rPr>
      </w:pPr>
      <w:bookmarkStart w:id="104" w:name="_Toc79163623"/>
      <w:bookmarkStart w:id="105" w:name="_Toc79163873"/>
      <w:bookmarkStart w:id="106" w:name="_Toc15396611"/>
      <w:bookmarkStart w:id="107" w:name="_Toc15377219"/>
      <w:bookmarkStart w:id="108" w:name="_Toc32190"/>
      <w:r>
        <w:rPr>
          <w:rStyle w:val="20"/>
          <w:rFonts w:ascii="黑体" w:eastAsia="黑体" w:hAnsi="黑体" w:hint="eastAsia"/>
          <w:b w:val="0"/>
        </w:rPr>
        <w:t>国有资本经营预算支出决算情况说明</w:t>
      </w:r>
      <w:bookmarkEnd w:id="104"/>
      <w:bookmarkEnd w:id="105"/>
      <w:bookmarkEnd w:id="106"/>
      <w:bookmarkEnd w:id="107"/>
      <w:bookmarkEnd w:id="108"/>
    </w:p>
    <w:p w14:paraId="0C8F10F2" w14:textId="77777777" w:rsidR="00FE5C94"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1年无国有资本经营预算拨款支出。</w:t>
      </w:r>
    </w:p>
    <w:p w14:paraId="6789C763" w14:textId="77777777" w:rsidR="00FE5C94" w:rsidRDefault="00000000">
      <w:pPr>
        <w:spacing w:line="600" w:lineRule="exact"/>
        <w:ind w:firstLineChars="250" w:firstLine="800"/>
        <w:outlineLvl w:val="1"/>
        <w:rPr>
          <w:rStyle w:val="20"/>
          <w:rFonts w:ascii="黑体" w:eastAsia="黑体" w:hAnsi="黑体"/>
        </w:rPr>
      </w:pPr>
      <w:bookmarkStart w:id="109" w:name="_Toc15396612"/>
      <w:bookmarkStart w:id="110" w:name="_Toc79163874"/>
      <w:bookmarkStart w:id="111" w:name="_Toc15377221"/>
      <w:bookmarkStart w:id="112" w:name="_Toc79163624"/>
      <w:bookmarkStart w:id="113" w:name="_Toc330"/>
      <w:r>
        <w:rPr>
          <w:rFonts w:ascii="黑体" w:eastAsia="黑体" w:hAnsi="黑体" w:hint="eastAsia"/>
          <w:color w:val="000000"/>
          <w:sz w:val="32"/>
          <w:szCs w:val="32"/>
        </w:rPr>
        <w:lastRenderedPageBreak/>
        <w:t>十</w:t>
      </w:r>
      <w:r>
        <w:rPr>
          <w:rStyle w:val="20"/>
          <w:rFonts w:ascii="黑体" w:eastAsia="黑体" w:hAnsi="黑体" w:hint="eastAsia"/>
        </w:rPr>
        <w:t>、</w:t>
      </w:r>
      <w:r>
        <w:rPr>
          <w:rStyle w:val="20"/>
          <w:rFonts w:ascii="黑体" w:eastAsia="黑体" w:hAnsi="黑体" w:hint="eastAsia"/>
          <w:b w:val="0"/>
        </w:rPr>
        <w:t>其他重要事项的情况说明</w:t>
      </w:r>
      <w:bookmarkEnd w:id="109"/>
      <w:bookmarkEnd w:id="110"/>
      <w:bookmarkEnd w:id="111"/>
      <w:bookmarkEnd w:id="112"/>
      <w:bookmarkEnd w:id="113"/>
    </w:p>
    <w:p w14:paraId="2BB31900" w14:textId="77777777" w:rsidR="00FE5C94" w:rsidRDefault="00000000">
      <w:pPr>
        <w:spacing w:line="600" w:lineRule="exact"/>
        <w:ind w:firstLineChars="200" w:firstLine="643"/>
        <w:outlineLvl w:val="2"/>
        <w:rPr>
          <w:rFonts w:ascii="仿宋" w:eastAsia="仿宋" w:hAnsi="仿宋"/>
          <w:color w:val="000000"/>
          <w:sz w:val="32"/>
          <w:szCs w:val="32"/>
        </w:rPr>
      </w:pPr>
      <w:bookmarkStart w:id="114" w:name="_Toc79163875"/>
      <w:bookmarkStart w:id="115" w:name="_Toc15377222"/>
      <w:bookmarkStart w:id="116" w:name="_Toc79163625"/>
      <w:bookmarkStart w:id="117" w:name="_Toc460"/>
      <w:r>
        <w:rPr>
          <w:rFonts w:ascii="仿宋" w:eastAsia="仿宋" w:hAnsi="仿宋" w:hint="eastAsia"/>
          <w:b/>
          <w:color w:val="000000"/>
          <w:sz w:val="32"/>
          <w:szCs w:val="32"/>
        </w:rPr>
        <w:t>（一）机关运行经费支出情况</w:t>
      </w:r>
      <w:bookmarkEnd w:id="114"/>
      <w:bookmarkEnd w:id="115"/>
      <w:bookmarkEnd w:id="116"/>
      <w:bookmarkEnd w:id="117"/>
    </w:p>
    <w:p w14:paraId="10D2EE65" w14:textId="77777777" w:rsidR="00FE5C94" w:rsidRDefault="00000000">
      <w:pPr>
        <w:spacing w:line="576" w:lineRule="exact"/>
        <w:ind w:firstLineChars="197" w:firstLine="63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hAnsi="仿宋" w:cs="仿宋" w:hint="eastAsia"/>
          <w:sz w:val="32"/>
          <w:szCs w:val="32"/>
        </w:rPr>
        <w:t>松潘县综合行政执法局机关运行经费支出52.93万元，比2020年50.56万元增加2.37万元。增加的原因在于2021年我局机构改革，人员增加，车辆增加。</w:t>
      </w:r>
    </w:p>
    <w:p w14:paraId="0710408F" w14:textId="77777777" w:rsidR="00FE5C9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8" w:name="_Toc79163876"/>
      <w:bookmarkStart w:id="119" w:name="_Toc79163626"/>
      <w:bookmarkStart w:id="120" w:name="_Toc15377223"/>
      <w:bookmarkStart w:id="121" w:name="_Toc12358"/>
      <w:r>
        <w:rPr>
          <w:rFonts w:ascii="仿宋" w:eastAsia="仿宋" w:hAnsi="仿宋" w:hint="eastAsia"/>
          <w:b/>
          <w:color w:val="000000"/>
          <w:sz w:val="32"/>
          <w:szCs w:val="32"/>
        </w:rPr>
        <w:t>（二）政府采购支出情况</w:t>
      </w:r>
      <w:bookmarkEnd w:id="118"/>
      <w:bookmarkEnd w:id="119"/>
      <w:bookmarkEnd w:id="120"/>
      <w:bookmarkEnd w:id="121"/>
    </w:p>
    <w:p w14:paraId="15895357" w14:textId="77777777" w:rsidR="00FE5C94" w:rsidRDefault="00000000">
      <w:pPr>
        <w:spacing w:line="576" w:lineRule="exact"/>
        <w:ind w:firstLineChars="200" w:firstLine="640"/>
        <w:rPr>
          <w:rFonts w:ascii="仿宋" w:eastAsia="仿宋" w:hAnsi="仿宋"/>
          <w:b/>
          <w:color w:val="FF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hAnsi="仿宋" w:cs="仿宋" w:hint="eastAsia"/>
          <w:sz w:val="32"/>
          <w:szCs w:val="32"/>
        </w:rPr>
        <w:t>松潘县综合行政执法局政府采购支出总额56.08万元，其中：政府采购货物支出56.08万元。主要由于工作需要新购车辆及新组建单位办公设备购置费，经费来源为2021年财政拨款。</w:t>
      </w:r>
    </w:p>
    <w:p w14:paraId="504EFC95" w14:textId="77777777" w:rsidR="00FE5C9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22" w:name="_Toc79163627"/>
      <w:bookmarkStart w:id="123" w:name="_Toc15377224"/>
      <w:bookmarkStart w:id="124" w:name="_Toc79163877"/>
      <w:bookmarkStart w:id="125" w:name="_Toc24714"/>
      <w:r>
        <w:rPr>
          <w:rFonts w:ascii="仿宋" w:eastAsia="仿宋" w:hAnsi="仿宋" w:hint="eastAsia"/>
          <w:b/>
          <w:color w:val="000000"/>
          <w:sz w:val="32"/>
          <w:szCs w:val="32"/>
        </w:rPr>
        <w:t>（三）国有资产占有使用情况</w:t>
      </w:r>
      <w:bookmarkEnd w:id="122"/>
      <w:bookmarkEnd w:id="123"/>
      <w:bookmarkEnd w:id="124"/>
      <w:bookmarkEnd w:id="125"/>
    </w:p>
    <w:p w14:paraId="013CC104" w14:textId="77777777" w:rsidR="00FE5C94" w:rsidRDefault="00000000">
      <w:pPr>
        <w:spacing w:line="576" w:lineRule="exact"/>
        <w:ind w:firstLineChars="200" w:firstLine="640"/>
        <w:rPr>
          <w:rFonts w:ascii="仿宋_GB2312" w:eastAsia="仿宋_GB2312" w:hAnsi="仿宋" w:cs="仿宋"/>
          <w:sz w:val="32"/>
          <w:szCs w:val="32"/>
        </w:rPr>
      </w:pPr>
      <w:bookmarkStart w:id="126" w:name="_Toc79163878"/>
      <w:bookmarkStart w:id="127" w:name="_Toc79163628"/>
      <w:r>
        <w:rPr>
          <w:rFonts w:ascii="仿宋_GB2312" w:eastAsia="仿宋_GB2312" w:hAnsi="仿宋" w:cs="仿宋" w:hint="eastAsia"/>
          <w:sz w:val="32"/>
          <w:szCs w:val="32"/>
        </w:rPr>
        <w:t>截止2021年12月31日</w:t>
      </w:r>
      <w:proofErr w:type="gramStart"/>
      <w:r>
        <w:rPr>
          <w:rFonts w:ascii="仿宋_GB2312" w:eastAsia="仿宋_GB2312" w:hAnsi="仿宋" w:cs="仿宋" w:hint="eastAsia"/>
          <w:sz w:val="32"/>
          <w:szCs w:val="32"/>
        </w:rPr>
        <w:t>止</w:t>
      </w:r>
      <w:proofErr w:type="gramEnd"/>
      <w:r>
        <w:rPr>
          <w:rFonts w:ascii="仿宋_GB2312" w:eastAsia="仿宋_GB2312" w:hAnsi="仿宋" w:cs="仿宋" w:hint="eastAsia"/>
          <w:sz w:val="32"/>
          <w:szCs w:val="32"/>
        </w:rPr>
        <w:t>综合行政执法局固定资产为87.68万元，办公用房200平方米，车辆6辆，其中：一般公务用车6辆，单价50万元以上通用设备0台（套），单价100万元以上专用设备0台（套）。</w:t>
      </w:r>
    </w:p>
    <w:p w14:paraId="12C5649D" w14:textId="77777777" w:rsidR="00FE5C94"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28" w:name="_Toc31125"/>
      <w:r>
        <w:rPr>
          <w:rFonts w:ascii="仿宋" w:eastAsia="仿宋" w:hAnsi="仿宋" w:hint="eastAsia"/>
          <w:b/>
          <w:color w:val="000000"/>
          <w:sz w:val="32"/>
          <w:szCs w:val="32"/>
        </w:rPr>
        <w:t>（四）预算绩效管理情况。</w:t>
      </w:r>
      <w:bookmarkEnd w:id="126"/>
      <w:bookmarkEnd w:id="127"/>
      <w:bookmarkEnd w:id="128"/>
    </w:p>
    <w:p w14:paraId="39B18A51" w14:textId="77777777" w:rsidR="00FE5C94" w:rsidRDefault="00000000">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按照预算绩效管理要求，本部门对2021年一般公共预算项目支出开展了绩效目标管理，共编制绩效目标0个，涉及财政资金0万元。</w:t>
      </w:r>
    </w:p>
    <w:p w14:paraId="6B141C01" w14:textId="77777777" w:rsidR="00FE5C94" w:rsidRDefault="00FE5C94">
      <w:pPr>
        <w:pStyle w:val="a0"/>
        <w:rPr>
          <w:rFonts w:ascii="仿宋_GB2312" w:eastAsia="仿宋_GB2312" w:hAnsi="仿宋" w:cs="仿宋"/>
          <w:sz w:val="32"/>
          <w:szCs w:val="32"/>
        </w:rPr>
      </w:pPr>
    </w:p>
    <w:p w14:paraId="7D833AF6" w14:textId="77777777" w:rsidR="00FE5C94" w:rsidRDefault="00FE5C94">
      <w:pPr>
        <w:rPr>
          <w:rFonts w:ascii="仿宋_GB2312" w:eastAsia="仿宋_GB2312" w:hAnsi="仿宋" w:cs="仿宋"/>
          <w:sz w:val="32"/>
          <w:szCs w:val="32"/>
        </w:rPr>
      </w:pPr>
    </w:p>
    <w:p w14:paraId="2E79DF16" w14:textId="77777777" w:rsidR="00FE5C94" w:rsidRDefault="00FE5C94">
      <w:pPr>
        <w:pStyle w:val="a0"/>
        <w:rPr>
          <w:rFonts w:ascii="仿宋_GB2312" w:eastAsia="仿宋_GB2312" w:hAnsi="仿宋" w:cs="仿宋"/>
          <w:sz w:val="32"/>
          <w:szCs w:val="32"/>
        </w:rPr>
      </w:pPr>
    </w:p>
    <w:p w14:paraId="1470223E" w14:textId="77777777" w:rsidR="00FE5C94" w:rsidRDefault="00FE5C94">
      <w:pPr>
        <w:rPr>
          <w:rFonts w:ascii="仿宋_GB2312" w:eastAsia="仿宋_GB2312" w:hAnsi="仿宋" w:cs="仿宋"/>
          <w:sz w:val="32"/>
          <w:szCs w:val="32"/>
        </w:rPr>
      </w:pPr>
    </w:p>
    <w:p w14:paraId="2CDE506F" w14:textId="77777777" w:rsidR="00FE5C94" w:rsidRDefault="00FE5C94">
      <w:pPr>
        <w:pStyle w:val="a0"/>
      </w:pPr>
    </w:p>
    <w:p w14:paraId="67C076BB" w14:textId="77777777" w:rsidR="00FE5C94" w:rsidRDefault="00000000">
      <w:pPr>
        <w:numPr>
          <w:ilvl w:val="0"/>
          <w:numId w:val="3"/>
        </w:numPr>
        <w:spacing w:line="600" w:lineRule="exact"/>
        <w:ind w:firstLineChars="150" w:firstLine="660"/>
        <w:jc w:val="center"/>
        <w:outlineLvl w:val="0"/>
        <w:rPr>
          <w:rFonts w:ascii="宋体"/>
          <w:b/>
          <w:color w:val="000000"/>
          <w:sz w:val="44"/>
          <w:szCs w:val="44"/>
        </w:rPr>
      </w:pPr>
      <w:bookmarkStart w:id="129" w:name="_Toc79163629"/>
      <w:bookmarkStart w:id="130" w:name="_Toc15396613"/>
      <w:bookmarkStart w:id="131" w:name="_Toc15377225"/>
      <w:bookmarkStart w:id="132" w:name="_Toc79163879"/>
      <w:bookmarkStart w:id="133" w:name="_Toc23068"/>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29"/>
      <w:bookmarkEnd w:id="130"/>
      <w:bookmarkEnd w:id="131"/>
      <w:bookmarkEnd w:id="132"/>
      <w:bookmarkEnd w:id="133"/>
    </w:p>
    <w:p w14:paraId="5D97DDEA"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26294F1F"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19CD2E6F"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6F7B0774"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14:paraId="5DD9D0A5"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14:paraId="08262C2D"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14:paraId="3B7972D8"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3D37A0A9" w14:textId="77777777" w:rsidR="00FE5C94"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1A1B4538" w14:textId="77777777" w:rsidR="00FE5C94" w:rsidRDefault="00000000">
      <w:pPr>
        <w:ind w:firstLineChars="200" w:firstLine="883"/>
        <w:rPr>
          <w:rFonts w:ascii="宋体"/>
          <w:b/>
          <w:color w:val="000000"/>
          <w:sz w:val="44"/>
          <w:szCs w:val="44"/>
        </w:rPr>
      </w:pPr>
      <w:bookmarkStart w:id="134" w:name="_Toc15377226"/>
      <w:r>
        <w:rPr>
          <w:rFonts w:ascii="宋体"/>
          <w:b/>
          <w:color w:val="000000"/>
          <w:sz w:val="44"/>
          <w:szCs w:val="44"/>
        </w:rPr>
        <w:br w:type="page"/>
      </w:r>
      <w:bookmarkEnd w:id="134"/>
    </w:p>
    <w:p w14:paraId="233B364F" w14:textId="77777777" w:rsidR="00FE5C94" w:rsidRDefault="00000000">
      <w:pPr>
        <w:pStyle w:val="1"/>
        <w:numPr>
          <w:ilvl w:val="0"/>
          <w:numId w:val="3"/>
        </w:numPr>
        <w:jc w:val="center"/>
      </w:pPr>
      <w:bookmarkStart w:id="135" w:name="_Toc31237"/>
      <w:r>
        <w:rPr>
          <w:rFonts w:hint="eastAsia"/>
        </w:rPr>
        <w:lastRenderedPageBreak/>
        <w:t>松潘县综合行政执法局</w:t>
      </w:r>
      <w:bookmarkEnd w:id="135"/>
    </w:p>
    <w:p w14:paraId="319F3AAF" w14:textId="77777777" w:rsidR="00FE5C94" w:rsidRDefault="00000000">
      <w:pPr>
        <w:ind w:leftChars="150" w:left="315" w:firstLineChars="400" w:firstLine="1760"/>
        <w:rPr>
          <w:rFonts w:ascii="黑体" w:eastAsia="黑体" w:hAnsi="黑体" w:cs="黑体"/>
          <w:sz w:val="44"/>
          <w:szCs w:val="44"/>
        </w:rPr>
      </w:pPr>
      <w:r>
        <w:rPr>
          <w:rFonts w:ascii="黑体" w:eastAsia="黑体" w:hAnsi="黑体" w:cs="黑体" w:hint="eastAsia"/>
          <w:sz w:val="44"/>
          <w:szCs w:val="44"/>
        </w:rPr>
        <w:t>部门整体绩效评价报告</w:t>
      </w:r>
    </w:p>
    <w:p w14:paraId="449B1813" w14:textId="77777777" w:rsidR="00FE5C94"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rPr>
        <w:t>一、</w:t>
      </w:r>
      <w:r>
        <w:rPr>
          <w:rFonts w:ascii="仿宋" w:eastAsia="仿宋" w:hAnsi="仿宋" w:cs="仿宋" w:hint="eastAsia"/>
          <w:color w:val="000000"/>
          <w:kern w:val="0"/>
          <w:sz w:val="32"/>
          <w:szCs w:val="32"/>
          <w:lang w:val="zh-CN"/>
        </w:rPr>
        <w:t>部门（单位）概况</w:t>
      </w:r>
    </w:p>
    <w:p w14:paraId="0CF77C34" w14:textId="77777777" w:rsidR="00FE5C94"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（一）机构组成</w:t>
      </w:r>
    </w:p>
    <w:p w14:paraId="0D648E91" w14:textId="77777777" w:rsidR="00FE5C94" w:rsidRDefault="00000000">
      <w:pPr>
        <w:widowControl/>
        <w:adjustRightInd w:val="0"/>
        <w:snapToGrid w:val="0"/>
        <w:spacing w:line="480" w:lineRule="exact"/>
        <w:ind w:firstLineChars="200" w:firstLine="643"/>
        <w:jc w:val="left"/>
        <w:rPr>
          <w:rFonts w:ascii="仿宋" w:eastAsia="仿宋" w:hAnsi="仿宋" w:cs="仿宋"/>
          <w:b/>
          <w:bCs/>
          <w:kern w:val="0"/>
          <w:sz w:val="32"/>
          <w:szCs w:val="32"/>
        </w:rPr>
      </w:pPr>
      <w:r>
        <w:rPr>
          <w:rFonts w:ascii="仿宋" w:eastAsia="仿宋" w:hAnsi="仿宋" w:cs="仿宋" w:hint="eastAsia"/>
          <w:b/>
          <w:bCs/>
          <w:sz w:val="32"/>
          <w:szCs w:val="32"/>
        </w:rPr>
        <w:t>松潘县综合行政执法局2021年度设5个内设机构：</w:t>
      </w:r>
      <w:r>
        <w:rPr>
          <w:rFonts w:ascii="仿宋" w:eastAsia="仿宋" w:hAnsi="仿宋" w:cs="仿宋" w:hint="eastAsia"/>
          <w:b/>
          <w:bCs/>
          <w:kern w:val="0"/>
          <w:sz w:val="32"/>
          <w:szCs w:val="32"/>
        </w:rPr>
        <w:t>综合业务股，文化和旅游市场执法中队，市场监管综合行政执法中队，农业综合行政执法中队，交通运输综合行政执法中队。</w:t>
      </w:r>
    </w:p>
    <w:p w14:paraId="65BE0293" w14:textId="77777777" w:rsidR="00FE5C94" w:rsidRDefault="00000000">
      <w:pPr>
        <w:pStyle w:val="ad"/>
        <w:shd w:val="clear" w:color="auto" w:fill="FFFFFF"/>
        <w:spacing w:before="0" w:beforeAutospacing="0" w:after="0" w:afterAutospacing="0" w:line="576"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承担本单位党的建设、党风廉政建设、意识形态等工作，负责制定工作制度。负责本单位依法行政、文电、会务、档案、机要等日常工作。承担保密、信息、绩效管理、政务公开、信访、财务、国有资产管理、后勤等工作。贯彻执行有关综合行政执法法律、法规、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r>
        <w:rPr>
          <w:rFonts w:ascii="仿宋" w:eastAsia="仿宋" w:hAnsi="仿宋" w:cs="仿宋" w:hint="eastAsia"/>
          <w:sz w:val="32"/>
          <w:szCs w:val="32"/>
          <w:shd w:val="clear" w:color="auto" w:fill="FFFFFF"/>
        </w:rPr>
        <w:t>服务和监管相结合，继续开展文化市场工作。开展出版物、网吧、演艺、印刷、书刊零售的日常</w:t>
      </w:r>
      <w:proofErr w:type="gramStart"/>
      <w:r>
        <w:rPr>
          <w:rFonts w:ascii="仿宋" w:eastAsia="仿宋" w:hAnsi="仿宋" w:cs="仿宋" w:hint="eastAsia"/>
          <w:sz w:val="32"/>
          <w:szCs w:val="32"/>
          <w:shd w:val="clear" w:color="auto" w:fill="FFFFFF"/>
        </w:rPr>
        <w:t>检开展运</w:t>
      </w:r>
      <w:proofErr w:type="gramEnd"/>
      <w:r>
        <w:rPr>
          <w:rFonts w:ascii="仿宋" w:eastAsia="仿宋" w:hAnsi="仿宋" w:cs="仿宋" w:hint="eastAsia"/>
          <w:sz w:val="32"/>
          <w:szCs w:val="32"/>
          <w:shd w:val="clear" w:color="auto" w:fill="FFFFFF"/>
        </w:rPr>
        <w:t>政、路政工作，打击非法营运确保交通运输安全。开展安全生产、冷链运输及“毒驾”检查；开展路政巡查工作。优化营商环境，营造良好市场环境。坚持督促各营业单位标价签，要求做到合理定价、明码标价，在销售过程中做</w:t>
      </w:r>
      <w:r>
        <w:rPr>
          <w:rFonts w:ascii="仿宋" w:eastAsia="仿宋" w:hAnsi="仿宋" w:cs="仿宋" w:hint="eastAsia"/>
          <w:sz w:val="32"/>
          <w:szCs w:val="32"/>
          <w:shd w:val="clear" w:color="auto" w:fill="FFFFFF"/>
        </w:rPr>
        <w:lastRenderedPageBreak/>
        <w:t>到价格清晰、明确，不搞坐地起价、价格欺诈；打击虚假宣传，引诱消。专项治理，规范农资市场秩序。深入农户家中，加强宣传；开展专项治理，对禁用限用农药和过期农药进行了全面清理。</w:t>
      </w:r>
    </w:p>
    <w:p w14:paraId="4575C08E" w14:textId="77777777" w:rsidR="00FE5C94"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（二）机构职能</w:t>
      </w:r>
    </w:p>
    <w:p w14:paraId="5168EACA" w14:textId="77777777" w:rsidR="00FE5C94"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1.履行政治领导责任，做好理论武装和思想政治工作，负责学习、宣传、贯彻执行党的理论和路线方针政策，贯彻落实党中央、省委、州委、县委的决策部署，发挥好把方向、管大局、</w:t>
      </w:r>
      <w:proofErr w:type="gramStart"/>
      <w:r>
        <w:rPr>
          <w:rFonts w:ascii="仿宋" w:eastAsia="仿宋" w:hAnsi="仿宋" w:cs="仿宋" w:hint="eastAsia"/>
          <w:kern w:val="0"/>
          <w:sz w:val="32"/>
          <w:szCs w:val="32"/>
        </w:rPr>
        <w:t>保落实</w:t>
      </w:r>
      <w:proofErr w:type="gramEnd"/>
      <w:r>
        <w:rPr>
          <w:rFonts w:ascii="仿宋" w:eastAsia="仿宋" w:hAnsi="仿宋" w:cs="仿宋" w:hint="eastAsia"/>
          <w:kern w:val="0"/>
          <w:sz w:val="32"/>
          <w:szCs w:val="32"/>
        </w:rPr>
        <w:t>的重要作用。</w:t>
      </w:r>
    </w:p>
    <w:p w14:paraId="4104341B" w14:textId="77777777" w:rsidR="00FE5C94"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讨论和决定本单位下列重大问题。党的路线方针政策、国家法律法规和上级党组织重要会议、重要文件、重大决策部署的贯彻落实事项。需要向上级党组织请示报告的重要事项。内部机构设置、职责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594FB8CA" w14:textId="77777777" w:rsidR="00FE5C94"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3.贯彻党管干部原则，加强干部队伍建设，完善干部培养选拔机制，加强干部教育管理监督。贯彻党</w:t>
      </w:r>
      <w:proofErr w:type="gramStart"/>
      <w:r>
        <w:rPr>
          <w:rFonts w:ascii="仿宋" w:eastAsia="仿宋" w:hAnsi="仿宋" w:cs="仿宋" w:hint="eastAsia"/>
          <w:kern w:val="0"/>
          <w:sz w:val="32"/>
          <w:szCs w:val="32"/>
        </w:rPr>
        <w:t>管人才</w:t>
      </w:r>
      <w:proofErr w:type="gramEnd"/>
      <w:r>
        <w:rPr>
          <w:rFonts w:ascii="仿宋" w:eastAsia="仿宋" w:hAnsi="仿宋" w:cs="仿宋" w:hint="eastAsia"/>
          <w:kern w:val="0"/>
          <w:sz w:val="32"/>
          <w:szCs w:val="32"/>
        </w:rPr>
        <w:t>原则，加强人才队伍建设。加强对本单位工会、共青团、妇联等群团工作的领导。</w:t>
      </w:r>
    </w:p>
    <w:p w14:paraId="6270F413" w14:textId="77777777" w:rsidR="00FE5C94"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4.履行党要管党、从严治党责任，加强对本单位党的建设的领导，落实党建工作责任制。认真履行党风廉政建设主体责任，支持纪检监察机构履行监督责任。</w:t>
      </w:r>
    </w:p>
    <w:p w14:paraId="22505CD0" w14:textId="77777777" w:rsidR="00FE5C94" w:rsidRDefault="00000000">
      <w:pPr>
        <w:spacing w:line="480" w:lineRule="exact"/>
        <w:ind w:rightChars="11" w:right="23" w:firstLineChars="200" w:firstLine="640"/>
        <w:rPr>
          <w:rFonts w:ascii="仿宋" w:eastAsia="仿宋" w:hAnsi="仿宋" w:cs="仿宋"/>
          <w:sz w:val="32"/>
          <w:szCs w:val="32"/>
        </w:rPr>
      </w:pPr>
      <w:r>
        <w:rPr>
          <w:rFonts w:ascii="仿宋" w:eastAsia="仿宋" w:hAnsi="仿宋" w:cs="仿宋" w:hint="eastAsia"/>
          <w:bCs/>
          <w:sz w:val="32"/>
          <w:szCs w:val="32"/>
        </w:rPr>
        <w:t>县综合执法局</w:t>
      </w:r>
      <w:r>
        <w:rPr>
          <w:rFonts w:ascii="仿宋" w:eastAsia="仿宋" w:hAnsi="仿宋" w:cs="仿宋" w:hint="eastAsia"/>
          <w:sz w:val="32"/>
          <w:szCs w:val="32"/>
        </w:rPr>
        <w:t>贯彻落实党中央关于综合行政执法工作的方针政策和省委、州委、县委的决策部署，在履行职责过程中坚持和加强党对综合行政执法工作的集中统一领导。主要职责是：</w:t>
      </w:r>
    </w:p>
    <w:p w14:paraId="00055E39" w14:textId="77777777" w:rsidR="00FE5C94" w:rsidRDefault="00000000">
      <w:pPr>
        <w:spacing w:line="480" w:lineRule="exact"/>
        <w:ind w:firstLineChars="200" w:firstLine="640"/>
        <w:outlineLvl w:val="1"/>
        <w:rPr>
          <w:rFonts w:ascii="仿宋" w:eastAsia="仿宋" w:hAnsi="仿宋" w:cs="仿宋"/>
          <w:sz w:val="32"/>
          <w:szCs w:val="32"/>
        </w:rPr>
      </w:pPr>
      <w:bookmarkStart w:id="136" w:name="_Toc7399"/>
      <w:bookmarkStart w:id="137" w:name="_Toc18562"/>
      <w:r>
        <w:rPr>
          <w:rFonts w:ascii="仿宋" w:eastAsia="仿宋" w:hAnsi="仿宋" w:cs="仿宋" w:hint="eastAsia"/>
          <w:sz w:val="32"/>
          <w:szCs w:val="32"/>
        </w:rPr>
        <w:lastRenderedPageBreak/>
        <w:t>1.贯彻执行国家、省、州有关综合行政执法工作的方针政策和法律、法规、规章。拟订有关规范性文件草案。拟订综合行政执法的发展规划和年度工作计划并组织实施。制定全县综合行政执法制度和规范并组织实施。</w:t>
      </w:r>
      <w:bookmarkEnd w:id="136"/>
      <w:bookmarkEnd w:id="137"/>
    </w:p>
    <w:p w14:paraId="68FC6F32" w14:textId="77777777" w:rsidR="00FE5C94" w:rsidRDefault="00000000">
      <w:pPr>
        <w:spacing w:line="480" w:lineRule="exact"/>
        <w:ind w:firstLineChars="200" w:firstLine="640"/>
        <w:outlineLvl w:val="1"/>
        <w:rPr>
          <w:rFonts w:ascii="仿宋" w:eastAsia="仿宋" w:hAnsi="仿宋" w:cs="仿宋"/>
          <w:sz w:val="32"/>
          <w:szCs w:val="32"/>
        </w:rPr>
      </w:pPr>
      <w:bookmarkStart w:id="138" w:name="_Toc24136"/>
      <w:bookmarkStart w:id="139" w:name="_Toc14927"/>
      <w:r>
        <w:rPr>
          <w:rFonts w:ascii="仿宋" w:eastAsia="仿宋" w:hAnsi="仿宋" w:cs="仿宋" w:hint="eastAsia"/>
          <w:sz w:val="32"/>
          <w:szCs w:val="32"/>
        </w:rPr>
        <w:t>2.负责行使法定的相关行政强制措施权、行政检查权和行政命令权。</w:t>
      </w:r>
      <w:bookmarkEnd w:id="138"/>
      <w:bookmarkEnd w:id="139"/>
    </w:p>
    <w:p w14:paraId="3742BDBD"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3.负责全县综合行政执法的组织、协调、监督和检查工作。负责对综合行政执法人员行使职权情况实施督查。</w:t>
      </w:r>
    </w:p>
    <w:p w14:paraId="1675C491"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4.负责受理相关行政违法的举报、投诉或部门移送的案件。</w:t>
      </w:r>
    </w:p>
    <w:p w14:paraId="3F02BE66"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5.负责组织有关行政处罚案件的会审、听证工作，承担行政复议、行政应诉工作。</w:t>
      </w:r>
    </w:p>
    <w:p w14:paraId="674F3315"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6.负责“行政执法与刑事司法”衔接工作，按相关规定和程序向司法机关移送涉嫌犯罪的案件线索。</w:t>
      </w:r>
    </w:p>
    <w:p w14:paraId="64679946"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7.负责牵头实施由县政府组织的相关专项整治和重大执法活动，查处违法行为。</w:t>
      </w:r>
    </w:p>
    <w:p w14:paraId="756FFACD"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8.协助相关行政主管部门开展监督抽检、行业整治活动。</w:t>
      </w:r>
    </w:p>
    <w:p w14:paraId="63F58BA6"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9.负责职责范围内的安全生产和职业健康、生态环境保护、审批服务便民化工作。</w:t>
      </w:r>
    </w:p>
    <w:p w14:paraId="5DFB3ED6"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10.完成县委、县政府交办的其他任务。</w:t>
      </w:r>
    </w:p>
    <w:p w14:paraId="0AA6884A" w14:textId="77777777" w:rsidR="00FE5C94"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（三）人员概况</w:t>
      </w:r>
    </w:p>
    <w:p w14:paraId="31C72B9E" w14:textId="77777777" w:rsidR="00FE5C94" w:rsidRDefault="00000000">
      <w:pPr>
        <w:spacing w:line="480" w:lineRule="exact"/>
        <w:ind w:firstLineChars="200" w:firstLine="640"/>
        <w:outlineLvl w:val="1"/>
        <w:rPr>
          <w:rFonts w:ascii="仿宋" w:eastAsia="仿宋" w:hAnsi="仿宋" w:cs="仿宋"/>
          <w:bCs/>
          <w:sz w:val="32"/>
          <w:szCs w:val="32"/>
        </w:rPr>
      </w:pPr>
      <w:bookmarkStart w:id="140" w:name="_Toc4372"/>
      <w:bookmarkStart w:id="141" w:name="_Toc21835"/>
      <w:r>
        <w:rPr>
          <w:rFonts w:ascii="仿宋" w:eastAsia="仿宋" w:hAnsi="仿宋" w:cs="仿宋" w:hint="eastAsia"/>
          <w:bCs/>
          <w:sz w:val="32"/>
          <w:szCs w:val="32"/>
        </w:rPr>
        <w:t>县综合行政执法局</w:t>
      </w:r>
      <w:proofErr w:type="gramStart"/>
      <w:r>
        <w:rPr>
          <w:rFonts w:ascii="仿宋" w:eastAsia="仿宋" w:hAnsi="仿宋" w:cs="仿宋" w:hint="eastAsia"/>
          <w:bCs/>
          <w:sz w:val="32"/>
          <w:szCs w:val="32"/>
        </w:rPr>
        <w:t>核定总</w:t>
      </w:r>
      <w:proofErr w:type="gramEnd"/>
      <w:r>
        <w:rPr>
          <w:rFonts w:ascii="仿宋" w:eastAsia="仿宋" w:hAnsi="仿宋" w:cs="仿宋" w:hint="eastAsia"/>
          <w:bCs/>
          <w:sz w:val="32"/>
          <w:szCs w:val="32"/>
        </w:rPr>
        <w:t>编制42人，其中：行政编制4人，</w:t>
      </w:r>
      <w:proofErr w:type="gramStart"/>
      <w:r>
        <w:rPr>
          <w:rFonts w:ascii="仿宋" w:eastAsia="仿宋" w:hAnsi="仿宋" w:cs="仿宋" w:hint="eastAsia"/>
          <w:bCs/>
          <w:sz w:val="32"/>
          <w:szCs w:val="32"/>
        </w:rPr>
        <w:t>参公编制</w:t>
      </w:r>
      <w:proofErr w:type="gramEnd"/>
      <w:r>
        <w:rPr>
          <w:rFonts w:ascii="仿宋" w:eastAsia="仿宋" w:hAnsi="仿宋" w:cs="仿宋" w:hint="eastAsia"/>
          <w:bCs/>
          <w:sz w:val="32"/>
          <w:szCs w:val="32"/>
        </w:rPr>
        <w:t>38人，编外人员15人。2021年度在编人员33人，其中：行政3人，</w:t>
      </w:r>
      <w:proofErr w:type="gramStart"/>
      <w:r>
        <w:rPr>
          <w:rFonts w:ascii="仿宋" w:eastAsia="仿宋" w:hAnsi="仿宋" w:cs="仿宋" w:hint="eastAsia"/>
          <w:bCs/>
          <w:sz w:val="32"/>
          <w:szCs w:val="32"/>
        </w:rPr>
        <w:t>参公</w:t>
      </w:r>
      <w:proofErr w:type="gramEnd"/>
      <w:r>
        <w:rPr>
          <w:rFonts w:ascii="仿宋" w:eastAsia="仿宋" w:hAnsi="仿宋" w:cs="仿宋" w:hint="eastAsia"/>
          <w:bCs/>
          <w:sz w:val="32"/>
          <w:szCs w:val="32"/>
        </w:rPr>
        <w:t>30人，编外人员15人。</w:t>
      </w:r>
      <w:bookmarkEnd w:id="140"/>
      <w:bookmarkEnd w:id="141"/>
    </w:p>
    <w:p w14:paraId="40E110BC" w14:textId="77777777" w:rsidR="00FE5C94"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二、部门财政资金收支情况</w:t>
      </w:r>
    </w:p>
    <w:p w14:paraId="154BC8F4" w14:textId="77777777" w:rsidR="00FE5C94"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（一）部门财政资金收入情况</w:t>
      </w:r>
    </w:p>
    <w:p w14:paraId="1768E527" w14:textId="77777777" w:rsidR="00FE5C94" w:rsidRDefault="00000000">
      <w:pPr>
        <w:tabs>
          <w:tab w:val="left" w:pos="750"/>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1、2021年度财政资金收入决算情况</w:t>
      </w:r>
    </w:p>
    <w:p w14:paraId="2E2BB899" w14:textId="77777777" w:rsidR="00FE5C94"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2021年松潘县综合行政执法局本年收入合计505.09万</w:t>
      </w:r>
      <w:r>
        <w:rPr>
          <w:rFonts w:ascii="仿宋" w:eastAsia="仿宋" w:hAnsi="仿宋" w:cs="仿宋" w:hint="eastAsia"/>
          <w:sz w:val="32"/>
          <w:szCs w:val="32"/>
        </w:rPr>
        <w:lastRenderedPageBreak/>
        <w:t>元，其中：财政拨款收入505.09万元，占100%。与2020年相比，财政拨款收入增加了196.22万元，同比增长了63.53%,主要是因机构改革人员转隶，人员经费等增加。</w:t>
      </w:r>
    </w:p>
    <w:p w14:paraId="5E559E98" w14:textId="77777777" w:rsidR="00FE5C94" w:rsidRDefault="00000000">
      <w:pPr>
        <w:tabs>
          <w:tab w:val="left" w:pos="750"/>
        </w:tabs>
        <w:spacing w:line="480" w:lineRule="exact"/>
        <w:ind w:firstLineChars="244" w:firstLine="781"/>
        <w:rPr>
          <w:rFonts w:ascii="仿宋" w:eastAsia="仿宋" w:hAnsi="仿宋" w:cs="仿宋"/>
          <w:sz w:val="32"/>
          <w:szCs w:val="32"/>
        </w:rPr>
      </w:pPr>
      <w:r>
        <w:rPr>
          <w:rFonts w:ascii="仿宋" w:eastAsia="仿宋" w:hAnsi="仿宋" w:cs="仿宋" w:hint="eastAsia"/>
          <w:sz w:val="32"/>
          <w:szCs w:val="32"/>
        </w:rPr>
        <w:t>2、2022年部门财政资金收入情况</w:t>
      </w:r>
    </w:p>
    <w:p w14:paraId="15B22555" w14:textId="77777777" w:rsidR="00FE5C94" w:rsidRDefault="00000000">
      <w:pPr>
        <w:spacing w:line="480" w:lineRule="exact"/>
        <w:ind w:firstLineChars="250" w:firstLine="800"/>
        <w:rPr>
          <w:rFonts w:ascii="仿宋" w:eastAsia="仿宋" w:hAnsi="仿宋" w:cs="仿宋"/>
          <w:sz w:val="32"/>
          <w:szCs w:val="32"/>
        </w:rPr>
      </w:pPr>
      <w:r>
        <w:rPr>
          <w:rFonts w:ascii="仿宋" w:eastAsia="仿宋" w:hAnsi="仿宋" w:cs="仿宋" w:hint="eastAsia"/>
          <w:sz w:val="32"/>
          <w:szCs w:val="32"/>
        </w:rPr>
        <w:t>2022年1-6月本部门财政资金收入347.86万元(一般公共预算拨款收入347.86万元)。</w:t>
      </w:r>
    </w:p>
    <w:p w14:paraId="6E4EE7DF" w14:textId="77777777" w:rsidR="00FE5C94"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（二）部门财政资金支出情况</w:t>
      </w:r>
    </w:p>
    <w:p w14:paraId="6422467A" w14:textId="77777777" w:rsidR="00FE5C94" w:rsidRDefault="00000000">
      <w:pPr>
        <w:tabs>
          <w:tab w:val="left" w:pos="750"/>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1.2021年度财政资金支出决算情况</w:t>
      </w:r>
    </w:p>
    <w:p w14:paraId="11F6A8E4" w14:textId="77777777" w:rsidR="00FE5C94"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2021年一般公共预算财政拨款支出506.15万元，主要用于以下方面：文化旅游体育与传媒支出409.08万元，占80.82%；社会保障和就业支出47.15占9.32%，卫生健康支出17.28万元,占3.41%:住房保障支出32.64万元,占6.45%。</w:t>
      </w:r>
    </w:p>
    <w:p w14:paraId="3EB9DBE4" w14:textId="77777777" w:rsidR="00FE5C94" w:rsidRDefault="00000000">
      <w:pPr>
        <w:spacing w:line="576" w:lineRule="exact"/>
        <w:rPr>
          <w:rFonts w:ascii="仿宋" w:eastAsia="仿宋" w:hAnsi="仿宋" w:cs="仿宋"/>
          <w:sz w:val="32"/>
          <w:szCs w:val="32"/>
        </w:rPr>
      </w:pPr>
      <w:r>
        <w:rPr>
          <w:rFonts w:ascii="仿宋" w:eastAsia="仿宋" w:hAnsi="仿宋" w:cs="仿宋" w:hint="eastAsia"/>
          <w:sz w:val="32"/>
          <w:szCs w:val="32"/>
        </w:rPr>
        <w:t xml:space="preserve">与2020年相比，增加198.06万元，增长64.29%，主要是因机构改革后人员增加人员经费等增加。 </w:t>
      </w:r>
    </w:p>
    <w:p w14:paraId="7B3581FB" w14:textId="77777777" w:rsidR="00FE5C94" w:rsidRDefault="00000000">
      <w:pPr>
        <w:tabs>
          <w:tab w:val="left" w:pos="750"/>
        </w:tabs>
        <w:spacing w:line="480" w:lineRule="exact"/>
        <w:ind w:firstLineChars="198" w:firstLine="634"/>
        <w:rPr>
          <w:rFonts w:ascii="仿宋" w:eastAsia="仿宋" w:hAnsi="仿宋" w:cs="仿宋"/>
          <w:sz w:val="32"/>
          <w:szCs w:val="32"/>
        </w:rPr>
      </w:pPr>
      <w:r>
        <w:rPr>
          <w:rFonts w:ascii="仿宋" w:eastAsia="仿宋" w:hAnsi="仿宋" w:cs="仿宋" w:hint="eastAsia"/>
          <w:sz w:val="32"/>
          <w:szCs w:val="32"/>
        </w:rPr>
        <w:t>2.2022年1-6月部门财政资金支出情况</w:t>
      </w:r>
    </w:p>
    <w:p w14:paraId="4EC87750"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2022年1-6月本部门支出347.86万元,主要用于综合行政执法局行政机构的正常运转的日常支出和川主寺游客服务中心日常维护支出等，包括基本工资、津贴补贴、基本养老保险、医疗保险、住房公积金等人员经费以及办公费、印刷费、水电费等日常公用经费。其中：2010301行政运行支出279.42万元，2080505机关事业单位基本养老保险缴费支出21.93万元,2080506机关事业职业年金缴费支出10.96万元，2101101行政单位医疗支出9.57万元，2101103公务员医疗补助3.03万元,住房公积金22.95万元。 </w:t>
      </w:r>
    </w:p>
    <w:p w14:paraId="7B961F16" w14:textId="77777777" w:rsidR="00FE5C94" w:rsidRDefault="00000000">
      <w:pPr>
        <w:tabs>
          <w:tab w:val="left" w:pos="750"/>
        </w:tabs>
        <w:spacing w:line="480" w:lineRule="exact"/>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三、部门财政支出管理情况</w:t>
      </w:r>
    </w:p>
    <w:p w14:paraId="493385D4" w14:textId="77777777" w:rsidR="00FE5C94"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（一）预算编制情况</w:t>
      </w:r>
    </w:p>
    <w:p w14:paraId="58A1F326" w14:textId="77777777" w:rsidR="00FE5C94" w:rsidRDefault="00000000">
      <w:pPr>
        <w:widowControl/>
        <w:adjustRightInd w:val="0"/>
        <w:snapToGrid w:val="0"/>
        <w:spacing w:line="48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严格按照预算管理的相关规定和本部门预算编制要求,科学合理编制项目预算,按时完成了预算编制工作。</w:t>
      </w:r>
    </w:p>
    <w:p w14:paraId="57F9F08A" w14:textId="77777777" w:rsidR="00FE5C94" w:rsidRDefault="00000000">
      <w:pPr>
        <w:pStyle w:val="ad"/>
        <w:shd w:val="clear" w:color="auto" w:fill="FFFFFF"/>
        <w:spacing w:before="0" w:beforeAutospacing="0" w:after="0" w:afterAutospacing="0" w:line="5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1、2021年度本部门收入预算总额为</w:t>
      </w:r>
      <w:r>
        <w:rPr>
          <w:rFonts w:ascii="仿宋" w:eastAsia="仿宋" w:hAnsi="仿宋" w:cs="仿宋" w:hint="eastAsia"/>
          <w:color w:val="000000"/>
          <w:sz w:val="32"/>
          <w:szCs w:val="32"/>
        </w:rPr>
        <w:t>260.95</w:t>
      </w:r>
      <w:r>
        <w:rPr>
          <w:rFonts w:ascii="仿宋" w:eastAsia="仿宋" w:hAnsi="仿宋" w:cs="仿宋" w:hint="eastAsia"/>
          <w:color w:val="000000"/>
          <w:sz w:val="32"/>
          <w:szCs w:val="32"/>
          <w:shd w:val="clear" w:color="auto" w:fill="FFFFFF"/>
        </w:rPr>
        <w:t>万元，其中：当年一般公共预算拨款收入</w:t>
      </w:r>
      <w:r>
        <w:rPr>
          <w:rFonts w:ascii="仿宋" w:eastAsia="仿宋" w:hAnsi="仿宋" w:cs="仿宋" w:hint="eastAsia"/>
          <w:color w:val="000000"/>
          <w:sz w:val="32"/>
          <w:szCs w:val="32"/>
        </w:rPr>
        <w:t>260.95</w:t>
      </w:r>
      <w:r>
        <w:rPr>
          <w:rFonts w:ascii="仿宋" w:eastAsia="仿宋" w:hAnsi="仿宋" w:cs="仿宋" w:hint="eastAsia"/>
          <w:color w:val="000000"/>
          <w:sz w:val="32"/>
          <w:szCs w:val="32"/>
          <w:shd w:val="clear" w:color="auto" w:fill="FFFFFF"/>
        </w:rPr>
        <w:t>万元。相应安排支出预算</w:t>
      </w:r>
      <w:r>
        <w:rPr>
          <w:rFonts w:ascii="仿宋" w:eastAsia="仿宋" w:hAnsi="仿宋" w:cs="仿宋" w:hint="eastAsia"/>
          <w:color w:val="000000"/>
          <w:sz w:val="32"/>
          <w:szCs w:val="32"/>
        </w:rPr>
        <w:t>260.95</w:t>
      </w:r>
      <w:r>
        <w:rPr>
          <w:rFonts w:ascii="仿宋" w:eastAsia="仿宋" w:hAnsi="仿宋" w:cs="仿宋" w:hint="eastAsia"/>
          <w:color w:val="000000"/>
          <w:sz w:val="32"/>
          <w:szCs w:val="32"/>
          <w:shd w:val="clear" w:color="auto" w:fill="FFFFFF"/>
        </w:rPr>
        <w:t>万元，其中：</w:t>
      </w:r>
      <w:r>
        <w:rPr>
          <w:rFonts w:ascii="仿宋" w:eastAsia="仿宋" w:hAnsi="仿宋" w:cs="仿宋" w:hint="eastAsia"/>
          <w:color w:val="000000"/>
          <w:sz w:val="32"/>
          <w:szCs w:val="32"/>
        </w:rPr>
        <w:t>人员支出199.79万元，公用支出17.27万元</w:t>
      </w:r>
      <w:r>
        <w:rPr>
          <w:rFonts w:ascii="仿宋" w:eastAsia="仿宋" w:hAnsi="仿宋" w:cs="仿宋" w:hint="eastAsia"/>
          <w:color w:val="000000"/>
          <w:sz w:val="32"/>
          <w:szCs w:val="32"/>
          <w:shd w:val="clear" w:color="auto" w:fill="FFFFFF"/>
        </w:rPr>
        <w:t>，项目支出</w:t>
      </w:r>
      <w:r>
        <w:rPr>
          <w:rFonts w:ascii="仿宋" w:eastAsia="仿宋" w:hAnsi="仿宋" w:cs="仿宋" w:hint="eastAsia"/>
          <w:color w:val="000000"/>
          <w:sz w:val="32"/>
          <w:szCs w:val="32"/>
        </w:rPr>
        <w:t>43.89</w:t>
      </w:r>
      <w:r>
        <w:rPr>
          <w:rFonts w:ascii="仿宋" w:eastAsia="仿宋" w:hAnsi="仿宋" w:cs="仿宋" w:hint="eastAsia"/>
          <w:color w:val="000000"/>
          <w:sz w:val="32"/>
          <w:szCs w:val="32"/>
          <w:shd w:val="clear" w:color="auto" w:fill="FFFFFF"/>
        </w:rPr>
        <w:t>万元。</w:t>
      </w:r>
    </w:p>
    <w:p w14:paraId="2A8DC204" w14:textId="77777777" w:rsidR="00FE5C94" w:rsidRDefault="00000000">
      <w:pPr>
        <w:pStyle w:val="ad"/>
        <w:shd w:val="clear" w:color="auto" w:fill="FFFFFF"/>
        <w:spacing w:before="0" w:beforeAutospacing="0" w:after="0" w:afterAutospacing="0"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rPr>
        <w:t>2022年一般公共预算收入总数569.61万元，</w:t>
      </w:r>
      <w:proofErr w:type="gramStart"/>
      <w:r>
        <w:rPr>
          <w:rFonts w:ascii="仿宋" w:eastAsia="仿宋" w:hAnsi="仿宋" w:cs="仿宋" w:hint="eastAsia"/>
          <w:color w:val="000000"/>
          <w:sz w:val="32"/>
          <w:szCs w:val="32"/>
        </w:rPr>
        <w:t>无基金</w:t>
      </w:r>
      <w:proofErr w:type="gramEnd"/>
      <w:r>
        <w:rPr>
          <w:rFonts w:ascii="仿宋" w:eastAsia="仿宋" w:hAnsi="仿宋" w:cs="仿宋" w:hint="eastAsia"/>
          <w:color w:val="000000"/>
          <w:sz w:val="32"/>
          <w:szCs w:val="32"/>
        </w:rPr>
        <w:t>预算，其中：人员支出536.70万元，公用支出32.91万元。</w:t>
      </w:r>
    </w:p>
    <w:p w14:paraId="1B58CBCD" w14:textId="77777777" w:rsidR="00FE5C94" w:rsidRDefault="00000000">
      <w:pPr>
        <w:pStyle w:val="ad"/>
        <w:shd w:val="clear" w:color="auto" w:fill="FFFFFF"/>
        <w:spacing w:before="0" w:beforeAutospacing="0" w:after="0" w:afterAutospacing="0" w:line="580" w:lineRule="exac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rPr>
        <w:t>较2021年一般公共预算收入总数260.95万元，增加308.66万元，增长118.28%；</w:t>
      </w:r>
    </w:p>
    <w:p w14:paraId="388F41BA" w14:textId="77777777" w:rsidR="00FE5C94"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（二）执行管理情况</w:t>
      </w:r>
      <w:r>
        <w:rPr>
          <w:rFonts w:ascii="仿宋" w:eastAsia="仿宋" w:hAnsi="仿宋" w:cs="仿宋" w:hint="eastAsia"/>
          <w:color w:val="000000"/>
          <w:kern w:val="0"/>
          <w:sz w:val="32"/>
          <w:szCs w:val="32"/>
          <w:lang w:val="zh-CN"/>
        </w:rPr>
        <w:tab/>
      </w:r>
    </w:p>
    <w:p w14:paraId="6AD956A2" w14:textId="77777777" w:rsidR="00FE5C94" w:rsidRDefault="00000000">
      <w:pPr>
        <w:spacing w:line="480" w:lineRule="exact"/>
        <w:ind w:firstLineChars="200" w:firstLine="643"/>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shd w:val="clear" w:color="auto" w:fill="FFFFFF"/>
        </w:rPr>
        <w:t>一是行政运行保障情况</w:t>
      </w:r>
      <w:r>
        <w:rPr>
          <w:rFonts w:ascii="仿宋" w:eastAsia="仿宋" w:hAnsi="仿宋" w:cs="仿宋" w:hint="eastAsia"/>
          <w:color w:val="000000"/>
          <w:sz w:val="32"/>
          <w:szCs w:val="32"/>
          <w:shd w:val="clear" w:color="auto" w:fill="FFFFFF"/>
        </w:rPr>
        <w:t>。我局严格按照年初预算安排,严格执行中央八项规定和省、</w:t>
      </w:r>
      <w:proofErr w:type="gramStart"/>
      <w:r>
        <w:rPr>
          <w:rFonts w:ascii="仿宋" w:eastAsia="仿宋" w:hAnsi="仿宋" w:cs="仿宋" w:hint="eastAsia"/>
          <w:color w:val="000000"/>
          <w:sz w:val="32"/>
          <w:szCs w:val="32"/>
          <w:shd w:val="clear" w:color="auto" w:fill="FFFFFF"/>
        </w:rPr>
        <w:t>州相关</w:t>
      </w:r>
      <w:proofErr w:type="gramEnd"/>
      <w:r>
        <w:rPr>
          <w:rFonts w:ascii="仿宋" w:eastAsia="仿宋" w:hAnsi="仿宋" w:cs="仿宋" w:hint="eastAsia"/>
          <w:color w:val="000000"/>
          <w:sz w:val="32"/>
          <w:szCs w:val="32"/>
          <w:shd w:val="clear" w:color="auto" w:fill="FFFFFF"/>
        </w:rPr>
        <w:t>规定,厉行节约规范使用预算资金。收入上，严格执行 "收支两条线"管理制度，按规定使用非税票据（罚没票据）并及时上缴国库，无隐瞒收入和其他违反国家收费管理规定的行为。在支出管理中, 认真执行国库集中支付、政府采购、公务卡报销等相关财务管理制度。认真做好每月与银行等的对账工作，加强动态监控，保障机关各项工作顺利开展。</w:t>
      </w:r>
    </w:p>
    <w:p w14:paraId="2EDD6B6E" w14:textId="77777777" w:rsidR="00FE5C94" w:rsidRDefault="00000000">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1.2021年执行管理情况</w:t>
      </w:r>
    </w:p>
    <w:p w14:paraId="7F6F280F" w14:textId="77777777" w:rsidR="00FE5C94"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（1）文化旅游体育与传媒支出：409.08万元，完成预算100%；其中：2070101行政运行310.21万元，2070102一般行政管理事务83.87万元，文化和旅游市场管理15万元。</w:t>
      </w:r>
    </w:p>
    <w:p w14:paraId="6660C421" w14:textId="77777777" w:rsidR="00FE5C94"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(1)社会保障和就业:47.15万元，完成预算100%；其中：2080505机关事业单位基本养老保险缴费支出决算数为31.43万元；2080506机关事业单位职业年金缴费支出15.72</w:t>
      </w:r>
      <w:r>
        <w:rPr>
          <w:rFonts w:ascii="仿宋" w:eastAsia="仿宋" w:hAnsi="仿宋" w:cs="仿宋" w:hint="eastAsia"/>
          <w:sz w:val="32"/>
          <w:szCs w:val="32"/>
        </w:rPr>
        <w:lastRenderedPageBreak/>
        <w:t>万元。</w:t>
      </w:r>
    </w:p>
    <w:p w14:paraId="2951096B" w14:textId="77777777" w:rsidR="00FE5C94" w:rsidRDefault="00000000">
      <w:pPr>
        <w:spacing w:line="576" w:lineRule="exact"/>
        <w:ind w:firstLine="711"/>
        <w:rPr>
          <w:rFonts w:ascii="仿宋" w:eastAsia="仿宋" w:hAnsi="仿宋" w:cs="仿宋"/>
          <w:sz w:val="32"/>
          <w:szCs w:val="32"/>
        </w:rPr>
      </w:pPr>
      <w:r>
        <w:rPr>
          <w:rFonts w:ascii="仿宋" w:eastAsia="仿宋" w:hAnsi="仿宋" w:cs="仿宋" w:hint="eastAsia"/>
          <w:sz w:val="32"/>
          <w:szCs w:val="32"/>
        </w:rPr>
        <w:t>(2)卫生健康支出:17.28万元，完成预算100%；其中：2101101行政单位医疗支出12.89万元，2101103公务员医疗补助支出4.39万元.</w:t>
      </w:r>
    </w:p>
    <w:p w14:paraId="24E32923" w14:textId="77777777" w:rsidR="00FE5C94" w:rsidRDefault="00000000">
      <w:pPr>
        <w:spacing w:line="576" w:lineRule="exact"/>
        <w:rPr>
          <w:rFonts w:ascii="仿宋" w:eastAsia="仿宋" w:hAnsi="仿宋" w:cs="仿宋"/>
          <w:sz w:val="32"/>
          <w:szCs w:val="32"/>
        </w:rPr>
      </w:pPr>
      <w:r>
        <w:rPr>
          <w:rFonts w:ascii="仿宋" w:eastAsia="仿宋" w:hAnsi="仿宋" w:cs="仿宋" w:hint="eastAsia"/>
          <w:sz w:val="32"/>
          <w:szCs w:val="32"/>
        </w:rPr>
        <w:t xml:space="preserve">   (3)住房保障支出:32.64万，完成预算100%；其中2210201住房公积金支出32.64万元。</w:t>
      </w:r>
    </w:p>
    <w:p w14:paraId="39ADE055" w14:textId="77777777" w:rsidR="00FE5C94" w:rsidRDefault="00000000">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2.2022年1-6月执行管理情况</w:t>
      </w:r>
    </w:p>
    <w:p w14:paraId="5E83F4B1" w14:textId="77777777" w:rsidR="00FE5C94"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按照本部门各项工作的开展进度，2022年1-6月本部门各项预算资金的使用进度正常，2010301行政运行支出279.42万元，2080505机关事业单位基本养老保险缴费支出21.93万元,2080506机关事业职业年金缴费支出10.96万元，2101101行政单位医疗支出9.57万元，2101103公务员医疗补助3.03万元,住房公积金22.95万元。 </w:t>
      </w:r>
    </w:p>
    <w:p w14:paraId="074F2603" w14:textId="77777777" w:rsidR="00FE5C94" w:rsidRDefault="00000000">
      <w:pPr>
        <w:pStyle w:val="ad"/>
        <w:shd w:val="clear" w:color="auto" w:fill="FFFFFF"/>
        <w:spacing w:before="0" w:beforeAutospacing="0" w:after="0" w:afterAutospacing="0" w:line="576" w:lineRule="atLeast"/>
        <w:ind w:firstLineChars="200" w:firstLine="643"/>
        <w:jc w:val="both"/>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shd w:val="clear" w:color="auto" w:fill="FFFFFF"/>
        </w:rPr>
        <w:t>二是“三公”经费预算执行情况。</w:t>
      </w:r>
      <w:r>
        <w:rPr>
          <w:rFonts w:ascii="仿宋" w:eastAsia="仿宋" w:hAnsi="仿宋" w:cs="仿宋" w:hint="eastAsia"/>
          <w:color w:val="000000"/>
          <w:sz w:val="32"/>
          <w:szCs w:val="32"/>
          <w:shd w:val="clear" w:color="auto" w:fill="FFFFFF"/>
        </w:rPr>
        <w:t>我局严格按照中央省州的相关文件要求, 严控“三公经费”支出。</w:t>
      </w:r>
    </w:p>
    <w:p w14:paraId="0271F04C" w14:textId="77777777" w:rsidR="00FE5C94"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松潘县综合行政执法局2021年度“三公”经费财政拨款支出决算为49.87万元，完成预算100%，其中：因公出国（境）费支出决算为0万元，完成预算100%；公务用车购置及运行维护费支出决算为49.87万元，完成预算100%；公务接待费支出决算为0万元，完成预算100%。2021年公务用车购置及运行维护费49.87万元,其中：公务用车购置支出36.28万元，运行维护费13.59万元。2021年度我局共有公务用车6辆，其中：一般公务用车6辆。公务用车运行维护费支出13.59万元。主要用于综合行政执法法律、法规、规章，负责行政复议、行政应诉、行政调解等工作、联乡包</w:t>
      </w:r>
      <w:r>
        <w:rPr>
          <w:rFonts w:ascii="仿宋" w:eastAsia="仿宋" w:hAnsi="仿宋" w:cs="仿宋" w:hint="eastAsia"/>
          <w:sz w:val="32"/>
          <w:szCs w:val="32"/>
        </w:rPr>
        <w:lastRenderedPageBreak/>
        <w:t>村等所需的公务用车燃料费、维修费、过路过桥费、保险费等支出。</w:t>
      </w:r>
    </w:p>
    <w:p w14:paraId="681C57B8" w14:textId="77777777" w:rsidR="00FE5C94" w:rsidRDefault="00000000">
      <w:pPr>
        <w:spacing w:line="576" w:lineRule="exact"/>
        <w:ind w:firstLineChars="250" w:firstLine="800"/>
        <w:rPr>
          <w:rFonts w:ascii="仿宋" w:eastAsia="仿宋" w:hAnsi="仿宋" w:cs="仿宋"/>
          <w:sz w:val="32"/>
          <w:szCs w:val="32"/>
        </w:rPr>
      </w:pPr>
      <w:r>
        <w:rPr>
          <w:rFonts w:ascii="仿宋" w:eastAsia="仿宋" w:hAnsi="仿宋" w:cs="仿宋" w:hint="eastAsia"/>
          <w:sz w:val="32"/>
          <w:szCs w:val="32"/>
        </w:rPr>
        <w:t>2021年度“三公”经费支出决算数与预算数持平的主要原因是严格按照中央八项规定和行政单位会计制度执行。同2020年度6.23万元相比,增加支出43.64万元，增加较大是因机构改革，从县运管所划转3辆公务用车，因工作需要新购2辆生产生活用车（皮卡车），导致公务用车购置经费增加36.28万元，公务用车运行维护费增加7.36万元。</w:t>
      </w:r>
    </w:p>
    <w:p w14:paraId="225E0BF5" w14:textId="77777777" w:rsidR="00FE5C94" w:rsidRDefault="00000000">
      <w:pPr>
        <w:pStyle w:val="ad"/>
        <w:shd w:val="clear" w:color="auto" w:fill="FFFFFF"/>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rPr>
        <w:t>2022年1-6月</w:t>
      </w:r>
      <w:r>
        <w:rPr>
          <w:rFonts w:ascii="仿宋" w:eastAsia="仿宋" w:hAnsi="仿宋" w:cs="仿宋" w:hint="eastAsia"/>
          <w:sz w:val="32"/>
          <w:szCs w:val="32"/>
          <w:shd w:val="clear" w:color="auto" w:fill="FFFFFF"/>
        </w:rPr>
        <w:t>无因公出国（境）经费，公务用车购置及运行维护费支出4.77万元，完成预算的62.77%，无公务接待费支出。</w:t>
      </w:r>
    </w:p>
    <w:p w14:paraId="0CFD85E2" w14:textId="77777777" w:rsidR="00FE5C94" w:rsidRDefault="00000000">
      <w:pPr>
        <w:pStyle w:val="ad"/>
        <w:shd w:val="clear" w:color="auto" w:fill="FFFFFF"/>
        <w:spacing w:before="0" w:beforeAutospacing="0" w:after="0" w:afterAutospacing="0" w:line="576" w:lineRule="atLeast"/>
        <w:ind w:firstLine="640"/>
        <w:jc w:val="both"/>
        <w:rPr>
          <w:rFonts w:ascii="仿宋" w:eastAsia="仿宋" w:hAnsi="仿宋" w:cs="仿宋"/>
          <w:sz w:val="32"/>
          <w:szCs w:val="32"/>
          <w:shd w:val="clear" w:color="auto" w:fill="FFFFFF"/>
        </w:rPr>
      </w:pPr>
      <w:r>
        <w:rPr>
          <w:rFonts w:ascii="仿宋" w:eastAsia="仿宋" w:hAnsi="仿宋" w:cs="仿宋" w:hint="eastAsia"/>
          <w:b/>
          <w:bCs/>
          <w:color w:val="000000"/>
          <w:sz w:val="32"/>
          <w:szCs w:val="32"/>
          <w:shd w:val="clear" w:color="auto" w:fill="FFFFFF"/>
        </w:rPr>
        <w:t>三是依法收费情况。</w:t>
      </w:r>
      <w:r>
        <w:rPr>
          <w:rFonts w:ascii="仿宋" w:eastAsia="仿宋" w:hAnsi="仿宋" w:cs="仿宋" w:hint="eastAsia"/>
          <w:color w:val="000000"/>
          <w:sz w:val="32"/>
          <w:szCs w:val="32"/>
          <w:shd w:val="clear" w:color="auto" w:fill="FFFFFF"/>
        </w:rPr>
        <w:t>严格执行非税收缴管理办法,认真做好各项征缴工作,确保非税收入规范、有序,依法收缴，及时、足额上缴国库,2021年度非税收入共计37.58万元,其中：其他一般罚没收入37.58万元；</w:t>
      </w:r>
      <w:r>
        <w:rPr>
          <w:rFonts w:ascii="仿宋" w:eastAsia="仿宋" w:hAnsi="仿宋" w:cs="仿宋" w:hint="eastAsia"/>
          <w:sz w:val="32"/>
          <w:szCs w:val="32"/>
          <w:shd w:val="clear" w:color="auto" w:fill="FFFFFF"/>
        </w:rPr>
        <w:t>2022年1-6月非税收入共计20.08万元,其中：市场监管罚没收入18.07万元；检验检疫罚没收入0.42万元；交通罚没收入1.59万元。</w:t>
      </w:r>
    </w:p>
    <w:p w14:paraId="7505D457" w14:textId="77777777" w:rsidR="00FE5C94"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（三）综合管理情况</w:t>
      </w:r>
    </w:p>
    <w:p w14:paraId="7BAFF202" w14:textId="77777777" w:rsidR="00FE5C94" w:rsidRDefault="00000000">
      <w:pPr>
        <w:pStyle w:val="ad"/>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1.我单位无政府性债务。</w:t>
      </w:r>
    </w:p>
    <w:p w14:paraId="27E41FDA" w14:textId="77777777" w:rsidR="00FE5C94" w:rsidRDefault="00000000">
      <w:pPr>
        <w:pStyle w:val="ad"/>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2.我单位非税收</w:t>
      </w:r>
      <w:proofErr w:type="gramStart"/>
      <w:r>
        <w:rPr>
          <w:rFonts w:ascii="仿宋" w:eastAsia="仿宋" w:hAnsi="仿宋" w:cs="仿宋" w:hint="eastAsia"/>
          <w:sz w:val="32"/>
          <w:szCs w:val="32"/>
        </w:rPr>
        <w:t>入</w:t>
      </w:r>
      <w:r>
        <w:rPr>
          <w:rFonts w:ascii="仿宋" w:eastAsia="仿宋" w:hAnsi="仿宋" w:cs="仿宋" w:hint="eastAsia"/>
          <w:color w:val="000000"/>
          <w:sz w:val="32"/>
          <w:szCs w:val="32"/>
          <w:shd w:val="clear" w:color="auto" w:fill="FFFFFF"/>
        </w:rPr>
        <w:t>严格</w:t>
      </w:r>
      <w:proofErr w:type="gramEnd"/>
      <w:r>
        <w:rPr>
          <w:rFonts w:ascii="仿宋" w:eastAsia="仿宋" w:hAnsi="仿宋" w:cs="仿宋" w:hint="eastAsia"/>
          <w:color w:val="000000"/>
          <w:sz w:val="32"/>
          <w:szCs w:val="32"/>
          <w:shd w:val="clear" w:color="auto" w:fill="FFFFFF"/>
        </w:rPr>
        <w:t>按照非税收缴管理办法,认真做好各项征缴工作,确保非税收入规范、有序,依法收缴，及时、足额上缴国库</w:t>
      </w:r>
      <w:r>
        <w:rPr>
          <w:rFonts w:ascii="仿宋" w:eastAsia="仿宋" w:hAnsi="仿宋" w:cs="仿宋" w:hint="eastAsia"/>
          <w:sz w:val="32"/>
          <w:szCs w:val="32"/>
        </w:rPr>
        <w:t>。</w:t>
      </w:r>
    </w:p>
    <w:p w14:paraId="75A6C20A" w14:textId="77777777" w:rsidR="00FE5C94" w:rsidRDefault="00000000">
      <w:pPr>
        <w:pStyle w:val="ad"/>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color w:val="000000"/>
          <w:sz w:val="32"/>
          <w:szCs w:val="32"/>
          <w:shd w:val="clear" w:color="auto" w:fill="FFFFFF"/>
        </w:rPr>
        <w:t>加强政府采购管理。严格按照《政府采购法》和《政府采购法实施条例》等相关管理规定。采购前,单位与财政</w:t>
      </w:r>
      <w:r>
        <w:rPr>
          <w:rFonts w:ascii="仿宋" w:eastAsia="仿宋" w:hAnsi="仿宋" w:cs="仿宋" w:hint="eastAsia"/>
          <w:color w:val="000000"/>
          <w:sz w:val="32"/>
          <w:szCs w:val="32"/>
          <w:shd w:val="clear" w:color="auto" w:fill="FFFFFF"/>
        </w:rPr>
        <w:lastRenderedPageBreak/>
        <w:t>等做好相关事项事前沟通,做好采购政策咨询，了解相关业务规范；采购中,合理选择采购方式，确保采购流程合法合理合</w:t>
      </w:r>
      <w:proofErr w:type="gramStart"/>
      <w:r>
        <w:rPr>
          <w:rFonts w:ascii="仿宋" w:eastAsia="仿宋" w:hAnsi="仿宋" w:cs="仿宋" w:hint="eastAsia"/>
          <w:color w:val="000000"/>
          <w:sz w:val="32"/>
          <w:szCs w:val="32"/>
          <w:shd w:val="clear" w:color="auto" w:fill="FFFFFF"/>
        </w:rPr>
        <w:t>规</w:t>
      </w:r>
      <w:proofErr w:type="gramEnd"/>
      <w:r>
        <w:rPr>
          <w:rFonts w:ascii="仿宋" w:eastAsia="仿宋" w:hAnsi="仿宋" w:cs="仿宋" w:hint="eastAsia"/>
          <w:color w:val="000000"/>
          <w:sz w:val="32"/>
          <w:szCs w:val="32"/>
          <w:shd w:val="clear" w:color="auto" w:fill="FFFFFF"/>
        </w:rPr>
        <w:t>，做好采购项目信息的公开公示工作；采购后,抓好采购项目的监管工作，严把质量关、力求实效。</w:t>
      </w:r>
    </w:p>
    <w:p w14:paraId="196EDD4A" w14:textId="77777777" w:rsidR="00FE5C94" w:rsidRDefault="00000000">
      <w:pPr>
        <w:pStyle w:val="ad"/>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4.资产管理严格按照资产管理制度执行，</w:t>
      </w:r>
      <w:r>
        <w:rPr>
          <w:rFonts w:ascii="仿宋" w:eastAsia="仿宋" w:hAnsi="仿宋" w:cs="仿宋" w:hint="eastAsia"/>
          <w:color w:val="000000"/>
          <w:sz w:val="32"/>
          <w:szCs w:val="32"/>
          <w:shd w:val="clear" w:color="auto" w:fill="FFFFFF"/>
        </w:rPr>
        <w:t>做好固定资产采买、报废、调整等相关管理工作。本部门资产录入固定资产管理系统,</w:t>
      </w:r>
      <w:proofErr w:type="gramStart"/>
      <w:r>
        <w:rPr>
          <w:rFonts w:ascii="仿宋" w:eastAsia="仿宋" w:hAnsi="仿宋" w:cs="仿宋" w:hint="eastAsia"/>
          <w:color w:val="000000"/>
          <w:sz w:val="32"/>
          <w:szCs w:val="32"/>
          <w:shd w:val="clear" w:color="auto" w:fill="FFFFFF"/>
        </w:rPr>
        <w:t>建资产</w:t>
      </w:r>
      <w:proofErr w:type="gramEnd"/>
      <w:r>
        <w:rPr>
          <w:rFonts w:ascii="仿宋" w:eastAsia="仿宋" w:hAnsi="仿宋" w:cs="仿宋" w:hint="eastAsia"/>
          <w:color w:val="000000"/>
          <w:sz w:val="32"/>
          <w:szCs w:val="32"/>
          <w:shd w:val="clear" w:color="auto" w:fill="FFFFFF"/>
        </w:rPr>
        <w:t>管理卡片,及时更新资产管理信息系统数据，做到账实相符、账卡相符。</w:t>
      </w:r>
      <w:r>
        <w:rPr>
          <w:rFonts w:ascii="仿宋" w:eastAsia="仿宋" w:hAnsi="仿宋" w:cs="仿宋" w:hint="eastAsia"/>
          <w:color w:val="000000"/>
          <w:sz w:val="32"/>
          <w:szCs w:val="32"/>
        </w:rPr>
        <w:t>为单位履行职能需要相适应;科学合理充分发挥资产使用效益;勤俭节约,从严控制。</w:t>
      </w:r>
    </w:p>
    <w:p w14:paraId="4D2C29D6" w14:textId="77777777" w:rsidR="00FE5C94" w:rsidRDefault="00000000">
      <w:pPr>
        <w:pStyle w:val="ad"/>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5、建立单位内控制度，</w:t>
      </w:r>
      <w:r>
        <w:rPr>
          <w:rFonts w:ascii="仿宋" w:eastAsia="仿宋" w:hAnsi="仿宋" w:cs="仿宋" w:hint="eastAsia"/>
          <w:sz w:val="32"/>
          <w:szCs w:val="32"/>
        </w:rPr>
        <w:t>我局已借助第三方中介机构建立本单位的内控体系。</w:t>
      </w:r>
    </w:p>
    <w:p w14:paraId="324DDB4C" w14:textId="77777777" w:rsidR="00FE5C94" w:rsidRDefault="00000000">
      <w:pPr>
        <w:pStyle w:val="ad"/>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6、</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将同级财政部门批复的本部门预决算报表及相关说明全部在政府门户网站公开，</w:t>
      </w:r>
      <w:r>
        <w:rPr>
          <w:rFonts w:ascii="仿宋" w:eastAsia="仿宋" w:hAnsi="仿宋" w:cs="仿宋" w:hint="eastAsia"/>
          <w:color w:val="000000"/>
          <w:sz w:val="32"/>
          <w:szCs w:val="32"/>
        </w:rPr>
        <w:t>包括部门收支总体情况和财政拨款收支情况，公开公示了本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FE2C34E" w14:textId="77777777" w:rsidR="00FE5C94" w:rsidRDefault="00000000">
      <w:pPr>
        <w:pStyle w:val="ad"/>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本部门财务各项工作自觉配合县财政和上级部门的监督检查，对检查中存在的问题，严肃对待，认真开展整改落实。</w:t>
      </w:r>
    </w:p>
    <w:p w14:paraId="696B793A" w14:textId="77777777" w:rsidR="00FE5C94"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（四）整体绩效</w:t>
      </w:r>
    </w:p>
    <w:p w14:paraId="5B168381" w14:textId="4FC965DA" w:rsidR="00FE5C94" w:rsidRDefault="00000000">
      <w:pPr>
        <w:widowControl/>
        <w:spacing w:line="4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2021年度至2022年上半年我单位</w:t>
      </w:r>
      <w:r>
        <w:rPr>
          <w:rFonts w:ascii="仿宋" w:eastAsia="仿宋" w:hAnsi="仿宋" w:cs="仿宋" w:hint="eastAsia"/>
          <w:spacing w:val="15"/>
          <w:sz w:val="32"/>
          <w:szCs w:val="32"/>
        </w:rPr>
        <w:t>在县委、政府的领导下，深入贯彻党的十九大、十九届二中、三中全会、习</w:t>
      </w:r>
      <w:r w:rsidR="007E6D1D">
        <w:rPr>
          <w:rFonts w:ascii="仿宋" w:eastAsia="仿宋" w:hAnsi="仿宋" w:cs="仿宋" w:hint="eastAsia"/>
          <w:spacing w:val="15"/>
          <w:sz w:val="32"/>
          <w:szCs w:val="32"/>
        </w:rPr>
        <w:t>近平</w:t>
      </w:r>
      <w:r>
        <w:rPr>
          <w:rFonts w:ascii="仿宋" w:eastAsia="仿宋" w:hAnsi="仿宋" w:cs="仿宋" w:hint="eastAsia"/>
          <w:spacing w:val="15"/>
          <w:sz w:val="32"/>
          <w:szCs w:val="32"/>
        </w:rPr>
        <w:t>总书记来川视察重要讲话精神、习近平新时代中国特色社会主义思想为指导，紧紧围绕县委、县政府中心工作和构建和谐社会的总体目标，</w:t>
      </w:r>
      <w:r>
        <w:rPr>
          <w:rFonts w:ascii="仿宋" w:eastAsia="仿宋" w:hAnsi="仿宋" w:cs="仿宋" w:hint="eastAsia"/>
          <w:sz w:val="32"/>
          <w:szCs w:val="32"/>
        </w:rPr>
        <w:t>切实改进工作作风，做到观念上有新转变，思想上有新飞跃，思路上有新调整，</w:t>
      </w:r>
      <w:r>
        <w:rPr>
          <w:rFonts w:ascii="仿宋" w:eastAsia="仿宋" w:hAnsi="仿宋" w:cs="仿宋" w:hint="eastAsia"/>
          <w:sz w:val="32"/>
          <w:szCs w:val="32"/>
        </w:rPr>
        <w:lastRenderedPageBreak/>
        <w:t>工作上有新突破，提升干部形象上有新发展，更好地为我县经济发展和社会和谐稳定提供优质、高效、便捷的服务。</w:t>
      </w:r>
    </w:p>
    <w:p w14:paraId="09BFD91D" w14:textId="77777777" w:rsidR="00FE5C94"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四、评价结论及建议</w:t>
      </w:r>
    </w:p>
    <w:p w14:paraId="1FF8DA92" w14:textId="77777777" w:rsidR="00FE5C94" w:rsidRDefault="00000000">
      <w:pPr>
        <w:pStyle w:val="ad"/>
        <w:shd w:val="clear" w:color="auto" w:fill="FFFFFF"/>
        <w:spacing w:before="0" w:beforeAutospacing="0" w:after="0" w:afterAutospacing="0" w:line="576" w:lineRule="atLeas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2021年度及2022年1-6月，我局严格按照年初预算批复认真组织实施, 严格执行财经纪律相关管理规定，做到各项收支安排使用符合事业发展计划和财政政策的要求，确保了单位正常运行，较好地完成了2021年度及2022年度部门预算编制和2021年度决算编制工作, 2021年度及2022年1-6月目标任务基本完成，预算执行情况较好。但仍存在预算编制、预算执行不够完善，绩效管理、内部控制工作有待加强等问题。</w:t>
      </w:r>
    </w:p>
    <w:p w14:paraId="28E5CCE3" w14:textId="77777777" w:rsidR="00FE5C94" w:rsidRDefault="00000000">
      <w:pPr>
        <w:pStyle w:val="ad"/>
        <w:shd w:val="clear" w:color="auto" w:fill="FFFFFF"/>
        <w:spacing w:before="0" w:beforeAutospacing="0" w:after="0" w:afterAutospacing="0" w:line="576" w:lineRule="atLeast"/>
        <w:ind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在今后的工作中,我局将严格按照新《中华人民共和国预算法》的要求，加强预算编制的科学性、合理性,</w:t>
      </w:r>
      <w:proofErr w:type="gramStart"/>
      <w:r>
        <w:rPr>
          <w:rFonts w:ascii="仿宋" w:eastAsia="仿宋" w:hAnsi="仿宋" w:cs="仿宋" w:hint="eastAsia"/>
          <w:color w:val="000000"/>
          <w:sz w:val="32"/>
          <w:szCs w:val="32"/>
          <w:shd w:val="clear" w:color="auto" w:fill="FFFFFF"/>
        </w:rPr>
        <w:t>让预算</w:t>
      </w:r>
      <w:proofErr w:type="gramEnd"/>
      <w:r>
        <w:rPr>
          <w:rFonts w:ascii="仿宋" w:eastAsia="仿宋" w:hAnsi="仿宋" w:cs="仿宋" w:hint="eastAsia"/>
          <w:color w:val="000000"/>
          <w:sz w:val="32"/>
          <w:szCs w:val="32"/>
          <w:shd w:val="clear" w:color="auto" w:fill="FFFFFF"/>
        </w:rPr>
        <w:t>编制更贴合实际，使项目预算与工作结合更加紧密。严格按照批复预算执行，并按照单位各项工作开展进度有计划申请资金及时支付。加强预算绩效管理，增强预算约束力，做好预算支出绩效目标及各项绩效指标的细化、量化工作,用好用活各类财政资金，提高财政资金的使用效益。</w:t>
      </w:r>
    </w:p>
    <w:p w14:paraId="12F1DCA3" w14:textId="77777777" w:rsidR="00FE5C94" w:rsidRDefault="00000000">
      <w:pPr>
        <w:widowControl/>
        <w:spacing w:line="4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建议财政部门能组织各单位财务人员进行质量较高的业务培训和相关业务指导，不断提升各单位财务人员的业务素质和职业道德。</w:t>
      </w:r>
    </w:p>
    <w:p w14:paraId="63AA0738" w14:textId="77777777" w:rsidR="00FE5C94" w:rsidRDefault="00FE5C94">
      <w:pPr>
        <w:pStyle w:val="a0"/>
        <w:rPr>
          <w:rFonts w:ascii="仿宋" w:eastAsia="仿宋" w:hAnsi="仿宋" w:cs="仿宋"/>
          <w:sz w:val="32"/>
          <w:szCs w:val="32"/>
        </w:rPr>
      </w:pPr>
    </w:p>
    <w:p w14:paraId="0CE3DD6B" w14:textId="77777777" w:rsidR="00FE5C94" w:rsidRDefault="00FE5C94">
      <w:pPr>
        <w:pStyle w:val="a0"/>
        <w:rPr>
          <w:rFonts w:ascii="宋体"/>
          <w:b/>
          <w:color w:val="000000"/>
          <w:sz w:val="44"/>
          <w:szCs w:val="44"/>
        </w:rPr>
      </w:pPr>
    </w:p>
    <w:p w14:paraId="1CB1FED5" w14:textId="77777777" w:rsidR="00FE5C94" w:rsidRDefault="00FE5C94"/>
    <w:p w14:paraId="7389E441" w14:textId="77777777" w:rsidR="00FE5C94" w:rsidRDefault="00000000">
      <w:pPr>
        <w:pStyle w:val="1"/>
        <w:jc w:val="center"/>
      </w:pPr>
      <w:bookmarkStart w:id="142" w:name="_Toc23198"/>
      <w:bookmarkStart w:id="143" w:name="_Toc15396619"/>
      <w:bookmarkStart w:id="144" w:name="_Toc79163636"/>
      <w:bookmarkStart w:id="145" w:name="_Toc79163886"/>
      <w:r>
        <w:rPr>
          <w:rFonts w:hint="eastAsia"/>
        </w:rPr>
        <w:lastRenderedPageBreak/>
        <w:t>第五部分附表</w:t>
      </w:r>
      <w:bookmarkEnd w:id="142"/>
    </w:p>
    <w:p w14:paraId="0C067845" w14:textId="77777777" w:rsidR="00FE5C94" w:rsidRDefault="00000000">
      <w:pPr>
        <w:pStyle w:val="2"/>
        <w:rPr>
          <w:rFonts w:ascii="仿宋" w:eastAsia="仿宋" w:hAnsi="仿宋"/>
          <w:color w:val="000000"/>
        </w:rPr>
      </w:pPr>
      <w:bookmarkStart w:id="146" w:name="_Toc4479"/>
      <w:r>
        <w:rPr>
          <w:rFonts w:ascii="仿宋" w:eastAsia="仿宋" w:hAnsi="仿宋" w:hint="eastAsia"/>
          <w:b w:val="0"/>
          <w:color w:val="000000"/>
        </w:rPr>
        <w:t>一、收</w:t>
      </w:r>
      <w:r>
        <w:rPr>
          <w:rStyle w:val="20"/>
          <w:rFonts w:ascii="仿宋" w:eastAsia="仿宋" w:hAnsi="仿宋" w:hint="eastAsia"/>
        </w:rPr>
        <w:t>入支出决算总表</w:t>
      </w:r>
      <w:bookmarkEnd w:id="143"/>
      <w:bookmarkEnd w:id="144"/>
      <w:bookmarkEnd w:id="145"/>
      <w:bookmarkEnd w:id="146"/>
    </w:p>
    <w:p w14:paraId="6F409CD8" w14:textId="77777777" w:rsidR="00FE5C94" w:rsidRDefault="00000000">
      <w:pPr>
        <w:pStyle w:val="2"/>
        <w:rPr>
          <w:rFonts w:ascii="仿宋" w:eastAsia="仿宋" w:hAnsi="仿宋"/>
          <w:color w:val="000000"/>
        </w:rPr>
      </w:pPr>
      <w:bookmarkStart w:id="147" w:name="_Toc15396620"/>
      <w:bookmarkStart w:id="148" w:name="_Toc79163637"/>
      <w:bookmarkStart w:id="149" w:name="_Toc79163887"/>
      <w:bookmarkStart w:id="150" w:name="_Toc31545"/>
      <w:r>
        <w:rPr>
          <w:rFonts w:ascii="仿宋" w:eastAsia="仿宋" w:hAnsi="仿宋" w:hint="eastAsia"/>
          <w:b w:val="0"/>
          <w:color w:val="000000"/>
        </w:rPr>
        <w:t>二、收</w:t>
      </w:r>
      <w:r>
        <w:rPr>
          <w:rStyle w:val="20"/>
          <w:rFonts w:ascii="仿宋" w:eastAsia="仿宋" w:hAnsi="仿宋" w:hint="eastAsia"/>
        </w:rPr>
        <w:t>入决算表</w:t>
      </w:r>
      <w:bookmarkEnd w:id="147"/>
      <w:bookmarkEnd w:id="148"/>
      <w:bookmarkEnd w:id="149"/>
      <w:bookmarkEnd w:id="150"/>
    </w:p>
    <w:p w14:paraId="1CCE0A00" w14:textId="77777777" w:rsidR="00FE5C94" w:rsidRDefault="00000000">
      <w:pPr>
        <w:pStyle w:val="2"/>
        <w:rPr>
          <w:rFonts w:ascii="仿宋" w:eastAsia="仿宋" w:hAnsi="仿宋"/>
          <w:color w:val="000000"/>
        </w:rPr>
      </w:pPr>
      <w:bookmarkStart w:id="151" w:name="_Toc15396621"/>
      <w:bookmarkStart w:id="152" w:name="_Toc79163638"/>
      <w:bookmarkStart w:id="153" w:name="_Toc79163888"/>
      <w:bookmarkStart w:id="154" w:name="_Toc10793"/>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51"/>
      <w:bookmarkEnd w:id="152"/>
      <w:bookmarkEnd w:id="153"/>
      <w:bookmarkEnd w:id="154"/>
    </w:p>
    <w:p w14:paraId="27625B79" w14:textId="77777777" w:rsidR="00FE5C94" w:rsidRDefault="00000000">
      <w:pPr>
        <w:pStyle w:val="2"/>
        <w:rPr>
          <w:rFonts w:ascii="仿宋" w:eastAsia="仿宋" w:hAnsi="仿宋"/>
          <w:b w:val="0"/>
          <w:color w:val="000000"/>
        </w:rPr>
      </w:pPr>
      <w:bookmarkStart w:id="155" w:name="_Toc15396622"/>
      <w:bookmarkStart w:id="156" w:name="_Toc79163639"/>
      <w:bookmarkStart w:id="157" w:name="_Toc79163889"/>
      <w:bookmarkStart w:id="158" w:name="_Toc21365"/>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55"/>
      <w:bookmarkEnd w:id="156"/>
      <w:bookmarkEnd w:id="157"/>
      <w:bookmarkEnd w:id="158"/>
    </w:p>
    <w:p w14:paraId="035BF0A6" w14:textId="77777777" w:rsidR="00FE5C94" w:rsidRDefault="00000000">
      <w:pPr>
        <w:pStyle w:val="2"/>
        <w:rPr>
          <w:rStyle w:val="20"/>
          <w:rFonts w:ascii="仿宋" w:eastAsia="仿宋" w:hAnsi="仿宋"/>
        </w:rPr>
      </w:pPr>
      <w:bookmarkStart w:id="159" w:name="_Toc15396623"/>
      <w:bookmarkStart w:id="160" w:name="_Toc79163640"/>
      <w:bookmarkStart w:id="161" w:name="_Toc79163890"/>
      <w:bookmarkStart w:id="162" w:name="_Toc1516"/>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63" w:name="_Toc15396624"/>
      <w:bookmarkEnd w:id="159"/>
      <w:bookmarkEnd w:id="160"/>
      <w:bookmarkEnd w:id="161"/>
      <w:bookmarkEnd w:id="162"/>
    </w:p>
    <w:p w14:paraId="792BD2EA" w14:textId="77777777" w:rsidR="00FE5C94" w:rsidRDefault="00000000">
      <w:pPr>
        <w:pStyle w:val="2"/>
        <w:rPr>
          <w:rFonts w:ascii="仿宋" w:eastAsia="仿宋" w:hAnsi="仿宋"/>
          <w:color w:val="000000"/>
        </w:rPr>
      </w:pPr>
      <w:bookmarkStart w:id="164" w:name="_Toc79163641"/>
      <w:bookmarkStart w:id="165" w:name="_Toc79163891"/>
      <w:bookmarkStart w:id="166" w:name="_Toc12647"/>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63"/>
      <w:bookmarkEnd w:id="164"/>
      <w:bookmarkEnd w:id="165"/>
      <w:bookmarkEnd w:id="166"/>
    </w:p>
    <w:p w14:paraId="21474735" w14:textId="77777777" w:rsidR="00FE5C94" w:rsidRDefault="00000000">
      <w:pPr>
        <w:pStyle w:val="2"/>
        <w:rPr>
          <w:rFonts w:ascii="仿宋" w:eastAsia="仿宋" w:hAnsi="仿宋"/>
          <w:color w:val="000000"/>
        </w:rPr>
      </w:pPr>
      <w:bookmarkStart w:id="167" w:name="_Toc15396625"/>
      <w:bookmarkStart w:id="168" w:name="_Toc79163642"/>
      <w:bookmarkStart w:id="169" w:name="_Toc79163892"/>
      <w:bookmarkStart w:id="170" w:name="_Toc15493"/>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67"/>
      <w:bookmarkEnd w:id="168"/>
      <w:bookmarkEnd w:id="169"/>
      <w:bookmarkEnd w:id="170"/>
    </w:p>
    <w:p w14:paraId="46837AD2" w14:textId="77777777" w:rsidR="00FE5C94" w:rsidRDefault="00000000">
      <w:pPr>
        <w:pStyle w:val="2"/>
        <w:rPr>
          <w:rFonts w:ascii="仿宋" w:eastAsia="仿宋" w:hAnsi="仿宋"/>
          <w:color w:val="000000"/>
        </w:rPr>
      </w:pPr>
      <w:bookmarkStart w:id="171" w:name="_Toc15396626"/>
      <w:bookmarkStart w:id="172" w:name="_Toc79163893"/>
      <w:bookmarkStart w:id="173" w:name="_Toc79163643"/>
      <w:bookmarkStart w:id="174" w:name="_Toc1226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71"/>
      <w:bookmarkEnd w:id="172"/>
      <w:bookmarkEnd w:id="173"/>
      <w:bookmarkEnd w:id="174"/>
    </w:p>
    <w:p w14:paraId="3D0B9777" w14:textId="77777777" w:rsidR="00FE5C94" w:rsidRDefault="00000000">
      <w:pPr>
        <w:pStyle w:val="2"/>
        <w:rPr>
          <w:rFonts w:ascii="仿宋" w:eastAsia="仿宋" w:hAnsi="仿宋"/>
          <w:color w:val="000000"/>
        </w:rPr>
      </w:pPr>
      <w:bookmarkStart w:id="175" w:name="_Toc15396627"/>
      <w:bookmarkStart w:id="176" w:name="_Toc79163644"/>
      <w:bookmarkStart w:id="177" w:name="_Toc79163894"/>
      <w:bookmarkStart w:id="178" w:name="_Toc7985"/>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75"/>
      <w:bookmarkEnd w:id="176"/>
      <w:bookmarkEnd w:id="177"/>
      <w:bookmarkEnd w:id="178"/>
    </w:p>
    <w:p w14:paraId="00BE8D85" w14:textId="77777777" w:rsidR="00FE5C94" w:rsidRDefault="00000000">
      <w:pPr>
        <w:pStyle w:val="2"/>
        <w:rPr>
          <w:rFonts w:ascii="仿宋" w:eastAsia="仿宋" w:hAnsi="仿宋"/>
          <w:color w:val="000000"/>
        </w:rPr>
      </w:pPr>
      <w:bookmarkStart w:id="179" w:name="_Toc15396628"/>
      <w:bookmarkStart w:id="180" w:name="_Toc79163645"/>
      <w:bookmarkStart w:id="181" w:name="_Toc79163895"/>
      <w:bookmarkStart w:id="182" w:name="_Toc7657"/>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79"/>
      <w:bookmarkEnd w:id="180"/>
      <w:bookmarkEnd w:id="181"/>
      <w:bookmarkEnd w:id="182"/>
    </w:p>
    <w:p w14:paraId="2947E043" w14:textId="77777777" w:rsidR="00FE5C94" w:rsidRDefault="00000000">
      <w:pPr>
        <w:pStyle w:val="2"/>
        <w:rPr>
          <w:rFonts w:ascii="仿宋" w:eastAsia="仿宋" w:hAnsi="仿宋"/>
          <w:color w:val="000000"/>
        </w:rPr>
      </w:pPr>
      <w:bookmarkStart w:id="183" w:name="_Toc15396629"/>
      <w:bookmarkStart w:id="184" w:name="_Toc79163646"/>
      <w:bookmarkStart w:id="185" w:name="_Toc79163896"/>
      <w:bookmarkStart w:id="186" w:name="_Toc323"/>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83"/>
      <w:bookmarkEnd w:id="184"/>
      <w:bookmarkEnd w:id="185"/>
      <w:bookmarkEnd w:id="186"/>
    </w:p>
    <w:p w14:paraId="457345FA" w14:textId="77777777" w:rsidR="00FE5C94" w:rsidRDefault="00000000">
      <w:pPr>
        <w:pStyle w:val="2"/>
        <w:rPr>
          <w:rFonts w:ascii="仿宋" w:eastAsia="仿宋" w:hAnsi="仿宋"/>
          <w:color w:val="000000"/>
        </w:rPr>
      </w:pPr>
      <w:bookmarkStart w:id="187" w:name="_Toc15396630"/>
      <w:bookmarkStart w:id="188" w:name="_Toc79163647"/>
      <w:bookmarkStart w:id="189" w:name="_Toc79163897"/>
      <w:bookmarkStart w:id="190" w:name="_Toc105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87"/>
      <w:bookmarkEnd w:id="188"/>
      <w:bookmarkEnd w:id="189"/>
      <w:bookmarkEnd w:id="190"/>
    </w:p>
    <w:p w14:paraId="725072C7" w14:textId="77777777" w:rsidR="00FE5C94" w:rsidRDefault="00000000">
      <w:pPr>
        <w:pStyle w:val="2"/>
        <w:rPr>
          <w:rStyle w:val="20"/>
          <w:rFonts w:ascii="仿宋" w:eastAsia="仿宋" w:hAnsi="仿宋"/>
        </w:rPr>
      </w:pPr>
      <w:bookmarkStart w:id="191" w:name="_Toc15396631"/>
      <w:bookmarkStart w:id="192" w:name="_Toc79163648"/>
      <w:bookmarkStart w:id="193" w:name="_Toc79163898"/>
      <w:bookmarkStart w:id="194" w:name="_Toc10866"/>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91"/>
      <w:bookmarkEnd w:id="192"/>
      <w:bookmarkEnd w:id="193"/>
      <w:bookmarkEnd w:id="194"/>
    </w:p>
    <w:p w14:paraId="1350347B" w14:textId="77777777" w:rsidR="00FE5C94" w:rsidRDefault="00000000">
      <w:pPr>
        <w:pStyle w:val="2"/>
        <w:rPr>
          <w:rStyle w:val="20"/>
          <w:rFonts w:ascii="仿宋" w:eastAsia="仿宋" w:hAnsi="仿宋"/>
        </w:rPr>
      </w:pPr>
      <w:bookmarkStart w:id="195" w:name="_Toc79163649"/>
      <w:bookmarkStart w:id="196" w:name="_Toc79163899"/>
      <w:bookmarkStart w:id="197" w:name="_Toc12203"/>
      <w:r>
        <w:rPr>
          <w:rStyle w:val="20"/>
          <w:rFonts w:ascii="仿宋" w:eastAsia="仿宋" w:hAnsi="仿宋" w:hint="eastAsia"/>
        </w:rPr>
        <w:t>十四、国有资本经营预算财政拨款支出决算表</w:t>
      </w:r>
      <w:bookmarkEnd w:id="195"/>
      <w:bookmarkEnd w:id="196"/>
      <w:bookmarkEnd w:id="197"/>
    </w:p>
    <w:sectPr w:rsidR="00FE5C9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122C" w14:textId="77777777" w:rsidR="00B41899" w:rsidRDefault="00B41899">
      <w:r>
        <w:separator/>
      </w:r>
    </w:p>
  </w:endnote>
  <w:endnote w:type="continuationSeparator" w:id="0">
    <w:p w14:paraId="38541BA6" w14:textId="77777777" w:rsidR="00B41899" w:rsidRDefault="00B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9FBC" w14:textId="77777777" w:rsidR="00FE5C94" w:rsidRDefault="00000000">
    <w:pPr>
      <w:pStyle w:val="a9"/>
      <w:jc w:val="center"/>
    </w:pPr>
    <w:r>
      <w:fldChar w:fldCharType="begin"/>
    </w:r>
    <w:r>
      <w:instrText>PAGE   \* MERGEFORMAT</w:instrText>
    </w:r>
    <w:r>
      <w:fldChar w:fldCharType="separate"/>
    </w:r>
    <w:r>
      <w:rPr>
        <w:lang w:val="zh-CN"/>
      </w:rPr>
      <w:t>2</w:t>
    </w:r>
    <w:r>
      <w:rPr>
        <w:lang w:val="zh-CN"/>
      </w:rPr>
      <w:t>4</w:t>
    </w:r>
    <w:r>
      <w:fldChar w:fldCharType="end"/>
    </w:r>
  </w:p>
  <w:p w14:paraId="3970D726" w14:textId="77777777" w:rsidR="00FE5C94" w:rsidRDefault="00FE5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7AC4" w14:textId="77777777" w:rsidR="00B41899" w:rsidRDefault="00B41899">
      <w:r>
        <w:separator/>
      </w:r>
    </w:p>
  </w:footnote>
  <w:footnote w:type="continuationSeparator" w:id="0">
    <w:p w14:paraId="4187B35D" w14:textId="77777777" w:rsidR="00B41899" w:rsidRDefault="00B4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B5F1" w14:textId="77777777" w:rsidR="00FE5C94" w:rsidRDefault="00FE5C94">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16cid:durableId="2065442546">
    <w:abstractNumId w:val="2"/>
  </w:num>
  <w:num w:numId="2" w16cid:durableId="922687146">
    <w:abstractNumId w:val="0"/>
  </w:num>
  <w:num w:numId="3" w16cid:durableId="15596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3240"/>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37FC"/>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236B"/>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6D1D"/>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1899"/>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E5C94"/>
    <w:rsid w:val="00FF1E02"/>
    <w:rsid w:val="00FF30B4"/>
    <w:rsid w:val="012B1D1F"/>
    <w:rsid w:val="016867BB"/>
    <w:rsid w:val="01A21BF9"/>
    <w:rsid w:val="01E00D2F"/>
    <w:rsid w:val="02114F48"/>
    <w:rsid w:val="03296C71"/>
    <w:rsid w:val="03345C0A"/>
    <w:rsid w:val="03F268F5"/>
    <w:rsid w:val="043A3D6D"/>
    <w:rsid w:val="043D66F8"/>
    <w:rsid w:val="05325190"/>
    <w:rsid w:val="05716272"/>
    <w:rsid w:val="05B0311D"/>
    <w:rsid w:val="06097561"/>
    <w:rsid w:val="063F2478"/>
    <w:rsid w:val="0646571C"/>
    <w:rsid w:val="0700360B"/>
    <w:rsid w:val="07B352F2"/>
    <w:rsid w:val="084D3EB7"/>
    <w:rsid w:val="086C342A"/>
    <w:rsid w:val="088F0348"/>
    <w:rsid w:val="08E25E3D"/>
    <w:rsid w:val="09854679"/>
    <w:rsid w:val="09A20799"/>
    <w:rsid w:val="0A2032A3"/>
    <w:rsid w:val="0A702CD3"/>
    <w:rsid w:val="0A7C562F"/>
    <w:rsid w:val="0AA62080"/>
    <w:rsid w:val="0AE2731B"/>
    <w:rsid w:val="0AFF6869"/>
    <w:rsid w:val="0B0F7C5A"/>
    <w:rsid w:val="0B3763FB"/>
    <w:rsid w:val="0B546A4F"/>
    <w:rsid w:val="0B934C67"/>
    <w:rsid w:val="0BA721E4"/>
    <w:rsid w:val="0C504AB6"/>
    <w:rsid w:val="0CE9400E"/>
    <w:rsid w:val="0E1460D0"/>
    <w:rsid w:val="0E89386A"/>
    <w:rsid w:val="0F371A94"/>
    <w:rsid w:val="0F4E434F"/>
    <w:rsid w:val="0F6D3258"/>
    <w:rsid w:val="0FB07BEE"/>
    <w:rsid w:val="0FFD3368"/>
    <w:rsid w:val="100100D5"/>
    <w:rsid w:val="10271CD8"/>
    <w:rsid w:val="10742B5E"/>
    <w:rsid w:val="10C055FF"/>
    <w:rsid w:val="10CC1442"/>
    <w:rsid w:val="10D8416D"/>
    <w:rsid w:val="114328B8"/>
    <w:rsid w:val="118107EC"/>
    <w:rsid w:val="12112146"/>
    <w:rsid w:val="12615EA7"/>
    <w:rsid w:val="127047FA"/>
    <w:rsid w:val="138E3A6E"/>
    <w:rsid w:val="13A961DD"/>
    <w:rsid w:val="13BD4BBE"/>
    <w:rsid w:val="14196A1C"/>
    <w:rsid w:val="142A7475"/>
    <w:rsid w:val="148956A0"/>
    <w:rsid w:val="14A15A9E"/>
    <w:rsid w:val="15E731C6"/>
    <w:rsid w:val="161A3B53"/>
    <w:rsid w:val="166C08BD"/>
    <w:rsid w:val="16BB723D"/>
    <w:rsid w:val="174272D6"/>
    <w:rsid w:val="17471B8C"/>
    <w:rsid w:val="17981A4D"/>
    <w:rsid w:val="17AC5926"/>
    <w:rsid w:val="17B925E4"/>
    <w:rsid w:val="17BF2702"/>
    <w:rsid w:val="189E3E5C"/>
    <w:rsid w:val="19577458"/>
    <w:rsid w:val="198052D4"/>
    <w:rsid w:val="19F40E87"/>
    <w:rsid w:val="1A1F542D"/>
    <w:rsid w:val="1A236299"/>
    <w:rsid w:val="1AA04968"/>
    <w:rsid w:val="1B0B30C2"/>
    <w:rsid w:val="1B16298D"/>
    <w:rsid w:val="1B2315E3"/>
    <w:rsid w:val="1BA34F82"/>
    <w:rsid w:val="1C1F586C"/>
    <w:rsid w:val="1CEB26F7"/>
    <w:rsid w:val="1D1278D3"/>
    <w:rsid w:val="1D155CEE"/>
    <w:rsid w:val="1E943354"/>
    <w:rsid w:val="1E993360"/>
    <w:rsid w:val="1EC833D7"/>
    <w:rsid w:val="1EF47C95"/>
    <w:rsid w:val="1EFF6105"/>
    <w:rsid w:val="1F011C90"/>
    <w:rsid w:val="1F9A75DF"/>
    <w:rsid w:val="1FB621CD"/>
    <w:rsid w:val="1FE07398"/>
    <w:rsid w:val="200E6313"/>
    <w:rsid w:val="20107C38"/>
    <w:rsid w:val="203A2A0D"/>
    <w:rsid w:val="21135341"/>
    <w:rsid w:val="216D1F05"/>
    <w:rsid w:val="21802EFC"/>
    <w:rsid w:val="21A75C17"/>
    <w:rsid w:val="21B65E37"/>
    <w:rsid w:val="21E25AE0"/>
    <w:rsid w:val="226406CE"/>
    <w:rsid w:val="22A534CF"/>
    <w:rsid w:val="22AB7B5C"/>
    <w:rsid w:val="23266EAF"/>
    <w:rsid w:val="237C0467"/>
    <w:rsid w:val="240371BF"/>
    <w:rsid w:val="2556124A"/>
    <w:rsid w:val="255F4EC6"/>
    <w:rsid w:val="25B27530"/>
    <w:rsid w:val="2609368B"/>
    <w:rsid w:val="260A0D9F"/>
    <w:rsid w:val="261455CF"/>
    <w:rsid w:val="26B241AC"/>
    <w:rsid w:val="26D72AAA"/>
    <w:rsid w:val="27391BF9"/>
    <w:rsid w:val="27940B97"/>
    <w:rsid w:val="27AD709B"/>
    <w:rsid w:val="27E25FA2"/>
    <w:rsid w:val="28021AB6"/>
    <w:rsid w:val="281E24A4"/>
    <w:rsid w:val="284D36D8"/>
    <w:rsid w:val="2869003D"/>
    <w:rsid w:val="28AD0E02"/>
    <w:rsid w:val="28B16F77"/>
    <w:rsid w:val="29121164"/>
    <w:rsid w:val="291A2547"/>
    <w:rsid w:val="29DF453C"/>
    <w:rsid w:val="29E1042A"/>
    <w:rsid w:val="29FD04D3"/>
    <w:rsid w:val="2A017EA8"/>
    <w:rsid w:val="2A630B0B"/>
    <w:rsid w:val="2A6A329E"/>
    <w:rsid w:val="2AB015CC"/>
    <w:rsid w:val="2AD46AA3"/>
    <w:rsid w:val="2AE8145E"/>
    <w:rsid w:val="2AFE6608"/>
    <w:rsid w:val="2BA32F4F"/>
    <w:rsid w:val="2BB861FE"/>
    <w:rsid w:val="2BD63350"/>
    <w:rsid w:val="2BDF1AEF"/>
    <w:rsid w:val="2C1F1EFF"/>
    <w:rsid w:val="2C306261"/>
    <w:rsid w:val="2C43158D"/>
    <w:rsid w:val="2CB23337"/>
    <w:rsid w:val="2D853197"/>
    <w:rsid w:val="2DC7490E"/>
    <w:rsid w:val="2E2C495F"/>
    <w:rsid w:val="2E36230E"/>
    <w:rsid w:val="2E707878"/>
    <w:rsid w:val="2EBF0937"/>
    <w:rsid w:val="2F3D0CDF"/>
    <w:rsid w:val="2F51046F"/>
    <w:rsid w:val="2FF331BE"/>
    <w:rsid w:val="30B6289F"/>
    <w:rsid w:val="316E0029"/>
    <w:rsid w:val="319A0CF6"/>
    <w:rsid w:val="319F7F4E"/>
    <w:rsid w:val="31BB387F"/>
    <w:rsid w:val="31BD0F36"/>
    <w:rsid w:val="31C73CAA"/>
    <w:rsid w:val="328D3A43"/>
    <w:rsid w:val="32A65F59"/>
    <w:rsid w:val="32BE678C"/>
    <w:rsid w:val="32C07789"/>
    <w:rsid w:val="32D73011"/>
    <w:rsid w:val="32F64690"/>
    <w:rsid w:val="32F82624"/>
    <w:rsid w:val="33204947"/>
    <w:rsid w:val="33BA48BA"/>
    <w:rsid w:val="33C7254B"/>
    <w:rsid w:val="34421505"/>
    <w:rsid w:val="353634CA"/>
    <w:rsid w:val="36260938"/>
    <w:rsid w:val="366C2C48"/>
    <w:rsid w:val="36916C1E"/>
    <w:rsid w:val="36983E8E"/>
    <w:rsid w:val="36B7207B"/>
    <w:rsid w:val="37557AE9"/>
    <w:rsid w:val="37880EDE"/>
    <w:rsid w:val="38454C75"/>
    <w:rsid w:val="38571229"/>
    <w:rsid w:val="38FA7579"/>
    <w:rsid w:val="39416734"/>
    <w:rsid w:val="39943306"/>
    <w:rsid w:val="3A033F2F"/>
    <w:rsid w:val="3A0F303F"/>
    <w:rsid w:val="3AF65163"/>
    <w:rsid w:val="3B4734E6"/>
    <w:rsid w:val="3BB731DB"/>
    <w:rsid w:val="3BCE623F"/>
    <w:rsid w:val="3C3666B2"/>
    <w:rsid w:val="3C7822B0"/>
    <w:rsid w:val="3C787BB9"/>
    <w:rsid w:val="3C8A4770"/>
    <w:rsid w:val="3CB73F5C"/>
    <w:rsid w:val="3CC01CA7"/>
    <w:rsid w:val="3CC95288"/>
    <w:rsid w:val="3E2704FA"/>
    <w:rsid w:val="3E307AAF"/>
    <w:rsid w:val="3E86429D"/>
    <w:rsid w:val="3F6602B5"/>
    <w:rsid w:val="3F946421"/>
    <w:rsid w:val="40626EE8"/>
    <w:rsid w:val="407F2224"/>
    <w:rsid w:val="409313E8"/>
    <w:rsid w:val="40C7535B"/>
    <w:rsid w:val="41511BB0"/>
    <w:rsid w:val="41B45FF7"/>
    <w:rsid w:val="41DD78E4"/>
    <w:rsid w:val="424775BC"/>
    <w:rsid w:val="430E47D5"/>
    <w:rsid w:val="438F6B64"/>
    <w:rsid w:val="441F6EEE"/>
    <w:rsid w:val="44245C65"/>
    <w:rsid w:val="44781212"/>
    <w:rsid w:val="44CF01DF"/>
    <w:rsid w:val="44CF4CBE"/>
    <w:rsid w:val="4520502B"/>
    <w:rsid w:val="45FD1028"/>
    <w:rsid w:val="462C67D9"/>
    <w:rsid w:val="46C65F2C"/>
    <w:rsid w:val="47967344"/>
    <w:rsid w:val="47C80247"/>
    <w:rsid w:val="47F854D1"/>
    <w:rsid w:val="48654E16"/>
    <w:rsid w:val="488D1691"/>
    <w:rsid w:val="48C12635"/>
    <w:rsid w:val="49166D1A"/>
    <w:rsid w:val="49DA2610"/>
    <w:rsid w:val="4A2047EB"/>
    <w:rsid w:val="4A2A40BB"/>
    <w:rsid w:val="4A641518"/>
    <w:rsid w:val="4B066B9D"/>
    <w:rsid w:val="4BDA00E6"/>
    <w:rsid w:val="4C7B7E44"/>
    <w:rsid w:val="4CF455C7"/>
    <w:rsid w:val="4D670903"/>
    <w:rsid w:val="4DD070DF"/>
    <w:rsid w:val="4E1C5206"/>
    <w:rsid w:val="4EBA11C0"/>
    <w:rsid w:val="4ECE2238"/>
    <w:rsid w:val="4F472D1D"/>
    <w:rsid w:val="4F7F7193"/>
    <w:rsid w:val="4FC65709"/>
    <w:rsid w:val="4FC83AB5"/>
    <w:rsid w:val="4FE32BBA"/>
    <w:rsid w:val="50466644"/>
    <w:rsid w:val="50691E2A"/>
    <w:rsid w:val="51611F8A"/>
    <w:rsid w:val="51E117D5"/>
    <w:rsid w:val="51E14D8D"/>
    <w:rsid w:val="5206043D"/>
    <w:rsid w:val="525C02A0"/>
    <w:rsid w:val="52A06562"/>
    <w:rsid w:val="52A37A81"/>
    <w:rsid w:val="533D5097"/>
    <w:rsid w:val="544B5D56"/>
    <w:rsid w:val="544B79F7"/>
    <w:rsid w:val="54C81617"/>
    <w:rsid w:val="54FF4BBA"/>
    <w:rsid w:val="551D017C"/>
    <w:rsid w:val="552B6256"/>
    <w:rsid w:val="55A3707E"/>
    <w:rsid w:val="55AC4BE3"/>
    <w:rsid w:val="55AC58F0"/>
    <w:rsid w:val="55DF2E70"/>
    <w:rsid w:val="55F13DEA"/>
    <w:rsid w:val="55F765F2"/>
    <w:rsid w:val="5698121B"/>
    <w:rsid w:val="56D4647A"/>
    <w:rsid w:val="56F54CF1"/>
    <w:rsid w:val="571522DE"/>
    <w:rsid w:val="57171513"/>
    <w:rsid w:val="584D6B8D"/>
    <w:rsid w:val="586244AD"/>
    <w:rsid w:val="58952DD9"/>
    <w:rsid w:val="58A80188"/>
    <w:rsid w:val="58FD578D"/>
    <w:rsid w:val="595F143F"/>
    <w:rsid w:val="59D27576"/>
    <w:rsid w:val="5A2A2DB9"/>
    <w:rsid w:val="5AA63AEB"/>
    <w:rsid w:val="5B7B4F87"/>
    <w:rsid w:val="5C1001CC"/>
    <w:rsid w:val="5C1E7B58"/>
    <w:rsid w:val="5C546125"/>
    <w:rsid w:val="5D100530"/>
    <w:rsid w:val="5D230A5C"/>
    <w:rsid w:val="5D5F65D0"/>
    <w:rsid w:val="5DCB3233"/>
    <w:rsid w:val="5DE57707"/>
    <w:rsid w:val="5E517037"/>
    <w:rsid w:val="5E72657A"/>
    <w:rsid w:val="5F350F47"/>
    <w:rsid w:val="5F486F88"/>
    <w:rsid w:val="5F887CC7"/>
    <w:rsid w:val="60472207"/>
    <w:rsid w:val="604A53A7"/>
    <w:rsid w:val="60B7367B"/>
    <w:rsid w:val="61636AF5"/>
    <w:rsid w:val="618A57B7"/>
    <w:rsid w:val="61BB4B12"/>
    <w:rsid w:val="61E54908"/>
    <w:rsid w:val="61FD58C5"/>
    <w:rsid w:val="6293034F"/>
    <w:rsid w:val="62A151DE"/>
    <w:rsid w:val="62C131FB"/>
    <w:rsid w:val="62F22C3E"/>
    <w:rsid w:val="62F60FC4"/>
    <w:rsid w:val="635B300E"/>
    <w:rsid w:val="6383343E"/>
    <w:rsid w:val="63B71DD7"/>
    <w:rsid w:val="64D07E01"/>
    <w:rsid w:val="64E02BC7"/>
    <w:rsid w:val="65165042"/>
    <w:rsid w:val="65464F86"/>
    <w:rsid w:val="65C715D1"/>
    <w:rsid w:val="66122072"/>
    <w:rsid w:val="66346C3D"/>
    <w:rsid w:val="66AC5939"/>
    <w:rsid w:val="66AD3E17"/>
    <w:rsid w:val="67251AD7"/>
    <w:rsid w:val="672D6A8A"/>
    <w:rsid w:val="673D4676"/>
    <w:rsid w:val="67462012"/>
    <w:rsid w:val="67A4625A"/>
    <w:rsid w:val="67EB3297"/>
    <w:rsid w:val="68034D1D"/>
    <w:rsid w:val="68060605"/>
    <w:rsid w:val="68390A34"/>
    <w:rsid w:val="685D1576"/>
    <w:rsid w:val="68AA3CF6"/>
    <w:rsid w:val="68C34D5E"/>
    <w:rsid w:val="691500A9"/>
    <w:rsid w:val="6A3A1355"/>
    <w:rsid w:val="6B2F1654"/>
    <w:rsid w:val="6BB42B83"/>
    <w:rsid w:val="6C112A3C"/>
    <w:rsid w:val="6C155D1F"/>
    <w:rsid w:val="6C4A05C8"/>
    <w:rsid w:val="6C6371AF"/>
    <w:rsid w:val="6CF530AF"/>
    <w:rsid w:val="6D937B3D"/>
    <w:rsid w:val="6DCA3889"/>
    <w:rsid w:val="6E5561F1"/>
    <w:rsid w:val="6E8D6F07"/>
    <w:rsid w:val="6E960413"/>
    <w:rsid w:val="6F984FBA"/>
    <w:rsid w:val="6FB178A9"/>
    <w:rsid w:val="70727A7E"/>
    <w:rsid w:val="7116194A"/>
    <w:rsid w:val="7141016E"/>
    <w:rsid w:val="7189488E"/>
    <w:rsid w:val="724E303E"/>
    <w:rsid w:val="72734D90"/>
    <w:rsid w:val="72DE06E1"/>
    <w:rsid w:val="73487795"/>
    <w:rsid w:val="746E38AD"/>
    <w:rsid w:val="74BC3818"/>
    <w:rsid w:val="74EB7F19"/>
    <w:rsid w:val="750F11B7"/>
    <w:rsid w:val="75EC394D"/>
    <w:rsid w:val="760905C4"/>
    <w:rsid w:val="763121FE"/>
    <w:rsid w:val="768D794E"/>
    <w:rsid w:val="76AC79A4"/>
    <w:rsid w:val="76C2250D"/>
    <w:rsid w:val="775C2465"/>
    <w:rsid w:val="77ED7744"/>
    <w:rsid w:val="78021A76"/>
    <w:rsid w:val="78B105C9"/>
    <w:rsid w:val="78BF38AD"/>
    <w:rsid w:val="79077F47"/>
    <w:rsid w:val="79AA32B4"/>
    <w:rsid w:val="7A0C56D9"/>
    <w:rsid w:val="7A4B25C2"/>
    <w:rsid w:val="7A9D6066"/>
    <w:rsid w:val="7AA01BBA"/>
    <w:rsid w:val="7AF442BF"/>
    <w:rsid w:val="7B1234F2"/>
    <w:rsid w:val="7BB156D3"/>
    <w:rsid w:val="7BE055EF"/>
    <w:rsid w:val="7C156615"/>
    <w:rsid w:val="7C3A754E"/>
    <w:rsid w:val="7C700CFE"/>
    <w:rsid w:val="7CB56602"/>
    <w:rsid w:val="7CDE40B3"/>
    <w:rsid w:val="7E3A5980"/>
    <w:rsid w:val="7F4A1073"/>
    <w:rsid w:val="7F702DBA"/>
    <w:rsid w:val="7FDD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136F"/>
  <w15:docId w15:val="{6DB94253-A04E-4517-99C4-DD05FE77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Calibri" w:hAnsi="Calibri"/>
      <w:szCs w:val="22"/>
    </w:r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4">
    <w:name w:val="Body Text"/>
    <w:basedOn w:val="a"/>
    <w:link w:val="a5"/>
    <w:uiPriority w:val="99"/>
    <w:qFormat/>
    <w:pPr>
      <w:spacing w:beforeLines="30"/>
    </w:pPr>
    <w:rPr>
      <w:rFonts w:ascii="仿宋_GB2312" w:eastAsia="仿宋_GB2312"/>
      <w:kern w:val="0"/>
      <w:sz w:val="24"/>
      <w:szCs w:val="20"/>
    </w:rPr>
  </w:style>
  <w:style w:type="paragraph" w:styleId="a6">
    <w:name w:val="Body Text Indent"/>
    <w:basedOn w:val="a"/>
    <w:uiPriority w:val="99"/>
    <w:qFormat/>
    <w:pPr>
      <w:spacing w:line="540" w:lineRule="exact"/>
      <w:ind w:firstLineChars="200" w:firstLine="640"/>
    </w:pPr>
    <w:rPr>
      <w:rFonts w:eastAsia="仿宋_GB2312"/>
      <w:sz w:val="32"/>
      <w:szCs w:val="32"/>
    </w:rPr>
  </w:style>
  <w:style w:type="paragraph" w:styleId="TOC5">
    <w:name w:val="toc 5"/>
    <w:basedOn w:val="a"/>
    <w:next w:val="a"/>
    <w:uiPriority w:val="39"/>
    <w:unhideWhenUsed/>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20"/>
    </w:rPr>
  </w:style>
  <w:style w:type="paragraph" w:styleId="21">
    <w:name w:val="Body Text First Indent 2"/>
    <w:basedOn w:val="a6"/>
    <w:next w:val="a"/>
    <w:qFormat/>
    <w:pPr>
      <w:ind w:firstLine="420"/>
    </w:pPr>
    <w:rPr>
      <w:rFonts w:ascii="Calibri" w:hAnsi="Calibri"/>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e">
    <w:name w:val="Strong"/>
    <w:basedOn w:val="a1"/>
    <w:uiPriority w:val="99"/>
    <w:qFormat/>
    <w:rPr>
      <w:rFonts w:cs="Times New Roman"/>
      <w:b/>
    </w:rPr>
  </w:style>
  <w:style w:type="character" w:styleId="af">
    <w:name w:val="Hyperlink"/>
    <w:basedOn w:val="a1"/>
    <w:uiPriority w:val="99"/>
    <w:unhideWhenUsed/>
    <w:qFormat/>
    <w:rPr>
      <w:rFonts w:cs="Times New Roman"/>
      <w:color w:val="0000FF"/>
      <w:u w:val="single"/>
    </w:rPr>
  </w:style>
  <w:style w:type="character" w:customStyle="1" w:styleId="10">
    <w:name w:val="标题 1 字符"/>
    <w:basedOn w:val="a1"/>
    <w:link w:val="1"/>
    <w:uiPriority w:val="9"/>
    <w:qFormat/>
    <w:locked/>
    <w:rPr>
      <w:rFonts w:ascii="Times New Roman" w:hAnsi="Times New Roman" w:cs="Times New Roman"/>
      <w:b/>
      <w:bCs/>
      <w:kern w:val="44"/>
      <w:sz w:val="44"/>
      <w:szCs w:val="44"/>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 w:type="character" w:customStyle="1" w:styleId="30">
    <w:name w:val="标题 3 字符"/>
    <w:basedOn w:val="a1"/>
    <w:link w:val="3"/>
    <w:uiPriority w:val="9"/>
    <w:qFormat/>
    <w:locked/>
    <w:rPr>
      <w:rFonts w:ascii="Times New Roman" w:hAnsi="Times New Roman" w:cs="Times New Roman"/>
      <w:b/>
      <w:bCs/>
      <w:kern w:val="2"/>
      <w:sz w:val="32"/>
      <w:szCs w:val="32"/>
    </w:rPr>
  </w:style>
  <w:style w:type="character" w:customStyle="1" w:styleId="BodyTextChar">
    <w:name w:val="Body Text Char"/>
    <w:basedOn w:val="a1"/>
    <w:uiPriority w:val="99"/>
    <w:semiHidden/>
    <w:qFormat/>
    <w:rPr>
      <w:rFonts w:ascii="Times New Roman" w:hAnsi="Times New Roman" w:cs="Times New Roman"/>
      <w:sz w:val="24"/>
      <w:szCs w:val="24"/>
    </w:rPr>
  </w:style>
  <w:style w:type="character" w:customStyle="1" w:styleId="a8">
    <w:name w:val="批注框文本 字符"/>
    <w:basedOn w:val="a1"/>
    <w:link w:val="a7"/>
    <w:uiPriority w:val="99"/>
    <w:semiHidden/>
    <w:qFormat/>
    <w:locked/>
    <w:rPr>
      <w:rFonts w:ascii="Times New Roman" w:hAnsi="Times New Roman" w:cs="Times New Roman"/>
      <w:kern w:val="2"/>
      <w:sz w:val="18"/>
      <w:szCs w:val="18"/>
    </w:rPr>
  </w:style>
  <w:style w:type="character" w:customStyle="1" w:styleId="FooterChar">
    <w:name w:val="Footer Char"/>
    <w:basedOn w:val="a1"/>
    <w:uiPriority w:val="99"/>
    <w:semiHidden/>
    <w:qFormat/>
    <w:rPr>
      <w:rFonts w:ascii="Times New Roman" w:hAnsi="Times New Roman" w:cs="Times New Roman"/>
      <w:sz w:val="18"/>
      <w:szCs w:val="18"/>
    </w:rPr>
  </w:style>
  <w:style w:type="character" w:customStyle="1" w:styleId="HeaderChar">
    <w:name w:val="Header Char"/>
    <w:basedOn w:val="a1"/>
    <w:uiPriority w:val="99"/>
    <w:semiHidden/>
    <w:qFormat/>
    <w:rPr>
      <w:rFonts w:ascii="Times New Roman" w:hAnsi="Times New Roman" w:cs="Times New Roman"/>
      <w:sz w:val="18"/>
      <w:szCs w:val="18"/>
    </w:rPr>
  </w:style>
  <w:style w:type="character" w:customStyle="1" w:styleId="ac">
    <w:name w:val="页眉 字符"/>
    <w:link w:val="ab"/>
    <w:uiPriority w:val="99"/>
    <w:semiHidden/>
    <w:qFormat/>
    <w:locked/>
    <w:rPr>
      <w:sz w:val="18"/>
    </w:rPr>
  </w:style>
  <w:style w:type="character" w:customStyle="1" w:styleId="aa">
    <w:name w:val="页脚 字符"/>
    <w:link w:val="a9"/>
    <w:uiPriority w:val="99"/>
    <w:qFormat/>
    <w:locked/>
    <w:rPr>
      <w:sz w:val="18"/>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9992;&#25143;&#30446;&#24405;\Desktop\&#26032;&#24314;%20XLS%20&#24037;&#20316;&#34920;.xls"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收入、支出决算总计变动情况图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'[新建 XLS 工作表.xls]Sheet1'!$A$3</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工作表.xls]Sheet1'!$B$3:$C$3</c:f>
              <c:numCache>
                <c:formatCode>0.00_ </c:formatCode>
                <c:ptCount val="2"/>
                <c:pt idx="0" formatCode="General">
                  <c:v>308.87</c:v>
                </c:pt>
                <c:pt idx="1">
                  <c:v>308.10000000000002</c:v>
                </c:pt>
              </c:numCache>
            </c:numRef>
          </c:val>
          <c:extLst>
            <c:ext xmlns:c16="http://schemas.microsoft.com/office/drawing/2014/chart" uri="{C3380CC4-5D6E-409C-BE32-E72D297353CC}">
              <c16:uniqueId val="{00000000-D68E-4EF6-88BB-FC9FE705374F}"/>
            </c:ext>
          </c:extLst>
        </c:ser>
        <c:ser>
          <c:idx val="1"/>
          <c:order val="1"/>
          <c:tx>
            <c:strRef>
              <c:f>'[新建 XLS 工作表.xls]Sheet1'!$A$4</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工作表.xls]Sheet1'!$B$4:$C$4</c:f>
              <c:numCache>
                <c:formatCode>General</c:formatCode>
                <c:ptCount val="2"/>
                <c:pt idx="0">
                  <c:v>505.09</c:v>
                </c:pt>
                <c:pt idx="1">
                  <c:v>506.15</c:v>
                </c:pt>
              </c:numCache>
            </c:numRef>
          </c:val>
          <c:extLst>
            <c:ext xmlns:c16="http://schemas.microsoft.com/office/drawing/2014/chart" uri="{C3380CC4-5D6E-409C-BE32-E72D297353CC}">
              <c16:uniqueId val="{00000001-D68E-4EF6-88BB-FC9FE705374F}"/>
            </c:ext>
          </c:extLst>
        </c:ser>
        <c:dLbls>
          <c:showLegendKey val="0"/>
          <c:showVal val="1"/>
          <c:showCatName val="0"/>
          <c:showSerName val="0"/>
          <c:showPercent val="0"/>
          <c:showBubbleSize val="0"/>
        </c:dLbls>
        <c:gapWidth val="219"/>
        <c:overlap val="-27"/>
        <c:axId val="361754501"/>
        <c:axId val="42868010"/>
      </c:barChart>
      <c:catAx>
        <c:axId val="36175450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2868010"/>
        <c:crosses val="autoZero"/>
        <c:auto val="1"/>
        <c:lblAlgn val="ctr"/>
        <c:lblOffset val="100"/>
        <c:noMultiLvlLbl val="0"/>
      </c:catAx>
      <c:valAx>
        <c:axId val="428680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1754501"/>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'[新建 XLS 工作表.xls]Sheet1'!$A$3</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2C-4AD5-81C1-D8EC66086A20}"/>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'[新建 XLS 工作表.xls]Sheet1'!$B$2</c:f>
              <c:strCache>
                <c:ptCount val="1"/>
                <c:pt idx="0">
                  <c:v>一般公共预算财政拨款收入</c:v>
                </c:pt>
              </c:strCache>
            </c:strRef>
          </c:cat>
          <c:val>
            <c:numRef>
              <c:f>'[新建 XLS 工作表.xls]Sheet1'!$B$3</c:f>
              <c:numCache>
                <c:formatCode>General</c:formatCode>
                <c:ptCount val="1"/>
                <c:pt idx="0">
                  <c:v>505.09</c:v>
                </c:pt>
              </c:numCache>
            </c:numRef>
          </c:val>
          <c:extLst>
            <c:ext xmlns:c16="http://schemas.microsoft.com/office/drawing/2014/chart" uri="{C3380CC4-5D6E-409C-BE32-E72D297353CC}">
              <c16:uniqueId val="{00000002-B22C-4AD5-81C1-D8EC66086A20}"/>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DB-4804-AF93-B73E4436EF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DB-4804-AF93-B73E4436EF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DB-4804-AF93-B73E4436EFB6}"/>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'[新建 XLS 工作表.xls]Sheet1'!$A$2:$A$4</c:f>
              <c:strCache>
                <c:ptCount val="3"/>
                <c:pt idx="0">
                  <c:v>基本支出</c:v>
                </c:pt>
                <c:pt idx="1">
                  <c:v>项目支出</c:v>
                </c:pt>
                <c:pt idx="2">
                  <c:v>一般公共预算财政拨款支出</c:v>
                </c:pt>
              </c:strCache>
            </c:strRef>
          </c:cat>
          <c:val>
            <c:numRef>
              <c:f>'[新建 XLS 工作表.xls]Sheet1'!$B$2:$B$4</c:f>
              <c:numCache>
                <c:formatCode>General</c:formatCode>
                <c:ptCount val="3"/>
                <c:pt idx="0">
                  <c:v>407.28</c:v>
                </c:pt>
                <c:pt idx="1">
                  <c:v>98.87</c:v>
                </c:pt>
              </c:numCache>
            </c:numRef>
          </c:val>
          <c:extLst>
            <c:ext xmlns:c16="http://schemas.microsoft.com/office/drawing/2014/chart" uri="{C3380CC4-5D6E-409C-BE32-E72D297353CC}">
              <c16:uniqueId val="{00000006-EEDB-4804-AF93-B73E4436EFB6}"/>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财政拨款收入、支出决算总计变动情况图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'[新建 XLS 工作表.xls]Sheet1'!$A$3</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工作表.xls]Sheet1'!$B$3:$C$3</c:f>
              <c:numCache>
                <c:formatCode>0.00_ </c:formatCode>
                <c:ptCount val="2"/>
                <c:pt idx="0">
                  <c:v>308.87</c:v>
                </c:pt>
                <c:pt idx="1">
                  <c:v>308.10000000000002</c:v>
                </c:pt>
              </c:numCache>
            </c:numRef>
          </c:val>
          <c:extLst>
            <c:ext xmlns:c16="http://schemas.microsoft.com/office/drawing/2014/chart" uri="{C3380CC4-5D6E-409C-BE32-E72D297353CC}">
              <c16:uniqueId val="{00000000-BA10-49FD-85DA-A0BCCD343153}"/>
            </c:ext>
          </c:extLst>
        </c:ser>
        <c:ser>
          <c:idx val="1"/>
          <c:order val="1"/>
          <c:tx>
            <c:strRef>
              <c:f>'[新建 XLS 工作表.xls]Sheet1'!$A$4</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'[新建 XLS 工作表.xls]Sheet1'!$B$2:$C$2</c:f>
              <c:strCache>
                <c:ptCount val="2"/>
                <c:pt idx="0">
                  <c:v>收入</c:v>
                </c:pt>
                <c:pt idx="1">
                  <c:v>支出</c:v>
                </c:pt>
              </c:strCache>
            </c:strRef>
          </c:cat>
          <c:val>
            <c:numRef>
              <c:f>'[新建 XLS 工作表.xls]Sheet1'!$B$4:$C$4</c:f>
              <c:numCache>
                <c:formatCode>0.00_ </c:formatCode>
                <c:ptCount val="2"/>
                <c:pt idx="0">
                  <c:v>505.09</c:v>
                </c:pt>
                <c:pt idx="1">
                  <c:v>506.15</c:v>
                </c:pt>
              </c:numCache>
            </c:numRef>
          </c:val>
          <c:extLst>
            <c:ext xmlns:c16="http://schemas.microsoft.com/office/drawing/2014/chart" uri="{C3380CC4-5D6E-409C-BE32-E72D297353CC}">
              <c16:uniqueId val="{00000001-BA10-49FD-85DA-A0BCCD343153}"/>
            </c:ext>
          </c:extLst>
        </c:ser>
        <c:dLbls>
          <c:showLegendKey val="0"/>
          <c:showVal val="1"/>
          <c:showCatName val="0"/>
          <c:showSerName val="0"/>
          <c:showPercent val="0"/>
          <c:showBubbleSize val="0"/>
        </c:dLbls>
        <c:gapWidth val="219"/>
        <c:overlap val="-27"/>
        <c:axId val="779779215"/>
        <c:axId val="750472893"/>
      </c:barChart>
      <c:catAx>
        <c:axId val="7797792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50472893"/>
        <c:crosses val="autoZero"/>
        <c:auto val="1"/>
        <c:lblAlgn val="ctr"/>
        <c:lblOffset val="100"/>
        <c:noMultiLvlLbl val="0"/>
      </c:catAx>
      <c:valAx>
        <c:axId val="75047289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79779215"/>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'[新建 XLS 工作表.xls]Sheet1'!$C$2</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'[新建 XLS 工作表.xls]Sheet1'!$A$3:$B$4</c:f>
              <c:multiLvlStrCache>
                <c:ptCount val="2"/>
                <c:lvl/>
                <c:lvl>
                  <c:pt idx="0">
                    <c:v>2020</c:v>
                  </c:pt>
                  <c:pt idx="1">
                    <c:v>2021</c:v>
                  </c:pt>
                </c:lvl>
              </c:multiLvlStrCache>
            </c:multiLvlStrRef>
          </c:cat>
          <c:val>
            <c:numRef>
              <c:f>'[新建 XLS 工作表.xls]Sheet1'!$C$3:$C$4</c:f>
              <c:numCache>
                <c:formatCode>0.00_ </c:formatCode>
                <c:ptCount val="2"/>
                <c:pt idx="0">
                  <c:v>308.10000000000002</c:v>
                </c:pt>
                <c:pt idx="1">
                  <c:v>506.15</c:v>
                </c:pt>
              </c:numCache>
            </c:numRef>
          </c:val>
          <c:extLst>
            <c:ext xmlns:c16="http://schemas.microsoft.com/office/drawing/2014/chart" uri="{C3380CC4-5D6E-409C-BE32-E72D297353CC}">
              <c16:uniqueId val="{00000000-5129-406B-AE07-07803C2DB6EF}"/>
            </c:ext>
          </c:extLst>
        </c:ser>
        <c:dLbls>
          <c:showLegendKey val="0"/>
          <c:showVal val="1"/>
          <c:showCatName val="0"/>
          <c:showSerName val="0"/>
          <c:showPercent val="0"/>
          <c:showBubbleSize val="0"/>
        </c:dLbls>
        <c:gapWidth val="219"/>
        <c:overlap val="-27"/>
        <c:axId val="877593460"/>
        <c:axId val="967390552"/>
      </c:barChart>
      <c:catAx>
        <c:axId val="8775934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7390552"/>
        <c:crosses val="autoZero"/>
        <c:auto val="1"/>
        <c:lblAlgn val="ctr"/>
        <c:lblOffset val="100"/>
        <c:noMultiLvlLbl val="0"/>
      </c:catAx>
      <c:valAx>
        <c:axId val="96739055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77593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EF-4D03-9E3C-7EDF01BAE3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EF-4D03-9E3C-7EDF01BAE35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EF-4D03-9E3C-7EDF01BAE35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EF-4D03-9E3C-7EDF01BAE35D}"/>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'[新建 XLS 工作表.xls]Sheet1'!$A$2:$A$5</c:f>
              <c:strCache>
                <c:ptCount val="4"/>
                <c:pt idx="0">
                  <c:v>文化旅游体育与传媒支出409.08万元</c:v>
                </c:pt>
                <c:pt idx="1">
                  <c:v>社会保障和就业支出47.15万元</c:v>
                </c:pt>
                <c:pt idx="2">
                  <c:v>卫生健康支出17.28万元</c:v>
                </c:pt>
                <c:pt idx="3">
                  <c:v>住房保障支出32.64万元</c:v>
                </c:pt>
              </c:strCache>
            </c:strRef>
          </c:cat>
          <c:val>
            <c:numRef>
              <c:f>'[新建 XLS 工作表.xls]Sheet1'!$B$2:$B$5</c:f>
              <c:numCache>
                <c:formatCode>0.00%</c:formatCode>
                <c:ptCount val="4"/>
                <c:pt idx="0">
                  <c:v>0.80820000000000003</c:v>
                </c:pt>
                <c:pt idx="1">
                  <c:v>9.3200000000000005E-2</c:v>
                </c:pt>
                <c:pt idx="2">
                  <c:v>3.4099999999999998E-2</c:v>
                </c:pt>
                <c:pt idx="3">
                  <c:v>6.4500000000000002E-2</c:v>
                </c:pt>
              </c:numCache>
            </c:numRef>
          </c:val>
          <c:extLst>
            <c:ext xmlns:c16="http://schemas.microsoft.com/office/drawing/2014/chart" uri="{C3380CC4-5D6E-409C-BE32-E72D297353CC}">
              <c16:uniqueId val="{00000008-60EF-4D03-9E3C-7EDF01BAE35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“三公”经费财政拨款支出结构图</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94-4994-8FF8-B0BD8EFC61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94-4994-8FF8-B0BD8EFC61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94-4994-8FF8-B0BD8EFC617C}"/>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'[新建 XLS 工作表.xls]Sheet1'!$A$2:$A$4</c:f>
              <c:strCache>
                <c:ptCount val="3"/>
                <c:pt idx="0">
                  <c:v>因公出国（境）经费0万元</c:v>
                </c:pt>
                <c:pt idx="1">
                  <c:v>公务用车购置及运行维护费49.87万元</c:v>
                </c:pt>
                <c:pt idx="2">
                  <c:v>公务接待费0万元</c:v>
                </c:pt>
              </c:strCache>
            </c:strRef>
          </c:cat>
          <c:val>
            <c:numRef>
              <c:f>'[新建 XLS 工作表.xls]Sheet1'!$B$2:$B$4</c:f>
              <c:numCache>
                <c:formatCode>0%</c:formatCode>
                <c:ptCount val="3"/>
                <c:pt idx="0" formatCode="General">
                  <c:v>0</c:v>
                </c:pt>
                <c:pt idx="1">
                  <c:v>1</c:v>
                </c:pt>
                <c:pt idx="2" formatCode="General">
                  <c:v>0</c:v>
                </c:pt>
              </c:numCache>
            </c:numRef>
          </c:val>
          <c:extLst>
            <c:ext xmlns:c16="http://schemas.microsoft.com/office/drawing/2014/chart" uri="{C3380CC4-5D6E-409C-BE32-E72D297353CC}">
              <c16:uniqueId val="{00000006-F694-4994-8FF8-B0BD8EFC617C}"/>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D9CEF6E-F4E3-4922-8334-C2244ACD6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2095</Words>
  <Characters>11943</Characters>
  <Application>Microsoft Office Word</Application>
  <DocSecurity>0</DocSecurity>
  <Lines>99</Lines>
  <Paragraphs>28</Paragraphs>
  <ScaleCrop>false</ScaleCrop>
  <Company>四川省财政厅</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10</cp:revision>
  <cp:lastPrinted>2021-07-29T03:56:00Z</cp:lastPrinted>
  <dcterms:created xsi:type="dcterms:W3CDTF">2021-08-06T09:38:00Z</dcterms:created>
  <dcterms:modified xsi:type="dcterms:W3CDTF">2022-10-19T08:32:00Z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4B1E90DC72904281A78902328E8C67BB</vt:lpwstr>
  </property>
</Properties>
</file>