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193"/>
      <w:bookmarkStart w:id="2" w:name="_Toc15377425"/>
      <w:bookmarkStart w:id="3" w:name="_Toc15396475"/>
      <w:bookmarkStart w:id="4" w:name="_Toc15378441"/>
      <w:bookmarkStart w:id="5" w:name="_Toc15396597"/>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194"/>
      <w:bookmarkStart w:id="7" w:name="_Toc15396598"/>
      <w:bookmarkStart w:id="8" w:name="_Toc15378442"/>
      <w:bookmarkStart w:id="9" w:name="_Toc15396476"/>
      <w:bookmarkStart w:id="10" w:name="_Toc15377426"/>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lang w:eastAsia="zh-CN"/>
        </w:rPr>
        <w:t>综合行政执法局</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公开时间：2021年</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24</w:t>
      </w:r>
      <w:r>
        <w:rPr>
          <w:rFonts w:hint="eastAsia" w:hAnsiTheme="minorHAnsi"/>
          <w:b w:val="0"/>
          <w:bCs w:val="0"/>
          <w:sz w:val="24"/>
          <w:szCs w:val="24"/>
        </w:rPr>
        <w:t>日</w:t>
      </w:r>
    </w:p>
    <w:p>
      <w:pPr>
        <w:pStyle w:val="15"/>
        <w:tabs>
          <w:tab w:val="right" w:leader="dot" w:pos="8296"/>
        </w:tabs>
        <w:rPr>
          <w:rFonts w:hint="eastAsia" w:hAnsiTheme="minorHAnsi" w:eastAsiaTheme="minorHAnsi" w:cstheme="minorBidi"/>
          <w:b w:val="0"/>
          <w:bCs w:val="0"/>
          <w:caps w:val="0"/>
          <w:sz w:val="21"/>
          <w:szCs w:val="22"/>
          <w:lang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lang w:val="en-US" w:eastAsia="zh-CN"/>
        </w:rPr>
        <w:t>5</w:t>
      </w:r>
    </w:p>
    <w:p>
      <w:pPr>
        <w:pStyle w:val="18"/>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一、基</w:t>
      </w:r>
      <w:r>
        <w:rPr>
          <w:rFonts w:ascii="黑体" w:hAnsi="黑体" w:eastAsia="黑体"/>
        </w:rPr>
        <w:t>本职能及主要工作</w:t>
      </w:r>
      <w:r>
        <w:tab/>
      </w:r>
      <w:r>
        <w:rPr>
          <w:rFonts w:hint="eastAsia"/>
          <w:lang w:val="en-US" w:eastAsia="zh-CN"/>
        </w:rPr>
        <w:t>5</w:t>
      </w:r>
    </w:p>
    <w:p>
      <w:pPr>
        <w:pStyle w:val="10"/>
        <w:tabs>
          <w:tab w:val="right" w:leader="dot" w:pos="8296"/>
        </w:tabs>
        <w:rPr>
          <w:rFonts w:hint="eastAsia" w:hAnsiTheme="minorHAnsi" w:eastAsiaTheme="minorHAnsi" w:cstheme="minorBidi"/>
          <w:i w:val="0"/>
          <w:iCs w:val="0"/>
          <w:sz w:val="21"/>
          <w:szCs w:val="22"/>
          <w:lang w:eastAsia="zh-CN"/>
        </w:rPr>
      </w:pPr>
      <w:r>
        <w:rPr>
          <w:rFonts w:ascii="仿宋" w:hAnsi="仿宋" w:eastAsia="仿宋"/>
          <w:bCs/>
          <w:color w:val="000000"/>
        </w:rPr>
        <w:t>（一）主要职能。</w:t>
      </w:r>
      <w:r>
        <w:tab/>
      </w:r>
      <w:r>
        <w:rPr>
          <w:rFonts w:hint="eastAsia"/>
          <w:lang w:val="en-US" w:eastAsia="zh-CN"/>
        </w:rPr>
        <w:t>5</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Cs/>
          <w:color w:val="000000"/>
        </w:rPr>
        <w:t>（二）2020年重点工作完成情况。</w:t>
      </w:r>
      <w:r>
        <w:tab/>
      </w:r>
      <w:r>
        <w:rPr>
          <w:rFonts w:hint="eastAsia"/>
          <w:lang w:val="en-US" w:eastAsia="zh-CN"/>
        </w:rPr>
        <w:t>6-7</w:t>
      </w:r>
    </w:p>
    <w:p>
      <w:pPr>
        <w:pStyle w:val="18"/>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7</w:t>
      </w:r>
    </w:p>
    <w:p>
      <w:pPr>
        <w:pStyle w:val="15"/>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rPr>
          <w:rFonts w:hint="eastAsia"/>
          <w:lang w:val="en-US" w:eastAsia="zh-CN"/>
        </w:rPr>
        <w:t>7</w:t>
      </w:r>
    </w:p>
    <w:p>
      <w:pPr>
        <w:pStyle w:val="18"/>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8</w:t>
      </w:r>
    </w:p>
    <w:p>
      <w:pPr>
        <w:pStyle w:val="18"/>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9</w:t>
      </w:r>
    </w:p>
    <w:p>
      <w:pPr>
        <w:pStyle w:val="18"/>
        <w:tabs>
          <w:tab w:val="left" w:pos="840"/>
          <w:tab w:val="right" w:leader="dot" w:pos="8296"/>
        </w:tabs>
        <w:rPr>
          <w:rFonts w:hint="eastAsia" w:hAnsiTheme="minorHAnsi" w:eastAsiaTheme="minorHAnsi" w:cstheme="minorBidi"/>
          <w:smallCaps w:val="0"/>
          <w:sz w:val="21"/>
          <w:szCs w:val="22"/>
          <w:lang w:val="en-US"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9</w:t>
      </w:r>
    </w:p>
    <w:p>
      <w:pPr>
        <w:pStyle w:val="18"/>
        <w:tabs>
          <w:tab w:val="right" w:leader="dot" w:pos="8296"/>
        </w:tabs>
        <w:rPr>
          <w:rFonts w:hint="default"/>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10</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10</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（一）一般公共预算财政拨款支出决算总体情况</w:t>
      </w:r>
      <w:r>
        <w:tab/>
      </w:r>
      <w:r>
        <w:rPr>
          <w:rFonts w:hint="eastAsia"/>
          <w:lang w:val="en-US" w:eastAsia="zh-CN"/>
        </w:rPr>
        <w:t>10</w:t>
      </w:r>
    </w:p>
    <w:p>
      <w:pPr>
        <w:pStyle w:val="10"/>
        <w:tabs>
          <w:tab w:val="right" w:leader="dot" w:pos="8296"/>
        </w:tabs>
        <w:rPr>
          <w:rFonts w:hint="eastAsia"/>
          <w:lang w:val="en-US" w:eastAsia="zh-CN"/>
        </w:rPr>
      </w:pPr>
      <w:r>
        <w:rPr>
          <w:rFonts w:ascii="仿宋" w:hAnsi="仿宋" w:eastAsia="仿宋"/>
          <w:b/>
          <w:color w:val="000000"/>
        </w:rPr>
        <w:t>（二）一般公共预算财政拨款支出决算结构情况</w:t>
      </w:r>
      <w:r>
        <w:tab/>
      </w:r>
      <w:r>
        <w:rPr>
          <w:rFonts w:hint="eastAsia"/>
          <w:lang w:val="en-US" w:eastAsia="zh-CN"/>
        </w:rPr>
        <w:t>11</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（三）一般公共预算财政拨款支出决算具体情况</w:t>
      </w:r>
      <w:r>
        <w:tab/>
      </w:r>
      <w:r>
        <w:rPr>
          <w:rFonts w:hint="eastAsia"/>
          <w:lang w:val="en-US" w:eastAsia="zh-CN"/>
        </w:rPr>
        <w:t>12</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12</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lang w:val="en-US" w:eastAsia="zh-CN"/>
        </w:rPr>
        <w:t>13</w:t>
      </w:r>
    </w:p>
    <w:p>
      <w:pPr>
        <w:pStyle w:val="10"/>
        <w:tabs>
          <w:tab w:val="right" w:leader="dot" w:pos="8296"/>
        </w:tabs>
        <w:rPr>
          <w:rFonts w:hint="eastAsia"/>
          <w:lang w:val="en-US" w:eastAsia="zh-CN"/>
        </w:rPr>
      </w:pPr>
      <w:r>
        <w:rPr>
          <w:rFonts w:ascii="仿宋" w:hAnsi="仿宋" w:eastAsia="仿宋"/>
          <w:b/>
          <w:color w:val="000000"/>
        </w:rPr>
        <w:t>（一）“三公”经费财政拨款支出决算总体情况说明</w:t>
      </w:r>
      <w:r>
        <w:tab/>
      </w:r>
      <w:r>
        <w:rPr>
          <w:rFonts w:hint="eastAsia"/>
          <w:lang w:val="en-US" w:eastAsia="zh-CN"/>
        </w:rPr>
        <w:t>13</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（二）“三公”经费财政拨款支出决算具体情况说明</w:t>
      </w:r>
      <w:r>
        <w:tab/>
      </w:r>
      <w:r>
        <w:rPr>
          <w:rFonts w:hint="eastAsia"/>
          <w:lang w:val="en-US" w:eastAsia="zh-CN"/>
        </w:rPr>
        <w:t>13</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八、</w:t>
      </w:r>
      <w:r>
        <w:rPr>
          <w:rFonts w:ascii="黑体" w:hAnsi="黑体" w:eastAsia="黑体"/>
          <w:bCs/>
        </w:rPr>
        <w:t>政府性基金预算支出决算情况说明</w:t>
      </w:r>
      <w:r>
        <w:tab/>
      </w:r>
      <w:r>
        <w:rPr>
          <w:rFonts w:hint="eastAsia"/>
          <w:lang w:val="en-US" w:eastAsia="zh-CN"/>
        </w:rPr>
        <w:t>14</w:t>
      </w:r>
    </w:p>
    <w:p>
      <w:pPr>
        <w:pStyle w:val="18"/>
        <w:tabs>
          <w:tab w:val="right" w:leader="dot" w:pos="8296"/>
        </w:tabs>
        <w:ind w:left="0" w:leftChars="0" w:firstLine="0" w:firstLineChars="0"/>
        <w:rPr>
          <w:rFonts w:hint="default" w:hAnsiTheme="minorHAnsi" w:eastAsiaTheme="minorHAnsi" w:cstheme="minorBidi"/>
          <w:smallCaps w:val="0"/>
          <w:sz w:val="21"/>
          <w:szCs w:val="22"/>
          <w:lang w:val="en-US" w:eastAsia="zh-CN"/>
        </w:rPr>
      </w:pPr>
      <w:r>
        <w:rPr>
          <w:rFonts w:ascii="黑体" w:hAnsi="黑体" w:eastAsia="黑体"/>
          <w:bCs/>
        </w:rPr>
        <w:t>九、 国有资本经营预算支出决算情况说明</w:t>
      </w:r>
      <w:r>
        <w:tab/>
      </w:r>
      <w:r>
        <w:rPr>
          <w:rFonts w:hint="eastAsia"/>
          <w:lang w:val="en-US" w:eastAsia="zh-CN"/>
        </w:rPr>
        <w:t>14</w:t>
      </w:r>
    </w:p>
    <w:p>
      <w:pPr>
        <w:pStyle w:val="18"/>
        <w:tabs>
          <w:tab w:val="right" w:leader="dot" w:pos="8296"/>
        </w:tabs>
        <w:ind w:left="0" w:leftChars="0" w:firstLine="0" w:firstLineChars="0"/>
        <w:rPr>
          <w:rFonts w:hint="default" w:hAnsiTheme="minorHAnsi" w:eastAsiaTheme="minorHAnsi" w:cstheme="minorBidi"/>
          <w:smallCaps w:val="0"/>
          <w:sz w:val="21"/>
          <w:szCs w:val="22"/>
          <w:lang w:val="en-US" w:eastAsia="zh-CN"/>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lang w:val="en-US" w:eastAsia="zh-CN"/>
        </w:rPr>
        <w:t>14</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（一）机关运行经费支出情况</w:t>
      </w:r>
      <w:r>
        <w:tab/>
      </w:r>
      <w:r>
        <w:rPr>
          <w:rFonts w:hint="eastAsia"/>
          <w:lang w:val="en-US" w:eastAsia="zh-CN"/>
        </w:rPr>
        <w:t>14</w:t>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w:t>
      </w:r>
      <w:r>
        <w:rPr>
          <w:rFonts w:hint="eastAsia"/>
          <w:lang w:val="en-US" w:eastAsia="zh-CN"/>
        </w:rPr>
        <w:t>4</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w:t>
      </w:r>
      <w:r>
        <w:rPr>
          <w:rFonts w:hint="eastAsia"/>
          <w:lang w:val="en-US" w:eastAsia="zh-CN"/>
        </w:rPr>
        <w:t>5</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w:t>
      </w:r>
      <w:r>
        <w:rPr>
          <w:rFonts w:hint="eastAsia"/>
          <w:lang w:val="en-US" w:eastAsia="zh-CN"/>
        </w:rPr>
        <w:t>5</w:t>
      </w:r>
      <w:r>
        <w:fldChar w:fldCharType="end"/>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16</w:t>
      </w:r>
      <w:r>
        <w:fldChar w:fldCharType="end"/>
      </w:r>
      <w:r>
        <w:rPr>
          <w:rFonts w:hint="eastAsia"/>
          <w:lang w:val="en-US" w:eastAsia="zh-CN"/>
        </w:rPr>
        <w:t>-18</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19</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19</w:t>
      </w:r>
    </w:p>
    <w:p>
      <w:pPr>
        <w:pStyle w:val="18"/>
        <w:tabs>
          <w:tab w:val="right" w:leader="dot" w:pos="8296"/>
        </w:tabs>
        <w:rPr>
          <w:rFonts w:hint="eastAsia"/>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19</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19</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19</w:t>
      </w:r>
    </w:p>
    <w:p>
      <w:pPr>
        <w:pStyle w:val="18"/>
        <w:tabs>
          <w:tab w:val="right" w:leader="dot" w:pos="8296"/>
        </w:tabs>
        <w:rPr>
          <w:rFonts w:hint="eastAsia"/>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19</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19</w:t>
      </w:r>
    </w:p>
    <w:p>
      <w:pPr>
        <w:pStyle w:val="18"/>
        <w:tabs>
          <w:tab w:val="right" w:leader="dot" w:pos="8296"/>
        </w:tabs>
        <w:rPr>
          <w:rFonts w:hint="eastAsia"/>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19</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19</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19</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19</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19</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19</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rPr>
          <w:rFonts w:hint="eastAsia"/>
          <w:lang w:val="en-US" w:eastAsia="zh-CN"/>
        </w:rPr>
        <w:t>19</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19</w:t>
      </w:r>
    </w:p>
    <w:p>
      <w:pPr>
        <w:rPr>
          <w:rFonts w:ascii="仿宋" w:hAnsi="仿宋" w:eastAsia="仿宋"/>
          <w:bCs/>
          <w:kern w:val="44"/>
          <w:sz w:val="24"/>
        </w:rPr>
      </w:pPr>
      <w:r>
        <w:rPr>
          <w:rFonts w:asciiTheme="minorHAnsi" w:eastAsiaTheme="minorHAnsi"/>
          <w:b/>
          <w:bCs/>
          <w:caps/>
          <w:sz w:val="20"/>
          <w:szCs w:val="20"/>
        </w:rPr>
        <w:fldChar w:fldCharType="end"/>
      </w:r>
      <w:bookmarkStart w:id="12" w:name="_Toc15377196"/>
      <w:bookmarkStart w:id="13" w:name="_Toc15396599"/>
      <w:r>
        <w:rPr>
          <w:rFonts w:ascii="仿宋" w:hAnsi="仿宋" w:eastAsia="仿宋"/>
          <w:b/>
          <w:sz w:val="24"/>
        </w:rPr>
        <w:br w:type="page"/>
      </w:r>
    </w:p>
    <w:p>
      <w:pPr>
        <w:pStyle w:val="4"/>
        <w:jc w:val="center"/>
        <w:rPr>
          <w:rStyle w:val="25"/>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5"/>
          <w:rFonts w:hint="eastAsia" w:ascii="黑体" w:hAnsi="黑体" w:eastAsia="黑体"/>
          <w:b w:val="0"/>
          <w:bCs w:val="0"/>
        </w:rPr>
        <w:t>部门概况</w:t>
      </w:r>
      <w:bookmarkEnd w:id="12"/>
      <w:bookmarkEnd w:id="13"/>
      <w:bookmarkEnd w:id="14"/>
      <w:bookmarkEnd w:id="15"/>
    </w:p>
    <w:p>
      <w:pPr>
        <w:pStyle w:val="5"/>
        <w:rPr>
          <w:rStyle w:val="26"/>
          <w:rFonts w:ascii="仿宋" w:hAnsi="仿宋" w:eastAsia="仿宋"/>
          <w:b w:val="0"/>
          <w:bCs w:val="0"/>
        </w:rPr>
      </w:pPr>
      <w:bookmarkStart w:id="16" w:name="_Toc15396600"/>
      <w:bookmarkStart w:id="17" w:name="_Toc79163852"/>
      <w:bookmarkStart w:id="18" w:name="_Toc79163602"/>
      <w:bookmarkStart w:id="19"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6"/>
      <w:bookmarkEnd w:id="17"/>
      <w:bookmarkEnd w:id="18"/>
      <w:bookmarkEnd w:id="19"/>
    </w:p>
    <w:p>
      <w:pPr>
        <w:pStyle w:val="8"/>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0" w:name="_Toc79163853"/>
      <w:bookmarkStart w:id="21" w:name="_Toc79163603"/>
      <w:bookmarkStart w:id="22" w:name="_Toc15377198"/>
      <w:bookmarkStart w:id="23" w:name="_Toc15378445"/>
      <w:r>
        <w:rPr>
          <w:rFonts w:hint="eastAsia" w:ascii="仿宋" w:hAnsi="仿宋" w:eastAsia="仿宋"/>
          <w:bCs/>
          <w:color w:val="000000"/>
          <w:sz w:val="32"/>
          <w:szCs w:val="32"/>
        </w:rPr>
        <w:t>（一）主要职能。</w:t>
      </w:r>
      <w:bookmarkEnd w:id="20"/>
      <w:bookmarkEnd w:id="21"/>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1、履行政治领导责任，做好理论武装和思想政治工作，负责学习、宣传、贯彻执行党的理论和路线方针政策，贯彻落实党中央、省委、州委、县委的决策部署，发挥好把方向、管大局、保落实的重要作用。</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讨论和决定本单位下列重大问题。党的路线方针政策、国家法律法规和上级党组织重要会议、重要文件、重大决策部署的贯彻落实事项。需要向上级党组织请示报告的重要事项。内部机构设置、职责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组讨论和决定的重大问题。</w:t>
      </w:r>
    </w:p>
    <w:p>
      <w:pPr>
        <w:spacing w:line="578"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3、贯彻党管干部原则，加强干部队伍建设，完善干部培养选拔机制，加强干部教育管理监督。贯彻党管人才原则，加强人才队伍建设。加强对本单位工会、共青团、妇联等群团工作的领导。</w:t>
      </w:r>
    </w:p>
    <w:p>
      <w:pPr>
        <w:spacing w:line="578" w:lineRule="exact"/>
        <w:ind w:firstLine="640" w:firstLineChars="200"/>
        <w:rPr>
          <w:rFonts w:hint="eastAsia" w:ascii="仿宋" w:hAnsi="仿宋" w:eastAsia="仿宋"/>
          <w:bCs/>
          <w:color w:val="000000"/>
          <w:sz w:val="32"/>
          <w:szCs w:val="32"/>
        </w:rPr>
      </w:pPr>
      <w:r>
        <w:rPr>
          <w:rFonts w:hint="eastAsia" w:ascii="仿宋_GB2312" w:hAnsi="Times New Roman" w:eastAsia="仿宋_GB2312" w:cs="Times New Roman"/>
          <w:kern w:val="0"/>
          <w:sz w:val="32"/>
          <w:szCs w:val="32"/>
        </w:rPr>
        <w:t>4、履行党要管党、从</w:t>
      </w:r>
      <w:r>
        <w:rPr>
          <w:rFonts w:hint="eastAsia" w:ascii="仿宋_GB2312" w:eastAsia="仿宋_GB2312" w:cs="Times New Roman"/>
          <w:kern w:val="0"/>
          <w:sz w:val="32"/>
          <w:szCs w:val="32"/>
          <w:lang w:eastAsia="zh-CN"/>
        </w:rPr>
        <w:t>从严治党主体责任</w:t>
      </w:r>
      <w:r>
        <w:rPr>
          <w:rFonts w:hint="eastAsia" w:ascii="仿宋_GB2312" w:hAnsi="Times New Roman" w:eastAsia="仿宋_GB2312" w:cs="Times New Roman"/>
          <w:kern w:val="0"/>
          <w:sz w:val="32"/>
          <w:szCs w:val="32"/>
        </w:rPr>
        <w:t>加强对本单位党的建设的领导，落实党建工作责任制。认真履行党风廉政建设主体责任，支持纪检监察机构履行监督责任。</w:t>
      </w:r>
    </w:p>
    <w:bookmarkEnd w:id="22"/>
    <w:bookmarkEnd w:id="23"/>
    <w:p>
      <w:pPr>
        <w:pStyle w:val="8"/>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4" w:name="_Toc79163604"/>
      <w:bookmarkStart w:id="25" w:name="_Toc15378446"/>
      <w:bookmarkStart w:id="26" w:name="_Toc79163854"/>
      <w:bookmarkStart w:id="27" w:name="_Toc15377199"/>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pPr>
        <w:spacing w:line="576" w:lineRule="exact"/>
        <w:ind w:firstLine="611" w:firstLineChars="200"/>
        <w:rPr>
          <w:rFonts w:ascii="楷体_GB2312" w:hAnsi="楷体_GB2312" w:eastAsia="楷体_GB2312" w:cs="楷体_GB2312"/>
          <w:b/>
          <w:bCs/>
          <w:w w:val="95"/>
          <w:kern w:val="0"/>
          <w:sz w:val="32"/>
          <w:szCs w:val="32"/>
        </w:rPr>
      </w:pPr>
      <w:r>
        <w:rPr>
          <w:rFonts w:hint="eastAsia" w:ascii="楷体_GB2312" w:hAnsi="楷体_GB2312" w:eastAsia="楷体_GB2312" w:cs="楷体_GB2312"/>
          <w:b/>
          <w:bCs/>
          <w:w w:val="95"/>
          <w:kern w:val="0"/>
          <w:sz w:val="32"/>
          <w:szCs w:val="32"/>
        </w:rPr>
        <w:t>（一）集中整治，强化案件查办</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我局协调处理案件共33起，罚款15万余元。查处违规导游 19人；调解涉旅纠纷158件；移交相关部门协查函6件。</w:t>
      </w:r>
    </w:p>
    <w:p>
      <w:pPr>
        <w:spacing w:line="576" w:lineRule="exact"/>
        <w:ind w:firstLine="640" w:firstLineChars="200"/>
        <w:rPr>
          <w:rFonts w:ascii="楷体_GB2312" w:hAnsi="楷体_GB2312" w:eastAsia="楷体_GB2312" w:cs="楷体_GB2312"/>
          <w:b/>
          <w:bCs/>
          <w:w w:val="95"/>
          <w:kern w:val="0"/>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w w:val="95"/>
          <w:kern w:val="0"/>
          <w:sz w:val="32"/>
          <w:szCs w:val="32"/>
        </w:rPr>
        <w:t>快速应对，做好投诉处理</w:t>
      </w:r>
    </w:p>
    <w:p>
      <w:pPr>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我局受理县信访等部门情况反映共计57件，信访件受理率100%，协调处理率100%，</w:t>
      </w:r>
    </w:p>
    <w:p>
      <w:pPr>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游客满意度98%以上。售后服务中心共受理退货 330起、换货量 228件、电话咨询444 起、退款金额为 196万余元。收到表扬信件10 件、锦旗3面。</w:t>
      </w:r>
    </w:p>
    <w:p>
      <w:pPr>
        <w:spacing w:line="576" w:lineRule="exact"/>
        <w:ind w:firstLine="611" w:firstLineChars="200"/>
        <w:rPr>
          <w:rFonts w:ascii="楷体_GB2312" w:hAnsi="楷体_GB2312" w:eastAsia="楷体_GB2312" w:cs="楷体_GB2312"/>
          <w:b/>
          <w:bCs/>
          <w:w w:val="95"/>
          <w:kern w:val="0"/>
          <w:sz w:val="32"/>
          <w:szCs w:val="32"/>
        </w:rPr>
      </w:pPr>
      <w:r>
        <w:rPr>
          <w:rFonts w:hint="eastAsia" w:ascii="楷体_GB2312" w:hAnsi="楷体_GB2312" w:eastAsia="楷体_GB2312" w:cs="楷体_GB2312"/>
          <w:b/>
          <w:bCs/>
          <w:w w:val="95"/>
          <w:kern w:val="0"/>
          <w:sz w:val="32"/>
          <w:szCs w:val="32"/>
        </w:rPr>
        <w:t>（三）综合施策，强化旅游市场、文化市场整治</w:t>
      </w:r>
    </w:p>
    <w:p>
      <w:pPr>
        <w:spacing w:line="576"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1.实行开业申报审核，对辖区涉旅企业进行全面核查。</w:t>
      </w:r>
      <w:r>
        <w:rPr>
          <w:rFonts w:hint="eastAsia" w:ascii="仿宋_GB2312" w:hAnsi="仿宋_GB2312" w:eastAsia="仿宋_GB2312" w:cs="仿宋_GB2312"/>
          <w:kern w:val="0"/>
          <w:sz w:val="32"/>
          <w:szCs w:val="32"/>
        </w:rPr>
        <w:t>今年共审核通过大型涉旅企业14 家，餐购店9家，南路店8家，机</w:t>
      </w:r>
      <w:r>
        <w:rPr>
          <w:rFonts w:hint="eastAsia" w:ascii="仿宋_GB2312" w:hAnsi="仿宋_GB2312" w:eastAsia="仿宋_GB2312" w:cs="仿宋_GB2312"/>
          <w:kern w:val="0"/>
          <w:sz w:val="32"/>
          <w:szCs w:val="32"/>
          <w:lang w:eastAsia="zh-CN"/>
        </w:rPr>
        <w:t>集团</w:t>
      </w:r>
      <w:r>
        <w:rPr>
          <w:rFonts w:hint="eastAsia" w:ascii="仿宋_GB2312" w:hAnsi="仿宋_GB2312" w:eastAsia="仿宋_GB2312" w:cs="仿宋_GB2312"/>
          <w:kern w:val="0"/>
          <w:sz w:val="32"/>
          <w:szCs w:val="32"/>
        </w:rPr>
        <w:t>10家，传子沟氧水店10家，团队藏家6家，天珠店3家，演艺2家，其他路边店5家，共计67家。</w:t>
      </w:r>
    </w:p>
    <w:p>
      <w:pPr>
        <w:spacing w:line="576"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2.规范旅游购物场所宣传行为。</w:t>
      </w:r>
      <w:r>
        <w:rPr>
          <w:rFonts w:hint="eastAsia" w:ascii="仿宋_GB2312" w:hAnsi="仿宋_GB2312" w:eastAsia="仿宋_GB2312" w:cs="仿宋_GB2312"/>
          <w:kern w:val="0"/>
          <w:sz w:val="32"/>
          <w:szCs w:val="32"/>
        </w:rPr>
        <w:t>实行旅游商品宣传讲解词备案制度，督促各旅游购物场所在醒目位置制作温馨提示牌和讲解员公示栏。</w:t>
      </w:r>
    </w:p>
    <w:p>
      <w:pPr>
        <w:spacing w:line="576"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3.建立企业信息档案。</w:t>
      </w:r>
      <w:r>
        <w:rPr>
          <w:rFonts w:hint="eastAsia" w:ascii="仿宋_GB2312" w:hAnsi="仿宋_GB2312" w:eastAsia="仿宋_GB2312" w:cs="仿宋_GB2312"/>
          <w:kern w:val="0"/>
          <w:sz w:val="32"/>
          <w:szCs w:val="32"/>
        </w:rPr>
        <w:t>对涉旅企业信息进行归档，企业的名称、法人代表、经营范围、注册地址等信息进行全面登记造册，今年已完成统计37家，归档完成37家。</w:t>
      </w:r>
    </w:p>
    <w:p>
      <w:pPr>
        <w:spacing w:line="576"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4.进一步完善应急预案。</w:t>
      </w:r>
      <w:r>
        <w:rPr>
          <w:rFonts w:hint="eastAsia" w:ascii="仿宋_GB2312" w:hAnsi="仿宋_GB2312" w:eastAsia="仿宋_GB2312" w:cs="仿宋_GB2312"/>
          <w:kern w:val="0"/>
          <w:sz w:val="32"/>
          <w:szCs w:val="32"/>
        </w:rPr>
        <w:t>与涉旅企业签订《诚信经营责任书》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安</w:t>
      </w:r>
      <w:r>
        <w:rPr>
          <w:rFonts w:hint="eastAsia" w:ascii="仿宋_GB2312" w:hAnsi="仿宋_GB2312" w:eastAsia="仿宋_GB2312" w:cs="仿宋_GB2312"/>
          <w:kern w:val="0"/>
          <w:sz w:val="32"/>
          <w:szCs w:val="32"/>
        </w:rPr>
        <w:t>全生产责任书》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承诺书》等累计100余份。 </w:t>
      </w:r>
    </w:p>
    <w:p>
      <w:pPr>
        <w:spacing w:line="576"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5.加强市场监管力度，持续发力。</w:t>
      </w:r>
      <w:r>
        <w:rPr>
          <w:rFonts w:hint="eastAsia" w:ascii="仿宋_GB2312" w:hAnsi="仿宋_GB2312" w:eastAsia="仿宋_GB2312" w:cs="仿宋_GB2312"/>
          <w:kern w:val="0"/>
          <w:sz w:val="32"/>
          <w:szCs w:val="32"/>
        </w:rPr>
        <w:t>积极开展旅游购物市场、涉旅安全、藏农家乐、旅行社、导游、“包包客”、旅游景区（景点）、互联网经营场所、演出娱乐场所、出版物经营场所、打字复印店等专项整治。</w:t>
      </w:r>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kern w:val="21"/>
          <w:sz w:val="32"/>
          <w:szCs w:val="32"/>
        </w:rPr>
        <w:t>我局共出动执法人员1900余人次、车辆380余台次；集中检查整治各旅游</w:t>
      </w:r>
      <w:bookmarkStart w:id="148" w:name="_GoBack"/>
      <w:bookmarkEnd w:id="148"/>
      <w:r>
        <w:rPr>
          <w:rFonts w:hint="eastAsia" w:ascii="仿宋_GB2312" w:hAnsi="仿宋_GB2312" w:eastAsia="仿宋_GB2312" w:cs="仿宋_GB2312"/>
          <w:kern w:val="21"/>
          <w:sz w:val="32"/>
          <w:szCs w:val="32"/>
        </w:rPr>
        <w:t>购物场所846家次、旅游经营户1000余家次、导游2100余人次，</w:t>
      </w:r>
      <w:r>
        <w:rPr>
          <w:rFonts w:hint="eastAsia" w:ascii="仿宋_GB2312" w:hAnsi="仿宋_GB2312" w:eastAsia="仿宋_GB2312" w:cs="仿宋_GB2312"/>
          <w:bCs/>
          <w:sz w:val="32"/>
          <w:szCs w:val="32"/>
        </w:rPr>
        <w:t>开展包包客整治，没收尾随兜售物品400余件，</w:t>
      </w:r>
      <w:r>
        <w:rPr>
          <w:rFonts w:hint="eastAsia" w:ascii="仿宋_GB2312" w:hAnsi="仿宋_GB2312" w:eastAsia="仿宋_GB2312" w:cs="仿宋_GB2312"/>
          <w:kern w:val="21"/>
          <w:sz w:val="32"/>
          <w:szCs w:val="32"/>
        </w:rPr>
        <w:t>针对问题较多的13家涉旅经营户，作出了5-</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0天不等的停业整顿，力度空前，前所未有。</w:t>
      </w:r>
      <w:r>
        <w:rPr>
          <w:rFonts w:hint="eastAsia" w:ascii="仿宋_GB2312" w:hAnsi="仿宋_GB2312" w:eastAsia="仿宋_GB2312" w:cs="仿宋_GB2312"/>
          <w:bCs/>
          <w:sz w:val="32"/>
          <w:szCs w:val="32"/>
        </w:rPr>
        <w:t>今年以来我局文化执法共</w:t>
      </w:r>
      <w:r>
        <w:rPr>
          <w:rFonts w:hint="eastAsia" w:ascii="仿宋_GB2312" w:hAnsi="仿宋_GB2312" w:eastAsia="仿宋_GB2312" w:cs="仿宋_GB2312"/>
          <w:sz w:val="32"/>
          <w:szCs w:val="32"/>
        </w:rPr>
        <w:t>召开了3次部门协调会、4次无证经营户动员整改会，全面清理整顿我县KTV娱乐场所违法违规现象。我县共有32家KTV,</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中关停6家、停业整改中5家，剩余21家无证经营的KTV经整改审核后全部符合开业条件；检查网吧176家次、书刊零售店164家次、打字复印店370家次。</w:t>
      </w:r>
    </w:p>
    <w:p>
      <w:pPr>
        <w:spacing w:line="576" w:lineRule="exact"/>
        <w:ind w:firstLine="611" w:firstLineChars="200"/>
        <w:rPr>
          <w:rFonts w:hint="eastAsia" w:ascii="仿宋" w:hAnsi="仿宋" w:eastAsia="仿宋"/>
          <w:bCs/>
          <w:color w:val="000000"/>
          <w:sz w:val="32"/>
          <w:szCs w:val="32"/>
        </w:rPr>
      </w:pPr>
      <w:r>
        <w:rPr>
          <w:rFonts w:hint="eastAsia" w:ascii="楷体_GB2312" w:hAnsi="楷体_GB2312" w:eastAsia="楷体_GB2312" w:cs="楷体_GB2312"/>
          <w:b/>
          <w:bCs/>
          <w:w w:val="95"/>
          <w:kern w:val="0"/>
          <w:sz w:val="32"/>
          <w:szCs w:val="32"/>
        </w:rPr>
        <w:t>（四）多措并举，全力做好其他工作</w:t>
      </w:r>
    </w:p>
    <w:p>
      <w:pPr>
        <w:pStyle w:val="5"/>
        <w:rPr>
          <w:rStyle w:val="26"/>
          <w:b w:val="0"/>
          <w:bCs w:val="0"/>
        </w:rPr>
      </w:pPr>
      <w:bookmarkStart w:id="28" w:name="_Toc15396601"/>
      <w:bookmarkStart w:id="29" w:name="_Toc79163605"/>
      <w:bookmarkStart w:id="30" w:name="_Toc79163855"/>
      <w:bookmarkStart w:id="3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8"/>
      <w:bookmarkEnd w:id="29"/>
      <w:bookmarkEnd w:id="30"/>
      <w:bookmarkEnd w:id="31"/>
    </w:p>
    <w:p>
      <w:pPr>
        <w:spacing w:line="576" w:lineRule="exact"/>
        <w:ind w:firstLine="640" w:firstLineChars="200"/>
        <w:rPr>
          <w:rFonts w:ascii="仿宋_GB2312" w:hAnsi="仿宋" w:eastAsia="仿宋_GB2312" w:cs="仿宋"/>
          <w:color w:val="000000"/>
          <w:sz w:val="32"/>
          <w:szCs w:val="32"/>
        </w:rPr>
      </w:pPr>
      <w:bookmarkStart w:id="32" w:name="_Toc15396602"/>
      <w:bookmarkStart w:id="33" w:name="_Toc79163859"/>
      <w:bookmarkStart w:id="34" w:name="_Toc79163609"/>
      <w:bookmarkStart w:id="35" w:name="_Toc15377204"/>
      <w:r>
        <w:rPr>
          <w:rFonts w:hint="eastAsia" w:ascii="仿宋_GB2312" w:hAnsi="仿宋" w:eastAsia="仿宋_GB2312" w:cs="仿宋"/>
          <w:sz w:val="32"/>
          <w:szCs w:val="32"/>
        </w:rPr>
        <w:t>根据上述职责，松潘县综合行政执法局设1个内设机构：</w:t>
      </w:r>
      <w:r>
        <w:rPr>
          <w:rFonts w:hint="eastAsia" w:ascii="仿宋_GB2312" w:hAnsi="仿宋" w:eastAsia="仿宋_GB2312" w:cs="仿宋"/>
          <w:color w:val="000000"/>
          <w:sz w:val="32"/>
          <w:szCs w:val="32"/>
        </w:rPr>
        <w:t>综合业务股职责：</w:t>
      </w:r>
      <w:r>
        <w:rPr>
          <w:rFonts w:hint="eastAsia" w:ascii="仿宋_GB2312" w:hAnsi="仿宋" w:eastAsia="仿宋_GB2312" w:cs="仿宋"/>
          <w:sz w:val="32"/>
          <w:szCs w:val="32"/>
        </w:rPr>
        <w:t>承担本单位党的建设、党风廉政建设、意识形态等工作，负责制定工作制度。负责本单位依法行政、文电、会务、档案、机要等日常工作。承担保密、信息、绩效管理、政务公开、信访、财务、国有资产管理、后勤等工作。贯彻执行有关综合行政执法法律、法规、规章，负责行政复议、行政应诉、行政调解等工作。负责执法证件的申领和管理、执法装备的配备与管理。负责本部门文件、招标合同等对外重要文案合法性审查工作。负责行政案件法制审核的指导工作，重大行政处罚案件与行政强制的法制审核及报备工作，组织有关行政案件的会审、听证工作。负责执法文书规范、登记、建档、存档、归档工作。</w:t>
      </w:r>
    </w:p>
    <w:p>
      <w:pPr>
        <w:pStyle w:val="4"/>
        <w:ind w:right="440"/>
        <w:jc w:val="right"/>
      </w:pPr>
      <w:r>
        <w:rPr>
          <w:rFonts w:hint="eastAsia" w:ascii="黑体" w:hAnsi="黑体" w:eastAsia="黑体"/>
          <w:b w:val="0"/>
          <w:color w:val="000000"/>
        </w:rPr>
        <w:t>第二部分</w:t>
      </w:r>
      <w:r>
        <w:rPr>
          <w:rFonts w:ascii="黑体" w:hAnsi="黑体" w:eastAsia="黑体"/>
          <w:color w:val="000000"/>
        </w:rPr>
        <w:t xml:space="preserve"> </w:t>
      </w:r>
      <w:r>
        <w:rPr>
          <w:rStyle w:val="25"/>
          <w:rFonts w:ascii="黑体" w:hAnsi="黑体" w:eastAsia="黑体"/>
          <w:b w:val="0"/>
          <w:bCs w:val="0"/>
        </w:rPr>
        <w:t>2020</w:t>
      </w:r>
      <w:r>
        <w:rPr>
          <w:rStyle w:val="25"/>
          <w:rFonts w:hint="eastAsia" w:ascii="黑体" w:hAnsi="黑体" w:eastAsia="黑体"/>
          <w:b w:val="0"/>
          <w:bCs w:val="0"/>
        </w:rPr>
        <w:t>年度部门决算情况说明</w:t>
      </w:r>
      <w:bookmarkEnd w:id="32"/>
      <w:bookmarkEnd w:id="33"/>
      <w:bookmarkEnd w:id="34"/>
      <w:bookmarkEnd w:id="35"/>
    </w:p>
    <w:p>
      <w:pPr>
        <w:pStyle w:val="36"/>
        <w:numPr>
          <w:ilvl w:val="0"/>
          <w:numId w:val="1"/>
        </w:numPr>
        <w:spacing w:line="600" w:lineRule="exact"/>
        <w:ind w:firstLineChars="0"/>
        <w:outlineLvl w:val="1"/>
        <w:rPr>
          <w:rStyle w:val="26"/>
          <w:rFonts w:ascii="黑体" w:hAnsi="黑体" w:eastAsia="黑体"/>
          <w:b w:val="0"/>
        </w:rPr>
      </w:pPr>
      <w:bookmarkStart w:id="36" w:name="_Toc15396603"/>
      <w:bookmarkStart w:id="37" w:name="_Toc79163610"/>
      <w:bookmarkStart w:id="38" w:name="_Toc15377205"/>
      <w:bookmarkStart w:id="39" w:name="_Toc79163860"/>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hint="eastAsia"/>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hint="eastAsia" w:ascii="仿宋_GB2312" w:hAnsi="仿宋" w:eastAsia="仿宋_GB2312" w:cs="仿宋"/>
          <w:sz w:val="32"/>
          <w:szCs w:val="32"/>
        </w:rPr>
        <w:t>308.87</w:t>
      </w:r>
      <w:r>
        <w:rPr>
          <w:rFonts w:hint="eastAsia" w:ascii="仿宋_GB2312" w:hAnsi="仿宋" w:eastAsia="仿宋_GB2312" w:cs="仿宋"/>
          <w:sz w:val="32"/>
          <w:szCs w:val="32"/>
          <w:lang w:eastAsia="zh-CN"/>
        </w:rPr>
        <w:t>、</w:t>
      </w:r>
      <w:r>
        <w:rPr>
          <w:rFonts w:hint="eastAsia" w:ascii="仿宋_GB2312" w:hAnsi="仿宋" w:eastAsia="仿宋_GB2312" w:cs="仿宋"/>
          <w:kern w:val="0"/>
          <w:sz w:val="32"/>
          <w:szCs w:val="32"/>
        </w:rPr>
        <w:t>308.</w:t>
      </w:r>
      <w:r>
        <w:rPr>
          <w:rFonts w:hint="eastAsia" w:ascii="仿宋_GB2312" w:hAnsi="仿宋" w:eastAsia="仿宋_GB2312" w:cs="仿宋"/>
          <w:kern w:val="0"/>
          <w:sz w:val="32"/>
          <w:szCs w:val="32"/>
          <w:lang w:val="en-US" w:eastAsia="zh-CN"/>
        </w:rPr>
        <w:t>10</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年相比，收、支总计各增加</w:t>
      </w:r>
      <w:r>
        <w:rPr>
          <w:rFonts w:hint="eastAsia" w:ascii="仿宋" w:hAnsi="仿宋" w:eastAsia="仿宋"/>
          <w:color w:val="000000"/>
          <w:sz w:val="32"/>
          <w:szCs w:val="32"/>
          <w:lang w:val="en-US" w:eastAsia="zh-CN"/>
        </w:rPr>
        <w:t>108.39、107.39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54.06</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53.5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机构改革，城市执法中队人员转隶到我局</w:t>
      </w:r>
      <w:r>
        <w:rPr>
          <w:rFonts w:hint="eastAsia" w:ascii="仿宋" w:hAnsi="仿宋" w:eastAsia="仿宋"/>
          <w:color w:val="000000"/>
          <w:sz w:val="32"/>
          <w:szCs w:val="32"/>
          <w:lang w:val="en-US" w:eastAsia="zh-CN"/>
        </w:rPr>
        <w:t>增加相应的人员经费等增加。</w:t>
      </w:r>
    </w:p>
    <w:p>
      <w:pPr>
        <w:rPr>
          <w:rFonts w:hint="eastAsia"/>
          <w:lang w:val="en-US" w:eastAsia="zh-CN"/>
        </w:rPr>
      </w:pPr>
      <w:r>
        <w:drawing>
          <wp:inline distT="0" distB="0" distL="114300" distR="114300">
            <wp:extent cx="5380990" cy="2742565"/>
            <wp:effectExtent l="4445" t="4445" r="5715" b="1524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Fonts w:hint="eastAsia"/>
          <w:lang w:val="en-US" w:eastAsia="zh-CN"/>
        </w:rPr>
      </w:pPr>
    </w:p>
    <w:p>
      <w:pPr>
        <w:pStyle w:val="36"/>
        <w:numPr>
          <w:ilvl w:val="0"/>
          <w:numId w:val="1"/>
        </w:numPr>
        <w:spacing w:line="600" w:lineRule="exact"/>
        <w:ind w:firstLineChars="0"/>
        <w:outlineLvl w:val="1"/>
        <w:rPr>
          <w:rStyle w:val="26"/>
          <w:rFonts w:ascii="黑体" w:hAnsi="黑体" w:eastAsia="黑体"/>
          <w:b w:val="0"/>
        </w:rPr>
      </w:pPr>
      <w:bookmarkStart w:id="40" w:name="_Toc79163611"/>
      <w:bookmarkStart w:id="41" w:name="_Toc15396604"/>
      <w:bookmarkStart w:id="42" w:name="_Toc15377206"/>
      <w:bookmarkStart w:id="43" w:name="_Toc79163861"/>
      <w:r>
        <w:rPr>
          <w:rFonts w:hint="eastAsia" w:ascii="黑体" w:hAnsi="黑体" w:eastAsia="黑体"/>
          <w:color w:val="000000"/>
          <w:sz w:val="32"/>
          <w:szCs w:val="32"/>
        </w:rPr>
        <w:t>收</w:t>
      </w:r>
      <w:r>
        <w:rPr>
          <w:rStyle w:val="26"/>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_GB2312" w:hAnsi="仿宋" w:eastAsia="仿宋_GB2312" w:cs="仿宋"/>
          <w:sz w:val="32"/>
          <w:szCs w:val="32"/>
        </w:rPr>
        <w:t>308.87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308.87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r>
        <w:drawing>
          <wp:inline distT="0" distB="0" distL="114300" distR="114300">
            <wp:extent cx="5761990" cy="2762250"/>
            <wp:effectExtent l="4445" t="5080" r="5715" b="1397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6"/>
        <w:numPr>
          <w:ilvl w:val="0"/>
          <w:numId w:val="1"/>
        </w:numPr>
        <w:spacing w:line="600" w:lineRule="exact"/>
        <w:ind w:firstLineChars="0"/>
        <w:outlineLvl w:val="1"/>
        <w:rPr>
          <w:rStyle w:val="26"/>
          <w:rFonts w:ascii="黑体" w:hAnsi="黑体" w:eastAsia="黑体"/>
          <w:b w:val="0"/>
        </w:rPr>
      </w:pPr>
      <w:bookmarkStart w:id="44" w:name="_Toc15377207"/>
      <w:bookmarkStart w:id="45" w:name="_Toc79163612"/>
      <w:bookmarkStart w:id="46" w:name="_Toc15396605"/>
      <w:bookmarkStart w:id="47" w:name="_Toc79163862"/>
      <w:r>
        <w:rPr>
          <w:rFonts w:hint="eastAsia" w:ascii="黑体" w:hAnsi="黑体" w:eastAsia="黑体"/>
          <w:color w:val="000000"/>
          <w:sz w:val="32"/>
          <w:szCs w:val="32"/>
        </w:rPr>
        <w:t>支</w:t>
      </w:r>
      <w:r>
        <w:rPr>
          <w:rStyle w:val="26"/>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hint="eastAsia"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308.10</w:t>
      </w:r>
      <w:r>
        <w:rPr>
          <w:rFonts w:hint="eastAsia" w:ascii="仿宋_GB2312" w:eastAsia="仿宋_GB2312"/>
          <w:sz w:val="32"/>
          <w:szCs w:val="32"/>
        </w:rPr>
        <w:t>万元，其中：基本支出</w:t>
      </w:r>
      <w:r>
        <w:rPr>
          <w:rFonts w:hint="eastAsia" w:ascii="仿宋_GB2312" w:eastAsia="仿宋_GB2312"/>
          <w:sz w:val="32"/>
          <w:szCs w:val="32"/>
          <w:lang w:val="en-US" w:eastAsia="zh-CN"/>
        </w:rPr>
        <w:t>308.09</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rPr>
          <w:rFonts w:hint="eastAsia"/>
        </w:rPr>
      </w:pPr>
    </w:p>
    <w:p>
      <w:pPr>
        <w:rPr>
          <w:rFonts w:hint="eastAsia" w:ascii="仿宋_GB2312" w:eastAsia="仿宋_GB2312"/>
          <w:sz w:val="32"/>
          <w:szCs w:val="32"/>
        </w:rPr>
      </w:pPr>
      <w:r>
        <w:drawing>
          <wp:inline distT="0" distB="0" distL="114300" distR="114300">
            <wp:extent cx="5638800" cy="287655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rPr>
          <w:rFonts w:hint="eastAsia" w:ascii="仿宋_GB2312" w:eastAsia="仿宋_GB2312"/>
          <w:sz w:val="32"/>
          <w:szCs w:val="32"/>
        </w:rPr>
      </w:pPr>
    </w:p>
    <w:p/>
    <w:p>
      <w:pPr>
        <w:spacing w:line="600" w:lineRule="exact"/>
        <w:ind w:firstLine="640" w:firstLineChars="200"/>
        <w:outlineLvl w:val="1"/>
        <w:rPr>
          <w:rStyle w:val="26"/>
          <w:rFonts w:ascii="黑体" w:hAnsi="黑体" w:eastAsia="黑体"/>
          <w:b w:val="0"/>
        </w:rPr>
      </w:pPr>
      <w:bookmarkStart w:id="48" w:name="_Toc79163863"/>
      <w:bookmarkStart w:id="49" w:name="_Toc15396606"/>
      <w:bookmarkStart w:id="50" w:name="_Toc79163613"/>
      <w:bookmarkStart w:id="51"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48"/>
      <w:bookmarkEnd w:id="49"/>
      <w:bookmarkEnd w:id="50"/>
      <w:bookmarkEnd w:id="51"/>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hint="eastAsia" w:ascii="仿宋_GB2312" w:hAnsi="仿宋" w:eastAsia="仿宋_GB2312" w:cs="仿宋"/>
          <w:sz w:val="32"/>
          <w:szCs w:val="32"/>
        </w:rPr>
        <w:t>308.87</w:t>
      </w:r>
      <w:r>
        <w:rPr>
          <w:rFonts w:hint="eastAsia" w:ascii="仿宋_GB2312" w:hAnsi="仿宋" w:eastAsia="仿宋_GB2312" w:cs="仿宋"/>
          <w:sz w:val="32"/>
          <w:szCs w:val="32"/>
          <w:lang w:eastAsia="zh-CN"/>
        </w:rPr>
        <w:t>、</w:t>
      </w:r>
      <w:r>
        <w:rPr>
          <w:rFonts w:hint="eastAsia" w:ascii="仿宋_GB2312" w:hAnsi="仿宋" w:eastAsia="仿宋_GB2312" w:cs="仿宋"/>
          <w:kern w:val="0"/>
          <w:sz w:val="32"/>
          <w:szCs w:val="32"/>
        </w:rPr>
        <w:t>308.</w:t>
      </w:r>
      <w:r>
        <w:rPr>
          <w:rFonts w:hint="eastAsia" w:ascii="仿宋_GB2312" w:hAnsi="仿宋" w:eastAsia="仿宋_GB2312" w:cs="仿宋"/>
          <w:kern w:val="0"/>
          <w:sz w:val="32"/>
          <w:szCs w:val="32"/>
          <w:lang w:val="en-US" w:eastAsia="zh-CN"/>
        </w:rPr>
        <w:t>10</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年相比，收、支总计各增加</w:t>
      </w:r>
      <w:r>
        <w:rPr>
          <w:rFonts w:hint="eastAsia" w:ascii="仿宋" w:hAnsi="仿宋" w:eastAsia="仿宋"/>
          <w:color w:val="000000"/>
          <w:sz w:val="32"/>
          <w:szCs w:val="32"/>
          <w:lang w:val="en-US" w:eastAsia="zh-CN"/>
        </w:rPr>
        <w:t>108.39、107.39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54.06</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53.5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机构改革，城市执法中队人员转隶到我局</w:t>
      </w:r>
      <w:r>
        <w:rPr>
          <w:rFonts w:hint="eastAsia" w:ascii="仿宋" w:hAnsi="仿宋" w:eastAsia="仿宋"/>
          <w:color w:val="000000"/>
          <w:sz w:val="32"/>
          <w:szCs w:val="32"/>
          <w:lang w:val="en-US" w:eastAsia="zh-CN"/>
        </w:rPr>
        <w:t>增加相应的人员经费等增加。</w:t>
      </w:r>
    </w:p>
    <w:p>
      <w:r>
        <w:drawing>
          <wp:inline distT="0" distB="0" distL="114300" distR="114300">
            <wp:extent cx="5086350" cy="2562860"/>
            <wp:effectExtent l="4445" t="4445" r="14605" b="2349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rPr>
      </w:pPr>
      <w:bookmarkStart w:id="52" w:name="_Toc15396607"/>
      <w:bookmarkStart w:id="53" w:name="_Toc79163614"/>
      <w:bookmarkStart w:id="54" w:name="_Toc15377209"/>
      <w:bookmarkStart w:id="55" w:name="_Toc7916386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15377210"/>
      <w:bookmarkStart w:id="57" w:name="_Toc79163865"/>
      <w:bookmarkStart w:id="58" w:name="_Toc7916361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hint="eastAsia"/>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308.10</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107.39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53.5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机构改革，城市执法中队人员转隶到我局</w:t>
      </w:r>
      <w:r>
        <w:rPr>
          <w:rFonts w:hint="eastAsia" w:ascii="仿宋" w:hAnsi="仿宋" w:eastAsia="仿宋"/>
          <w:color w:val="000000"/>
          <w:sz w:val="32"/>
          <w:szCs w:val="32"/>
          <w:lang w:val="en-US" w:eastAsia="zh-CN"/>
        </w:rPr>
        <w:t>增加相应的人员经费等增加。</w:t>
      </w:r>
    </w:p>
    <w:p>
      <w:r>
        <w:drawing>
          <wp:inline distT="0" distB="0" distL="114300" distR="114300">
            <wp:extent cx="5476875" cy="2781300"/>
            <wp:effectExtent l="4445" t="4445" r="5080" b="1460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59" w:name="_Toc15377211"/>
      <w:bookmarkStart w:id="60" w:name="_Toc79163866"/>
      <w:bookmarkStart w:id="61" w:name="_Toc79163616"/>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308.10</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：文</w:t>
      </w:r>
      <w:r>
        <w:rPr>
          <w:rFonts w:hint="eastAsia" w:ascii="仿宋_GB2312" w:hAnsi="仿宋" w:eastAsia="仿宋_GB2312" w:cs="仿宋"/>
          <w:sz w:val="32"/>
          <w:szCs w:val="32"/>
        </w:rPr>
        <w:t>化旅游体育与传媒支出239.0</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77.59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val="0"/>
          <w:bCs/>
          <w:color w:val="000000"/>
          <w:sz w:val="32"/>
          <w:szCs w:val="32"/>
          <w:lang w:eastAsia="zh-CN"/>
        </w:rPr>
        <w:t>社会保障和就业支出</w:t>
      </w:r>
      <w:r>
        <w:rPr>
          <w:rFonts w:hint="eastAsia" w:ascii="仿宋" w:hAnsi="仿宋" w:eastAsia="仿宋"/>
          <w:b w:val="0"/>
          <w:bCs/>
          <w:color w:val="000000"/>
          <w:sz w:val="32"/>
          <w:szCs w:val="32"/>
          <w:lang w:val="en-US" w:eastAsia="zh-CN"/>
        </w:rPr>
        <w:t>28.24</w:t>
      </w:r>
      <w:r>
        <w:rPr>
          <w:rFonts w:hint="eastAsia" w:ascii="仿宋" w:hAnsi="仿宋" w:eastAsia="仿宋"/>
          <w:b w:val="0"/>
          <w:bCs/>
          <w:color w:val="000000"/>
          <w:sz w:val="32"/>
          <w:szCs w:val="32"/>
        </w:rPr>
        <w:t>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9.17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 w:eastAsia="仿宋_GB2312" w:cs="仿宋"/>
          <w:sz w:val="32"/>
          <w:szCs w:val="32"/>
        </w:rPr>
        <w:t>卫生健康支出</w:t>
      </w:r>
      <w:r>
        <w:rPr>
          <w:rFonts w:hint="eastAsia" w:ascii="仿宋_GB2312" w:hAnsi="仿宋" w:eastAsia="仿宋_GB2312" w:cs="仿宋"/>
          <w:sz w:val="32"/>
          <w:szCs w:val="32"/>
          <w:lang w:val="en-US" w:eastAsia="zh-CN"/>
        </w:rPr>
        <w:t>16.76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5.44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 w:eastAsia="仿宋_GB2312" w:cs="仿宋"/>
          <w:sz w:val="32"/>
          <w:szCs w:val="32"/>
        </w:rPr>
        <w:t>住房保障支出</w:t>
      </w:r>
      <w:r>
        <w:rPr>
          <w:rFonts w:hint="eastAsia" w:ascii="仿宋_GB2312" w:hAnsi="仿宋" w:eastAsia="仿宋_GB2312" w:cs="仿宋"/>
          <w:sz w:val="32"/>
          <w:szCs w:val="32"/>
          <w:lang w:val="en-US" w:eastAsia="zh-CN"/>
        </w:rPr>
        <w:t>24.03万元</w:t>
      </w:r>
      <w:r>
        <w:rPr>
          <w:rFonts w:hint="eastAsia" w:ascii="仿宋" w:hAnsi="仿宋" w:eastAsia="仿宋"/>
          <w:color w:val="000000"/>
          <w:sz w:val="32"/>
          <w:szCs w:val="32"/>
        </w:rPr>
        <w:t>，占</w:t>
      </w:r>
      <w:r>
        <w:rPr>
          <w:rFonts w:hint="eastAsia" w:ascii="仿宋_GB2312" w:hAnsi="仿宋" w:eastAsia="仿宋_GB2312" w:cs="仿宋"/>
          <w:sz w:val="32"/>
          <w:szCs w:val="32"/>
          <w:lang w:val="en-US" w:eastAsia="zh-CN"/>
        </w:rPr>
        <w:t>7.80</w:t>
      </w:r>
      <w:r>
        <w:rPr>
          <w:rFonts w:ascii="仿宋" w:hAnsi="仿宋" w:eastAsia="仿宋"/>
          <w:color w:val="000000"/>
          <w:sz w:val="32"/>
          <w:szCs w:val="32"/>
        </w:rPr>
        <w:t>%</w:t>
      </w:r>
      <w:r>
        <w:rPr>
          <w:rFonts w:hint="eastAsia" w:ascii="仿宋" w:hAnsi="仿宋" w:eastAsia="仿宋"/>
          <w:color w:val="000000"/>
          <w:sz w:val="32"/>
          <w:szCs w:val="32"/>
          <w:lang w:eastAsia="zh-CN"/>
        </w:rPr>
        <w:t>；</w:t>
      </w:r>
    </w:p>
    <w:p>
      <w:r>
        <w:drawing>
          <wp:inline distT="0" distB="0" distL="114300" distR="114300">
            <wp:extent cx="5457190" cy="3038475"/>
            <wp:effectExtent l="4445" t="4445" r="5715" b="508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bookmarkStart w:id="62" w:name="_Toc79163867"/>
      <w:bookmarkStart w:id="63" w:name="_Toc79163617"/>
      <w:bookmarkStart w:id="64" w:name="_Toc15377212"/>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3" w:firstLineChars="200"/>
        <w:rPr>
          <w:rFonts w:ascii="仿宋_GB2312" w:eastAsia="仿宋_GB2312"/>
          <w:b/>
          <w:bCs/>
          <w:sz w:val="32"/>
          <w:szCs w:val="32"/>
        </w:rPr>
      </w:pPr>
      <w:bookmarkStart w:id="65" w:name="_Toc15377213"/>
      <w:bookmarkStart w:id="66" w:name="_Toc15377444"/>
      <w:bookmarkStart w:id="67" w:name="_Toc15378460"/>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308.10</w:t>
      </w:r>
      <w:r>
        <w:rPr>
          <w:rFonts w:hint="eastAsia" w:ascii="仿宋_GB2312" w:eastAsia="仿宋_GB2312"/>
          <w:b/>
          <w:bCs/>
          <w:sz w:val="32"/>
          <w:szCs w:val="32"/>
        </w:rPr>
        <w:t>，完成预算</w:t>
      </w:r>
      <w:r>
        <w:rPr>
          <w:rFonts w:hint="eastAsia" w:ascii="仿宋_GB2312" w:eastAsia="仿宋_GB2312"/>
          <w:b/>
          <w:bCs/>
          <w:sz w:val="32"/>
          <w:szCs w:val="32"/>
          <w:lang w:val="en-US" w:eastAsia="zh-CN"/>
        </w:rPr>
        <w:t>99.66</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（1）文化旅游体育与传媒支出：2070101</w:t>
      </w:r>
      <w:r>
        <w:rPr>
          <w:rFonts w:hint="eastAsia" w:ascii="仿宋_GB2312" w:hAnsi="仿宋" w:eastAsia="仿宋_GB2312" w:cs="仿宋"/>
          <w:sz w:val="32"/>
          <w:szCs w:val="32"/>
          <w:lang w:eastAsia="zh-CN"/>
        </w:rPr>
        <w:t>文</w:t>
      </w:r>
      <w:r>
        <w:rPr>
          <w:rFonts w:hint="eastAsia" w:ascii="仿宋_GB2312" w:hAnsi="仿宋" w:eastAsia="仿宋_GB2312" w:cs="仿宋"/>
          <w:sz w:val="32"/>
          <w:szCs w:val="32"/>
        </w:rPr>
        <w:t>化旅游体育与传媒支出239.0</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万元，完成预算99.66%。</w:t>
      </w:r>
    </w:p>
    <w:p>
      <w:pPr>
        <w:spacing w:line="576"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1</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社会保障和就业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2080505机关事业单位基本养老保险缴费支出决算数为24.25万元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完成预算100%；2080506机关事业单位职业年金缴费支出3.99万元，完成预算100%。</w:t>
      </w:r>
    </w:p>
    <w:p>
      <w:pPr>
        <w:spacing w:line="576" w:lineRule="exac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卫生健康支出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2101101行政单位医疗支出13.60万元，完成预算100%,2101103公务员医疗补助支出3.16万元，完成预算100%。</w:t>
      </w:r>
    </w:p>
    <w:p>
      <w:pPr>
        <w:spacing w:line="576" w:lineRule="exac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住房保障支出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2210201住房公积金支出24.03万元，完成预算100%。</w:t>
      </w:r>
    </w:p>
    <w:p>
      <w:pPr>
        <w:tabs>
          <w:tab w:val="right" w:pos="8306"/>
        </w:tabs>
        <w:spacing w:line="600" w:lineRule="exact"/>
        <w:ind w:firstLine="640"/>
        <w:outlineLvl w:val="1"/>
        <w:rPr>
          <w:rStyle w:val="26"/>
        </w:rPr>
      </w:pPr>
      <w:bookmarkStart w:id="68" w:name="_Toc79163868"/>
      <w:bookmarkStart w:id="69" w:name="_Toc15377214"/>
      <w:bookmarkStart w:id="70" w:name="_Toc79163618"/>
      <w:bookmarkStart w:id="7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68"/>
      <w:bookmarkEnd w:id="69"/>
      <w:bookmarkEnd w:id="70"/>
      <w:bookmarkEnd w:id="71"/>
      <w:r>
        <w:rPr>
          <w:rStyle w:val="26"/>
          <w:rFonts w:ascii="黑体" w:hAnsi="黑体" w:eastAsia="黑体"/>
          <w:b w:val="0"/>
        </w:rPr>
        <w:tab/>
      </w:r>
    </w:p>
    <w:p>
      <w:pPr>
        <w:spacing w:line="576" w:lineRule="exact"/>
        <w:ind w:left="1"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2020年一般公共预算财政拨款基本支出</w:t>
      </w:r>
      <w:r>
        <w:rPr>
          <w:rFonts w:hint="eastAsia" w:ascii="仿宋_GB2312" w:hAnsi="仿宋" w:eastAsia="仿宋_GB2312" w:cs="仿宋"/>
          <w:kern w:val="0"/>
          <w:sz w:val="32"/>
          <w:szCs w:val="32"/>
        </w:rPr>
        <w:t>308.</w:t>
      </w:r>
      <w:r>
        <w:rPr>
          <w:rFonts w:hint="eastAsia" w:ascii="仿宋_GB2312" w:hAnsi="仿宋" w:eastAsia="仿宋_GB2312" w:cs="仿宋"/>
          <w:kern w:val="0"/>
          <w:sz w:val="32"/>
          <w:szCs w:val="32"/>
          <w:lang w:val="en-US" w:eastAsia="zh-CN"/>
        </w:rPr>
        <w:t>10</w:t>
      </w:r>
      <w:r>
        <w:rPr>
          <w:rFonts w:hint="eastAsia" w:ascii="仿宋_GB2312" w:hAnsi="仿宋" w:eastAsia="仿宋_GB2312" w:cs="仿宋"/>
          <w:sz w:val="32"/>
          <w:szCs w:val="32"/>
        </w:rPr>
        <w:t>万元，其中：人员经费257.5</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pPr>
        <w:spacing w:line="576" w:lineRule="exact"/>
        <w:rPr>
          <w:rFonts w:ascii="仿宋_GB2312" w:hAnsi="仿宋" w:eastAsia="仿宋_GB2312" w:cs="仿宋"/>
          <w:sz w:val="32"/>
          <w:szCs w:val="32"/>
        </w:rPr>
      </w:pPr>
      <w:r>
        <w:rPr>
          <w:rFonts w:hint="eastAsia" w:ascii="仿宋_GB2312" w:hAnsi="仿宋" w:eastAsia="仿宋_GB2312" w:cs="仿宋"/>
          <w:sz w:val="32"/>
          <w:szCs w:val="32"/>
        </w:rPr>
        <w:t>公用经费50.56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spacing w:line="600" w:lineRule="exact"/>
        <w:ind w:firstLine="640"/>
        <w:outlineLvl w:val="1"/>
        <w:rPr>
          <w:rStyle w:val="26"/>
          <w:rFonts w:ascii="黑体" w:hAnsi="黑体" w:eastAsia="黑体"/>
          <w:b w:val="0"/>
        </w:rPr>
      </w:pPr>
      <w:bookmarkStart w:id="72" w:name="_Toc79163619"/>
      <w:bookmarkStart w:id="73" w:name="_Toc15377215"/>
      <w:bookmarkStart w:id="74" w:name="_Toc15396609"/>
      <w:bookmarkStart w:id="75" w:name="_Toc7916386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79163870"/>
      <w:bookmarkStart w:id="77" w:name="_Toc79163620"/>
      <w:bookmarkStart w:id="78" w:name="_Toc15377216"/>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hint="eastAsia" w:ascii="仿宋" w:hAnsi="仿宋" w:eastAsia="仿宋_GB2312"/>
          <w:color w:val="000000"/>
          <w:sz w:val="32"/>
          <w:szCs w:val="32"/>
          <w:lang w:eastAsia="zh-CN"/>
        </w:rPr>
      </w:pPr>
      <w:r>
        <w:rPr>
          <w:rFonts w:hint="eastAsia" w:ascii="仿宋_GB2312" w:hAnsi="仿宋" w:eastAsia="仿宋_GB2312" w:cs="仿宋"/>
          <w:sz w:val="32"/>
          <w:szCs w:val="32"/>
        </w:rPr>
        <w:t>2020年度“三公”经费财政拨款支出决算为6.23万元，完成预算100%，其中：因公出国（境）费支出决算为0万元，完成预算100%；公务用车购置及运行维护费支出决算为6.23万元，完成预算100%；公务接待费支出决算为0万元，完成预算100%。</w:t>
      </w:r>
      <w:r>
        <w:rPr>
          <w:rFonts w:hint="eastAsia" w:ascii="仿宋" w:hAnsi="仿宋" w:eastAsia="仿宋"/>
          <w:color w:val="000000"/>
          <w:sz w:val="32"/>
          <w:szCs w:val="32"/>
        </w:rPr>
        <w:t>决算数与预算数持平的主要</w:t>
      </w:r>
      <w:r>
        <w:rPr>
          <w:rFonts w:hint="eastAsia" w:ascii="仿宋" w:hAnsi="仿宋" w:eastAsia="仿宋"/>
          <w:color w:val="000000"/>
          <w:sz w:val="32"/>
          <w:szCs w:val="32"/>
          <w:lang w:eastAsia="zh-CN"/>
        </w:rPr>
        <w:t>原因是</w:t>
      </w:r>
      <w:r>
        <w:rPr>
          <w:rFonts w:hint="eastAsia" w:ascii="仿宋_GB2312" w:hAnsi="仿宋" w:eastAsia="仿宋_GB2312" w:cs="仿宋"/>
          <w:sz w:val="32"/>
          <w:szCs w:val="32"/>
        </w:rPr>
        <w:t>严格按照中央八项规定和行政单位会计制度执行</w:t>
      </w:r>
      <w:r>
        <w:rPr>
          <w:rFonts w:hint="eastAsia" w:ascii="仿宋_GB2312" w:hAnsi="仿宋" w:eastAsia="仿宋_GB2312" w:cs="仿宋"/>
          <w:sz w:val="32"/>
          <w:szCs w:val="32"/>
          <w:lang w:eastAsia="zh-CN"/>
        </w:rPr>
        <w:t>。</w:t>
      </w:r>
    </w:p>
    <w:p>
      <w:pPr>
        <w:spacing w:line="600" w:lineRule="exact"/>
        <w:ind w:firstLine="640"/>
        <w:outlineLvl w:val="2"/>
        <w:rPr>
          <w:rFonts w:ascii="仿宋" w:hAnsi="仿宋" w:eastAsia="仿宋"/>
          <w:b/>
          <w:color w:val="000000"/>
          <w:sz w:val="32"/>
          <w:szCs w:val="32"/>
        </w:rPr>
      </w:pPr>
      <w:bookmarkStart w:id="79" w:name="_Toc15377217"/>
      <w:bookmarkStart w:id="80" w:name="_Toc79163871"/>
      <w:bookmarkStart w:id="81" w:name="_Toc79163621"/>
      <w:r>
        <w:rPr>
          <w:rFonts w:hint="eastAsia" w:ascii="仿宋" w:hAnsi="仿宋" w:eastAsia="仿宋"/>
          <w:b/>
          <w:color w:val="000000"/>
          <w:sz w:val="32"/>
          <w:szCs w:val="32"/>
        </w:rPr>
        <w:t>（二）“三公”经费财政拨款支出决算具体情况说明</w:t>
      </w:r>
      <w:bookmarkEnd w:id="79"/>
      <w:bookmarkEnd w:id="80"/>
      <w:bookmarkEnd w:id="81"/>
    </w:p>
    <w:p>
      <w:pPr>
        <w:spacing w:line="576" w:lineRule="exact"/>
        <w:ind w:firstLine="320" w:firstLineChars="100"/>
        <w:rPr>
          <w:rFonts w:hint="eastAsia" w:ascii="仿宋" w:hAnsi="仿宋" w:eastAsia="仿宋"/>
          <w:color w:val="000000"/>
          <w:sz w:val="32"/>
          <w:szCs w:val="32"/>
        </w:rPr>
      </w:pPr>
      <w:r>
        <w:rPr>
          <w:rFonts w:hint="eastAsia" w:ascii="仿宋_GB2312" w:hAnsi="仿宋" w:eastAsia="仿宋_GB2312" w:cs="仿宋"/>
          <w:sz w:val="32"/>
          <w:szCs w:val="32"/>
        </w:rPr>
        <w:t>2020年度“三公”经费财政拨款支出决算中，因公出国（境）费支出决算0万元，占0%；公务用车购置及运行维护费支出决算6.23万元，占100%；公务接待费支出决算0万元，占0%。</w:t>
      </w:r>
      <w:r>
        <w:rPr>
          <w:rFonts w:hint="eastAsia" w:ascii="仿宋" w:hAnsi="仿宋" w:eastAsia="仿宋"/>
          <w:color w:val="000000"/>
          <w:sz w:val="32"/>
          <w:szCs w:val="32"/>
        </w:rPr>
        <w:t>具体情况如下：</w:t>
      </w:r>
    </w:p>
    <w:p>
      <w:pPr>
        <w:spacing w:line="576" w:lineRule="exact"/>
        <w:ind w:firstLine="321" w:firstLineChars="100"/>
        <w:rPr>
          <w:rFonts w:ascii="仿宋_GB2312" w:hAnsi="仿宋" w:eastAsia="仿宋_GB2312" w:cs="仿宋"/>
          <w:sz w:val="32"/>
          <w:szCs w:val="32"/>
        </w:rPr>
      </w:pPr>
      <w:r>
        <w:rPr>
          <w:rFonts w:hint="eastAsia" w:ascii="仿宋_GB2312" w:hAnsi="仿宋" w:eastAsia="仿宋_GB2312" w:cs="仿宋"/>
          <w:b/>
          <w:bCs/>
          <w:sz w:val="32"/>
          <w:szCs w:val="32"/>
        </w:rPr>
        <w:t>　1.因公出国（境）经费</w:t>
      </w:r>
      <w:r>
        <w:rPr>
          <w:rFonts w:hint="eastAsia" w:ascii="仿宋_GB2312" w:hAnsi="仿宋" w:eastAsia="仿宋_GB2312" w:cs="仿宋"/>
          <w:b/>
          <w:bCs/>
          <w:sz w:val="32"/>
          <w:szCs w:val="32"/>
          <w:lang w:eastAsia="zh-CN"/>
        </w:rPr>
        <w:t>：</w:t>
      </w:r>
      <w:r>
        <w:rPr>
          <w:rFonts w:hint="eastAsia" w:ascii="仿宋_GB2312" w:hAnsi="仿宋" w:eastAsia="仿宋_GB2312" w:cs="仿宋"/>
          <w:sz w:val="32"/>
          <w:szCs w:val="32"/>
        </w:rPr>
        <w:t>无开支内容。</w:t>
      </w:r>
    </w:p>
    <w:p>
      <w:pPr>
        <w:spacing w:line="576" w:lineRule="exact"/>
        <w:ind w:firstLine="643" w:firstLineChars="200"/>
        <w:rPr>
          <w:rFonts w:ascii="仿宋_GB2312" w:eastAsia="仿宋_GB2312" w:cs="仿宋" w:hAnsiTheme="minorEastAsia"/>
          <w:sz w:val="32"/>
          <w:szCs w:val="32"/>
        </w:rPr>
      </w:pPr>
      <w:r>
        <w:rPr>
          <w:rFonts w:hint="eastAsia" w:ascii="仿宋_GB2312" w:hAnsi="仿宋" w:eastAsia="仿宋_GB2312" w:cs="仿宋"/>
          <w:b/>
          <w:bCs/>
          <w:sz w:val="32"/>
          <w:szCs w:val="32"/>
        </w:rPr>
        <w:t>2.公务用车购置及运行维护费</w:t>
      </w:r>
      <w:r>
        <w:rPr>
          <w:rFonts w:hint="eastAsia" w:ascii="仿宋_GB2312" w:hAnsi="仿宋" w:eastAsia="仿宋_GB2312" w:cs="仿宋"/>
          <w:b/>
          <w:bCs/>
          <w:sz w:val="32"/>
          <w:szCs w:val="32"/>
          <w:lang w:eastAsia="zh-CN"/>
        </w:rPr>
        <w:t>：</w:t>
      </w:r>
      <w:r>
        <w:rPr>
          <w:rFonts w:hint="eastAsia" w:ascii="仿宋_GB2312" w:eastAsia="仿宋_GB2312" w:cs="仿宋" w:hAnsiTheme="minorEastAsia"/>
          <w:sz w:val="32"/>
          <w:szCs w:val="32"/>
        </w:rPr>
        <w:t>2020年公务用车购置及运行维护费6.23万元</w:t>
      </w:r>
      <w:r>
        <w:rPr>
          <w:rFonts w:hint="eastAsia" w:ascii="仿宋_GB2312" w:eastAsia="仿宋_GB2312" w:cs="仿宋" w:hAnsiTheme="minorEastAsia"/>
          <w:sz w:val="32"/>
          <w:szCs w:val="32"/>
          <w:lang w:eastAsia="zh-CN"/>
        </w:rPr>
        <w:t>，</w:t>
      </w:r>
      <w:r>
        <w:rPr>
          <w:rFonts w:hint="eastAsia" w:ascii="仿宋_GB2312" w:eastAsia="仿宋_GB2312" w:cs="仿宋" w:hAnsiTheme="minorEastAsia"/>
          <w:sz w:val="32"/>
          <w:szCs w:val="32"/>
        </w:rPr>
        <w:t>其中：公务用车购置支出0万元。截至2020年12月底，单位共有公务用车</w:t>
      </w:r>
      <w:r>
        <w:rPr>
          <w:rFonts w:hint="eastAsia" w:ascii="仿宋_GB2312" w:eastAsia="仿宋_GB2312" w:cs="仿宋" w:hAnsiTheme="minorEastAsia"/>
          <w:sz w:val="32"/>
          <w:szCs w:val="32"/>
          <w:lang w:val="en-US" w:eastAsia="zh-CN"/>
        </w:rPr>
        <w:t>3</w:t>
      </w:r>
      <w:r>
        <w:rPr>
          <w:rFonts w:hint="eastAsia" w:ascii="仿宋_GB2312" w:eastAsia="仿宋_GB2312" w:cs="仿宋" w:hAnsiTheme="minorEastAsia"/>
          <w:sz w:val="32"/>
          <w:szCs w:val="32"/>
        </w:rPr>
        <w:t>辆，其中：一般公务用车2辆</w:t>
      </w:r>
      <w:r>
        <w:rPr>
          <w:rFonts w:hint="eastAsia" w:ascii="仿宋_GB2312" w:eastAsia="仿宋_GB2312" w:cs="仿宋" w:hAnsiTheme="minorEastAsia"/>
          <w:sz w:val="32"/>
          <w:szCs w:val="32"/>
          <w:lang w:eastAsia="zh-CN"/>
        </w:rPr>
        <w:t>，</w:t>
      </w:r>
      <w:r>
        <w:rPr>
          <w:rFonts w:hint="eastAsia" w:ascii="仿宋_GB2312" w:eastAsia="仿宋_GB2312"/>
          <w:color w:val="000000"/>
          <w:sz w:val="32"/>
          <w:szCs w:val="32"/>
          <w:lang w:val="en-US" w:eastAsia="zh-CN"/>
        </w:rPr>
        <w:t>借用卫健局1辆</w:t>
      </w:r>
      <w:r>
        <w:rPr>
          <w:rFonts w:hint="eastAsia" w:ascii="仿宋_GB2312" w:eastAsia="仿宋_GB2312" w:cs="仿宋" w:hAnsiTheme="minorEastAsia"/>
          <w:sz w:val="32"/>
          <w:szCs w:val="32"/>
        </w:rPr>
        <w:t>。公务用车运行维护费支出6.43万元。主要用于</w:t>
      </w:r>
      <w:r>
        <w:rPr>
          <w:rFonts w:hint="eastAsia" w:ascii="仿宋_GB2312" w:eastAsia="仿宋_GB2312" w:cs="Times New Roman" w:hAnsiTheme="minorEastAsia"/>
          <w:sz w:val="32"/>
          <w:szCs w:val="32"/>
        </w:rPr>
        <w:t>综合行政执法法律、法规、规章，负责行政复议、行政应诉、行政调解等工作、</w:t>
      </w:r>
      <w:r>
        <w:rPr>
          <w:rFonts w:hint="eastAsia" w:ascii="仿宋_GB2312" w:eastAsia="仿宋_GB2312" w:cs="仿宋" w:hAnsiTheme="minorEastAsia"/>
          <w:sz w:val="32"/>
          <w:szCs w:val="32"/>
        </w:rPr>
        <w:t>联乡包村等所需的公务用车燃料费、维修费、过路过桥费、保险费等支出。</w:t>
      </w:r>
    </w:p>
    <w:p>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3.公务接待费</w:t>
      </w:r>
      <w:r>
        <w:rPr>
          <w:rFonts w:hint="eastAsia" w:ascii="仿宋_GB2312" w:hAnsi="仿宋" w:eastAsia="仿宋_GB2312" w:cs="仿宋"/>
          <w:b/>
          <w:bCs/>
          <w:sz w:val="32"/>
          <w:szCs w:val="32"/>
          <w:lang w:eastAsia="zh-CN"/>
        </w:rPr>
        <w:t>：</w:t>
      </w:r>
      <w:r>
        <w:rPr>
          <w:rFonts w:hint="eastAsia" w:ascii="仿宋_GB2312" w:hAnsi="仿宋" w:eastAsia="仿宋_GB2312" w:cs="仿宋"/>
          <w:sz w:val="32"/>
          <w:szCs w:val="32"/>
        </w:rPr>
        <w:t>无开支内容。</w:t>
      </w:r>
    </w:p>
    <w:p>
      <w:pPr>
        <w:pStyle w:val="2"/>
        <w:rPr>
          <w:rFonts w:hint="eastAsia" w:ascii="仿宋_GB2312" w:hAnsi="仿宋" w:eastAsia="仿宋_GB2312" w:cs="仿宋"/>
          <w:sz w:val="32"/>
          <w:szCs w:val="32"/>
        </w:rPr>
      </w:pPr>
    </w:p>
    <w:p>
      <w:r>
        <w:drawing>
          <wp:inline distT="0" distB="0" distL="114300" distR="114300">
            <wp:extent cx="5228590" cy="2800350"/>
            <wp:effectExtent l="4445" t="4445" r="571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outlineLvl w:val="1"/>
        <w:rPr>
          <w:rStyle w:val="26"/>
          <w:rFonts w:ascii="黑体" w:hAnsi="黑体" w:eastAsia="黑体"/>
        </w:rPr>
      </w:pPr>
      <w:bookmarkStart w:id="82" w:name="_Toc79163872"/>
      <w:bookmarkStart w:id="83" w:name="_Toc79163622"/>
      <w:bookmarkStart w:id="84" w:name="_Toc15396610"/>
      <w:bookmarkStart w:id="85" w:name="_Toc15377218"/>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6"/>
          <w:rFonts w:ascii="黑体" w:hAnsi="黑体" w:eastAsia="黑体"/>
          <w:b w:val="0"/>
        </w:rPr>
      </w:pPr>
      <w:bookmarkStart w:id="86" w:name="_Toc15377219"/>
      <w:bookmarkStart w:id="87" w:name="_Toc15396611"/>
      <w:bookmarkStart w:id="88" w:name="_Toc79163873"/>
      <w:bookmarkStart w:id="89" w:name="_Toc79163623"/>
      <w:r>
        <w:rPr>
          <w:rStyle w:val="26"/>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hAnsi="黑体" w:eastAsia="黑体"/>
        </w:rPr>
      </w:pPr>
      <w:bookmarkStart w:id="90" w:name="_Toc15396612"/>
      <w:bookmarkStart w:id="91" w:name="_Toc15377221"/>
      <w:bookmarkStart w:id="92" w:name="_Toc79163874"/>
      <w:bookmarkStart w:id="93" w:name="_Toc79163624"/>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90"/>
      <w:bookmarkEnd w:id="91"/>
      <w:bookmarkEnd w:id="92"/>
      <w:bookmarkEnd w:id="93"/>
    </w:p>
    <w:p>
      <w:pPr>
        <w:spacing w:line="600" w:lineRule="exact"/>
        <w:ind w:firstLine="643" w:firstLineChars="200"/>
        <w:outlineLvl w:val="2"/>
        <w:rPr>
          <w:rFonts w:ascii="仿宋" w:hAnsi="仿宋" w:eastAsia="仿宋"/>
          <w:color w:val="000000"/>
          <w:sz w:val="32"/>
          <w:szCs w:val="32"/>
        </w:rPr>
      </w:pPr>
      <w:bookmarkStart w:id="94" w:name="_Toc79163625"/>
      <w:bookmarkStart w:id="95" w:name="_Toc79163875"/>
      <w:bookmarkStart w:id="96" w:name="_Toc15377222"/>
      <w:r>
        <w:rPr>
          <w:rFonts w:hint="eastAsia" w:ascii="仿宋" w:hAnsi="仿宋" w:eastAsia="仿宋"/>
          <w:b/>
          <w:color w:val="000000"/>
          <w:sz w:val="32"/>
          <w:szCs w:val="32"/>
        </w:rPr>
        <w:t>（一）机关运行经费支出情况</w:t>
      </w:r>
      <w:bookmarkEnd w:id="94"/>
      <w:bookmarkEnd w:id="95"/>
      <w:bookmarkEnd w:id="96"/>
    </w:p>
    <w:p>
      <w:pPr>
        <w:spacing w:line="576" w:lineRule="exact"/>
        <w:ind w:firstLine="633" w:firstLineChars="197"/>
        <w:rPr>
          <w:rFonts w:ascii="仿宋_GB2312" w:hAnsi="仿宋" w:eastAsia="仿宋_GB2312" w:cs="Times New Roman"/>
          <w:sz w:val="32"/>
          <w:szCs w:val="32"/>
        </w:rPr>
      </w:pPr>
      <w:bookmarkStart w:id="97" w:name="_Toc79163628"/>
      <w:bookmarkStart w:id="98" w:name="_Toc79163878"/>
      <w:r>
        <w:rPr>
          <w:rFonts w:hint="eastAsia" w:ascii="仿宋_GB2312" w:hAnsi="仿宋" w:eastAsia="仿宋_GB2312" w:cs="仿宋"/>
          <w:b/>
          <w:bCs/>
          <w:sz w:val="32"/>
          <w:szCs w:val="32"/>
        </w:rPr>
        <w:t>1.机关运行经费支出情况</w:t>
      </w:r>
      <w:r>
        <w:rPr>
          <w:rFonts w:hint="eastAsia" w:ascii="仿宋_GB2312" w:hAnsi="仿宋" w:eastAsia="仿宋_GB2312" w:cs="仿宋"/>
          <w:b/>
          <w:bCs/>
          <w:sz w:val="32"/>
          <w:szCs w:val="32"/>
          <w:lang w:eastAsia="zh-CN"/>
        </w:rPr>
        <w:t>：</w:t>
      </w:r>
      <w:r>
        <w:rPr>
          <w:rFonts w:hint="eastAsia" w:ascii="仿宋_GB2312" w:hAnsi="仿宋" w:eastAsia="仿宋_GB2312" w:cs="仿宋"/>
          <w:sz w:val="32"/>
          <w:szCs w:val="32"/>
        </w:rPr>
        <w:t>2020年度，松潘县综合行政执法局机关运行经费支出50.56万元，比2019年54.05万元减少3.49万元，减少6.46%。减少原因在于2020年我局严格执行中央八项规定。</w:t>
      </w:r>
    </w:p>
    <w:p>
      <w:pPr>
        <w:spacing w:line="576" w:lineRule="exact"/>
        <w:rPr>
          <w:rFonts w:ascii="仿宋_GB2312" w:hAnsi="仿宋" w:eastAsia="仿宋_GB2312" w:cs="仿宋"/>
          <w:sz w:val="32"/>
          <w:szCs w:val="32"/>
        </w:rPr>
      </w:pPr>
      <w:r>
        <w:rPr>
          <w:rFonts w:hint="eastAsia" w:ascii="仿宋_GB2312" w:hAnsi="仿宋" w:eastAsia="仿宋_GB2312" w:cs="仿宋"/>
          <w:sz w:val="32"/>
          <w:szCs w:val="32"/>
        </w:rPr>
        <w:t>　　2.</w:t>
      </w:r>
      <w:r>
        <w:rPr>
          <w:rFonts w:hint="eastAsia" w:ascii="仿宋_GB2312" w:hAnsi="仿宋" w:eastAsia="仿宋_GB2312" w:cs="仿宋"/>
          <w:b/>
          <w:bCs/>
          <w:sz w:val="32"/>
          <w:szCs w:val="32"/>
        </w:rPr>
        <w:t>政府采购支出情况</w:t>
      </w:r>
      <w:r>
        <w:rPr>
          <w:rFonts w:hint="eastAsia" w:ascii="仿宋_GB2312" w:hAnsi="仿宋" w:eastAsia="仿宋_GB2312" w:cs="仿宋"/>
          <w:b/>
          <w:bCs/>
          <w:sz w:val="32"/>
          <w:szCs w:val="32"/>
          <w:lang w:eastAsia="zh-CN"/>
        </w:rPr>
        <w:t>：</w:t>
      </w:r>
      <w:r>
        <w:rPr>
          <w:rFonts w:hint="eastAsia" w:ascii="仿宋_GB2312" w:hAnsi="仿宋" w:eastAsia="仿宋_GB2312" w:cs="仿宋"/>
          <w:sz w:val="32"/>
          <w:szCs w:val="32"/>
        </w:rPr>
        <w:t>2020年度，松潘县综合行政执法局政府采购支出总额0.5万元，其中：政府采购货物支出0.5万元。主要用于购置新组建单位办公设备购置费，经费来源为2020年财政拨款。</w:t>
      </w:r>
    </w:p>
    <w:p>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3.国有资产占有使用情况</w:t>
      </w:r>
      <w:r>
        <w:rPr>
          <w:rFonts w:hint="eastAsia" w:ascii="仿宋_GB2312" w:hAnsi="仿宋" w:eastAsia="仿宋_GB2312" w:cs="仿宋"/>
          <w:b/>
          <w:bCs/>
          <w:sz w:val="32"/>
          <w:szCs w:val="32"/>
          <w:lang w:eastAsia="zh-CN"/>
        </w:rPr>
        <w:t>：截至2020年</w:t>
      </w:r>
      <w:r>
        <w:rPr>
          <w:rFonts w:hint="eastAsia" w:ascii="仿宋_GB2312" w:hAnsi="仿宋" w:eastAsia="仿宋_GB2312" w:cs="仿宋"/>
          <w:sz w:val="32"/>
          <w:szCs w:val="32"/>
        </w:rPr>
        <w:t>12月31日止综合行政执法局固定资产为30.47万元，办公用房200平方米，车辆2辆，其中：一般公务用车2辆，单价50万元以上通用设备0台（套），单价100万元以上专用设备0台（套）。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bookmarkEnd w:id="97"/>
      <w:bookmarkEnd w:id="98"/>
    </w:p>
    <w:p>
      <w:pPr>
        <w:spacing w:line="480" w:lineRule="exact"/>
        <w:ind w:firstLine="640" w:firstLineChars="200"/>
        <w:rPr>
          <w:rFonts w:ascii="仿宋_GB2312" w:hAnsi="仿宋_GB2312" w:eastAsia="仿宋_GB2312" w:cs="仿宋_GB2312"/>
          <w:sz w:val="32"/>
          <w:szCs w:val="32"/>
        </w:rPr>
      </w:pPr>
      <w:bookmarkStart w:id="99" w:name="_Toc15396613"/>
      <w:bookmarkStart w:id="100" w:name="_Toc79163629"/>
      <w:bookmarkStart w:id="101" w:name="_Toc79163879"/>
      <w:bookmarkStart w:id="102" w:name="_Toc15377225"/>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eastAsia="zh-CN"/>
        </w:rPr>
        <w:t>我局无</w:t>
      </w:r>
      <w:r>
        <w:rPr>
          <w:rFonts w:hint="eastAsia" w:ascii="仿宋_GB2312" w:hAnsi="仿宋_GB2312" w:eastAsia="仿宋_GB2312" w:cs="仿宋_GB2312"/>
          <w:sz w:val="32"/>
          <w:szCs w:val="32"/>
        </w:rPr>
        <w:t>项目绩效</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年部门整体支出开展绩效自评，从评价情况来看</w:t>
      </w:r>
      <w:r>
        <w:rPr>
          <w:rFonts w:hint="eastAsia" w:ascii="仿宋" w:hAnsi="仿宋" w:eastAsia="仿宋" w:cs="仿宋"/>
          <w:sz w:val="32"/>
          <w:szCs w:val="32"/>
          <w:lang w:val="en-US" w:eastAsia="zh-CN"/>
        </w:rPr>
        <w:t>2020</w:t>
      </w:r>
      <w:r>
        <w:rPr>
          <w:rFonts w:hint="eastAsia" w:ascii="仿宋" w:hAnsi="仿宋" w:eastAsia="仿宋" w:cs="仿宋"/>
          <w:sz w:val="32"/>
          <w:szCs w:val="32"/>
        </w:rPr>
        <w:t>年度本部门财政资金收入</w:t>
      </w:r>
      <w:r>
        <w:rPr>
          <w:rFonts w:hint="eastAsia" w:ascii="仿宋" w:hAnsi="仿宋" w:eastAsia="仿宋" w:cs="仿宋"/>
          <w:sz w:val="32"/>
          <w:szCs w:val="32"/>
          <w:lang w:val="en-US" w:eastAsia="zh-CN"/>
        </w:rPr>
        <w:t>308.87</w:t>
      </w:r>
      <w:r>
        <w:rPr>
          <w:rFonts w:hint="eastAsia" w:ascii="仿宋" w:hAnsi="仿宋" w:eastAsia="仿宋" w:cs="仿宋"/>
          <w:sz w:val="32"/>
          <w:szCs w:val="32"/>
        </w:rPr>
        <w:t>万元，其中：当年一般公共预算拨款收入</w:t>
      </w:r>
      <w:r>
        <w:rPr>
          <w:rFonts w:hint="eastAsia" w:ascii="仿宋" w:hAnsi="仿宋" w:eastAsia="仿宋" w:cs="仿宋"/>
          <w:sz w:val="32"/>
          <w:szCs w:val="32"/>
          <w:lang w:val="en-US" w:eastAsia="zh-CN"/>
        </w:rPr>
        <w:t>308.87</w:t>
      </w:r>
      <w:r>
        <w:rPr>
          <w:rFonts w:hint="eastAsia" w:ascii="仿宋" w:hAnsi="仿宋" w:eastAsia="仿宋" w:cs="仿宋"/>
          <w:sz w:val="32"/>
          <w:szCs w:val="32"/>
        </w:rPr>
        <w:t>万元，年初结转结余</w:t>
      </w:r>
      <w:r>
        <w:rPr>
          <w:rFonts w:hint="eastAsia" w:ascii="仿宋" w:hAnsi="仿宋" w:eastAsia="仿宋" w:cs="仿宋"/>
          <w:sz w:val="32"/>
          <w:szCs w:val="32"/>
          <w:lang w:val="en-US" w:eastAsia="zh-CN"/>
        </w:rPr>
        <w:t>0.29</w:t>
      </w:r>
      <w:r>
        <w:rPr>
          <w:rFonts w:hint="eastAsia" w:ascii="仿宋" w:hAnsi="仿宋" w:eastAsia="仿宋" w:cs="仿宋"/>
          <w:sz w:val="32"/>
          <w:szCs w:val="32"/>
        </w:rPr>
        <w:t>万元，收入较201</w:t>
      </w:r>
      <w:r>
        <w:rPr>
          <w:rFonts w:hint="eastAsia" w:ascii="仿宋" w:hAnsi="仿宋" w:eastAsia="仿宋" w:cs="仿宋"/>
          <w:sz w:val="32"/>
          <w:szCs w:val="32"/>
          <w:lang w:val="en-US" w:eastAsia="zh-CN"/>
        </w:rPr>
        <w:t>9</w:t>
      </w:r>
      <w:r>
        <w:rPr>
          <w:rFonts w:hint="eastAsia" w:ascii="仿宋" w:hAnsi="仿宋" w:eastAsia="仿宋" w:cs="仿宋"/>
          <w:sz w:val="32"/>
          <w:szCs w:val="32"/>
        </w:rPr>
        <w:t>年度的</w:t>
      </w:r>
      <w:r>
        <w:rPr>
          <w:rFonts w:hint="eastAsia" w:ascii="仿宋" w:hAnsi="仿宋" w:eastAsia="仿宋" w:cs="仿宋"/>
          <w:sz w:val="32"/>
          <w:szCs w:val="32"/>
          <w:lang w:val="en-US" w:eastAsia="zh-CN"/>
        </w:rPr>
        <w:t>200.48</w:t>
      </w:r>
      <w:r>
        <w:rPr>
          <w:rFonts w:hint="eastAsia" w:ascii="仿宋" w:hAnsi="仿宋" w:eastAsia="仿宋" w:cs="仿宋"/>
          <w:sz w:val="32"/>
          <w:szCs w:val="32"/>
        </w:rPr>
        <w:t>万元增加</w:t>
      </w:r>
      <w:r>
        <w:rPr>
          <w:rFonts w:hint="eastAsia" w:ascii="仿宋_GB2312" w:hAnsi="仿宋" w:eastAsia="仿宋_GB2312" w:cs="仿宋"/>
          <w:sz w:val="32"/>
          <w:szCs w:val="32"/>
        </w:rPr>
        <w:t>108.39</w:t>
      </w:r>
      <w:r>
        <w:rPr>
          <w:rFonts w:hint="eastAsia" w:ascii="仿宋" w:hAnsi="仿宋" w:eastAsia="仿宋" w:cs="仿宋"/>
          <w:sz w:val="32"/>
          <w:szCs w:val="32"/>
        </w:rPr>
        <w:t>万元。20</w:t>
      </w:r>
      <w:r>
        <w:rPr>
          <w:rFonts w:hint="eastAsia" w:ascii="仿宋" w:hAnsi="仿宋" w:eastAsia="仿宋" w:cs="仿宋"/>
          <w:sz w:val="32"/>
          <w:szCs w:val="32"/>
          <w:lang w:val="en-US" w:eastAsia="zh-CN"/>
        </w:rPr>
        <w:t>20</w:t>
      </w:r>
      <w:r>
        <w:rPr>
          <w:rFonts w:hint="eastAsia" w:ascii="仿宋" w:hAnsi="仿宋" w:eastAsia="仿宋" w:cs="仿宋"/>
          <w:sz w:val="32"/>
          <w:szCs w:val="32"/>
        </w:rPr>
        <w:t>年度部门支出决算总额为</w:t>
      </w:r>
      <w:r>
        <w:rPr>
          <w:rFonts w:hint="eastAsia" w:ascii="仿宋" w:hAnsi="仿宋" w:eastAsia="仿宋" w:cs="仿宋"/>
          <w:sz w:val="32"/>
          <w:szCs w:val="32"/>
          <w:lang w:val="en-US" w:eastAsia="zh-CN"/>
        </w:rPr>
        <w:t>308.10</w:t>
      </w:r>
      <w:r>
        <w:rPr>
          <w:rFonts w:hint="eastAsia" w:ascii="仿宋" w:hAnsi="仿宋" w:eastAsia="仿宋" w:cs="仿宋"/>
          <w:sz w:val="32"/>
          <w:szCs w:val="32"/>
        </w:rPr>
        <w:t>万元，其中：行政运行支出</w:t>
      </w:r>
      <w:r>
        <w:rPr>
          <w:rFonts w:hint="eastAsia" w:ascii="仿宋_GB2312" w:hAnsi="仿宋" w:eastAsia="仿宋_GB2312" w:cs="仿宋"/>
          <w:sz w:val="32"/>
          <w:szCs w:val="32"/>
        </w:rPr>
        <w:t>239.0</w:t>
      </w:r>
      <w:r>
        <w:rPr>
          <w:rFonts w:hint="eastAsia" w:ascii="仿宋_GB2312" w:hAnsi="仿宋" w:eastAsia="仿宋_GB2312" w:cs="仿宋"/>
          <w:sz w:val="32"/>
          <w:szCs w:val="32"/>
          <w:lang w:val="en-US" w:eastAsia="zh-CN"/>
        </w:rPr>
        <w:t>7</w:t>
      </w:r>
      <w:r>
        <w:rPr>
          <w:rFonts w:hint="eastAsia" w:ascii="仿宋" w:hAnsi="仿宋" w:eastAsia="仿宋" w:cs="仿宋"/>
          <w:sz w:val="32"/>
          <w:szCs w:val="32"/>
        </w:rPr>
        <w:t>万元，机关事业单位基本养老保险缴费支出</w:t>
      </w:r>
      <w:r>
        <w:rPr>
          <w:rFonts w:hint="eastAsia" w:ascii="仿宋" w:hAnsi="仿宋" w:eastAsia="仿宋" w:cs="仿宋"/>
          <w:sz w:val="32"/>
          <w:szCs w:val="32"/>
          <w:lang w:val="en-US" w:eastAsia="zh-CN"/>
        </w:rPr>
        <w:t>24.25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机关事业单位</w:t>
      </w:r>
      <w:r>
        <w:rPr>
          <w:rFonts w:hint="eastAsia" w:ascii="仿宋" w:hAnsi="仿宋" w:eastAsia="仿宋" w:cs="仿宋"/>
          <w:sz w:val="32"/>
          <w:szCs w:val="32"/>
          <w:lang w:eastAsia="zh-CN"/>
        </w:rPr>
        <w:t>职业年金缴费支出</w:t>
      </w:r>
      <w:r>
        <w:rPr>
          <w:rFonts w:hint="eastAsia" w:ascii="仿宋" w:hAnsi="仿宋" w:eastAsia="仿宋" w:cs="仿宋"/>
          <w:sz w:val="32"/>
          <w:szCs w:val="32"/>
          <w:lang w:val="en-US" w:eastAsia="zh-CN"/>
        </w:rPr>
        <w:t>3.99万元</w:t>
      </w:r>
      <w:r>
        <w:rPr>
          <w:rFonts w:hint="eastAsia" w:ascii="仿宋" w:hAnsi="仿宋" w:eastAsia="仿宋" w:cs="仿宋"/>
          <w:sz w:val="32"/>
          <w:szCs w:val="32"/>
          <w:lang w:eastAsia="zh-CN"/>
        </w:rPr>
        <w:t>，</w:t>
      </w:r>
      <w:r>
        <w:rPr>
          <w:rFonts w:hint="eastAsia" w:ascii="仿宋" w:hAnsi="仿宋" w:eastAsia="仿宋" w:cs="仿宋"/>
          <w:sz w:val="32"/>
          <w:szCs w:val="32"/>
        </w:rPr>
        <w:t>行政单位医疗支出</w:t>
      </w:r>
      <w:r>
        <w:rPr>
          <w:rFonts w:hint="eastAsia" w:ascii="仿宋" w:hAnsi="仿宋" w:eastAsia="仿宋" w:cs="仿宋"/>
          <w:sz w:val="32"/>
          <w:szCs w:val="32"/>
          <w:lang w:val="en-US" w:eastAsia="zh-CN"/>
        </w:rPr>
        <w:t>13.6</w:t>
      </w:r>
      <w:r>
        <w:rPr>
          <w:rFonts w:hint="eastAsia" w:ascii="仿宋" w:hAnsi="仿宋" w:eastAsia="仿宋" w:cs="仿宋"/>
          <w:sz w:val="32"/>
          <w:szCs w:val="32"/>
        </w:rPr>
        <w:t>万元，</w:t>
      </w:r>
      <w:r>
        <w:rPr>
          <w:rFonts w:hint="eastAsia" w:ascii="仿宋" w:hAnsi="仿宋" w:eastAsia="仿宋" w:cs="仿宋"/>
          <w:sz w:val="32"/>
          <w:szCs w:val="32"/>
          <w:lang w:eastAsia="zh-CN"/>
        </w:rPr>
        <w:t>公务医疗补助</w:t>
      </w:r>
      <w:r>
        <w:rPr>
          <w:rFonts w:hint="eastAsia" w:ascii="仿宋" w:hAnsi="仿宋" w:eastAsia="仿宋" w:cs="仿宋"/>
          <w:sz w:val="32"/>
          <w:szCs w:val="32"/>
          <w:lang w:val="en-US" w:eastAsia="zh-CN"/>
        </w:rPr>
        <w:t>3.16万元</w:t>
      </w:r>
      <w:r>
        <w:rPr>
          <w:rFonts w:hint="eastAsia" w:ascii="仿宋" w:hAnsi="仿宋" w:eastAsia="仿宋" w:cs="仿宋"/>
          <w:sz w:val="32"/>
          <w:szCs w:val="32"/>
        </w:rPr>
        <w:t>，住房公积金支出</w:t>
      </w:r>
      <w:r>
        <w:rPr>
          <w:rFonts w:hint="eastAsia" w:ascii="仿宋" w:hAnsi="仿宋" w:eastAsia="仿宋" w:cs="仿宋"/>
          <w:sz w:val="32"/>
          <w:szCs w:val="32"/>
          <w:lang w:val="en-US" w:eastAsia="zh-CN"/>
        </w:rPr>
        <w:t>24.03</w:t>
      </w:r>
      <w:r>
        <w:rPr>
          <w:rFonts w:hint="eastAsia" w:ascii="仿宋" w:hAnsi="仿宋" w:eastAsia="仿宋" w:cs="仿宋"/>
          <w:sz w:val="32"/>
          <w:szCs w:val="32"/>
        </w:rPr>
        <w:t>万元，支出较201</w:t>
      </w:r>
      <w:r>
        <w:rPr>
          <w:rFonts w:hint="eastAsia" w:ascii="仿宋" w:hAnsi="仿宋" w:eastAsia="仿宋" w:cs="仿宋"/>
          <w:sz w:val="32"/>
          <w:szCs w:val="32"/>
          <w:lang w:val="en-US" w:eastAsia="zh-CN"/>
        </w:rPr>
        <w:t>9</w:t>
      </w:r>
      <w:r>
        <w:rPr>
          <w:rFonts w:hint="eastAsia" w:ascii="仿宋" w:hAnsi="仿宋" w:eastAsia="仿宋" w:cs="仿宋"/>
          <w:sz w:val="32"/>
          <w:szCs w:val="32"/>
        </w:rPr>
        <w:t>年度的</w:t>
      </w:r>
      <w:r>
        <w:rPr>
          <w:rFonts w:hint="eastAsia" w:ascii="仿宋" w:hAnsi="仿宋" w:eastAsia="仿宋" w:cs="仿宋"/>
          <w:sz w:val="32"/>
          <w:szCs w:val="32"/>
          <w:lang w:val="en-US" w:eastAsia="zh-CN"/>
        </w:rPr>
        <w:t>200.71</w:t>
      </w:r>
      <w:r>
        <w:rPr>
          <w:rFonts w:hint="eastAsia" w:ascii="仿宋" w:hAnsi="仿宋" w:eastAsia="仿宋" w:cs="仿宋"/>
          <w:sz w:val="32"/>
          <w:szCs w:val="32"/>
        </w:rPr>
        <w:t>万元增加</w:t>
      </w:r>
      <w:r>
        <w:rPr>
          <w:rFonts w:hint="eastAsia" w:ascii="仿宋" w:hAnsi="仿宋" w:eastAsia="仿宋" w:cs="仿宋"/>
          <w:sz w:val="32"/>
          <w:szCs w:val="32"/>
          <w:lang w:val="en-US" w:eastAsia="zh-CN"/>
        </w:rPr>
        <w:t>107.39</w:t>
      </w:r>
      <w:r>
        <w:rPr>
          <w:rFonts w:hint="eastAsia" w:ascii="仿宋" w:hAnsi="仿宋" w:eastAsia="仿宋" w:cs="仿宋"/>
          <w:sz w:val="32"/>
          <w:szCs w:val="32"/>
        </w:rPr>
        <w:t>万元，</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机构改革，城市执法中队人员转隶到我局</w:t>
      </w:r>
      <w:r>
        <w:rPr>
          <w:rFonts w:hint="eastAsia" w:ascii="仿宋" w:hAnsi="仿宋" w:eastAsia="仿宋"/>
          <w:color w:val="000000"/>
          <w:sz w:val="32"/>
          <w:szCs w:val="32"/>
          <w:lang w:val="en-US" w:eastAsia="zh-CN"/>
        </w:rPr>
        <w:t>增加相应的人员经费等增加</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部门绩效评价结果。</w:t>
      </w:r>
    </w:p>
    <w:p>
      <w:pPr>
        <w:pStyle w:val="20"/>
        <w:shd w:val="clear" w:color="auto" w:fill="FFFFFF"/>
        <w:spacing w:before="0" w:beforeAutospacing="0" w:after="0" w:afterAutospacing="0" w:line="576" w:lineRule="atLeas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shd w:val="clear" w:color="auto" w:fill="FFFFFF"/>
        </w:rPr>
        <w:t>20</w:t>
      </w:r>
      <w:r>
        <w:rPr>
          <w:rFonts w:hint="eastAsia" w:ascii="仿宋_GB2312" w:hAnsi="Times New Roman" w:eastAsia="仿宋_GB2312" w:cs="仿宋_GB2312"/>
          <w:color w:val="000000"/>
          <w:sz w:val="32"/>
          <w:szCs w:val="32"/>
          <w:shd w:val="clear" w:color="auto" w:fill="FFFFFF"/>
          <w:lang w:val="en-US" w:eastAsia="zh-CN"/>
        </w:rPr>
        <w:t>20</w:t>
      </w:r>
      <w:r>
        <w:rPr>
          <w:rFonts w:hint="eastAsia" w:ascii="仿宋_GB2312" w:hAnsi="Times New Roman" w:eastAsia="仿宋_GB2312" w:cs="仿宋_GB2312"/>
          <w:color w:val="000000"/>
          <w:sz w:val="32"/>
          <w:szCs w:val="32"/>
          <w:shd w:val="clear" w:color="auto" w:fill="FFFFFF"/>
        </w:rPr>
        <w:t>年度及202</w:t>
      </w:r>
      <w:r>
        <w:rPr>
          <w:rFonts w:hint="eastAsia" w:ascii="仿宋_GB2312" w:hAnsi="Times New Roman" w:eastAsia="仿宋_GB2312" w:cs="仿宋_GB2312"/>
          <w:color w:val="000000"/>
          <w:sz w:val="32"/>
          <w:szCs w:val="32"/>
          <w:shd w:val="clear" w:color="auto" w:fill="FFFFFF"/>
          <w:lang w:val="en-US" w:eastAsia="zh-CN"/>
        </w:rPr>
        <w:t>1</w:t>
      </w:r>
      <w:r>
        <w:rPr>
          <w:rFonts w:hint="eastAsia" w:ascii="仿宋_GB2312" w:hAnsi="Times New Roman" w:eastAsia="仿宋_GB2312" w:cs="仿宋_GB2312"/>
          <w:color w:val="000000"/>
          <w:sz w:val="32"/>
          <w:szCs w:val="32"/>
          <w:shd w:val="clear" w:color="auto" w:fill="FFFFFF"/>
        </w:rPr>
        <w:t>年1-6月，我局严格按照年初预算批复认真组织实施</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rPr>
        <w:t> 严格执行财经纪律相关管理规定，做到各项收支安排使用符合事业发展计划和财政政策的要求，确保了单位正常运行，较好地完成了202</w:t>
      </w:r>
      <w:r>
        <w:rPr>
          <w:rFonts w:hint="eastAsia" w:ascii="仿宋_GB2312" w:hAnsi="Times New Roman" w:eastAsia="仿宋_GB2312" w:cs="仿宋_GB2312"/>
          <w:color w:val="000000"/>
          <w:sz w:val="32"/>
          <w:szCs w:val="32"/>
          <w:shd w:val="clear" w:color="auto" w:fill="FFFFFF"/>
          <w:lang w:val="en-US" w:eastAsia="zh-CN"/>
        </w:rPr>
        <w:t>1</w:t>
      </w:r>
      <w:r>
        <w:rPr>
          <w:rFonts w:hint="eastAsia" w:ascii="仿宋_GB2312" w:hAnsi="Times New Roman" w:eastAsia="仿宋_GB2312" w:cs="仿宋_GB2312"/>
          <w:color w:val="000000"/>
          <w:sz w:val="32"/>
          <w:szCs w:val="32"/>
          <w:shd w:val="clear" w:color="auto" w:fill="FFFFFF"/>
        </w:rPr>
        <w:t>年度部门预算编制和20</w:t>
      </w:r>
      <w:r>
        <w:rPr>
          <w:rFonts w:hint="eastAsia" w:ascii="仿宋_GB2312" w:hAnsi="Times New Roman" w:eastAsia="仿宋_GB2312" w:cs="仿宋_GB2312"/>
          <w:color w:val="000000"/>
          <w:sz w:val="32"/>
          <w:szCs w:val="32"/>
          <w:shd w:val="clear" w:color="auto" w:fill="FFFFFF"/>
          <w:lang w:val="en-US" w:eastAsia="zh-CN"/>
        </w:rPr>
        <w:t>20</w:t>
      </w:r>
      <w:r>
        <w:rPr>
          <w:rFonts w:hint="eastAsia" w:ascii="仿宋_GB2312" w:hAnsi="Times New Roman" w:eastAsia="仿宋_GB2312" w:cs="仿宋_GB2312"/>
          <w:color w:val="000000"/>
          <w:sz w:val="32"/>
          <w:szCs w:val="32"/>
          <w:shd w:val="clear" w:color="auto" w:fill="FFFFFF"/>
        </w:rPr>
        <w:t>年度决算编制工作</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rPr>
        <w:t xml:space="preserve"> 20</w:t>
      </w:r>
      <w:r>
        <w:rPr>
          <w:rFonts w:hint="eastAsia" w:ascii="仿宋_GB2312" w:hAnsi="Times New Roman" w:eastAsia="仿宋_GB2312" w:cs="仿宋_GB2312"/>
          <w:color w:val="000000"/>
          <w:sz w:val="32"/>
          <w:szCs w:val="32"/>
          <w:shd w:val="clear" w:color="auto" w:fill="FFFFFF"/>
          <w:lang w:val="en-US" w:eastAsia="zh-CN"/>
        </w:rPr>
        <w:t>20</w:t>
      </w:r>
      <w:r>
        <w:rPr>
          <w:rFonts w:hint="eastAsia" w:ascii="仿宋_GB2312" w:hAnsi="Times New Roman" w:eastAsia="仿宋_GB2312" w:cs="仿宋_GB2312"/>
          <w:color w:val="000000"/>
          <w:sz w:val="32"/>
          <w:szCs w:val="32"/>
          <w:shd w:val="clear" w:color="auto" w:fill="FFFFFF"/>
        </w:rPr>
        <w:t>年度及202</w:t>
      </w:r>
      <w:r>
        <w:rPr>
          <w:rFonts w:hint="eastAsia" w:ascii="仿宋_GB2312" w:hAnsi="Times New Roman" w:eastAsia="仿宋_GB2312" w:cs="仿宋_GB2312"/>
          <w:color w:val="000000"/>
          <w:sz w:val="32"/>
          <w:szCs w:val="32"/>
          <w:shd w:val="clear" w:color="auto" w:fill="FFFFFF"/>
          <w:lang w:val="en-US" w:eastAsia="zh-CN"/>
        </w:rPr>
        <w:t>1</w:t>
      </w:r>
      <w:r>
        <w:rPr>
          <w:rFonts w:hint="eastAsia" w:ascii="仿宋_GB2312" w:hAnsi="Times New Roman" w:eastAsia="仿宋_GB2312" w:cs="仿宋_GB2312"/>
          <w:color w:val="000000"/>
          <w:sz w:val="32"/>
          <w:szCs w:val="32"/>
          <w:shd w:val="clear" w:color="auto" w:fill="FFFFFF"/>
        </w:rPr>
        <w:t>年1-6月目标任务基本完成，预算执行情况较好。但仍存在预算编制、预算执行不够完善，绩效管理工作有待加强等问题。</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r>
        <w:rPr>
          <w:rFonts w:hint="eastAsia" w:ascii="黑体" w:hAnsi="黑体" w:eastAsia="黑体"/>
          <w:color w:val="000000"/>
          <w:sz w:val="44"/>
          <w:szCs w:val="44"/>
        </w:rPr>
        <w:t>名</w:t>
      </w:r>
      <w:r>
        <w:rPr>
          <w:rStyle w:val="25"/>
          <w:rFonts w:hint="eastAsia" w:ascii="黑体" w:hAnsi="黑体" w:eastAsia="黑体"/>
          <w:b w:val="0"/>
        </w:rPr>
        <w:t>词解释</w:t>
      </w:r>
      <w:bookmarkEnd w:id="99"/>
      <w:bookmarkEnd w:id="100"/>
      <w:bookmarkEnd w:id="101"/>
      <w:bookmarkEnd w:id="102"/>
    </w:p>
    <w:p>
      <w:pPr>
        <w:spacing w:line="600" w:lineRule="exact"/>
        <w:jc w:val="left"/>
        <w:rPr>
          <w:rFonts w:ascii="宋体"/>
          <w:b/>
          <w:color w:val="000000"/>
          <w:sz w:val="44"/>
          <w:szCs w:val="44"/>
        </w:rPr>
      </w:pP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35"/>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widowControl/>
        <w:jc w:val="left"/>
        <w:rPr>
          <w:rStyle w:val="25"/>
          <w:rFonts w:ascii="黑体" w:hAnsi="黑体" w:eastAsia="黑体"/>
          <w:b w:val="0"/>
        </w:rPr>
      </w:pPr>
      <w:bookmarkStart w:id="103" w:name="_Toc15377226"/>
      <w:r>
        <w:rPr>
          <w:rFonts w:ascii="宋体"/>
          <w:b/>
          <w:color w:val="000000"/>
          <w:sz w:val="44"/>
          <w:szCs w:val="44"/>
        </w:rPr>
        <w:br w:type="page"/>
      </w:r>
    </w:p>
    <w:p>
      <w:pPr>
        <w:spacing w:line="600" w:lineRule="exact"/>
        <w:jc w:val="center"/>
        <w:outlineLvl w:val="0"/>
        <w:rPr>
          <w:rStyle w:val="25"/>
          <w:rFonts w:ascii="黑体" w:hAnsi="黑体" w:eastAsia="黑体"/>
          <w:b w:val="0"/>
        </w:rPr>
      </w:pPr>
      <w:bookmarkStart w:id="104" w:name="_Toc15396618"/>
      <w:bookmarkStart w:id="105" w:name="_Toc79163885"/>
      <w:bookmarkStart w:id="106" w:name="_Toc79163635"/>
      <w:r>
        <w:rPr>
          <w:rFonts w:hint="eastAsia" w:ascii="黑体" w:hAnsi="黑体" w:eastAsia="黑体"/>
          <w:color w:val="000000"/>
          <w:sz w:val="44"/>
          <w:szCs w:val="44"/>
        </w:rPr>
        <w:t>第</w:t>
      </w:r>
      <w:r>
        <w:rPr>
          <w:rStyle w:val="25"/>
          <w:rFonts w:hint="eastAsia" w:ascii="黑体" w:hAnsi="黑体" w:eastAsia="黑体"/>
          <w:b w:val="0"/>
        </w:rPr>
        <w:t>五部分</w:t>
      </w:r>
      <w:r>
        <w:rPr>
          <w:rStyle w:val="25"/>
          <w:rFonts w:ascii="黑体" w:hAnsi="黑体" w:eastAsia="黑体"/>
          <w:b w:val="0"/>
        </w:rPr>
        <w:t xml:space="preserve"> </w:t>
      </w:r>
      <w:r>
        <w:rPr>
          <w:rStyle w:val="25"/>
          <w:rFonts w:hint="eastAsia" w:ascii="黑体" w:hAnsi="黑体" w:eastAsia="黑体"/>
          <w:b w:val="0"/>
        </w:rPr>
        <w:t>附表</w:t>
      </w:r>
      <w:bookmarkEnd w:id="103"/>
      <w:bookmarkEnd w:id="104"/>
      <w:bookmarkEnd w:id="105"/>
      <w:bookmarkEnd w:id="106"/>
    </w:p>
    <w:p>
      <w:pPr>
        <w:pStyle w:val="5"/>
        <w:rPr>
          <w:rFonts w:ascii="仿宋" w:hAnsi="仿宋" w:eastAsia="仿宋"/>
          <w:color w:val="000000"/>
        </w:rPr>
      </w:pPr>
      <w:bookmarkStart w:id="107" w:name="_Toc15396619"/>
      <w:bookmarkStart w:id="108" w:name="_Toc79163636"/>
      <w:bookmarkStart w:id="109" w:name="_Toc79163886"/>
      <w:r>
        <w:rPr>
          <w:rFonts w:hint="eastAsia" w:ascii="仿宋" w:hAnsi="仿宋" w:eastAsia="仿宋"/>
          <w:b w:val="0"/>
          <w:color w:val="000000"/>
        </w:rPr>
        <w:t>一、收</w:t>
      </w:r>
      <w:r>
        <w:rPr>
          <w:rStyle w:val="26"/>
          <w:rFonts w:hint="eastAsia" w:ascii="仿宋" w:hAnsi="仿宋" w:eastAsia="仿宋"/>
          <w:b w:val="0"/>
          <w:bCs w:val="0"/>
        </w:rPr>
        <w:t>入支出决算总表</w:t>
      </w:r>
      <w:bookmarkEnd w:id="107"/>
      <w:bookmarkEnd w:id="108"/>
      <w:bookmarkEnd w:id="109"/>
    </w:p>
    <w:p>
      <w:pPr>
        <w:pStyle w:val="5"/>
        <w:rPr>
          <w:rFonts w:ascii="仿宋" w:hAnsi="仿宋" w:eastAsia="仿宋"/>
          <w:color w:val="000000"/>
        </w:rPr>
      </w:pPr>
      <w:bookmarkStart w:id="110" w:name="_Toc79163637"/>
      <w:bookmarkStart w:id="111" w:name="_Toc79163887"/>
      <w:bookmarkStart w:id="112"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110"/>
      <w:bookmarkEnd w:id="111"/>
      <w:bookmarkEnd w:id="112"/>
    </w:p>
    <w:p>
      <w:pPr>
        <w:pStyle w:val="5"/>
        <w:rPr>
          <w:rFonts w:ascii="仿宋" w:hAnsi="仿宋" w:eastAsia="仿宋"/>
          <w:color w:val="000000"/>
        </w:rPr>
      </w:pPr>
      <w:bookmarkStart w:id="113" w:name="_Toc79163888"/>
      <w:bookmarkStart w:id="114" w:name="_Toc15396621"/>
      <w:bookmarkStart w:id="115" w:name="_Toc79163638"/>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13"/>
      <w:bookmarkEnd w:id="114"/>
      <w:bookmarkEnd w:id="115"/>
    </w:p>
    <w:p>
      <w:pPr>
        <w:pStyle w:val="5"/>
        <w:rPr>
          <w:rFonts w:ascii="仿宋" w:hAnsi="仿宋" w:eastAsia="仿宋"/>
          <w:b w:val="0"/>
          <w:color w:val="000000"/>
        </w:rPr>
      </w:pPr>
      <w:bookmarkStart w:id="116" w:name="_Toc79163639"/>
      <w:bookmarkStart w:id="117" w:name="_Toc15396622"/>
      <w:bookmarkStart w:id="118" w:name="_Toc79163889"/>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16"/>
      <w:bookmarkEnd w:id="117"/>
      <w:bookmarkEnd w:id="118"/>
    </w:p>
    <w:p>
      <w:pPr>
        <w:pStyle w:val="5"/>
        <w:rPr>
          <w:rStyle w:val="26"/>
          <w:rFonts w:ascii="仿宋" w:hAnsi="仿宋" w:eastAsia="仿宋"/>
          <w:b w:val="0"/>
          <w:bCs w:val="0"/>
        </w:rPr>
      </w:pPr>
      <w:bookmarkStart w:id="119" w:name="_Toc15396623"/>
      <w:bookmarkStart w:id="120" w:name="_Toc79163890"/>
      <w:bookmarkStart w:id="121" w:name="_Toc79163640"/>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19"/>
      <w:bookmarkEnd w:id="120"/>
      <w:bookmarkEnd w:id="121"/>
      <w:bookmarkStart w:id="122" w:name="_Toc15396624"/>
    </w:p>
    <w:p>
      <w:pPr>
        <w:pStyle w:val="5"/>
        <w:rPr>
          <w:rFonts w:ascii="仿宋" w:hAnsi="仿宋" w:eastAsia="仿宋"/>
          <w:color w:val="000000"/>
        </w:rPr>
      </w:pPr>
      <w:bookmarkStart w:id="123" w:name="_Toc79163641"/>
      <w:bookmarkStart w:id="124" w:name="_Toc79163891"/>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22"/>
      <w:bookmarkEnd w:id="123"/>
      <w:bookmarkEnd w:id="124"/>
    </w:p>
    <w:p>
      <w:pPr>
        <w:pStyle w:val="5"/>
        <w:rPr>
          <w:rFonts w:ascii="仿宋" w:hAnsi="仿宋" w:eastAsia="仿宋"/>
          <w:color w:val="000000"/>
        </w:rPr>
      </w:pPr>
      <w:bookmarkStart w:id="125" w:name="_Toc15396625"/>
      <w:bookmarkStart w:id="126" w:name="_Toc79163642"/>
      <w:bookmarkStart w:id="127" w:name="_Toc79163892"/>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25"/>
      <w:bookmarkEnd w:id="126"/>
      <w:bookmarkEnd w:id="127"/>
    </w:p>
    <w:p>
      <w:pPr>
        <w:pStyle w:val="5"/>
        <w:rPr>
          <w:rFonts w:ascii="仿宋" w:hAnsi="仿宋" w:eastAsia="仿宋"/>
          <w:color w:val="000000"/>
        </w:rPr>
      </w:pPr>
      <w:bookmarkStart w:id="128" w:name="_Toc15396626"/>
      <w:bookmarkStart w:id="129" w:name="_Toc79163643"/>
      <w:bookmarkStart w:id="130" w:name="_Toc79163893"/>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28"/>
      <w:bookmarkEnd w:id="129"/>
      <w:bookmarkEnd w:id="130"/>
    </w:p>
    <w:p>
      <w:pPr>
        <w:pStyle w:val="5"/>
        <w:rPr>
          <w:rFonts w:ascii="仿宋" w:hAnsi="仿宋" w:eastAsia="仿宋"/>
          <w:color w:val="000000"/>
        </w:rPr>
      </w:pPr>
      <w:bookmarkStart w:id="131" w:name="_Toc15396627"/>
      <w:bookmarkStart w:id="132" w:name="_Toc79163644"/>
      <w:bookmarkStart w:id="133" w:name="_Toc79163894"/>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31"/>
      <w:bookmarkEnd w:id="132"/>
      <w:bookmarkEnd w:id="133"/>
    </w:p>
    <w:p>
      <w:pPr>
        <w:pStyle w:val="5"/>
        <w:rPr>
          <w:rFonts w:ascii="仿宋" w:hAnsi="仿宋" w:eastAsia="仿宋"/>
          <w:color w:val="000000"/>
        </w:rPr>
      </w:pPr>
      <w:bookmarkStart w:id="134" w:name="_Toc15396628"/>
      <w:bookmarkStart w:id="135" w:name="_Toc79163645"/>
      <w:bookmarkStart w:id="136" w:name="_Toc79163895"/>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34"/>
      <w:bookmarkEnd w:id="135"/>
      <w:bookmarkEnd w:id="136"/>
    </w:p>
    <w:p>
      <w:pPr>
        <w:pStyle w:val="5"/>
        <w:rPr>
          <w:rFonts w:ascii="仿宋" w:hAnsi="仿宋" w:eastAsia="仿宋"/>
          <w:color w:val="000000"/>
        </w:rPr>
      </w:pPr>
      <w:bookmarkStart w:id="137" w:name="_Toc15396629"/>
      <w:bookmarkStart w:id="138" w:name="_Toc79163646"/>
      <w:bookmarkStart w:id="139" w:name="_Toc79163896"/>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37"/>
      <w:bookmarkEnd w:id="138"/>
      <w:bookmarkEnd w:id="139"/>
    </w:p>
    <w:p>
      <w:pPr>
        <w:pStyle w:val="5"/>
        <w:rPr>
          <w:rFonts w:ascii="仿宋" w:hAnsi="仿宋" w:eastAsia="仿宋"/>
          <w:color w:val="000000"/>
        </w:rPr>
      </w:pPr>
      <w:bookmarkStart w:id="140" w:name="_Toc79163897"/>
      <w:bookmarkStart w:id="141" w:name="_Toc15396630"/>
      <w:bookmarkStart w:id="142" w:name="_Toc79163647"/>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40"/>
      <w:bookmarkEnd w:id="141"/>
      <w:bookmarkEnd w:id="142"/>
    </w:p>
    <w:p>
      <w:pPr>
        <w:pStyle w:val="5"/>
        <w:rPr>
          <w:rStyle w:val="26"/>
          <w:rFonts w:ascii="仿宋" w:hAnsi="仿宋" w:eastAsia="仿宋"/>
          <w:b w:val="0"/>
          <w:bCs w:val="0"/>
        </w:rPr>
      </w:pPr>
      <w:bookmarkStart w:id="143" w:name="_Toc79163898"/>
      <w:bookmarkStart w:id="144" w:name="_Toc79163648"/>
      <w:bookmarkStart w:id="145"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有资本经营预算财政拨款</w:t>
      </w:r>
      <w:r>
        <w:rPr>
          <w:rStyle w:val="26"/>
          <w:rFonts w:hint="eastAsia" w:ascii="仿宋" w:hAnsi="仿宋" w:eastAsia="仿宋"/>
          <w:b w:val="0"/>
          <w:bCs w:val="0"/>
          <w:lang w:eastAsia="zh-CN"/>
        </w:rPr>
        <w:t>收入</w:t>
      </w:r>
      <w:r>
        <w:rPr>
          <w:rStyle w:val="26"/>
          <w:rFonts w:hint="eastAsia" w:ascii="仿宋" w:hAnsi="仿宋" w:eastAsia="仿宋"/>
          <w:b w:val="0"/>
          <w:bCs w:val="0"/>
        </w:rPr>
        <w:t>支出决算表</w:t>
      </w:r>
      <w:bookmarkEnd w:id="143"/>
      <w:bookmarkEnd w:id="144"/>
      <w:bookmarkEnd w:id="145"/>
    </w:p>
    <w:p>
      <w:pPr>
        <w:pStyle w:val="5"/>
        <w:rPr>
          <w:rStyle w:val="26"/>
          <w:rFonts w:ascii="仿宋" w:hAnsi="仿宋" w:eastAsia="仿宋"/>
          <w:b w:val="0"/>
          <w:bCs w:val="0"/>
        </w:rPr>
      </w:pPr>
      <w:bookmarkStart w:id="146" w:name="_Toc79163649"/>
      <w:bookmarkStart w:id="147" w:name="_Toc79163899"/>
      <w:r>
        <w:rPr>
          <w:rStyle w:val="26"/>
          <w:rFonts w:hint="eastAsia" w:ascii="仿宋" w:hAnsi="仿宋" w:eastAsia="仿宋"/>
          <w:b w:val="0"/>
          <w:bCs w:val="0"/>
        </w:rPr>
        <w:t>十四、国有资本经营预算财政拨款支出决算表</w:t>
      </w:r>
      <w:bookmarkEnd w:id="146"/>
      <w:bookmarkEnd w:id="14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6</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1MWNhN2ZmY2ZhZmY3ODhlYTg0MWU5OGMyY2Qw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46F2"/>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95662"/>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0612"/>
    <w:rsid w:val="00962656"/>
    <w:rsid w:val="00962D40"/>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17E2"/>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2E27"/>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72DC4"/>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13B312F"/>
    <w:rsid w:val="01623D46"/>
    <w:rsid w:val="016B0482"/>
    <w:rsid w:val="01B423B2"/>
    <w:rsid w:val="01BF436E"/>
    <w:rsid w:val="01FC44C2"/>
    <w:rsid w:val="026C08AA"/>
    <w:rsid w:val="03145989"/>
    <w:rsid w:val="034A660E"/>
    <w:rsid w:val="03A90B5B"/>
    <w:rsid w:val="04197ADF"/>
    <w:rsid w:val="042D6693"/>
    <w:rsid w:val="043F37A1"/>
    <w:rsid w:val="04A64DAE"/>
    <w:rsid w:val="04D4643B"/>
    <w:rsid w:val="05295F5E"/>
    <w:rsid w:val="06537ED2"/>
    <w:rsid w:val="06751908"/>
    <w:rsid w:val="072120A9"/>
    <w:rsid w:val="07552EA4"/>
    <w:rsid w:val="07AB55DE"/>
    <w:rsid w:val="07FA1369"/>
    <w:rsid w:val="08871B9F"/>
    <w:rsid w:val="08E54D01"/>
    <w:rsid w:val="09D33ECE"/>
    <w:rsid w:val="09EC6926"/>
    <w:rsid w:val="0A0E231A"/>
    <w:rsid w:val="0A2032A3"/>
    <w:rsid w:val="0A3B3CC9"/>
    <w:rsid w:val="0A5F519F"/>
    <w:rsid w:val="0AFF5D84"/>
    <w:rsid w:val="0B8B3104"/>
    <w:rsid w:val="0C053BC4"/>
    <w:rsid w:val="0C2F493F"/>
    <w:rsid w:val="0D9A157F"/>
    <w:rsid w:val="0DA71650"/>
    <w:rsid w:val="0DBD5580"/>
    <w:rsid w:val="0DCF6CA0"/>
    <w:rsid w:val="0DD24A05"/>
    <w:rsid w:val="0E0C4856"/>
    <w:rsid w:val="0E182392"/>
    <w:rsid w:val="0E26359E"/>
    <w:rsid w:val="0E563AB4"/>
    <w:rsid w:val="0E707409"/>
    <w:rsid w:val="0E715402"/>
    <w:rsid w:val="0E77317D"/>
    <w:rsid w:val="0E836D22"/>
    <w:rsid w:val="102811B7"/>
    <w:rsid w:val="107A50C7"/>
    <w:rsid w:val="10C055FF"/>
    <w:rsid w:val="118107EC"/>
    <w:rsid w:val="1197593F"/>
    <w:rsid w:val="122C4FFC"/>
    <w:rsid w:val="124A536A"/>
    <w:rsid w:val="12A267E8"/>
    <w:rsid w:val="12AC0EB5"/>
    <w:rsid w:val="12C45B9E"/>
    <w:rsid w:val="133143AA"/>
    <w:rsid w:val="13393A25"/>
    <w:rsid w:val="136A7ED5"/>
    <w:rsid w:val="137A57BE"/>
    <w:rsid w:val="13F7772B"/>
    <w:rsid w:val="140528FE"/>
    <w:rsid w:val="148145EA"/>
    <w:rsid w:val="148A2051"/>
    <w:rsid w:val="149B7259"/>
    <w:rsid w:val="14CD7568"/>
    <w:rsid w:val="14E72EAE"/>
    <w:rsid w:val="15703D04"/>
    <w:rsid w:val="15976EC7"/>
    <w:rsid w:val="163B4B0B"/>
    <w:rsid w:val="16402F53"/>
    <w:rsid w:val="168A41D8"/>
    <w:rsid w:val="16BB723D"/>
    <w:rsid w:val="172525E2"/>
    <w:rsid w:val="17BB08B9"/>
    <w:rsid w:val="18492B32"/>
    <w:rsid w:val="186D48CF"/>
    <w:rsid w:val="18AE5DAA"/>
    <w:rsid w:val="18BC17E0"/>
    <w:rsid w:val="19D774D7"/>
    <w:rsid w:val="19F05D39"/>
    <w:rsid w:val="1ABF5877"/>
    <w:rsid w:val="1B0B6AFD"/>
    <w:rsid w:val="1B0E5217"/>
    <w:rsid w:val="1B87667F"/>
    <w:rsid w:val="1BB73802"/>
    <w:rsid w:val="1C05742A"/>
    <w:rsid w:val="1C485301"/>
    <w:rsid w:val="1C5F3DD7"/>
    <w:rsid w:val="1CAE64B9"/>
    <w:rsid w:val="1CC22750"/>
    <w:rsid w:val="1CEB386A"/>
    <w:rsid w:val="1D155CEE"/>
    <w:rsid w:val="1D761777"/>
    <w:rsid w:val="1DFA7367"/>
    <w:rsid w:val="1E735DB0"/>
    <w:rsid w:val="1F1375EF"/>
    <w:rsid w:val="1F5132D9"/>
    <w:rsid w:val="20371D28"/>
    <w:rsid w:val="212B4241"/>
    <w:rsid w:val="2144422F"/>
    <w:rsid w:val="21D63C51"/>
    <w:rsid w:val="2204176D"/>
    <w:rsid w:val="223D7C17"/>
    <w:rsid w:val="22570786"/>
    <w:rsid w:val="22C3134C"/>
    <w:rsid w:val="23074B81"/>
    <w:rsid w:val="240371BF"/>
    <w:rsid w:val="2404632A"/>
    <w:rsid w:val="240F7322"/>
    <w:rsid w:val="24353C9C"/>
    <w:rsid w:val="24F03DE6"/>
    <w:rsid w:val="25184F7F"/>
    <w:rsid w:val="254E7972"/>
    <w:rsid w:val="255A5FF4"/>
    <w:rsid w:val="259F57CF"/>
    <w:rsid w:val="25AA0FFB"/>
    <w:rsid w:val="25C92099"/>
    <w:rsid w:val="25D15560"/>
    <w:rsid w:val="25D52C1D"/>
    <w:rsid w:val="25FB5FAE"/>
    <w:rsid w:val="261911FF"/>
    <w:rsid w:val="264C3BE4"/>
    <w:rsid w:val="27460D6C"/>
    <w:rsid w:val="276C6C96"/>
    <w:rsid w:val="279054D6"/>
    <w:rsid w:val="27BA1A02"/>
    <w:rsid w:val="28216363"/>
    <w:rsid w:val="28E036D1"/>
    <w:rsid w:val="29395403"/>
    <w:rsid w:val="2999783E"/>
    <w:rsid w:val="29F86D9F"/>
    <w:rsid w:val="29FA744D"/>
    <w:rsid w:val="29FD04D3"/>
    <w:rsid w:val="2A430398"/>
    <w:rsid w:val="2A842631"/>
    <w:rsid w:val="2AA56AD4"/>
    <w:rsid w:val="2BB100F4"/>
    <w:rsid w:val="2D0C4F46"/>
    <w:rsid w:val="2D1E7B01"/>
    <w:rsid w:val="2D25145F"/>
    <w:rsid w:val="2DA03FED"/>
    <w:rsid w:val="2DA33E99"/>
    <w:rsid w:val="2E434D1D"/>
    <w:rsid w:val="2FBD3407"/>
    <w:rsid w:val="2FDB3A3E"/>
    <w:rsid w:val="30473783"/>
    <w:rsid w:val="30685CCE"/>
    <w:rsid w:val="30810F7F"/>
    <w:rsid w:val="31433A5F"/>
    <w:rsid w:val="3162180C"/>
    <w:rsid w:val="317041CD"/>
    <w:rsid w:val="319F7F4E"/>
    <w:rsid w:val="32384091"/>
    <w:rsid w:val="32CA34FB"/>
    <w:rsid w:val="330D7CD3"/>
    <w:rsid w:val="33441072"/>
    <w:rsid w:val="33821DAB"/>
    <w:rsid w:val="33BD3D2B"/>
    <w:rsid w:val="33C65E0F"/>
    <w:rsid w:val="34180E20"/>
    <w:rsid w:val="34764865"/>
    <w:rsid w:val="34862D43"/>
    <w:rsid w:val="34BB7081"/>
    <w:rsid w:val="34C02C89"/>
    <w:rsid w:val="34D0194C"/>
    <w:rsid w:val="355716F6"/>
    <w:rsid w:val="355D413B"/>
    <w:rsid w:val="35A849B5"/>
    <w:rsid w:val="35BD7F06"/>
    <w:rsid w:val="35D16E3C"/>
    <w:rsid w:val="35D932B7"/>
    <w:rsid w:val="361C1CD6"/>
    <w:rsid w:val="365212FA"/>
    <w:rsid w:val="367679CA"/>
    <w:rsid w:val="367D5997"/>
    <w:rsid w:val="36F476F5"/>
    <w:rsid w:val="37602AEC"/>
    <w:rsid w:val="3791165C"/>
    <w:rsid w:val="387A5B7E"/>
    <w:rsid w:val="389C7893"/>
    <w:rsid w:val="389E4AD2"/>
    <w:rsid w:val="393952CE"/>
    <w:rsid w:val="39D322D4"/>
    <w:rsid w:val="3A1B5F73"/>
    <w:rsid w:val="3A3F315F"/>
    <w:rsid w:val="3A5006D9"/>
    <w:rsid w:val="3AB007EE"/>
    <w:rsid w:val="3AD87510"/>
    <w:rsid w:val="3B137ECC"/>
    <w:rsid w:val="3B173531"/>
    <w:rsid w:val="3B495320"/>
    <w:rsid w:val="3B8A119E"/>
    <w:rsid w:val="3BDA1C6C"/>
    <w:rsid w:val="3C492EE4"/>
    <w:rsid w:val="3C775CB3"/>
    <w:rsid w:val="3CF11F19"/>
    <w:rsid w:val="3D787818"/>
    <w:rsid w:val="3D9C64CF"/>
    <w:rsid w:val="3DB379E5"/>
    <w:rsid w:val="3DB55FE8"/>
    <w:rsid w:val="400B551F"/>
    <w:rsid w:val="40262A1B"/>
    <w:rsid w:val="40635374"/>
    <w:rsid w:val="41252730"/>
    <w:rsid w:val="41835FD2"/>
    <w:rsid w:val="41D273F9"/>
    <w:rsid w:val="41F0748B"/>
    <w:rsid w:val="424B57EB"/>
    <w:rsid w:val="42552817"/>
    <w:rsid w:val="428F4709"/>
    <w:rsid w:val="42EF0D56"/>
    <w:rsid w:val="43106CF9"/>
    <w:rsid w:val="433939C2"/>
    <w:rsid w:val="436B73CD"/>
    <w:rsid w:val="43981FB1"/>
    <w:rsid w:val="44CD3759"/>
    <w:rsid w:val="45182E8F"/>
    <w:rsid w:val="452C3605"/>
    <w:rsid w:val="45417085"/>
    <w:rsid w:val="45587EED"/>
    <w:rsid w:val="455C5AC1"/>
    <w:rsid w:val="45F17B93"/>
    <w:rsid w:val="470C5B32"/>
    <w:rsid w:val="471D5DB7"/>
    <w:rsid w:val="47B228DE"/>
    <w:rsid w:val="47D974F6"/>
    <w:rsid w:val="47EA3257"/>
    <w:rsid w:val="486B2E55"/>
    <w:rsid w:val="48A75CF4"/>
    <w:rsid w:val="48B240BD"/>
    <w:rsid w:val="48D6175C"/>
    <w:rsid w:val="49355336"/>
    <w:rsid w:val="4968343F"/>
    <w:rsid w:val="4A2558C4"/>
    <w:rsid w:val="4B1A340B"/>
    <w:rsid w:val="4C4F2026"/>
    <w:rsid w:val="4C526088"/>
    <w:rsid w:val="4D3D4EF8"/>
    <w:rsid w:val="4DB027A9"/>
    <w:rsid w:val="4ECE2238"/>
    <w:rsid w:val="4F07680A"/>
    <w:rsid w:val="4F3266CC"/>
    <w:rsid w:val="4FD81E95"/>
    <w:rsid w:val="503920C0"/>
    <w:rsid w:val="506A3582"/>
    <w:rsid w:val="509F3D9E"/>
    <w:rsid w:val="50BA2E3A"/>
    <w:rsid w:val="5139222B"/>
    <w:rsid w:val="513D6F5F"/>
    <w:rsid w:val="51917EA9"/>
    <w:rsid w:val="52AD4B75"/>
    <w:rsid w:val="52C40AD8"/>
    <w:rsid w:val="52D13F36"/>
    <w:rsid w:val="530F5616"/>
    <w:rsid w:val="53C81D5C"/>
    <w:rsid w:val="54502F9C"/>
    <w:rsid w:val="545E5479"/>
    <w:rsid w:val="55355040"/>
    <w:rsid w:val="55475ADB"/>
    <w:rsid w:val="55FE7948"/>
    <w:rsid w:val="563C2829"/>
    <w:rsid w:val="5674510F"/>
    <w:rsid w:val="56D6508C"/>
    <w:rsid w:val="572D0453"/>
    <w:rsid w:val="57364C0C"/>
    <w:rsid w:val="5740440A"/>
    <w:rsid w:val="57463708"/>
    <w:rsid w:val="577907C7"/>
    <w:rsid w:val="5785573B"/>
    <w:rsid w:val="57A75777"/>
    <w:rsid w:val="57C64522"/>
    <w:rsid w:val="57D40772"/>
    <w:rsid w:val="5801117D"/>
    <w:rsid w:val="58516827"/>
    <w:rsid w:val="58D403FF"/>
    <w:rsid w:val="590D434D"/>
    <w:rsid w:val="5A2A0492"/>
    <w:rsid w:val="5B392EBA"/>
    <w:rsid w:val="5BFB3D02"/>
    <w:rsid w:val="5C2F4560"/>
    <w:rsid w:val="5C697FE8"/>
    <w:rsid w:val="5CA0714D"/>
    <w:rsid w:val="5D480D8F"/>
    <w:rsid w:val="5D9B5003"/>
    <w:rsid w:val="5DA05FF0"/>
    <w:rsid w:val="5E0E1E78"/>
    <w:rsid w:val="5E231FAE"/>
    <w:rsid w:val="5E4916AF"/>
    <w:rsid w:val="5F5A5CBD"/>
    <w:rsid w:val="5F807D92"/>
    <w:rsid w:val="5FAB7715"/>
    <w:rsid w:val="5FE32B09"/>
    <w:rsid w:val="60776330"/>
    <w:rsid w:val="60E541E6"/>
    <w:rsid w:val="611C4DCB"/>
    <w:rsid w:val="61397172"/>
    <w:rsid w:val="615B4294"/>
    <w:rsid w:val="6175600E"/>
    <w:rsid w:val="6178692C"/>
    <w:rsid w:val="61F8410F"/>
    <w:rsid w:val="62624D6E"/>
    <w:rsid w:val="62D318AE"/>
    <w:rsid w:val="63012B66"/>
    <w:rsid w:val="634119D5"/>
    <w:rsid w:val="634E5832"/>
    <w:rsid w:val="6373215E"/>
    <w:rsid w:val="639E0E0A"/>
    <w:rsid w:val="64030FAA"/>
    <w:rsid w:val="640A591B"/>
    <w:rsid w:val="6516055B"/>
    <w:rsid w:val="65B41188"/>
    <w:rsid w:val="65B65DAE"/>
    <w:rsid w:val="6624152B"/>
    <w:rsid w:val="664A2B7F"/>
    <w:rsid w:val="66724175"/>
    <w:rsid w:val="66D65832"/>
    <w:rsid w:val="66E03AFC"/>
    <w:rsid w:val="67082046"/>
    <w:rsid w:val="67666DC7"/>
    <w:rsid w:val="67A224EC"/>
    <w:rsid w:val="68142645"/>
    <w:rsid w:val="68B61AC6"/>
    <w:rsid w:val="68D762EB"/>
    <w:rsid w:val="690C23C8"/>
    <w:rsid w:val="69326DA8"/>
    <w:rsid w:val="697A5953"/>
    <w:rsid w:val="69B26D00"/>
    <w:rsid w:val="69C32351"/>
    <w:rsid w:val="6A140F39"/>
    <w:rsid w:val="6B537F94"/>
    <w:rsid w:val="6BA11A0D"/>
    <w:rsid w:val="6C031750"/>
    <w:rsid w:val="6C4A05C8"/>
    <w:rsid w:val="6CFB4110"/>
    <w:rsid w:val="6D0C0E0A"/>
    <w:rsid w:val="6D200EF7"/>
    <w:rsid w:val="6D4E06EE"/>
    <w:rsid w:val="6D5F29DE"/>
    <w:rsid w:val="6DDA524E"/>
    <w:rsid w:val="6E506637"/>
    <w:rsid w:val="6EB65282"/>
    <w:rsid w:val="6EB65AA7"/>
    <w:rsid w:val="6EDF342A"/>
    <w:rsid w:val="6EF90203"/>
    <w:rsid w:val="6FA835C7"/>
    <w:rsid w:val="6FBA1CDD"/>
    <w:rsid w:val="6FDF40BE"/>
    <w:rsid w:val="70774B61"/>
    <w:rsid w:val="708B536E"/>
    <w:rsid w:val="708D210A"/>
    <w:rsid w:val="70CE078B"/>
    <w:rsid w:val="713F190D"/>
    <w:rsid w:val="716C1BD5"/>
    <w:rsid w:val="717F3041"/>
    <w:rsid w:val="71DD7A47"/>
    <w:rsid w:val="71F9539A"/>
    <w:rsid w:val="72734D90"/>
    <w:rsid w:val="736A361A"/>
    <w:rsid w:val="73D0074A"/>
    <w:rsid w:val="740D73DB"/>
    <w:rsid w:val="75133640"/>
    <w:rsid w:val="7660034C"/>
    <w:rsid w:val="7662288E"/>
    <w:rsid w:val="766E7993"/>
    <w:rsid w:val="76B0497C"/>
    <w:rsid w:val="76BC2BA9"/>
    <w:rsid w:val="773A7CA6"/>
    <w:rsid w:val="773E0F47"/>
    <w:rsid w:val="7750529F"/>
    <w:rsid w:val="77981284"/>
    <w:rsid w:val="77D47274"/>
    <w:rsid w:val="77EE34FA"/>
    <w:rsid w:val="79526814"/>
    <w:rsid w:val="795D71AA"/>
    <w:rsid w:val="7A38237F"/>
    <w:rsid w:val="7A542823"/>
    <w:rsid w:val="7B3C5209"/>
    <w:rsid w:val="7B5122C0"/>
    <w:rsid w:val="7BE954D9"/>
    <w:rsid w:val="7BF7415B"/>
    <w:rsid w:val="7C056856"/>
    <w:rsid w:val="7C062D69"/>
    <w:rsid w:val="7C0D452F"/>
    <w:rsid w:val="7C4B048A"/>
    <w:rsid w:val="7C515A8D"/>
    <w:rsid w:val="7DB316BB"/>
    <w:rsid w:val="7DE942F1"/>
    <w:rsid w:val="7E3B5154"/>
    <w:rsid w:val="7E6C7749"/>
    <w:rsid w:val="7E9B3FB3"/>
    <w:rsid w:val="7EA815CA"/>
    <w:rsid w:val="7ED520F4"/>
    <w:rsid w:val="7F4755A1"/>
    <w:rsid w:val="7F9C5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Calibri" w:hAnsi="Calibri"/>
    </w:rPr>
  </w:style>
  <w:style w:type="paragraph" w:styleId="3">
    <w:name w:val="Body Text Indent"/>
    <w:basedOn w:val="1"/>
    <w:qFormat/>
    <w:uiPriority w:val="99"/>
    <w:pPr>
      <w:spacing w:line="540" w:lineRule="exact"/>
      <w:ind w:firstLine="640" w:firstLineChars="200"/>
    </w:pPr>
    <w:rPr>
      <w:rFonts w:ascii="Times New Roman" w:hAnsi="Times New Roman" w:eastAsia="仿宋_GB2312" w:cs="Times New Roman"/>
      <w:sz w:val="32"/>
      <w:szCs w:val="32"/>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4"/>
    <w:qFormat/>
    <w:uiPriority w:val="99"/>
    <w:pPr>
      <w:spacing w:beforeLines="30"/>
    </w:pPr>
    <w:rPr>
      <w:rFonts w:ascii="仿宋_GB2312" w:eastAsia="仿宋_GB2312"/>
      <w:kern w:val="0"/>
      <w:sz w:val="24"/>
      <w:szCs w:val="2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9"/>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5">
    <w:name w:val="标题 1 Char"/>
    <w:basedOn w:val="22"/>
    <w:link w:val="4"/>
    <w:qFormat/>
    <w:locked/>
    <w:uiPriority w:val="9"/>
    <w:rPr>
      <w:rFonts w:ascii="Times New Roman" w:hAnsi="Times New Roman" w:cs="Times New Roman"/>
      <w:b/>
      <w:bCs/>
      <w:kern w:val="44"/>
      <w:sz w:val="44"/>
      <w:szCs w:val="44"/>
    </w:rPr>
  </w:style>
  <w:style w:type="character" w:customStyle="1" w:styleId="26">
    <w:name w:val="标题 2 Char"/>
    <w:basedOn w:val="22"/>
    <w:link w:val="5"/>
    <w:qFormat/>
    <w:locked/>
    <w:uiPriority w:val="9"/>
    <w:rPr>
      <w:rFonts w:ascii="Cambria" w:hAnsi="Cambria" w:eastAsia="宋体" w:cs="Times New Roman"/>
      <w:b/>
      <w:bCs/>
      <w:kern w:val="2"/>
      <w:sz w:val="32"/>
      <w:szCs w:val="32"/>
    </w:rPr>
  </w:style>
  <w:style w:type="character" w:customStyle="1" w:styleId="27">
    <w:name w:val="标题 3 Char"/>
    <w:basedOn w:val="22"/>
    <w:link w:val="6"/>
    <w:qFormat/>
    <w:locked/>
    <w:uiPriority w:val="9"/>
    <w:rPr>
      <w:rFonts w:ascii="Times New Roman" w:hAnsi="Times New Roman" w:cs="Times New Roman"/>
      <w:b/>
      <w:bCs/>
      <w:kern w:val="2"/>
      <w:sz w:val="32"/>
      <w:szCs w:val="32"/>
    </w:rPr>
  </w:style>
  <w:style w:type="character" w:customStyle="1" w:styleId="28">
    <w:name w:val="Body Text Char"/>
    <w:basedOn w:val="22"/>
    <w:semiHidden/>
    <w:qFormat/>
    <w:uiPriority w:val="99"/>
    <w:rPr>
      <w:rFonts w:ascii="Times New Roman" w:hAnsi="Times New Roman" w:cs="Times New Roman"/>
      <w:sz w:val="24"/>
      <w:szCs w:val="24"/>
    </w:rPr>
  </w:style>
  <w:style w:type="character" w:customStyle="1" w:styleId="29">
    <w:name w:val="批注框文本 Char"/>
    <w:basedOn w:val="22"/>
    <w:link w:val="12"/>
    <w:semiHidden/>
    <w:qFormat/>
    <w:locked/>
    <w:uiPriority w:val="99"/>
    <w:rPr>
      <w:rFonts w:ascii="Times New Roman" w:hAnsi="Times New Roman" w:cs="Times New Roman"/>
      <w:kern w:val="2"/>
      <w:sz w:val="18"/>
      <w:szCs w:val="18"/>
    </w:rPr>
  </w:style>
  <w:style w:type="character" w:customStyle="1" w:styleId="30">
    <w:name w:val="Footer Char"/>
    <w:basedOn w:val="22"/>
    <w:semiHidden/>
    <w:qFormat/>
    <w:uiPriority w:val="99"/>
    <w:rPr>
      <w:rFonts w:ascii="Times New Roman" w:hAnsi="Times New Roman" w:cs="Times New Roman"/>
      <w:sz w:val="18"/>
      <w:szCs w:val="18"/>
    </w:rPr>
  </w:style>
  <w:style w:type="character" w:customStyle="1" w:styleId="31">
    <w:name w:val="Header Char"/>
    <w:basedOn w:val="22"/>
    <w:semiHidden/>
    <w:qFormat/>
    <w:uiPriority w:val="99"/>
    <w:rPr>
      <w:rFonts w:ascii="Times New Roman" w:hAnsi="Times New Roman" w:cs="Times New Roman"/>
      <w:sz w:val="18"/>
      <w:szCs w:val="18"/>
    </w:rPr>
  </w:style>
  <w:style w:type="character" w:customStyle="1" w:styleId="32">
    <w:name w:val="页眉 Char"/>
    <w:link w:val="14"/>
    <w:semiHidden/>
    <w:qFormat/>
    <w:locked/>
    <w:uiPriority w:val="99"/>
    <w:rPr>
      <w:sz w:val="18"/>
    </w:rPr>
  </w:style>
  <w:style w:type="character" w:customStyle="1" w:styleId="33">
    <w:name w:val="页脚 Char"/>
    <w:link w:val="13"/>
    <w:qFormat/>
    <w:locked/>
    <w:uiPriority w:val="99"/>
    <w:rPr>
      <w:sz w:val="18"/>
    </w:rPr>
  </w:style>
  <w:style w:type="character" w:customStyle="1" w:styleId="34">
    <w:name w:val="正文文本 Char"/>
    <w:link w:val="8"/>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工作表.xls]Sheet1'!$A$3</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工作表.xls]Sheet1'!$B$2:$C$2</c:f>
              <c:strCache>
                <c:ptCount val="2"/>
                <c:pt idx="0">
                  <c:v>收入</c:v>
                </c:pt>
                <c:pt idx="1">
                  <c:v>支出</c:v>
                </c:pt>
              </c:strCache>
            </c:strRef>
          </c:cat>
          <c:val>
            <c:numRef>
              <c:f>'[新建 XLS 工作表.xls]Sheet1'!$B$3:$C$3</c:f>
              <c:numCache>
                <c:formatCode>General</c:formatCode>
                <c:ptCount val="2"/>
                <c:pt idx="0">
                  <c:v>200.48</c:v>
                </c:pt>
                <c:pt idx="1">
                  <c:v>200.71</c:v>
                </c:pt>
              </c:numCache>
            </c:numRef>
          </c:val>
        </c:ser>
        <c:ser>
          <c:idx val="1"/>
          <c:order val="1"/>
          <c:tx>
            <c:strRef>
              <c:f>'[新建 XLS 工作表.xls]Sheet1'!$A$4</c:f>
              <c:strCache>
                <c:ptCount val="1"/>
                <c:pt idx="0">
                  <c:v>2020年</c:v>
                </c:pt>
              </c:strCache>
            </c:strRef>
          </c:tx>
          <c:spPr>
            <a:solidFill>
              <a:schemeClr val="accent2"/>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308.</a:t>
                    </a:r>
                    <a:r>
                      <a:rPr lang="en-US" altLang="zh-CN"/>
                      <a:t>10</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工作表.xls]Sheet1'!$B$2:$C$2</c:f>
              <c:strCache>
                <c:ptCount val="2"/>
                <c:pt idx="0">
                  <c:v>收入</c:v>
                </c:pt>
                <c:pt idx="1">
                  <c:v>支出</c:v>
                </c:pt>
              </c:strCache>
            </c:strRef>
          </c:cat>
          <c:val>
            <c:numRef>
              <c:f>'[新建 XLS 工作表.xls]Sheet1'!$B$4:$C$4</c:f>
              <c:numCache>
                <c:formatCode>General</c:formatCode>
                <c:ptCount val="2"/>
                <c:pt idx="0">
                  <c:v>308.87</c:v>
                </c:pt>
                <c:pt idx="1">
                  <c:v>308.09</c:v>
                </c:pt>
              </c:numCache>
            </c:numRef>
          </c:val>
        </c:ser>
        <c:dLbls>
          <c:showLegendKey val="0"/>
          <c:showVal val="1"/>
          <c:showCatName val="0"/>
          <c:showSerName val="0"/>
          <c:showPercent val="0"/>
          <c:showBubbleSize val="0"/>
        </c:dLbls>
        <c:gapWidth val="219"/>
        <c:overlap val="-27"/>
        <c:axId val="508265733"/>
        <c:axId val="886379487"/>
      </c:barChart>
      <c:catAx>
        <c:axId val="5082657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379487"/>
        <c:crosses val="autoZero"/>
        <c:auto val="1"/>
        <c:lblAlgn val="ctr"/>
        <c:lblOffset val="100"/>
        <c:noMultiLvlLbl val="0"/>
      </c:catAx>
      <c:valAx>
        <c:axId val="886379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82657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工作表.xls]Sheet1'!$A$1:$A$2</c:f>
              <c:strCache>
                <c:ptCount val="2"/>
                <c:pt idx="0">
                  <c:v>2020年</c:v>
                </c:pt>
                <c:pt idx="1">
                  <c:v>一般公共预算财政拨款收入</c:v>
                </c:pt>
              </c:strCache>
            </c:strRef>
          </c:cat>
          <c:val>
            <c:numRef>
              <c:f>'[新建 XLS 工作表.xls]Sheet1'!$B$1:$B$2</c:f>
              <c:numCache>
                <c:formatCode>General</c:formatCode>
                <c:ptCount val="2"/>
                <c:pt idx="1">
                  <c:v>308.87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308.</a:t>
                    </a:r>
                    <a:r>
                      <a:rPr lang="en-US" altLang="zh-CN"/>
                      <a:t>10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工作表.xls]Sheet1'!$A$1:$A$2</c:f>
              <c:strCache>
                <c:ptCount val="2"/>
                <c:pt idx="0">
                  <c:v>2020年</c:v>
                </c:pt>
                <c:pt idx="1">
                  <c:v>一般公共预算财政拨款支出</c:v>
                </c:pt>
              </c:strCache>
            </c:strRef>
          </c:cat>
          <c:val>
            <c:numRef>
              <c:f>'[新建 XLS 工作表.xls]Sheet1'!$B$1:$B$2</c:f>
              <c:numCache>
                <c:formatCode>General</c:formatCode>
                <c:ptCount val="2"/>
                <c:pt idx="1">
                  <c:v>308.09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工作表.xls]Sheet1'!$A$3</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工作表.xls]Sheet1'!$B$2:$D$2</c:f>
              <c:strCache>
                <c:ptCount val="3"/>
                <c:pt idx="0">
                  <c:v>收入</c:v>
                </c:pt>
                <c:pt idx="1">
                  <c:v>支出</c:v>
                </c:pt>
                <c:pt idx="2">
                  <c:v>增长率</c:v>
                </c:pt>
              </c:strCache>
            </c:strRef>
          </c:cat>
          <c:val>
            <c:numRef>
              <c:f>'[新建 XLS 工作表.xls]Sheet1'!$B$3:$D$3</c:f>
              <c:numCache>
                <c:formatCode>General</c:formatCode>
                <c:ptCount val="3"/>
                <c:pt idx="0">
                  <c:v>200.48</c:v>
                </c:pt>
                <c:pt idx="1">
                  <c:v>200.71</c:v>
                </c:pt>
                <c:pt idx="2" c:formatCode="0.00%">
                  <c:v>0.5406</c:v>
                </c:pt>
              </c:numCache>
            </c:numRef>
          </c:val>
        </c:ser>
        <c:ser>
          <c:idx val="1"/>
          <c:order val="1"/>
          <c:tx>
            <c:strRef>
              <c:f>'[新建 XLS 工作表.xls]Sheet1'!$A$4</c:f>
              <c:strCache>
                <c:ptCount val="1"/>
                <c:pt idx="0">
                  <c:v>2020年</c:v>
                </c:pt>
              </c:strCache>
            </c:strRef>
          </c:tx>
          <c:spPr>
            <a:solidFill>
              <a:schemeClr val="accent2"/>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308.</a:t>
                    </a:r>
                    <a:r>
                      <a:rPr lang="en-US" altLang="zh-CN"/>
                      <a:t>10</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工作表.xls]Sheet1'!$B$2:$D$2</c:f>
              <c:strCache>
                <c:ptCount val="3"/>
                <c:pt idx="0">
                  <c:v>收入</c:v>
                </c:pt>
                <c:pt idx="1">
                  <c:v>支出</c:v>
                </c:pt>
                <c:pt idx="2">
                  <c:v>增长率</c:v>
                </c:pt>
              </c:strCache>
            </c:strRef>
          </c:cat>
          <c:val>
            <c:numRef>
              <c:f>'[新建 XLS 工作表.xls]Sheet1'!$B$4:$D$4</c:f>
              <c:numCache>
                <c:formatCode>General</c:formatCode>
                <c:ptCount val="3"/>
                <c:pt idx="0">
                  <c:v>308.87</c:v>
                </c:pt>
                <c:pt idx="1">
                  <c:v>308.09</c:v>
                </c:pt>
                <c:pt idx="2" c:formatCode="0.00%">
                  <c:v>0.535</c:v>
                </c:pt>
              </c:numCache>
            </c:numRef>
          </c:val>
        </c:ser>
        <c:dLbls>
          <c:showLegendKey val="0"/>
          <c:showVal val="1"/>
          <c:showCatName val="0"/>
          <c:showSerName val="0"/>
          <c:showPercent val="0"/>
          <c:showBubbleSize val="0"/>
        </c:dLbls>
        <c:gapWidth val="219"/>
        <c:overlap val="-27"/>
        <c:axId val="611836882"/>
        <c:axId val="192332797"/>
      </c:barChart>
      <c:catAx>
        <c:axId val="6118368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332797"/>
        <c:crosses val="autoZero"/>
        <c:auto val="1"/>
        <c:lblAlgn val="ctr"/>
        <c:lblOffset val="100"/>
        <c:noMultiLvlLbl val="0"/>
      </c:catAx>
      <c:valAx>
        <c:axId val="1923327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18368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工作表.xls]Sheet1'!$A$3</c:f>
              <c:strCache>
                <c:ptCount val="1"/>
                <c:pt idx="0">
                  <c:v>2019年</c:v>
                </c:pt>
              </c:strCache>
            </c:strRef>
          </c:tx>
          <c:spPr>
            <a:solidFill>
              <a:schemeClr val="accent1"/>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107.3</a:t>
                    </a:r>
                    <a:r>
                      <a:rPr lang="en-US" altLang="zh-CN"/>
                      <a:t>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工作表.xls]Sheet1'!$B$2:$D$2</c:f>
              <c:strCache>
                <c:ptCount val="3"/>
                <c:pt idx="0">
                  <c:v>支出</c:v>
                </c:pt>
                <c:pt idx="1">
                  <c:v>增加额</c:v>
                </c:pt>
                <c:pt idx="2">
                  <c:v>增长率</c:v>
                </c:pt>
              </c:strCache>
            </c:strRef>
          </c:cat>
          <c:val>
            <c:numRef>
              <c:f>'[新建 XLS 工作表.xls]Sheet1'!$B$3:$D$3</c:f>
              <c:numCache>
                <c:formatCode>General</c:formatCode>
                <c:ptCount val="3"/>
                <c:pt idx="0">
                  <c:v>200.71</c:v>
                </c:pt>
                <c:pt idx="1">
                  <c:v>107.38</c:v>
                </c:pt>
                <c:pt idx="2" c:formatCode="0.00%">
                  <c:v>0.535</c:v>
                </c:pt>
              </c:numCache>
            </c:numRef>
          </c:val>
        </c:ser>
        <c:ser>
          <c:idx val="1"/>
          <c:order val="1"/>
          <c:tx>
            <c:strRef>
              <c:f>'[新建 XLS 工作表.xls]Sheet1'!$A$4</c:f>
              <c:strCache>
                <c:ptCount val="1"/>
                <c:pt idx="0">
                  <c:v>2020年</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308.</a:t>
                    </a:r>
                    <a:r>
                      <a:rPr lang="en-US" altLang="zh-CN"/>
                      <a:t>10</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工作表.xls]Sheet1'!$B$2:$D$2</c:f>
              <c:strCache>
                <c:ptCount val="3"/>
                <c:pt idx="0">
                  <c:v>支出</c:v>
                </c:pt>
                <c:pt idx="1">
                  <c:v>增加额</c:v>
                </c:pt>
                <c:pt idx="2">
                  <c:v>增长率</c:v>
                </c:pt>
              </c:strCache>
            </c:strRef>
          </c:cat>
          <c:val>
            <c:numRef>
              <c:f>'[新建 XLS 工作表.xls]Sheet1'!$B$4:$D$4</c:f>
              <c:numCache>
                <c:formatCode>General</c:formatCode>
                <c:ptCount val="3"/>
                <c:pt idx="0">
                  <c:v>308.09</c:v>
                </c:pt>
              </c:numCache>
            </c:numRef>
          </c:val>
        </c:ser>
        <c:dLbls>
          <c:showLegendKey val="0"/>
          <c:showVal val="1"/>
          <c:showCatName val="0"/>
          <c:showSerName val="0"/>
          <c:showPercent val="0"/>
          <c:showBubbleSize val="0"/>
        </c:dLbls>
        <c:gapWidth val="219"/>
        <c:overlap val="-27"/>
        <c:axId val="590316895"/>
        <c:axId val="651377932"/>
      </c:barChart>
      <c:catAx>
        <c:axId val="5903168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1377932"/>
        <c:crosses val="autoZero"/>
        <c:auto val="1"/>
        <c:lblAlgn val="ctr"/>
        <c:lblOffset val="100"/>
        <c:noMultiLvlLbl val="0"/>
      </c:catAx>
      <c:valAx>
        <c:axId val="6513779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031689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工作表.xlsx]Sheet1'!$A$3:$A$6</c:f>
              <c:strCache>
                <c:ptCount val="4"/>
                <c:pt idx="0">
                  <c:v>文文化旅游体育与传媒支出239.07万元</c:v>
                </c:pt>
                <c:pt idx="1">
                  <c:v>社会保障和就业支出28.24万元</c:v>
                </c:pt>
                <c:pt idx="2">
                  <c:v>卫生健康支出16.76万元</c:v>
                </c:pt>
                <c:pt idx="3">
                  <c:v>住房保障支出24.03万元</c:v>
                </c:pt>
              </c:strCache>
            </c:strRef>
          </c:cat>
          <c:val>
            <c:numRef>
              <c:f>'[新建 XLSX 工作表.xlsx]Sheet1'!$B$3:$B$6</c:f>
              <c:numCache>
                <c:formatCode>0.00%</c:formatCode>
                <c:ptCount val="4"/>
                <c:pt idx="0">
                  <c:v>0.7759</c:v>
                </c:pt>
                <c:pt idx="1">
                  <c:v>0.0917</c:v>
                </c:pt>
                <c:pt idx="2">
                  <c:v>0.0544</c:v>
                </c:pt>
                <c:pt idx="3">
                  <c:v>0.078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工作表.xlsx]Sheet1'!$A$3:$A$5</c:f>
              <c:strCache>
                <c:ptCount val="3"/>
                <c:pt idx="0">
                  <c:v>因公出国（境）经费</c:v>
                </c:pt>
                <c:pt idx="1">
                  <c:v>公务用车购置及运行维护费6.23万元</c:v>
                </c:pt>
                <c:pt idx="2">
                  <c:v>公务接待费</c:v>
                </c:pt>
              </c:strCache>
            </c:strRef>
          </c:cat>
          <c:val>
            <c:numRef>
              <c:f>'[新建 XLSX 工作表.xlsx]Sheet1'!$B$3:$B$5</c:f>
              <c:numCache>
                <c:formatCode>General</c:formatCode>
                <c:ptCount val="3"/>
                <c:pt idx="0">
                  <c:v>0</c:v>
                </c:pt>
                <c:pt idx="1" c:formatCode="0%">
                  <c:v>1</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9F9B-A1F1-412E-877B-8DD2A8A6A8C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6223</Words>
  <Characters>6898</Characters>
  <Lines>74</Lines>
  <Paragraphs>21</Paragraphs>
  <TotalTime>1</TotalTime>
  <ScaleCrop>false</ScaleCrop>
  <LinksUpToDate>false</LinksUpToDate>
  <CharactersWithSpaces>6978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2021-07-29T03:56:00Z</cp:lastPrinted>
  <dcterms:modified xsi:type="dcterms:W3CDTF">2023-07-13T08:03:17Z</dcterms:modified>
  <dc:title>阿坝州部门决算说明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0AA332D8F197462F818FC118C810EBE8</vt:lpwstr>
  </property>
</Properties>
</file>