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0A40">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06267"/>
      <w:bookmarkStart w:id="2" w:name="_Toc15396475"/>
      <w:bookmarkStart w:id="3" w:name="_Toc15378441"/>
      <w:bookmarkStart w:id="4" w:name="_Toc15377193"/>
      <w:bookmarkStart w:id="5" w:name="_Toc15377425"/>
    </w:p>
    <w:p w14:paraId="5471DAF2">
      <w:pPr>
        <w:pStyle w:val="8"/>
        <w:rPr>
          <w:rFonts w:hint="eastAsia" w:ascii="Times New Roman" w:hAnsi="Times New Roman" w:eastAsia="方正小标宋简体" w:cs="Times New Roman"/>
          <w:color w:val="auto"/>
          <w:kern w:val="2"/>
          <w:sz w:val="72"/>
          <w:szCs w:val="72"/>
          <w:highlight w:val="none"/>
          <w:lang w:val="en-US" w:eastAsia="zh-CN" w:bidi="ar-SA"/>
        </w:rPr>
      </w:pPr>
    </w:p>
    <w:p w14:paraId="0DD1D750">
      <w:pPr>
        <w:pStyle w:val="8"/>
        <w:rPr>
          <w:rFonts w:hint="eastAsia" w:ascii="Times New Roman" w:hAnsi="Times New Roman" w:eastAsia="方正小标宋简体" w:cs="Times New Roman"/>
          <w:color w:val="auto"/>
          <w:kern w:val="2"/>
          <w:sz w:val="72"/>
          <w:szCs w:val="72"/>
          <w:highlight w:val="none"/>
          <w:lang w:val="en-US" w:eastAsia="zh-CN" w:bidi="ar-SA"/>
        </w:rPr>
      </w:pPr>
    </w:p>
    <w:p w14:paraId="22F75E7C">
      <w:pPr>
        <w:pStyle w:val="8"/>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四川省阿坝州松潘县粮食和物资储备中心部门决算公开</w:t>
      </w:r>
    </w:p>
    <w:p w14:paraId="4C3B3150">
      <w:pPr>
        <w:spacing w:line="600" w:lineRule="exact"/>
        <w:jc w:val="center"/>
        <w:outlineLvl w:val="0"/>
        <w:rPr>
          <w:rFonts w:ascii="Times New Roman" w:hAnsi="Times New Roman" w:eastAsia="方正小标宋简体"/>
          <w:color w:val="auto"/>
          <w:sz w:val="72"/>
          <w:szCs w:val="72"/>
          <w:highlight w:val="none"/>
        </w:rPr>
      </w:pPr>
    </w:p>
    <w:p w14:paraId="106CA1DB">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4F292C6D">
      <w:pPr>
        <w:rPr>
          <w:rFonts w:ascii="Times New Roman" w:hAnsi="Times New Roman"/>
        </w:rPr>
      </w:pPr>
    </w:p>
    <w:bookmarkEnd w:id="0"/>
    <w:bookmarkEnd w:id="1"/>
    <w:bookmarkEnd w:id="2"/>
    <w:bookmarkEnd w:id="3"/>
    <w:bookmarkEnd w:id="4"/>
    <w:bookmarkEnd w:id="5"/>
    <w:p w14:paraId="1AA318B0">
      <w:pPr>
        <w:widowControl/>
        <w:ind w:firstLine="3360" w:firstLineChars="700"/>
        <w:jc w:val="both"/>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812682A">
      <w:pPr>
        <w:widowControl/>
        <w:jc w:val="center"/>
        <w:rPr>
          <w:rFonts w:ascii="Times New Roman" w:hAnsi="Times New Roman" w:eastAsia="黑体" w:cstheme="minorBidi"/>
          <w:color w:val="auto"/>
          <w:sz w:val="28"/>
          <w:szCs w:val="28"/>
          <w:highlight w:val="none"/>
        </w:rPr>
      </w:pPr>
    </w:p>
    <w:p w14:paraId="59E8C33D">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14:paraId="0EAF145C">
      <w:pPr>
        <w:rPr>
          <w:rFonts w:ascii="Times New Roman" w:hAnsi="Times New Roman"/>
          <w:color w:val="auto"/>
          <w:highlight w:val="none"/>
        </w:rPr>
      </w:pPr>
    </w:p>
    <w:p w14:paraId="61D53F46">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4FEF7C0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52E316F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4C3195F8">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76A0355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3948AB8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62F9149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0E637C1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7468E21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1938D6F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6F19BD6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0E8336B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5690C27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6E562BB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3CBA48CB">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475C537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3BD658C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38A7E17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2A0A4EA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0687ACE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2C53E8A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7927CD2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684EB59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5BDAAFF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7DE1AC0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3B0DB46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1F947F9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6063C36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7482713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1E52E34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6AB4A73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41683E28">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4BBA7D19">
      <w:pPr>
        <w:pStyle w:val="5"/>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69774332">
      <w:pPr>
        <w:widowControl/>
        <w:jc w:val="left"/>
        <w:rPr>
          <w:rFonts w:ascii="Times New Roman" w:hAnsi="Times New Roman" w:eastAsia="黑体"/>
          <w:color w:val="auto"/>
          <w:sz w:val="32"/>
          <w:szCs w:val="32"/>
          <w:highlight w:val="none"/>
        </w:rPr>
      </w:pPr>
    </w:p>
    <w:p w14:paraId="2D46CC8C">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1D62B12F">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1.贯彻执行国家粮食流通体制改革和储备粮管理的方针、政策和法律法规，拟订全县粮食流通体制改革方案，并组织实施。</w:t>
      </w:r>
    </w:p>
    <w:p w14:paraId="2164B909">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2.研究提出全县粮食宏观调控、总量平衡以及粮食流通的中长期规划；提出粮油流通产业政策和优化产业结构的建议。</w:t>
      </w:r>
    </w:p>
    <w:p w14:paraId="0BAF0837">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3.对贯彻落实有关粮食法律法规、政策制度进行监督管理；对社会粮食流通进行行政执法，依法实施行政处罚；受理行政复议、承担行业监督管理和行政执法工作。 </w:t>
      </w:r>
    </w:p>
    <w:p w14:paraId="255B405F">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4.承担我县储备粮的管理责任； 监督管理我县州级、县级储备粮库存数量、质量和安全；承担我县州级、县级储备粮的调拨、轮换、财会管理工作。</w:t>
      </w:r>
    </w:p>
    <w:p w14:paraId="0B9D7479">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ascii="仿宋" w:hAnsi="仿宋" w:eastAsia="仿宋"/>
          <w:sz w:val="32"/>
          <w:szCs w:val="32"/>
        </w:rPr>
      </w:pPr>
      <w:r>
        <w:rPr>
          <w:rFonts w:hint="eastAsia" w:ascii="仿宋" w:hAnsi="仿宋" w:eastAsia="仿宋" w:cs="Times New Roman"/>
          <w:sz w:val="32"/>
          <w:szCs w:val="32"/>
          <w:lang w:val="en-US" w:eastAsia="zh-CN"/>
        </w:rPr>
        <w:t>5.负</w:t>
      </w:r>
      <w:r>
        <w:rPr>
          <w:rFonts w:hint="eastAsia" w:ascii="仿宋" w:hAnsi="仿宋" w:eastAsia="仿宋"/>
          <w:sz w:val="32"/>
          <w:szCs w:val="32"/>
        </w:rPr>
        <w:t>责全县粮食市场监测预警和应急保供。贯彻执行国家粮食购销政策，组织开展政策性粮食收购。协同有关部门落实粮食信贷资金政策，监督管理粮食风险基金的使用。保障军队（含武警、消防大队）、学校、灾区农牧民、缺粮贫困地区和国家重点建设项目的粮食调拨和供应。</w:t>
      </w:r>
    </w:p>
    <w:p w14:paraId="071C4BDE">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健全粮食监测预警和应急机制，起草全县粮食应急预案，在粮食市场供求出现异常波动时，提出启动应急预案的建议，报县政府批准后组织实施。</w:t>
      </w:r>
    </w:p>
    <w:p w14:paraId="29FC0800">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指导全县粮食流通基础设施建设，编制全县粮油仓储设施建设计划并组织实施；负责全县粮油仓储设施的报废、占用、拆迁的审核上报工作。</w:t>
      </w:r>
    </w:p>
    <w:p w14:paraId="3F9F8E54">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负责全县粮食流通市场的行业管理、县级粮油批发市场体系建设；指导国有粮食企业的改革；承担全县社会粮食流通、仓储设施、粮食加工的行业管理和统计工作 。</w:t>
      </w:r>
    </w:p>
    <w:p w14:paraId="324DD0AF">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监督管理全县粮食财务管理工作，指导企业管理好国有资产。落实国家、省、市、县有关财务、会计法规制度；负责全县粮食系统各类财务统计报表的汇总和上报。</w:t>
      </w:r>
    </w:p>
    <w:p w14:paraId="26AF3CE7">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组织实施对全系统所属企业的内部审计工作；加强对企业经营管理、执行财务制度、粮食购销、人员使用等方面的监管；预防职务犯罪和违规、违纪、违法现象的发生。</w:t>
      </w:r>
    </w:p>
    <w:p w14:paraId="6366CBF5">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ascii="仿宋" w:hAnsi="仿宋" w:eastAsia="仿宋"/>
          <w:sz w:val="32"/>
          <w:szCs w:val="32"/>
        </w:rPr>
      </w:pPr>
      <w:r>
        <w:rPr>
          <w:rFonts w:hint="eastAsia" w:ascii="仿宋" w:hAnsi="仿宋" w:eastAsia="仿宋"/>
          <w:sz w:val="32"/>
          <w:szCs w:val="32"/>
          <w:lang w:val="en-US" w:eastAsia="zh-CN"/>
        </w:rPr>
        <w:t>11.</w:t>
      </w:r>
      <w:r>
        <w:rPr>
          <w:rFonts w:hint="eastAsia" w:ascii="仿宋" w:hAnsi="仿宋" w:eastAsia="仿宋"/>
          <w:sz w:val="32"/>
          <w:szCs w:val="32"/>
        </w:rPr>
        <w:t>负责粮食系统对外经济技术合作与交流。</w:t>
      </w:r>
    </w:p>
    <w:p w14:paraId="08C08369">
      <w:pPr>
        <w:pStyle w:val="6"/>
        <w:numPr>
          <w:ilvl w:val="0"/>
          <w:numId w:val="2"/>
        </w:numPr>
        <w:rPr>
          <w:rFonts w:hint="eastAsia" w:ascii="黑体" w:hAnsi="黑体" w:eastAsia="黑体"/>
          <w:b w:val="0"/>
        </w:rPr>
      </w:pPr>
      <w:r>
        <w:rPr>
          <w:rFonts w:hint="eastAsia" w:ascii="黑体" w:hAnsi="黑体" w:eastAsia="黑体"/>
          <w:b w:val="0"/>
        </w:rPr>
        <w:t>机构设置</w:t>
      </w:r>
    </w:p>
    <w:p w14:paraId="4E82ED64">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办公室</w:t>
      </w:r>
    </w:p>
    <w:p w14:paraId="50A9DA5C">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负责机关的日常工作 。承担文件处理、信息、保密、信访、政务公开、新闻宣传等工作。负责机关的党建和党风廉政工作以及离退休干部工作。负责 考勤管理、出差管理、机关办公和设施设备耗材管理、日常接待和其他工作。</w:t>
      </w:r>
    </w:p>
    <w:p w14:paraId="31F80F96">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2.财务股 </w:t>
      </w:r>
    </w:p>
    <w:p w14:paraId="0D2C222B">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落实地方粮食和物资储备财务管理、 资产管理、审计管理等制度、办法并组织实施，承担编制部门预决算等机关财务管理工作，负责管理相关资金，承担内部审计工作。指导县国有粮食企业的财务管理、会计报告和会计决算工作 ， 负责编制粮食年度财务会计报表。贯彻落实国家粮食财务政策和 州县政策性粮食财务挂账、政策性补贴资金的管理工作。负责专项 资金的管理工作。负责政策性粮油补贴资金的管理。</w:t>
      </w:r>
    </w:p>
    <w:p w14:paraId="4B0EFA7B">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3.综合股 </w:t>
      </w:r>
    </w:p>
    <w:p w14:paraId="23963FDA">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协同县发改局完成全县粮食总量平衡以及粮食流通中长期规划。落 实粮食流通和地方储备粮管理的法律法规、规章及各项制度的执 行，研究提出县级储备粮规模、总体布局和收储、动用 、轮换计划并督促实施 。负责库存数量、质量安全和粮食行业的安全生产、 防火防汛工作。负责全县粮食流通监测预警、调查统计工作。推动 国有粮食企业改革和发展，指导国有粮食购销企业的经营管理。协 助指导国有资产管理工作 。指导粮食系统内部审计相关工作。贯彻国家军粮供应政策和统计工作。对粮食经营者从事粮食购销活动 的管理。按照属地原则对粮油仓储单位备案进行管理 。</w:t>
      </w:r>
    </w:p>
    <w:p w14:paraId="50DBA4A8">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4.应急物资储备股 </w:t>
      </w:r>
    </w:p>
    <w:p w14:paraId="1D5F9CD9">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研究提出全县重要物资储备体系的建议，会同县 应急管理等职能部门提出重要物资储备规划和应急物资储备计划 的建议，组织实施重要物资和应急物资储备的日常管理，执行落实有关动用计划和指令。负责全县物资储备、统计和行业安全工作 。承担应急物资安全保障、仓储等基础设施和信息化建设统计工作。</w:t>
      </w:r>
    </w:p>
    <w:p w14:paraId="19C12C61">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5.业务稽查股</w:t>
      </w:r>
    </w:p>
    <w:p w14:paraId="7F4AD7DD">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仿宋"/>
          <w:color w:val="auto"/>
          <w:kern w:val="0"/>
          <w:sz w:val="32"/>
          <w:szCs w:val="32"/>
          <w:highlight w:val="none"/>
        </w:rPr>
      </w:pPr>
      <w:r>
        <w:rPr>
          <w:rFonts w:hint="eastAsia" w:ascii="仿宋" w:hAnsi="仿宋" w:eastAsia="仿宋" w:cs="Times New Roman"/>
          <w:sz w:val="32"/>
          <w:szCs w:val="32"/>
          <w:lang w:val="en-US" w:eastAsia="zh-CN"/>
        </w:rPr>
        <w:t>根据粮食行政主管部门的安排负责监督检查全县粮食流通和县级储备粮管理的法律、法 规、规章及各项制度 的执行情况。负责粮食收购备案。监督检查州级储备粮计划和技术 规范的执行情况 。监督检查地方储备粮的库存数量、质量安全。监督检查军供粮油政策的执行情况。监督检查陈化粮销售处理情 况。依法对粮食经营企业从事粮食购销活动、粮食质量、仓储设施设备和执行粮食流通统计制度等进行监督检查 。承担全县粮食库存检查工作。负责全县粮食流通监督检查的行政管理和行业指导工作。</w:t>
      </w:r>
      <w:r>
        <w:rPr>
          <w:rFonts w:ascii="Times New Roman" w:hAnsi="Times New Roman" w:eastAsia="仿宋"/>
          <w:color w:val="auto"/>
          <w:sz w:val="32"/>
          <w:szCs w:val="32"/>
          <w:highlight w:val="none"/>
        </w:rPr>
        <w:br w:type="page"/>
      </w:r>
    </w:p>
    <w:p w14:paraId="233B9CC4">
      <w:pPr>
        <w:pStyle w:val="5"/>
        <w:jc w:val="center"/>
        <w:rPr>
          <w:rFonts w:hint="eastAsia" w:ascii="Times New Roman" w:hAnsi="Times New Roman" w:eastAsia="方正小标宋简体" w:cs="方正小标宋简体"/>
          <w:b w:val="0"/>
          <w:color w:val="auto"/>
          <w:highlight w:val="none"/>
        </w:rPr>
      </w:pPr>
      <w:bookmarkStart w:id="8" w:name="_Toc15377204"/>
      <w:bookmarkStart w:id="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8"/>
      <w:bookmarkEnd w:id="9"/>
    </w:p>
    <w:p w14:paraId="170FE3E4">
      <w:pPr>
        <w:rPr>
          <w:rFonts w:ascii="Times New Roman" w:hAnsi="Times New Roman"/>
          <w:color w:val="auto"/>
          <w:highlight w:val="none"/>
        </w:rPr>
      </w:pPr>
    </w:p>
    <w:p w14:paraId="45E2793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0" w:name="_Toc15396603"/>
      <w:bookmarkStart w:id="1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0"/>
      <w:bookmarkEnd w:id="11"/>
    </w:p>
    <w:p w14:paraId="22284A7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463.13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总计减少</w:t>
      </w:r>
      <w:r>
        <w:rPr>
          <w:rFonts w:hint="eastAsia" w:eastAsia="仿宋_GB2312" w:cs="仿宋_GB2312"/>
          <w:color w:val="auto"/>
          <w:sz w:val="32"/>
          <w:szCs w:val="32"/>
          <w:highlight w:val="none"/>
          <w:lang w:val="en-US" w:eastAsia="zh-CN"/>
        </w:rPr>
        <w:t>378.78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44.99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2024年项目减少，人员减少。</w:t>
      </w:r>
    </w:p>
    <w:p w14:paraId="526069F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2" w:name="_Toc15377206"/>
      <w:bookmarkStart w:id="13" w:name="_Toc15396604"/>
      <w:r>
        <w:rPr>
          <w:rFonts w:hint="eastAsia" w:ascii="Times New Roman" w:hAnsi="Times New Roman" w:eastAsia="黑体"/>
          <w:color w:val="auto"/>
          <w:sz w:val="32"/>
          <w:szCs w:val="32"/>
          <w:highlight w:val="none"/>
          <w:lang w:eastAsia="zh-CN"/>
        </w:rPr>
        <w:t>二、收入决算情况说明</w:t>
      </w:r>
      <w:bookmarkEnd w:id="12"/>
      <w:bookmarkEnd w:id="13"/>
    </w:p>
    <w:p w14:paraId="3B60D57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463.13万元，其中：一般公共预算财政拨款收入463.13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w:t>
      </w:r>
      <w:r>
        <w:rPr>
          <w:rFonts w:hint="eastAsia" w:ascii="Times New Roman" w:hAnsi="Times New Roman" w:eastAsia="仿宋_GB2312" w:cs="仿宋_GB2312"/>
          <w:b/>
          <w:bCs/>
          <w:color w:val="auto"/>
          <w:sz w:val="32"/>
          <w:szCs w:val="32"/>
          <w:highlight w:val="none"/>
          <w:lang w:eastAsia="zh-CN"/>
        </w:rPr>
        <w:t>（注：仅罗列本部门涉及的收入）</w:t>
      </w:r>
    </w:p>
    <w:p w14:paraId="30669F9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77207"/>
      <w:bookmarkStart w:id="1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4"/>
      <w:bookmarkEnd w:id="15"/>
    </w:p>
    <w:p w14:paraId="7CBBAE2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463.13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234.87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50.71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228.26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49.28</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w:t>
      </w:r>
      <w:r>
        <w:rPr>
          <w:rFonts w:hint="eastAsia" w:ascii="Times New Roman" w:hAnsi="Times New Roman" w:eastAsia="仿宋_GB2312" w:cs="仿宋_GB2312"/>
          <w:b/>
          <w:bCs/>
          <w:color w:val="auto"/>
          <w:sz w:val="32"/>
          <w:szCs w:val="32"/>
          <w:highlight w:val="none"/>
          <w:lang w:eastAsia="zh-CN"/>
        </w:rPr>
        <w:t>（注：仅罗列本部门涉及的支出）</w:t>
      </w:r>
    </w:p>
    <w:p w14:paraId="7820E8BE">
      <w:pPr>
        <w:spacing w:line="600" w:lineRule="exact"/>
        <w:ind w:firstLine="640" w:firstLineChars="200"/>
        <w:outlineLvl w:val="1"/>
        <w:rPr>
          <w:rStyle w:val="29"/>
          <w:rFonts w:ascii="Times New Roman" w:hAnsi="Times New Roman" w:eastAsia="黑体"/>
          <w:b w:val="0"/>
          <w:color w:val="auto"/>
          <w:highlight w:val="none"/>
        </w:rPr>
      </w:pPr>
      <w:bookmarkStart w:id="16" w:name="_Toc15377208"/>
      <w:bookmarkStart w:id="17"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6"/>
      <w:bookmarkEnd w:id="17"/>
    </w:p>
    <w:p w14:paraId="6124CA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463.13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万元。与2023年度相比，财政拨款收入总计、支出总计减少</w:t>
      </w:r>
      <w:r>
        <w:rPr>
          <w:rFonts w:hint="eastAsia" w:eastAsia="仿宋_GB2312" w:cs="仿宋_GB2312"/>
          <w:color w:val="auto"/>
          <w:kern w:val="2"/>
          <w:sz w:val="32"/>
          <w:szCs w:val="32"/>
          <w:highlight w:val="none"/>
          <w:lang w:val="en-US" w:eastAsia="zh-CN" w:bidi="ar-SA"/>
        </w:rPr>
        <w:t>378.78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44.99</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sz w:val="32"/>
          <w:szCs w:val="32"/>
          <w:highlight w:val="none"/>
          <w:lang w:val="en-US" w:eastAsia="zh-CN"/>
        </w:rPr>
        <w:t>2024年项目减少，人员减少。</w:t>
      </w:r>
    </w:p>
    <w:p w14:paraId="7F625766">
      <w:pPr>
        <w:spacing w:line="600" w:lineRule="exact"/>
        <w:ind w:firstLine="640" w:firstLineChars="200"/>
        <w:outlineLvl w:val="1"/>
        <w:rPr>
          <w:rStyle w:val="29"/>
          <w:rFonts w:ascii="Times New Roman" w:hAnsi="Times New Roman" w:eastAsia="黑体"/>
          <w:b w:val="0"/>
          <w:color w:val="auto"/>
          <w:highlight w:val="none"/>
        </w:rPr>
      </w:pPr>
      <w:bookmarkStart w:id="18" w:name="_Toc15377209"/>
      <w:bookmarkStart w:id="19"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18"/>
      <w:bookmarkEnd w:id="19"/>
    </w:p>
    <w:p w14:paraId="21EF899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0"/>
    </w:p>
    <w:p w14:paraId="050F3D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463.13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kern w:val="2"/>
          <w:sz w:val="32"/>
          <w:szCs w:val="32"/>
          <w:highlight w:val="none"/>
          <w:lang w:val="en-US" w:eastAsia="zh-CN" w:bidi="ar-SA"/>
        </w:rPr>
        <w:t>减少</w:t>
      </w:r>
      <w:r>
        <w:rPr>
          <w:rFonts w:hint="eastAsia" w:eastAsia="仿宋_GB2312" w:cs="仿宋_GB2312"/>
          <w:color w:val="auto"/>
          <w:kern w:val="2"/>
          <w:sz w:val="32"/>
          <w:szCs w:val="32"/>
          <w:highlight w:val="none"/>
          <w:lang w:val="en-US" w:eastAsia="zh-CN" w:bidi="ar-SA"/>
        </w:rPr>
        <w:t>378.78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44.99</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sz w:val="32"/>
          <w:szCs w:val="32"/>
          <w:highlight w:val="none"/>
          <w:lang w:val="en-US" w:eastAsia="zh-CN"/>
        </w:rPr>
        <w:t>2024年项目减少，人员减少。</w:t>
      </w:r>
    </w:p>
    <w:p w14:paraId="1938FA6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1"/>
    </w:p>
    <w:p w14:paraId="133A53B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463.13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万元；社会保障和就业支出</w:t>
      </w:r>
      <w:r>
        <w:rPr>
          <w:rFonts w:hint="eastAsia" w:eastAsia="仿宋_GB2312" w:cs="仿宋_GB2312"/>
          <w:color w:val="auto"/>
          <w:kern w:val="2"/>
          <w:sz w:val="32"/>
          <w:szCs w:val="32"/>
          <w:highlight w:val="none"/>
          <w:lang w:val="en-US" w:eastAsia="zh-CN" w:bidi="ar-SA"/>
        </w:rPr>
        <w:t>45.83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9.90</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13.75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2.97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16.73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3.61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粮油物资储备支出386.82万元，占83.52%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4F2BA6E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2"/>
    </w:p>
    <w:p w14:paraId="09056A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3" w:name="_Toc15377444"/>
      <w:bookmarkStart w:id="24" w:name="_Toc15378460"/>
      <w:bookmarkStart w:id="2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463.13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3"/>
      <w:bookmarkEnd w:id="24"/>
      <w:bookmarkEnd w:id="25"/>
    </w:p>
    <w:p w14:paraId="50C6329D">
      <w:pPr>
        <w:numPr>
          <w:ilvl w:val="0"/>
          <w:numId w:val="3"/>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45.83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DB4ADE9">
      <w:pPr>
        <w:numPr>
          <w:ilvl w:val="0"/>
          <w:numId w:val="3"/>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364DDF2">
      <w:pPr>
        <w:numPr>
          <w:ilvl w:val="0"/>
          <w:numId w:val="3"/>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住房保障（类）</w:t>
      </w:r>
      <w:r>
        <w:rPr>
          <w:rFonts w:hint="eastAsia" w:eastAsia="仿宋_GB2312" w:cs="仿宋_GB2312"/>
          <w:color w:val="auto"/>
          <w:kern w:val="2"/>
          <w:sz w:val="32"/>
          <w:szCs w:val="32"/>
          <w:highlight w:val="none"/>
          <w:lang w:val="en-US" w:eastAsia="zh-CN" w:bidi="ar-SA"/>
        </w:rPr>
        <w:t>221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16.73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D4C84DC">
      <w:pPr>
        <w:numPr>
          <w:ilvl w:val="0"/>
          <w:numId w:val="3"/>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粮油物资事务（类）</w:t>
      </w:r>
      <w:r>
        <w:rPr>
          <w:rFonts w:hint="eastAsia" w:eastAsia="仿宋_GB2312" w:cs="仿宋_GB2312"/>
          <w:color w:val="auto"/>
          <w:kern w:val="2"/>
          <w:sz w:val="32"/>
          <w:szCs w:val="32"/>
          <w:highlight w:val="none"/>
          <w:lang w:val="en-US" w:eastAsia="zh-CN" w:bidi="ar-SA"/>
        </w:rPr>
        <w:t>222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274.97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9EC779D">
      <w:pPr>
        <w:numPr>
          <w:ilvl w:val="0"/>
          <w:numId w:val="3"/>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粮油储备支出（类）</w:t>
      </w:r>
      <w:r>
        <w:rPr>
          <w:rFonts w:hint="eastAsia" w:eastAsia="仿宋_GB2312" w:cs="仿宋_GB2312"/>
          <w:color w:val="auto"/>
          <w:kern w:val="2"/>
          <w:sz w:val="32"/>
          <w:szCs w:val="32"/>
          <w:highlight w:val="none"/>
          <w:lang w:val="en-US" w:eastAsia="zh-CN" w:bidi="ar-SA"/>
        </w:rPr>
        <w:t>222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111.85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D1DA083">
      <w:pPr>
        <w:spacing w:line="600" w:lineRule="exact"/>
        <w:ind w:firstLine="321"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3DABCC61">
      <w:pPr>
        <w:tabs>
          <w:tab w:val="right" w:pos="8306"/>
        </w:tabs>
        <w:spacing w:line="600" w:lineRule="exact"/>
        <w:ind w:firstLine="640"/>
        <w:outlineLvl w:val="1"/>
        <w:rPr>
          <w:rStyle w:val="29"/>
          <w:rFonts w:ascii="Times New Roman" w:hAnsi="Times New Roman"/>
          <w:color w:val="auto"/>
          <w:highlight w:val="none"/>
        </w:rPr>
      </w:pPr>
      <w:bookmarkStart w:id="26" w:name="_Toc15377214"/>
      <w:bookmarkStart w:id="2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6"/>
      <w:bookmarkEnd w:id="27"/>
      <w:r>
        <w:rPr>
          <w:rStyle w:val="29"/>
          <w:rFonts w:ascii="Times New Roman" w:hAnsi="Times New Roman" w:eastAsia="黑体"/>
          <w:b w:val="0"/>
          <w:color w:val="auto"/>
          <w:highlight w:val="none"/>
        </w:rPr>
        <w:tab/>
      </w:r>
    </w:p>
    <w:p w14:paraId="6A4A4A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234.87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18A62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220.64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14.23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E394F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0ECDEB67">
      <w:pPr>
        <w:spacing w:line="600" w:lineRule="exact"/>
        <w:ind w:firstLine="640"/>
        <w:outlineLvl w:val="1"/>
        <w:rPr>
          <w:rStyle w:val="29"/>
          <w:rFonts w:ascii="Times New Roman" w:hAnsi="Times New Roman" w:eastAsia="黑体"/>
          <w:b w:val="0"/>
          <w:color w:val="auto"/>
          <w:highlight w:val="none"/>
        </w:rPr>
      </w:pPr>
      <w:bookmarkStart w:id="28" w:name="_Toc15396609"/>
      <w:bookmarkStart w:id="29"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28"/>
      <w:bookmarkEnd w:id="29"/>
    </w:p>
    <w:p w14:paraId="323723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0"/>
    </w:p>
    <w:p w14:paraId="189D2CB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6.67</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51BFF78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1"/>
    </w:p>
    <w:p w14:paraId="7F5C8DF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万元；公务用车购置及运行维护费支出决算</w:t>
      </w:r>
      <w:r>
        <w:rPr>
          <w:rFonts w:hint="eastAsia" w:ascii="仿宋_GB2312" w:hAnsi="仿宋_GB2312" w:eastAsia="仿宋_GB2312" w:cs="仿宋_GB2312"/>
          <w:sz w:val="32"/>
          <w:szCs w:val="32"/>
        </w:rPr>
        <w:t>1.4</w:t>
      </w:r>
      <w:r>
        <w:rPr>
          <w:rFonts w:hint="eastAsia" w:ascii="仿宋_GB2312" w:hAnsi="仿宋_GB2312" w:eastAsia="仿宋_GB2312" w:cs="仿宋_GB2312"/>
          <w:color w:val="auto"/>
          <w:kern w:val="2"/>
          <w:sz w:val="32"/>
          <w:szCs w:val="32"/>
          <w:highlight w:val="none"/>
          <w:lang w:val="en-US" w:eastAsia="zh-CN" w:bidi="ar-SA"/>
        </w:rPr>
        <w:t>万元；公务接待费支出决算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万元。具体情况如下：</w:t>
      </w:r>
    </w:p>
    <w:p w14:paraId="774763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p>
    <w:p w14:paraId="7B2CF8BA">
      <w:pPr>
        <w:spacing w:line="600" w:lineRule="exact"/>
        <w:ind w:firstLine="640"/>
        <w:rPr>
          <w:rFonts w:ascii="仿宋_GB2312" w:eastAsia="仿宋_GB2312"/>
          <w:b/>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1.4万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6.67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w:t>
      </w:r>
      <w:r>
        <w:rPr>
          <w:rFonts w:hint="eastAsia" w:ascii="仿宋_GB2312" w:hAnsi="仿宋" w:eastAsia="仿宋_GB2312"/>
          <w:sz w:val="32"/>
          <w:szCs w:val="32"/>
        </w:rPr>
        <w:t>严格遵守中央八项规定，故</w:t>
      </w:r>
      <w:r>
        <w:rPr>
          <w:rFonts w:hint="eastAsia" w:ascii="仿宋_GB2312" w:eastAsia="仿宋_GB2312"/>
          <w:sz w:val="32"/>
          <w:szCs w:val="32"/>
        </w:rPr>
        <w:t>公务用车运行维护费支出</w:t>
      </w:r>
      <w:r>
        <w:rPr>
          <w:rFonts w:hint="eastAsia" w:ascii="仿宋_GB2312" w:hAnsi="仿宋" w:eastAsia="仿宋_GB2312"/>
          <w:sz w:val="32"/>
          <w:szCs w:val="32"/>
        </w:rPr>
        <w:t>较上年减少</w:t>
      </w:r>
      <w:r>
        <w:rPr>
          <w:rFonts w:hint="eastAsia" w:ascii="仿宋_GB2312" w:eastAsia="仿宋_GB2312"/>
          <w:sz w:val="32"/>
          <w:szCs w:val="32"/>
        </w:rPr>
        <w:t>。</w:t>
      </w:r>
    </w:p>
    <w:p w14:paraId="052DDEF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3D5140F">
      <w:pPr>
        <w:spacing w:line="600" w:lineRule="exact"/>
        <w:ind w:firstLine="64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1.4</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eastAsia="仿宋_GB2312"/>
          <w:sz w:val="32"/>
          <w:szCs w:val="32"/>
        </w:rPr>
        <w:t>主要用于日常工作所需的公务用车燃料费、维修费、过路过桥费、保险费等支出。</w:t>
      </w:r>
    </w:p>
    <w:p w14:paraId="7C3F0F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主要原因是厉行节约，</w:t>
      </w:r>
      <w:r>
        <w:rPr>
          <w:rFonts w:hint="eastAsia" w:ascii="仿宋_GB2312" w:hAnsi="仿宋" w:eastAsia="仿宋_GB2312"/>
          <w:sz w:val="32"/>
          <w:szCs w:val="32"/>
        </w:rPr>
        <w:t>严格遵守中央八项规定</w:t>
      </w:r>
      <w:r>
        <w:rPr>
          <w:rFonts w:hint="eastAsia" w:ascii="仿宋_GB2312" w:hAnsi="仿宋" w:eastAsia="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其中：</w:t>
      </w:r>
    </w:p>
    <w:p w14:paraId="15B878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w:t>
      </w:r>
    </w:p>
    <w:p w14:paraId="4E7B6C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w:t>
      </w:r>
      <w:bookmarkStart w:id="32" w:name="_Toc15396610"/>
      <w:bookmarkStart w:id="33" w:name="_Toc15377218"/>
    </w:p>
    <w:p w14:paraId="411C1D4A">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2"/>
      <w:bookmarkEnd w:id="33"/>
    </w:p>
    <w:p w14:paraId="55789D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3E666715">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4" w:name="_Toc15396611"/>
      <w:bookmarkStart w:id="35"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4"/>
      <w:bookmarkEnd w:id="35"/>
    </w:p>
    <w:p w14:paraId="656800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6F3830EA">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36" w:name="_Toc15396612"/>
      <w:bookmarkStart w:id="37"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6"/>
      <w:bookmarkEnd w:id="37"/>
    </w:p>
    <w:p w14:paraId="5AE2B89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22"/>
      <w:r>
        <w:rPr>
          <w:rFonts w:hint="eastAsia" w:ascii="Times New Roman" w:hAnsi="Times New Roman" w:eastAsia="楷体_GB2312" w:cs="楷体_GB2312"/>
          <w:b/>
          <w:color w:val="auto"/>
          <w:sz w:val="32"/>
          <w:szCs w:val="32"/>
          <w:highlight w:val="none"/>
        </w:rPr>
        <w:t>（一）机关运行经费支出情况</w:t>
      </w:r>
      <w:bookmarkEnd w:id="38"/>
    </w:p>
    <w:p w14:paraId="3814F06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松潘县粮食和物资储备中心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14.23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5.12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56.2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。原因是应急物资储备运行管理费用增加，宣传活动印刷费增加。</w:t>
      </w:r>
    </w:p>
    <w:p w14:paraId="346DE6F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23"/>
      <w:r>
        <w:rPr>
          <w:rFonts w:hint="eastAsia" w:ascii="Times New Roman" w:hAnsi="Times New Roman" w:eastAsia="楷体_GB2312" w:cs="楷体_GB2312"/>
          <w:b/>
          <w:color w:val="auto"/>
          <w:sz w:val="32"/>
          <w:szCs w:val="32"/>
          <w:highlight w:val="none"/>
        </w:rPr>
        <w:t>（二）政府采购支出情况</w:t>
      </w:r>
      <w:bookmarkEnd w:id="39"/>
    </w:p>
    <w:p w14:paraId="238E644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松潘县粮食和物资储备中心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万元。主要用于……（具体工作）。授予中小企业合同金额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9B3BB3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4"/>
      <w:r>
        <w:rPr>
          <w:rFonts w:hint="eastAsia" w:ascii="Times New Roman" w:hAnsi="Times New Roman" w:eastAsia="楷体_GB2312" w:cs="楷体_GB2312"/>
          <w:b/>
          <w:color w:val="auto"/>
          <w:sz w:val="32"/>
          <w:szCs w:val="32"/>
          <w:highlight w:val="none"/>
        </w:rPr>
        <w:t>（三）国有资产占有使用情况</w:t>
      </w:r>
      <w:bookmarkEnd w:id="40"/>
    </w:p>
    <w:p w14:paraId="65EA85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松潘县粮食和物资储备中心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辆，其他用车主要是用于粮油执法及日常运行。单价100万元（含）以上设备（不含车辆）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6CC5A94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91C8E6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松潘县粮食和物资储备中心</w:t>
      </w:r>
      <w:r>
        <w:rPr>
          <w:rFonts w:hint="eastAsia" w:ascii="Times New Roman" w:hAnsi="Times New Roman" w:eastAsia="仿宋_GB2312" w:cs="仿宋_GB2312"/>
          <w:color w:val="auto"/>
          <w:kern w:val="2"/>
          <w:sz w:val="32"/>
          <w:szCs w:val="32"/>
          <w:highlight w:val="none"/>
          <w:lang w:val="en-US" w:eastAsia="zh-CN" w:bidi="ar-SA"/>
        </w:rPr>
        <w:t>在2024年度预算编制阶段，</w:t>
      </w:r>
      <w:r>
        <w:rPr>
          <w:rFonts w:hint="eastAsia" w:ascii="仿宋_GB2312" w:hAnsi="Times New Roman" w:eastAsia="仿宋_GB2312"/>
          <w:sz w:val="32"/>
          <w:szCs w:val="32"/>
        </w:rPr>
        <w:t>组织对</w:t>
      </w:r>
      <w:r>
        <w:rPr>
          <w:rFonts w:hint="eastAsia" w:ascii="仿宋_GB2312" w:hAnsi="仿宋_GB2312" w:eastAsia="仿宋_GB2312" w:cs="仿宋_GB2312"/>
          <w:sz w:val="32"/>
          <w:szCs w:val="32"/>
          <w:lang w:val="en-US" w:eastAsia="zh-CN"/>
        </w:rPr>
        <w:t>粮食执法经费</w:t>
      </w:r>
      <w:r>
        <w:rPr>
          <w:rFonts w:hint="eastAsia" w:ascii="仿宋_GB2312" w:hAnsi="Times New Roman" w:eastAsia="仿宋_GB2312"/>
          <w:sz w:val="32"/>
          <w:szCs w:val="32"/>
        </w:rPr>
        <w:t>项目</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物资储备经费项目、松潘城关粮库建设项目、松潘县储备粮监管信息化提档升级建设项目</w:t>
      </w:r>
      <w:r>
        <w:rPr>
          <w:rFonts w:hint="eastAsia" w:ascii="仿宋_GB2312" w:hAnsi="Times New Roman" w:eastAsia="仿宋_GB2312"/>
          <w:sz w:val="32"/>
          <w:szCs w:val="32"/>
        </w:rPr>
        <w:t>开展了预算事前绩效评估，对</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个项目编制了绩效目标</w:t>
      </w:r>
      <w:r>
        <w:rPr>
          <w:rFonts w:hint="eastAsia" w:ascii="仿宋_GB2312" w:eastAsia="仿宋_GB2312"/>
          <w:sz w:val="32"/>
          <w:szCs w:val="32"/>
          <w:lang w:eastAsia="zh-CN"/>
        </w:rPr>
        <w:t>，在</w:t>
      </w:r>
      <w:r>
        <w:rPr>
          <w:rFonts w:hint="eastAsia" w:ascii="仿宋_GB2312" w:hAnsi="Times New Roman" w:eastAsia="仿宋_GB2312"/>
          <w:sz w:val="32"/>
          <w:szCs w:val="32"/>
        </w:rPr>
        <w:t>预算执行过程中，选取</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个项目开展绩效监控，组织对</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个项目开展绩效自评。</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如不涉及，可根据实际修改表述。）</w:t>
      </w:r>
    </w:p>
    <w:p w14:paraId="5ACFFE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858DB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641EE54">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1" w:name="_Toc15396613"/>
      <w:bookmarkStart w:id="42"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1"/>
      <w:bookmarkEnd w:id="42"/>
    </w:p>
    <w:p w14:paraId="50FA3FD7">
      <w:pPr>
        <w:spacing w:line="600" w:lineRule="exact"/>
        <w:jc w:val="left"/>
        <w:rPr>
          <w:rFonts w:ascii="Times New Roman" w:hAnsi="Times New Roman"/>
          <w:b/>
          <w:color w:val="auto"/>
          <w:sz w:val="44"/>
          <w:szCs w:val="44"/>
          <w:highlight w:val="none"/>
        </w:rPr>
      </w:pPr>
    </w:p>
    <w:p w14:paraId="77934A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3B24E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731C6E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26FDF3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07E55F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5A426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12D0CF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368C15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46DE3A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54C528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581F2B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73B854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57F62A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14:paraId="439C7E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14:paraId="16DDF8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14:paraId="469361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14:paraId="61AFBD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7A772F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3D024F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720171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3D1098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128F7C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086C37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09E789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04785D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14:paraId="2DE3E0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4B4F98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550B24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2BF7F0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397062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777866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057D40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2F3AB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D888CD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369B0B3E">
      <w:pPr>
        <w:spacing w:line="600" w:lineRule="exact"/>
        <w:jc w:val="center"/>
        <w:rPr>
          <w:rStyle w:val="28"/>
          <w:rFonts w:hint="eastAsia" w:ascii="Times New Roman" w:hAnsi="Times New Roman" w:eastAsia="黑体"/>
          <w:b w:val="0"/>
          <w:color w:val="auto"/>
          <w:highlight w:val="none"/>
          <w:lang w:eastAsia="zh-CN"/>
        </w:rPr>
      </w:pPr>
      <w:bookmarkStart w:id="43" w:name="_Toc15377226"/>
      <w:r>
        <w:rPr>
          <w:rFonts w:hint="eastAsia" w:ascii="Times New Roman" w:hAnsi="Times New Roman" w:eastAsia="仿宋_GB2312" w:cs="仿宋_GB2312"/>
          <w:color w:val="auto"/>
          <w:kern w:val="2"/>
          <w:sz w:val="32"/>
          <w:szCs w:val="32"/>
          <w:highlight w:val="none"/>
          <w:lang w:val="en-US" w:eastAsia="zh-CN" w:bidi="ar-SA"/>
        </w:rPr>
        <w:br w:type="page"/>
      </w:r>
    </w:p>
    <w:p w14:paraId="03C2C59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9FB6129">
      <w:pPr>
        <w:spacing w:line="600" w:lineRule="exact"/>
        <w:jc w:val="center"/>
        <w:outlineLvl w:val="0"/>
        <w:rPr>
          <w:rStyle w:val="28"/>
          <w:rFonts w:ascii="黑体" w:hAnsi="黑体" w:eastAsia="黑体"/>
          <w:b w:val="0"/>
          <w:color w:val="auto"/>
          <w:highlight w:val="none"/>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p>
    <w:p w14:paraId="447994F3">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14:paraId="458E872C">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4</w:t>
      </w:r>
      <w:r>
        <w:rPr>
          <w:rFonts w:hint="eastAsia" w:hAnsi="Times New Roman" w:cs="Times New Roman"/>
          <w:sz w:val="32"/>
          <w:szCs w:val="32"/>
          <w:highlight w:val="none"/>
          <w:lang w:val="en-US" w:eastAsia="zh-CN"/>
        </w:rPr>
        <w:t>年度）</w:t>
      </w:r>
    </w:p>
    <w:p w14:paraId="1867EB8C">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sz w:val="32"/>
          <w:szCs w:val="32"/>
          <w:highlight w:val="none"/>
          <w:lang w:val="en-US" w:eastAsia="zh-CN"/>
        </w:rPr>
      </w:pPr>
    </w:p>
    <w:p w14:paraId="608EC66A">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Calibri" w:eastAsia="仿宋_GB2312" w:cs="仿宋"/>
          <w:color w:val="auto"/>
          <w:sz w:val="32"/>
          <w:szCs w:val="32"/>
          <w:highlight w:val="none"/>
          <w:lang w:val="zh-CN" w:eastAsia="zh-CN" w:bidi="ar-SA"/>
        </w:rPr>
      </w:pPr>
      <w:r>
        <w:rPr>
          <w:rFonts w:hint="eastAsia" w:ascii="仿宋_GB2312" w:hAnsi="Calibri" w:eastAsia="仿宋_GB2312" w:cs="仿宋"/>
          <w:color w:val="auto"/>
          <w:sz w:val="32"/>
          <w:szCs w:val="32"/>
          <w:highlight w:val="none"/>
          <w:lang w:val="en-US" w:eastAsia="zh-CN" w:bidi="ar-SA"/>
        </w:rPr>
        <w:t>（备注：按照绩效自评工作安排，各单位可在预算管理一体化系统—综合报表查询—预算绩效报表模块中下载本单位“部门预算项目支出绩效自评表</w:t>
      </w:r>
      <w:bookmarkStart w:id="58" w:name="_GoBack"/>
      <w:r>
        <w:rPr>
          <w:rFonts w:hint="eastAsia" w:ascii="仿宋_GB2312" w:hAnsi="Calibri" w:eastAsia="仿宋_GB2312" w:cs="仿宋"/>
          <w:color w:val="auto"/>
          <w:sz w:val="32"/>
          <w:szCs w:val="32"/>
          <w:highlight w:val="none"/>
          <w:lang w:val="en-US" w:eastAsia="zh-CN" w:bidi="ar-SA"/>
        </w:rPr>
        <w:t>（</w:t>
      </w:r>
      <w:bookmarkEnd w:id="58"/>
      <w:r>
        <w:rPr>
          <w:rFonts w:hint="eastAsia" w:ascii="仿宋_GB2312" w:hAnsi="Calibri" w:eastAsia="仿宋_GB2312" w:cs="仿宋"/>
          <w:color w:val="auto"/>
          <w:sz w:val="32"/>
          <w:szCs w:val="32"/>
          <w:highlight w:val="none"/>
          <w:lang w:val="en-US" w:eastAsia="zh-CN" w:bidi="ar-SA"/>
        </w:rPr>
        <w:t>202</w:t>
      </w:r>
      <w:r>
        <w:rPr>
          <w:rFonts w:hint="eastAsia" w:hAnsi="Calibri" w:eastAsia="仿宋_GB2312" w:cs="仿宋"/>
          <w:color w:val="auto"/>
          <w:sz w:val="32"/>
          <w:szCs w:val="32"/>
          <w:highlight w:val="none"/>
          <w:lang w:val="en-US" w:eastAsia="zh-CN" w:bidi="ar-SA"/>
        </w:rPr>
        <w:t>4</w:t>
      </w:r>
      <w:r>
        <w:rPr>
          <w:rFonts w:hint="eastAsia" w:ascii="仿宋_GB2312" w:hAnsi="Calibri" w:eastAsia="仿宋_GB2312" w:cs="仿宋"/>
          <w:color w:val="auto"/>
          <w:sz w:val="32"/>
          <w:szCs w:val="32"/>
          <w:highlight w:val="none"/>
          <w:lang w:val="en-US" w:eastAsia="zh-CN" w:bidi="ar-SA"/>
        </w:rPr>
        <w:t>年度）”，该表格应作为附件予以公开。）</w:t>
      </w:r>
    </w:p>
    <w:p w14:paraId="30C5CCE4">
      <w:pPr>
        <w:rPr>
          <w:rFonts w:hint="eastAsia" w:ascii="黑体" w:hAnsi="黑体" w:eastAsia="黑体"/>
          <w:color w:val="auto"/>
          <w:sz w:val="44"/>
          <w:szCs w:val="44"/>
          <w:highlight w:val="none"/>
        </w:rPr>
      </w:pPr>
    </w:p>
    <w:p w14:paraId="0BDC764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E4F76D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C36EFB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4"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2579AE8">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3"/>
      <w:bookmarkEnd w:id="44"/>
      <w:bookmarkStart w:id="45" w:name="_Toc15396619"/>
    </w:p>
    <w:p w14:paraId="6D633E8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E1664A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5"/>
    </w:p>
    <w:p w14:paraId="7B6C0CD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0"/>
      <w:r>
        <w:rPr>
          <w:rFonts w:hint="eastAsia" w:ascii="Times New Roman" w:hAnsi="Times New Roman" w:eastAsia="仿宋_GB2312" w:cs="仿宋_GB2312"/>
          <w:color w:val="auto"/>
          <w:sz w:val="32"/>
          <w:szCs w:val="32"/>
          <w:highlight w:val="none"/>
        </w:rPr>
        <w:t>二、收入决算表</w:t>
      </w:r>
      <w:bookmarkEnd w:id="46"/>
    </w:p>
    <w:p w14:paraId="4F97D96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1"/>
      <w:r>
        <w:rPr>
          <w:rFonts w:hint="eastAsia" w:ascii="Times New Roman" w:hAnsi="Times New Roman" w:eastAsia="仿宋_GB2312" w:cs="仿宋_GB2312"/>
          <w:color w:val="auto"/>
          <w:sz w:val="32"/>
          <w:szCs w:val="32"/>
          <w:highlight w:val="none"/>
        </w:rPr>
        <w:t>三、支出决算表</w:t>
      </w:r>
      <w:bookmarkEnd w:id="47"/>
    </w:p>
    <w:p w14:paraId="6799637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2"/>
      <w:r>
        <w:rPr>
          <w:rFonts w:hint="eastAsia" w:ascii="Times New Roman" w:hAnsi="Times New Roman" w:eastAsia="仿宋_GB2312" w:cs="仿宋_GB2312"/>
          <w:color w:val="auto"/>
          <w:sz w:val="32"/>
          <w:szCs w:val="32"/>
          <w:highlight w:val="none"/>
        </w:rPr>
        <w:t>四、财政拨款收入支出决算总表</w:t>
      </w:r>
      <w:bookmarkEnd w:id="48"/>
    </w:p>
    <w:p w14:paraId="6C21FC9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3"/>
      <w:r>
        <w:rPr>
          <w:rFonts w:hint="eastAsia" w:ascii="Times New Roman" w:hAnsi="Times New Roman" w:eastAsia="仿宋_GB2312" w:cs="仿宋_GB2312"/>
          <w:color w:val="auto"/>
          <w:sz w:val="32"/>
          <w:szCs w:val="32"/>
          <w:highlight w:val="none"/>
        </w:rPr>
        <w:t>五、财政拨款支出决算明细表</w:t>
      </w:r>
      <w:bookmarkEnd w:id="49"/>
      <w:bookmarkStart w:id="50" w:name="_Toc15396624"/>
    </w:p>
    <w:p w14:paraId="3246A37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0"/>
    </w:p>
    <w:p w14:paraId="35E6134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5"/>
      <w:r>
        <w:rPr>
          <w:rFonts w:hint="eastAsia" w:ascii="Times New Roman" w:hAnsi="Times New Roman" w:eastAsia="仿宋_GB2312" w:cs="仿宋_GB2312"/>
          <w:color w:val="auto"/>
          <w:sz w:val="32"/>
          <w:szCs w:val="32"/>
          <w:highlight w:val="none"/>
        </w:rPr>
        <w:t>七、一般公共预算财政拨款支出决算明细表</w:t>
      </w:r>
      <w:bookmarkEnd w:id="51"/>
    </w:p>
    <w:p w14:paraId="2FF3DAC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6"/>
      <w:r>
        <w:rPr>
          <w:rFonts w:hint="eastAsia" w:ascii="Times New Roman" w:hAnsi="Times New Roman" w:eastAsia="仿宋_GB2312" w:cs="仿宋_GB2312"/>
          <w:color w:val="auto"/>
          <w:sz w:val="32"/>
          <w:szCs w:val="32"/>
          <w:highlight w:val="none"/>
        </w:rPr>
        <w:t>八、一般公共预算财政拨款基本支出决算表</w:t>
      </w:r>
      <w:bookmarkEnd w:id="52"/>
    </w:p>
    <w:p w14:paraId="420A663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7"/>
      <w:r>
        <w:rPr>
          <w:rFonts w:hint="eastAsia" w:ascii="Times New Roman" w:hAnsi="Times New Roman" w:eastAsia="仿宋_GB2312" w:cs="仿宋_GB2312"/>
          <w:color w:val="auto"/>
          <w:sz w:val="32"/>
          <w:szCs w:val="32"/>
          <w:highlight w:val="none"/>
        </w:rPr>
        <w:t>九、一般公共预算财政拨款项目支出决算表</w:t>
      </w:r>
      <w:bookmarkEnd w:id="53"/>
    </w:p>
    <w:p w14:paraId="082423C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8"/>
      <w:r>
        <w:rPr>
          <w:rFonts w:hint="eastAsia" w:ascii="Times New Roman" w:hAnsi="Times New Roman" w:eastAsia="仿宋_GB2312" w:cs="仿宋_GB2312"/>
          <w:color w:val="auto"/>
          <w:sz w:val="32"/>
          <w:szCs w:val="32"/>
          <w:highlight w:val="none"/>
        </w:rPr>
        <w:t>十、</w:t>
      </w:r>
      <w:bookmarkEnd w:id="54"/>
      <w:r>
        <w:rPr>
          <w:rFonts w:hint="eastAsia" w:ascii="Times New Roman" w:hAnsi="Times New Roman" w:eastAsia="仿宋_GB2312" w:cs="仿宋_GB2312"/>
          <w:color w:val="auto"/>
          <w:sz w:val="32"/>
          <w:szCs w:val="32"/>
          <w:highlight w:val="none"/>
        </w:rPr>
        <w:t>政府性基金预算财政拨款收入支出决算表</w:t>
      </w:r>
    </w:p>
    <w:p w14:paraId="50873DB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9"/>
      <w:r>
        <w:rPr>
          <w:rFonts w:hint="eastAsia" w:ascii="Times New Roman" w:hAnsi="Times New Roman" w:eastAsia="仿宋_GB2312" w:cs="仿宋_GB2312"/>
          <w:color w:val="auto"/>
          <w:sz w:val="32"/>
          <w:szCs w:val="32"/>
          <w:highlight w:val="none"/>
        </w:rPr>
        <w:t>十一、</w:t>
      </w:r>
      <w:bookmarkEnd w:id="5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EB1B9F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30"/>
      <w:r>
        <w:rPr>
          <w:rFonts w:hint="eastAsia" w:ascii="Times New Roman" w:hAnsi="Times New Roman" w:eastAsia="仿宋_GB2312" w:cs="仿宋_GB2312"/>
          <w:color w:val="auto"/>
          <w:sz w:val="32"/>
          <w:szCs w:val="32"/>
          <w:highlight w:val="none"/>
        </w:rPr>
        <w:t>十二、</w:t>
      </w:r>
      <w:bookmarkEnd w:id="56"/>
      <w:r>
        <w:rPr>
          <w:rFonts w:hint="eastAsia" w:ascii="Times New Roman" w:hAnsi="Times New Roman" w:eastAsia="仿宋_GB2312" w:cs="仿宋_GB2312"/>
          <w:color w:val="auto"/>
          <w:sz w:val="32"/>
          <w:szCs w:val="32"/>
          <w:highlight w:val="none"/>
          <w:lang w:eastAsia="zh-CN"/>
        </w:rPr>
        <w:t>国有资本经营预算财政拨款支出决算表</w:t>
      </w:r>
    </w:p>
    <w:p w14:paraId="734AEF4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7" w:name="_Toc15396631"/>
      <w:r>
        <w:rPr>
          <w:rFonts w:hint="eastAsia" w:ascii="Times New Roman" w:hAnsi="Times New Roman" w:eastAsia="仿宋_GB2312" w:cs="仿宋_GB2312"/>
          <w:color w:val="auto"/>
          <w:sz w:val="32"/>
          <w:szCs w:val="32"/>
          <w:highlight w:val="none"/>
        </w:rPr>
        <w:t>十三、</w:t>
      </w:r>
      <w:bookmarkEnd w:id="57"/>
      <w:r>
        <w:rPr>
          <w:rFonts w:hint="eastAsia" w:ascii="Times New Roman" w:hAnsi="Times New Roman" w:eastAsia="仿宋_GB2312" w:cs="仿宋_GB2312"/>
          <w:color w:val="auto"/>
          <w:sz w:val="32"/>
          <w:szCs w:val="32"/>
          <w:highlight w:val="none"/>
          <w:lang w:eastAsia="zh-CN"/>
        </w:rPr>
        <w:t>财政拨款“三公”经费支出决算表</w:t>
      </w:r>
    </w:p>
    <w:p w14:paraId="54CA379C">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55A777-D876-4542-8714-04ADCD6DE4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038ADB-81D1-43FC-9735-80CB06C12D6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7BF5475C-1F97-4E0A-B215-6023DBFC0DD2}"/>
  </w:font>
  <w:font w:name="仿宋">
    <w:panose1 w:val="02010609060101010101"/>
    <w:charset w:val="86"/>
    <w:family w:val="modern"/>
    <w:pitch w:val="default"/>
    <w:sig w:usb0="800002BF" w:usb1="38CF7CFA" w:usb2="00000016" w:usb3="00000000" w:csb0="00040001" w:csb1="00000000"/>
    <w:embedRegular r:id="rId4" w:fontKey="{B4D27582-6BC1-4137-B7A4-B9AE16BB5F2F}"/>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12EAB535-C356-4D21-9920-B433D0419898}"/>
  </w:font>
  <w:font w:name="楷体_GB2312">
    <w:panose1 w:val="02010609030101010101"/>
    <w:charset w:val="86"/>
    <w:family w:val="auto"/>
    <w:pitch w:val="default"/>
    <w:sig w:usb0="00000001" w:usb1="080E0000" w:usb2="00000000" w:usb3="00000000" w:csb0="00040000" w:csb1="00000000"/>
    <w:embedRegular r:id="rId6" w:fontKey="{C7935667-BD73-4910-9FE7-0409639E78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A696">
    <w:pPr>
      <w:pStyle w:val="11"/>
      <w:jc w:val="center"/>
    </w:pPr>
  </w:p>
  <w:p w14:paraId="551742C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C355">
    <w:pPr>
      <w:pStyle w:val="11"/>
      <w:jc w:val="center"/>
    </w:pPr>
  </w:p>
  <w:p w14:paraId="3154AC7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5063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B722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5C909"/>
    <w:multiLevelType w:val="singleLevel"/>
    <w:tmpl w:val="BB85C909"/>
    <w:lvl w:ilvl="0" w:tentative="0">
      <w:start w:val="1"/>
      <w:numFmt w:val="decimal"/>
      <w:lvlText w:val="%1."/>
      <w:lvlJc w:val="left"/>
      <w:pPr>
        <w:tabs>
          <w:tab w:val="left" w:pos="312"/>
        </w:tabs>
      </w:pPr>
    </w:lvl>
  </w:abstractNum>
  <w:abstractNum w:abstractNumId="1">
    <w:nsid w:val="BFC3C976"/>
    <w:multiLevelType w:val="singleLevel"/>
    <w:tmpl w:val="BFC3C976"/>
    <w:lvl w:ilvl="0" w:tentative="0">
      <w:start w:val="1"/>
      <w:numFmt w:val="chineseCounting"/>
      <w:suff w:val="nothing"/>
      <w:lvlText w:val="%1、"/>
      <w:lvlJc w:val="left"/>
      <w:rPr>
        <w:rFonts w:hint="eastAsia"/>
      </w:r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0B7887"/>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7CB36E2"/>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20F7A"/>
    <w:rsid w:val="7A894339"/>
    <w:rsid w:val="7AD284E8"/>
    <w:rsid w:val="7AFF7572"/>
    <w:rsid w:val="7B6C7DFB"/>
    <w:rsid w:val="7BBFBED0"/>
    <w:rsid w:val="7BC3E394"/>
    <w:rsid w:val="7C1F3737"/>
    <w:rsid w:val="7CBFC87B"/>
    <w:rsid w:val="7CFE0F48"/>
    <w:rsid w:val="7D272ABC"/>
    <w:rsid w:val="7D7EC23E"/>
    <w:rsid w:val="7DFC73B6"/>
    <w:rsid w:val="7E8ADEBF"/>
    <w:rsid w:val="7EE54EC8"/>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6370</Words>
  <Characters>6795</Characters>
  <Lines>61</Lines>
  <Paragraphs>17</Paragraphs>
  <TotalTime>13</TotalTime>
  <ScaleCrop>false</ScaleCrop>
  <LinksUpToDate>false</LinksUpToDate>
  <CharactersWithSpaces>6851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2025-10-16T01:19:13Z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