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bookmarkStart w:id="73" w:name="_GoBack"/>
      <w:bookmarkEnd w:id="73"/>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1" w:name="_Toc15396597"/>
      <w:bookmarkStart w:id="2" w:name="_Toc15378441"/>
      <w:bookmarkStart w:id="3" w:name="_Toc15377425"/>
      <w:bookmarkStart w:id="4" w:name="_Toc15377193"/>
      <w:bookmarkStart w:id="5"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bookmarkStart w:id="6" w:name="_Toc15396476"/>
      <w:bookmarkStart w:id="7" w:name="_Toc15377194"/>
      <w:bookmarkStart w:id="8" w:name="_Toc15377426"/>
      <w:bookmarkStart w:id="9" w:name="_Toc15396598"/>
      <w:bookmarkStart w:id="10" w:name="_Toc15378442"/>
    </w:p>
    <w:p>
      <w:pPr>
        <w:adjustRightInd w:val="0"/>
        <w:snapToGrid w:val="0"/>
        <w:spacing w:line="360" w:lineRule="auto"/>
        <w:jc w:val="left"/>
        <w:outlineLvl w:val="0"/>
        <w:rPr>
          <w:rFonts w:hint="eastAsia" w:ascii="方正小标宋简体" w:hAnsi="宋体" w:eastAsia="方正小标宋简体"/>
          <w:color w:val="000000"/>
          <w:sz w:val="72"/>
          <w:szCs w:val="72"/>
          <w:lang w:eastAsia="zh-CN"/>
        </w:rPr>
      </w:pPr>
      <w:r>
        <w:rPr>
          <w:rFonts w:hint="eastAsia" w:ascii="方正小标宋简体" w:hAnsi="宋体" w:eastAsia="方正小标宋简体"/>
          <w:color w:val="000000"/>
          <w:w w:val="96"/>
          <w:sz w:val="72"/>
          <w:szCs w:val="72"/>
        </w:rPr>
        <w:t>四川省阿坝州</w:t>
      </w:r>
      <w:bookmarkEnd w:id="0"/>
      <w:bookmarkStart w:id="11" w:name="_Toc15306268"/>
      <w:r>
        <w:rPr>
          <w:rFonts w:hint="eastAsia" w:ascii="方正小标宋简体" w:hAnsi="宋体" w:eastAsia="方正小标宋简体"/>
          <w:color w:val="000000"/>
          <w:w w:val="96"/>
          <w:sz w:val="72"/>
          <w:szCs w:val="72"/>
          <w:lang w:eastAsia="zh-CN"/>
        </w:rPr>
        <w:t>松潘县粮食局</w:t>
      </w:r>
    </w:p>
    <w:p>
      <w:pPr>
        <w:adjustRightInd w:val="0"/>
        <w:snapToGrid w:val="0"/>
        <w:spacing w:line="360" w:lineRule="auto"/>
        <w:ind w:firstLine="2880" w:firstLineChars="400"/>
        <w:jc w:val="left"/>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pPr>
        <w:widowControl/>
        <w:jc w:val="center"/>
        <w:rPr>
          <w:rFonts w:ascii="方正小标宋简体" w:hAnsi="宋体" w:eastAsia="方正小标宋简体"/>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2"/>
      </w:pPr>
      <w:r>
        <w:rPr>
          <w:rFonts w:hint="eastAsia"/>
        </w:rPr>
        <w:t>公开时间：2020年9月</w:t>
      </w:r>
      <w:r>
        <w:t>25</w:t>
      </w:r>
      <w:r>
        <w:rPr>
          <w:rFonts w:hint="eastAsia"/>
        </w:rPr>
        <w:t>日</w:t>
      </w:r>
    </w:p>
    <w:p/>
    <w:p>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4"/>
        <w:adjustRightInd w:val="0"/>
        <w:snapToGrid w:val="0"/>
        <w:spacing w:line="440" w:lineRule="exact"/>
        <w:jc w:val="left"/>
        <w:rPr>
          <w:rFonts w:ascii="仿宋" w:hAnsi="仿宋" w:eastAsia="仿宋"/>
          <w:sz w:val="24"/>
        </w:rPr>
      </w:pPr>
      <w:r>
        <w:rPr>
          <w:rFonts w:hint="eastAsia"/>
          <w:sz w:val="24"/>
        </w:rPr>
        <w:t>一、基本职能及主要工作</w:t>
      </w:r>
    </w:p>
    <w:p>
      <w:pPr>
        <w:pStyle w:val="14"/>
        <w:adjustRightInd w:val="0"/>
        <w:snapToGrid w:val="0"/>
        <w:spacing w:line="440" w:lineRule="exact"/>
        <w:jc w:val="left"/>
        <w:rPr>
          <w:rFonts w:ascii="仿宋" w:hAnsi="仿宋" w:eastAsia="仿宋" w:cstheme="minorBidi"/>
          <w:sz w:val="24"/>
        </w:rPr>
      </w:pPr>
      <w:r>
        <w:rPr>
          <w:rFonts w:hint="eastAsia"/>
          <w:sz w:val="24"/>
        </w:rPr>
        <w:t>二、机构设置</w:t>
      </w:r>
    </w:p>
    <w:p>
      <w:pPr>
        <w:pStyle w:val="12"/>
        <w:adjustRightInd w:val="0"/>
        <w:snapToGrid w:val="0"/>
        <w:spacing w:before="0" w:line="440" w:lineRule="exact"/>
        <w:jc w:val="left"/>
        <w:rPr>
          <w:sz w:val="24"/>
          <w:szCs w:val="24"/>
        </w:rPr>
      </w:pPr>
      <w:r>
        <w:rPr>
          <w:rFonts w:hint="eastAsia"/>
          <w:sz w:val="24"/>
        </w:rPr>
        <w:t>第二部分度部门决算情况说明</w:t>
      </w:r>
    </w:p>
    <w:p>
      <w:pPr>
        <w:pStyle w:val="14"/>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4"/>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4"/>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4"/>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4"/>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4"/>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4"/>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4"/>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4"/>
        <w:adjustRightInd w:val="0"/>
        <w:snapToGrid w:val="0"/>
        <w:spacing w:line="440" w:lineRule="exact"/>
        <w:ind w:leftChars="0"/>
        <w:jc w:val="left"/>
        <w:rPr>
          <w:rFonts w:hint="eastAsia"/>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pStyle w:val="14"/>
        <w:adjustRightInd w:val="0"/>
        <w:snapToGrid w:val="0"/>
        <w:spacing w:line="440" w:lineRule="exact"/>
        <w:ind w:leftChars="0"/>
        <w:jc w:val="left"/>
        <w:rPr>
          <w:rFonts w:ascii="仿宋" w:hAnsi="仿宋" w:eastAsia="仿宋" w:cstheme="minorBidi"/>
          <w:sz w:val="24"/>
        </w:rPr>
      </w:pPr>
      <w:r>
        <w:rPr>
          <w:rStyle w:val="19"/>
          <w:rFonts w:hint="eastAsia" w:ascii="仿宋" w:hAnsi="仿宋" w:eastAsia="仿宋"/>
          <w:color w:val="000000" w:themeColor="text1"/>
          <w:sz w:val="24"/>
          <w:u w:val="none"/>
        </w:rPr>
        <w:t>十、</w:t>
      </w:r>
      <w:r>
        <w:rPr>
          <w:rFonts w:hint="eastAsia"/>
          <w:sz w:val="24"/>
        </w:rPr>
        <w:t>其他重要事项的情况说明</w:t>
      </w:r>
    </w:p>
    <w:p>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4"/>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4"/>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4"/>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4"/>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5"/>
        <w:rPr>
          <w:rStyle w:val="29"/>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9"/>
          <w:rFonts w:hint="eastAsia" w:ascii="黑体" w:hAnsi="黑体" w:eastAsia="黑体"/>
          <w:b w:val="0"/>
          <w:bCs w:val="0"/>
        </w:rPr>
        <w:t>本职能及主要工作</w:t>
      </w:r>
      <w:bookmarkEnd w:id="14"/>
      <w:bookmarkEnd w:id="15"/>
    </w:p>
    <w:p>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0"/>
        <w:rPr>
          <w:rFonts w:hint="eastAsia" w:ascii="仿宋_GB2312" w:hAnsi="仿宋" w:eastAsia="仿宋_GB2312"/>
          <w:sz w:val="32"/>
          <w:szCs w:val="32"/>
        </w:rPr>
      </w:pPr>
      <w:bookmarkStart w:id="18" w:name="_Toc15377199"/>
      <w:bookmarkStart w:id="19" w:name="_Toc15378446"/>
      <w:r>
        <w:rPr>
          <w:rFonts w:hint="eastAsia" w:ascii="仿宋_GB2312" w:hAnsi="仿宋" w:eastAsia="仿宋_GB2312"/>
          <w:sz w:val="32"/>
          <w:szCs w:val="32"/>
          <w:lang w:val="en-US" w:eastAsia="zh-CN"/>
        </w:rPr>
        <w:t>1、</w:t>
      </w:r>
      <w:r>
        <w:rPr>
          <w:rFonts w:hint="eastAsia" w:ascii="仿宋_GB2312" w:hAnsi="仿宋" w:eastAsia="仿宋_GB2312"/>
          <w:sz w:val="32"/>
          <w:szCs w:val="32"/>
        </w:rPr>
        <w:t>贯彻执行国家粮食流通体制改革和储备粮管理的方针、政策和法律、法规，拟订全县粮食流通体制改革方案，并组织实施。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0"/>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研究提出全县粮食宏观调控、总量平衡以及粮食流通的中长期规划；提出粮油流通产业政策和优化产业结构的建议。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0"/>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 xml:space="preserve">对贯彻落实有关粮食法律法规、政策制度进行监督管理；对社会粮食流通进行行政执法，依法实施行政处罚；受理行政复议、承担行业监督管理和行政执法工作。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0"/>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承担我县储备粮的管理责任； 监督管理</w:t>
      </w:r>
      <w:r>
        <w:rPr>
          <w:rFonts w:hint="eastAsia" w:ascii="仿宋_GB2312" w:hAnsi="仿宋" w:eastAsia="仿宋_GB2312"/>
          <w:sz w:val="32"/>
          <w:szCs w:val="32"/>
          <w:lang w:eastAsia="zh-CN"/>
        </w:rPr>
        <w:t>我县</w:t>
      </w:r>
      <w:r>
        <w:rPr>
          <w:rFonts w:hint="eastAsia" w:ascii="仿宋_GB2312" w:hAnsi="仿宋" w:eastAsia="仿宋_GB2312"/>
          <w:sz w:val="32"/>
          <w:szCs w:val="32"/>
        </w:rPr>
        <w:t>州级</w:t>
      </w:r>
      <w:r>
        <w:rPr>
          <w:rFonts w:hint="eastAsia" w:ascii="仿宋_GB2312" w:hAnsi="仿宋" w:eastAsia="仿宋_GB2312"/>
          <w:sz w:val="32"/>
          <w:szCs w:val="32"/>
          <w:lang w:eastAsia="zh-CN"/>
        </w:rPr>
        <w:t>、县级</w:t>
      </w:r>
      <w:r>
        <w:rPr>
          <w:rFonts w:hint="eastAsia" w:ascii="仿宋_GB2312" w:hAnsi="仿宋" w:eastAsia="仿宋_GB2312"/>
          <w:sz w:val="32"/>
          <w:szCs w:val="32"/>
        </w:rPr>
        <w:t>储备粮库存数量、质量和安全；承担</w:t>
      </w:r>
      <w:r>
        <w:rPr>
          <w:rFonts w:hint="eastAsia" w:ascii="仿宋_GB2312" w:hAnsi="仿宋" w:eastAsia="仿宋_GB2312"/>
          <w:sz w:val="32"/>
          <w:szCs w:val="32"/>
          <w:lang w:eastAsia="zh-CN"/>
        </w:rPr>
        <w:t>我县</w:t>
      </w:r>
      <w:r>
        <w:rPr>
          <w:rFonts w:hint="eastAsia" w:ascii="仿宋_GB2312" w:hAnsi="仿宋" w:eastAsia="仿宋_GB2312"/>
          <w:sz w:val="32"/>
          <w:szCs w:val="32"/>
        </w:rPr>
        <w:t>州级</w:t>
      </w:r>
      <w:r>
        <w:rPr>
          <w:rFonts w:hint="eastAsia" w:ascii="仿宋_GB2312" w:hAnsi="仿宋" w:eastAsia="仿宋_GB2312"/>
          <w:sz w:val="32"/>
          <w:szCs w:val="32"/>
          <w:lang w:eastAsia="zh-CN"/>
        </w:rPr>
        <w:t>、县级</w:t>
      </w:r>
      <w:r>
        <w:rPr>
          <w:rFonts w:hint="eastAsia" w:ascii="仿宋_GB2312" w:hAnsi="仿宋" w:eastAsia="仿宋_GB2312"/>
          <w:sz w:val="32"/>
          <w:szCs w:val="32"/>
        </w:rPr>
        <w:t>储备粮的调拨、轮换、财会管理工作。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0"/>
        <w:rPr>
          <w:rFonts w:hint="eastAsia"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负责全县粮食市场监测预警和应急保供。贯彻执行国家粮食购销政策，组织开展政策性粮食收购。协同有关部门落实粮食信贷资金政策，监督管理粮食风险基金的使用。保障军队（含武警、消防大队）、学校、灾区农牧民、缺粮贫困地区和国家重点建设项目的粮食调拨和供应。</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0"/>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健全粮食监测预警和应急机制，起草全县粮食应急预案，在粮食市场供求出现异常波动时，提出启动应急预案的建议，报县政府批准后组织实施。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0"/>
        <w:rPr>
          <w:rFonts w:hint="eastAsia" w:ascii="仿宋_GB2312" w:hAnsi="仿宋" w:eastAsia="仿宋_GB2312"/>
          <w:sz w:val="32"/>
          <w:szCs w:val="32"/>
        </w:rPr>
      </w:pPr>
      <w:r>
        <w:rPr>
          <w:rFonts w:hint="eastAsia" w:ascii="仿宋_GB2312" w:hAnsi="仿宋" w:eastAsia="仿宋_GB2312"/>
          <w:sz w:val="32"/>
          <w:szCs w:val="32"/>
          <w:lang w:val="en-US" w:eastAsia="zh-CN"/>
        </w:rPr>
        <w:t>7、</w:t>
      </w:r>
      <w:r>
        <w:rPr>
          <w:rFonts w:hint="eastAsia" w:ascii="仿宋_GB2312" w:hAnsi="仿宋" w:eastAsia="仿宋_GB2312"/>
          <w:sz w:val="32"/>
          <w:szCs w:val="32"/>
        </w:rPr>
        <w:t>指导全县粮食流通基础设施建设，编制全县粮油仓储设施建设计划并组织实施；负责全县粮油仓储设施的报废、占用、拆迁的审核上报工作。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0"/>
        <w:rPr>
          <w:rFonts w:hint="eastAsia" w:ascii="仿宋_GB2312" w:hAnsi="仿宋" w:eastAsia="仿宋_GB2312"/>
          <w:sz w:val="32"/>
          <w:szCs w:val="32"/>
        </w:rPr>
      </w:pPr>
      <w:r>
        <w:rPr>
          <w:rFonts w:hint="eastAsia" w:ascii="仿宋_GB2312" w:hAnsi="仿宋" w:eastAsia="仿宋_GB2312"/>
          <w:sz w:val="32"/>
          <w:szCs w:val="32"/>
          <w:lang w:val="en-US" w:eastAsia="zh-CN"/>
        </w:rPr>
        <w:t>8、</w:t>
      </w:r>
      <w:r>
        <w:rPr>
          <w:rFonts w:hint="eastAsia" w:ascii="仿宋_GB2312" w:hAnsi="仿宋" w:eastAsia="仿宋_GB2312"/>
          <w:sz w:val="32"/>
          <w:szCs w:val="32"/>
        </w:rPr>
        <w:t>负责全县粮食流通市场的行业管理、县级粮油批发市场体系建设；指导国有粮食企业的改革；承担全县社会粮食流通、仓储设施、粮食加工的行业管理和统计工作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0"/>
        <w:rPr>
          <w:rFonts w:hint="eastAsia" w:ascii="仿宋_GB2312" w:hAnsi="仿宋" w:eastAsia="仿宋_GB2312"/>
          <w:sz w:val="32"/>
          <w:szCs w:val="32"/>
        </w:rPr>
      </w:pPr>
      <w:r>
        <w:rPr>
          <w:rFonts w:hint="eastAsia" w:ascii="仿宋_GB2312" w:hAnsi="仿宋" w:eastAsia="仿宋_GB2312"/>
          <w:sz w:val="32"/>
          <w:szCs w:val="32"/>
          <w:lang w:val="en-US" w:eastAsia="zh-CN"/>
        </w:rPr>
        <w:t>9、</w:t>
      </w:r>
      <w:r>
        <w:rPr>
          <w:rFonts w:hint="eastAsia" w:ascii="仿宋_GB2312" w:hAnsi="仿宋" w:eastAsia="仿宋_GB2312"/>
          <w:sz w:val="32"/>
          <w:szCs w:val="32"/>
        </w:rPr>
        <w:t>监督管理全县粮食财务管理工作，指导企业管理好国有资产。落实国家、省、市、县有关财务、会计法规制度；负责全县粮食系统各类财务统计报表的汇总和上报。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0"/>
        <w:rPr>
          <w:rFonts w:hint="eastAsia" w:ascii="仿宋_GB2312" w:hAnsi="仿宋" w:eastAsia="仿宋_GB2312"/>
          <w:sz w:val="32"/>
          <w:szCs w:val="32"/>
        </w:rPr>
      </w:pPr>
      <w:r>
        <w:rPr>
          <w:rFonts w:hint="eastAsia" w:ascii="仿宋_GB2312" w:hAnsi="仿宋" w:eastAsia="仿宋_GB2312"/>
          <w:sz w:val="32"/>
          <w:szCs w:val="32"/>
          <w:lang w:val="en-US" w:eastAsia="zh-CN"/>
        </w:rPr>
        <w:t>10、</w:t>
      </w:r>
      <w:r>
        <w:rPr>
          <w:rFonts w:hint="eastAsia" w:ascii="仿宋_GB2312" w:hAnsi="仿宋" w:eastAsia="仿宋_GB2312"/>
          <w:sz w:val="32"/>
          <w:szCs w:val="32"/>
        </w:rPr>
        <w:t>组织实施对全系统所属企业的内部审计工作；加强对企业经营管理、执行财务制度、粮食购销、人员使用等方面的监管；预防职务犯罪和违规、违纪、违法现象的发生。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0"/>
        <w:rPr>
          <w:rFonts w:hint="eastAsia" w:ascii="仿宋_GB2312" w:hAnsi="仿宋" w:eastAsia="仿宋_GB2312"/>
          <w:sz w:val="32"/>
          <w:szCs w:val="32"/>
        </w:rPr>
      </w:pPr>
      <w:r>
        <w:rPr>
          <w:rFonts w:hint="eastAsia" w:ascii="仿宋_GB2312" w:hAnsi="仿宋" w:eastAsia="仿宋_GB2312"/>
          <w:sz w:val="32"/>
          <w:szCs w:val="32"/>
          <w:lang w:val="en-US" w:eastAsia="zh-CN"/>
        </w:rPr>
        <w:t>11、</w:t>
      </w:r>
      <w:r>
        <w:rPr>
          <w:rFonts w:hint="eastAsia" w:ascii="仿宋_GB2312" w:hAnsi="仿宋" w:eastAsia="仿宋_GB2312"/>
          <w:sz w:val="32"/>
          <w:szCs w:val="32"/>
        </w:rPr>
        <w:t>负责粮食系统对外经济技术合作与交流。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0"/>
        <w:rPr>
          <w:rFonts w:hint="eastAsia" w:ascii="仿宋_GB2312" w:hAnsi="仿宋" w:eastAsia="仿宋_GB2312"/>
          <w:sz w:val="32"/>
          <w:szCs w:val="32"/>
        </w:rPr>
      </w:pPr>
      <w:r>
        <w:rPr>
          <w:rFonts w:hint="eastAsia" w:ascii="仿宋_GB2312" w:hAnsi="仿宋" w:eastAsia="仿宋_GB2312"/>
          <w:sz w:val="32"/>
          <w:szCs w:val="32"/>
          <w:lang w:val="en-US" w:eastAsia="zh-CN"/>
        </w:rPr>
        <w:t>12、</w:t>
      </w:r>
      <w:r>
        <w:rPr>
          <w:rFonts w:hint="eastAsia" w:ascii="仿宋_GB2312" w:hAnsi="仿宋" w:eastAsia="仿宋_GB2312"/>
          <w:sz w:val="32"/>
          <w:szCs w:val="32"/>
        </w:rPr>
        <w:t>承办县政府交办的其他事项。</w:t>
      </w:r>
    </w:p>
    <w:p>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snapToGrid w:val="0"/>
        <w:spacing w:line="520" w:lineRule="exact"/>
        <w:ind w:firstLine="640" w:firstLineChars="200"/>
        <w:rPr>
          <w:rFonts w:hint="eastAsia" w:ascii="仿宋_GB2312" w:hAnsi="仿宋" w:eastAsia="仿宋_GB2312"/>
          <w:sz w:val="32"/>
          <w:szCs w:val="32"/>
          <w:lang w:val="en-US" w:eastAsia="zh-CN"/>
        </w:rPr>
      </w:pPr>
      <w:bookmarkStart w:id="20" w:name="_Toc15396601"/>
      <w:bookmarkStart w:id="21" w:name="_Toc15377200"/>
      <w:r>
        <w:rPr>
          <w:rFonts w:hint="eastAsia" w:ascii="仿宋_GB2312" w:hAnsi="仿宋" w:eastAsia="仿宋_GB2312"/>
          <w:sz w:val="32"/>
          <w:szCs w:val="32"/>
        </w:rPr>
        <w:t>1</w:t>
      </w:r>
      <w:r>
        <w:rPr>
          <w:rFonts w:hint="eastAsia" w:ascii="仿宋_GB2312" w:hAnsi="仿宋" w:eastAsia="仿宋_GB2312"/>
          <w:sz w:val="32"/>
          <w:szCs w:val="32"/>
          <w:lang w:eastAsia="zh-CN"/>
        </w:rPr>
        <w:t>.积</w:t>
      </w:r>
      <w:r>
        <w:rPr>
          <w:rFonts w:hint="eastAsia" w:ascii="仿宋_GB2312" w:hAnsi="仿宋" w:eastAsia="仿宋_GB2312"/>
          <w:sz w:val="32"/>
          <w:szCs w:val="32"/>
        </w:rPr>
        <w:t>极掌握粮源，确保了本县市场粮食供应不断档、不脱销。截止</w:t>
      </w:r>
      <w:r>
        <w:rPr>
          <w:rFonts w:hint="eastAsia" w:ascii="仿宋_GB2312" w:hAnsi="仿宋" w:eastAsia="仿宋_GB2312"/>
          <w:sz w:val="32"/>
          <w:szCs w:val="32"/>
          <w:lang w:val="en-US" w:eastAsia="zh-CN"/>
        </w:rPr>
        <w:t>2019</w:t>
      </w:r>
      <w:r>
        <w:rPr>
          <w:rFonts w:hint="eastAsia" w:ascii="仿宋_GB2312" w:hAnsi="仿宋" w:eastAsia="仿宋_GB2312"/>
          <w:sz w:val="32"/>
          <w:szCs w:val="32"/>
        </w:rPr>
        <w:t>年</w:t>
      </w:r>
      <w:r>
        <w:rPr>
          <w:rFonts w:hint="eastAsia" w:ascii="仿宋_GB2312" w:hAnsi="仿宋" w:eastAsia="仿宋_GB2312"/>
          <w:sz w:val="32"/>
          <w:szCs w:val="32"/>
          <w:lang w:val="en-US" w:eastAsia="zh-CN"/>
        </w:rPr>
        <w:t>完成</w:t>
      </w:r>
      <w:r>
        <w:rPr>
          <w:rFonts w:hint="eastAsia" w:ascii="仿宋_GB2312" w:hAnsi="仿宋" w:eastAsia="仿宋_GB2312"/>
          <w:sz w:val="32"/>
          <w:szCs w:val="32"/>
        </w:rPr>
        <w:t>粮油销售</w:t>
      </w:r>
      <w:r>
        <w:rPr>
          <w:rFonts w:hint="eastAsia" w:ascii="仿宋_GB2312" w:hAnsi="仿宋" w:eastAsia="仿宋_GB2312"/>
          <w:sz w:val="32"/>
          <w:szCs w:val="32"/>
          <w:lang w:val="en-US" w:eastAsia="zh-CN"/>
        </w:rPr>
        <w:t>2800</w:t>
      </w:r>
      <w:r>
        <w:rPr>
          <w:rFonts w:hint="eastAsia" w:ascii="仿宋_GB2312" w:hAnsi="仿宋" w:eastAsia="仿宋_GB2312"/>
          <w:sz w:val="32"/>
          <w:szCs w:val="32"/>
        </w:rPr>
        <w:t>吨</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食用油40吨，粮食收购300吨。</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2.加强军粮和学生口粮供应工作，完成</w:t>
      </w:r>
      <w:r>
        <w:rPr>
          <w:rFonts w:hint="eastAsia" w:ascii="仿宋_GB2312" w:hAnsi="仿宋" w:eastAsia="仿宋_GB2312"/>
          <w:sz w:val="32"/>
          <w:szCs w:val="32"/>
          <w:lang w:val="en-US" w:eastAsia="zh-CN"/>
        </w:rPr>
        <w:t>2019</w:t>
      </w:r>
      <w:r>
        <w:rPr>
          <w:rFonts w:hint="eastAsia" w:ascii="仿宋_GB2312" w:hAnsi="仿宋" w:eastAsia="仿宋_GB2312"/>
          <w:sz w:val="32"/>
          <w:szCs w:val="32"/>
        </w:rPr>
        <w:t>年度军粮供应上报电子版升级工作；按照州人民政府《关于将救灾救济和学生口粮等政策性粮油供应纳入国有粮食承储企业直供的通知》（阿府办函（2014）88号）文件要求、“放心粮油”工程建设要求，为关爱学生身体健康、保障学校食堂粮油安全，我局与教育局积极配合协调，共同开展了学生口粮供应工作，</w:t>
      </w:r>
      <w:r>
        <w:rPr>
          <w:rFonts w:hint="eastAsia" w:ascii="仿宋_GB2312" w:hAnsi="仿宋" w:eastAsia="仿宋_GB2312"/>
          <w:sz w:val="32"/>
          <w:szCs w:val="32"/>
          <w:lang w:eastAsia="zh-CN"/>
        </w:rPr>
        <w:t>涉及全县</w:t>
      </w:r>
      <w:r>
        <w:rPr>
          <w:rFonts w:hint="eastAsia" w:ascii="仿宋_GB2312" w:hAnsi="仿宋" w:eastAsia="仿宋_GB2312"/>
          <w:sz w:val="32"/>
          <w:szCs w:val="32"/>
          <w:lang w:val="en-US" w:eastAsia="zh-CN"/>
        </w:rPr>
        <w:t>32所中小学。</w:t>
      </w:r>
      <w:r>
        <w:rPr>
          <w:rFonts w:hint="eastAsia" w:ascii="仿宋_GB2312" w:hAnsi="仿宋" w:eastAsia="仿宋_GB2312"/>
          <w:sz w:val="32"/>
          <w:szCs w:val="32"/>
        </w:rPr>
        <w:t>截止</w:t>
      </w:r>
      <w:r>
        <w:rPr>
          <w:rFonts w:hint="eastAsia" w:ascii="仿宋_GB2312" w:hAnsi="仿宋" w:eastAsia="仿宋_GB2312"/>
          <w:sz w:val="32"/>
          <w:szCs w:val="32"/>
          <w:lang w:val="en-US" w:eastAsia="zh-CN"/>
        </w:rPr>
        <w:t>2019</w:t>
      </w:r>
      <w:r>
        <w:rPr>
          <w:rFonts w:hint="eastAsia" w:ascii="仿宋_GB2312" w:hAnsi="仿宋" w:eastAsia="仿宋_GB2312"/>
          <w:sz w:val="32"/>
          <w:szCs w:val="32"/>
        </w:rPr>
        <w:t>年</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月底累计供应军粮和学生口粮</w:t>
      </w:r>
      <w:r>
        <w:rPr>
          <w:rFonts w:hint="eastAsia" w:ascii="仿宋_GB2312" w:hAnsi="仿宋" w:eastAsia="仿宋_GB2312"/>
          <w:sz w:val="32"/>
          <w:szCs w:val="32"/>
          <w:lang w:val="en-US" w:eastAsia="zh-CN"/>
        </w:rPr>
        <w:t>327.37</w:t>
      </w:r>
      <w:r>
        <w:rPr>
          <w:rFonts w:hint="eastAsia" w:ascii="仿宋_GB2312" w:hAnsi="仿宋" w:eastAsia="仿宋_GB2312"/>
          <w:sz w:val="32"/>
          <w:szCs w:val="32"/>
        </w:rPr>
        <w:t>吨</w:t>
      </w:r>
      <w:r>
        <w:rPr>
          <w:rFonts w:hint="eastAsia" w:ascii="仿宋_GB2312" w:hAnsi="仿宋" w:eastAsia="仿宋_GB2312"/>
          <w:sz w:val="32"/>
          <w:szCs w:val="32"/>
          <w:lang w:eastAsia="zh-CN"/>
        </w:rPr>
        <w:t>，其中大米</w:t>
      </w:r>
      <w:r>
        <w:rPr>
          <w:rFonts w:hint="eastAsia" w:ascii="仿宋_GB2312" w:hAnsi="仿宋" w:eastAsia="仿宋_GB2312"/>
          <w:sz w:val="32"/>
          <w:szCs w:val="32"/>
          <w:lang w:val="en-US" w:eastAsia="zh-CN"/>
        </w:rPr>
        <w:t>218.87吨、面粉58.56吨、食用油46.64吨</w:t>
      </w:r>
      <w:r>
        <w:rPr>
          <w:rFonts w:hint="eastAsia" w:ascii="仿宋_GB2312" w:hAnsi="仿宋" w:eastAsia="仿宋_GB2312"/>
          <w:sz w:val="32"/>
          <w:szCs w:val="32"/>
          <w:lang w:eastAsia="zh-CN"/>
        </w:rPr>
        <w:t>。</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3</w:t>
      </w:r>
      <w:r>
        <w:rPr>
          <w:rFonts w:hint="eastAsia" w:ascii="仿宋_GB2312" w:hAnsi="仿宋" w:eastAsia="仿宋_GB2312"/>
          <w:sz w:val="32"/>
          <w:szCs w:val="32"/>
          <w:lang w:eastAsia="zh-CN"/>
        </w:rPr>
        <w:t>.储备粮管理情况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根据州、县安排部署，全县应有州级储备</w:t>
      </w:r>
      <w:r>
        <w:rPr>
          <w:rFonts w:hint="eastAsia" w:ascii="仿宋_GB2312" w:hAnsi="仿宋" w:eastAsia="仿宋_GB2312"/>
          <w:sz w:val="32"/>
          <w:szCs w:val="32"/>
          <w:lang w:val="en-US" w:eastAsia="zh-CN"/>
        </w:rPr>
        <w:t>773.4</w:t>
      </w:r>
      <w:r>
        <w:rPr>
          <w:rFonts w:hint="eastAsia" w:ascii="仿宋_GB2312" w:hAnsi="仿宋" w:eastAsia="仿宋_GB2312"/>
          <w:sz w:val="32"/>
          <w:szCs w:val="32"/>
        </w:rPr>
        <w:t>吨</w:t>
      </w:r>
      <w:r>
        <w:rPr>
          <w:rFonts w:hint="eastAsia" w:ascii="仿宋_GB2312" w:hAnsi="仿宋" w:eastAsia="仿宋_GB2312"/>
          <w:sz w:val="32"/>
          <w:szCs w:val="32"/>
          <w:lang w:eastAsia="zh-CN"/>
        </w:rPr>
        <w:t>（大米</w:t>
      </w:r>
      <w:r>
        <w:rPr>
          <w:rFonts w:hint="eastAsia" w:ascii="仿宋_GB2312" w:hAnsi="仿宋" w:eastAsia="仿宋_GB2312"/>
          <w:sz w:val="32"/>
          <w:szCs w:val="32"/>
          <w:lang w:val="en-US" w:eastAsia="zh-CN"/>
        </w:rPr>
        <w:t>693.4吨、面粉60吨、、食用油20吨</w:t>
      </w:r>
      <w:r>
        <w:rPr>
          <w:rFonts w:hint="eastAsia" w:ascii="仿宋_GB2312" w:hAnsi="仿宋" w:eastAsia="仿宋_GB2312"/>
          <w:sz w:val="32"/>
          <w:szCs w:val="32"/>
          <w:lang w:eastAsia="zh-CN"/>
        </w:rPr>
        <w:t>）</w:t>
      </w:r>
      <w:r>
        <w:rPr>
          <w:rFonts w:hint="eastAsia" w:ascii="仿宋_GB2312" w:hAnsi="仿宋" w:eastAsia="仿宋_GB2312"/>
          <w:sz w:val="32"/>
          <w:szCs w:val="32"/>
        </w:rPr>
        <w:t>、县级储备250吨</w:t>
      </w:r>
      <w:r>
        <w:rPr>
          <w:rFonts w:hint="eastAsia" w:ascii="仿宋_GB2312" w:hAnsi="仿宋" w:eastAsia="仿宋_GB2312"/>
          <w:sz w:val="32"/>
          <w:szCs w:val="32"/>
          <w:lang w:eastAsia="zh-CN"/>
        </w:rPr>
        <w:t>（大米</w:t>
      </w:r>
      <w:r>
        <w:rPr>
          <w:rFonts w:hint="eastAsia" w:ascii="仿宋_GB2312" w:hAnsi="仿宋" w:eastAsia="仿宋_GB2312"/>
          <w:sz w:val="32"/>
          <w:szCs w:val="32"/>
          <w:lang w:val="en-US" w:eastAsia="zh-CN"/>
        </w:rPr>
        <w:t>200吨、青稞50吨</w:t>
      </w:r>
      <w:r>
        <w:rPr>
          <w:rFonts w:hint="eastAsia" w:ascii="仿宋_GB2312" w:hAnsi="仿宋" w:eastAsia="仿宋_GB2312"/>
          <w:sz w:val="32"/>
          <w:szCs w:val="32"/>
          <w:lang w:eastAsia="zh-CN"/>
        </w:rPr>
        <w:t>）</w:t>
      </w:r>
      <w:r>
        <w:rPr>
          <w:rFonts w:hint="eastAsia" w:ascii="仿宋_GB2312" w:hAnsi="仿宋" w:eastAsia="仿宋_GB2312"/>
          <w:sz w:val="32"/>
          <w:szCs w:val="32"/>
        </w:rPr>
        <w:t>，合计：吨。截止</w:t>
      </w:r>
      <w:r>
        <w:rPr>
          <w:rFonts w:hint="eastAsia" w:ascii="仿宋_GB2312" w:hAnsi="仿宋" w:eastAsia="仿宋_GB2312"/>
          <w:sz w:val="32"/>
          <w:szCs w:val="32"/>
          <w:lang w:val="en-US" w:eastAsia="zh-CN"/>
        </w:rPr>
        <w:t>2019</w:t>
      </w:r>
      <w:r>
        <w:rPr>
          <w:rFonts w:hint="eastAsia" w:ascii="仿宋_GB2312" w:hAnsi="仿宋" w:eastAsia="仿宋_GB2312"/>
          <w:sz w:val="32"/>
          <w:szCs w:val="32"/>
        </w:rPr>
        <w:t>年</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月底，储备</w:t>
      </w:r>
      <w:r>
        <w:rPr>
          <w:rFonts w:hint="eastAsia" w:ascii="仿宋_GB2312" w:hAnsi="仿宋" w:eastAsia="仿宋_GB2312"/>
          <w:sz w:val="32"/>
          <w:szCs w:val="32"/>
          <w:lang w:eastAsia="zh-CN"/>
        </w:rPr>
        <w:t>粮</w:t>
      </w:r>
      <w:r>
        <w:rPr>
          <w:rFonts w:hint="eastAsia" w:ascii="仿宋_GB2312" w:hAnsi="仿宋" w:eastAsia="仿宋_GB2312"/>
          <w:sz w:val="32"/>
          <w:szCs w:val="32"/>
        </w:rPr>
        <w:t>轮换</w:t>
      </w:r>
      <w:r>
        <w:rPr>
          <w:rFonts w:hint="eastAsia" w:ascii="仿宋_GB2312" w:hAnsi="仿宋" w:eastAsia="仿宋_GB2312"/>
          <w:sz w:val="32"/>
          <w:szCs w:val="32"/>
          <w:lang w:val="en-US" w:eastAsia="zh-CN"/>
        </w:rPr>
        <w:t>1024</w:t>
      </w:r>
      <w:r>
        <w:rPr>
          <w:rFonts w:hint="eastAsia" w:ascii="仿宋_GB2312" w:hAnsi="仿宋" w:eastAsia="仿宋_GB2312"/>
          <w:sz w:val="32"/>
          <w:szCs w:val="32"/>
        </w:rPr>
        <w:t>吨。按照储备粮管理办法，县粮食局和粮油收储公司签订了粮油安全目标责任书，层层落实责任，保证了各级储备粮的安全。</w:t>
      </w:r>
    </w:p>
    <w:p>
      <w:pPr>
        <w:pStyle w:val="5"/>
        <w:rPr>
          <w:rFonts w:hint="eastAsia" w:ascii="仿宋_GB2312" w:hAnsi="仿宋_GB2312" w:eastAsia="仿宋_GB2312" w:cs="仿宋_GB2312"/>
          <w:b w:val="0"/>
          <w:bCs w:val="0"/>
          <w:color w:val="auto"/>
          <w:sz w:val="32"/>
          <w:szCs w:val="32"/>
          <w:lang w:eastAsia="zh-CN"/>
        </w:rPr>
      </w:pPr>
      <w:r>
        <w:rPr>
          <w:rFonts w:hint="eastAsia" w:ascii="黑体" w:eastAsia="黑体"/>
          <w:b w:val="0"/>
          <w:color w:val="000000"/>
        </w:rPr>
        <w:t>二、</w:t>
      </w:r>
      <w:r>
        <w:rPr>
          <w:rFonts w:hint="eastAsia" w:ascii="黑体" w:hAnsi="黑体" w:eastAsia="黑体"/>
          <w:b w:val="0"/>
          <w:color w:val="000000"/>
        </w:rPr>
        <w:t>机</w:t>
      </w:r>
      <w:r>
        <w:rPr>
          <w:rStyle w:val="29"/>
          <w:rFonts w:hint="eastAsia" w:ascii="黑体" w:hAnsi="黑体" w:eastAsia="黑体"/>
          <w:b w:val="0"/>
          <w:bCs w:val="0"/>
        </w:rPr>
        <w:t>构设置</w:t>
      </w:r>
      <w:bookmarkEnd w:id="20"/>
      <w:bookmarkEnd w:id="21"/>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0"/>
        <w:rPr>
          <w:rFonts w:hint="eastAsia" w:ascii="仿宋_GB2312" w:hAnsi="仿宋" w:eastAsia="仿宋_GB2312"/>
          <w:sz w:val="32"/>
          <w:szCs w:val="32"/>
          <w:lang w:eastAsia="zh-CN"/>
        </w:rPr>
      </w:pPr>
      <w:r>
        <w:rPr>
          <w:rFonts w:hint="eastAsia" w:ascii="仿宋_GB2312" w:hAnsi="仿宋" w:eastAsia="仿宋_GB2312"/>
          <w:sz w:val="32"/>
          <w:szCs w:val="32"/>
        </w:rPr>
        <w:t>松潘县</w:t>
      </w:r>
      <w:r>
        <w:rPr>
          <w:rFonts w:hint="eastAsia" w:ascii="仿宋_GB2312" w:hAnsi="仿宋" w:eastAsia="仿宋_GB2312"/>
          <w:sz w:val="32"/>
          <w:szCs w:val="32"/>
          <w:lang w:eastAsia="zh-CN"/>
        </w:rPr>
        <w:t>粮食局</w:t>
      </w:r>
      <w:r>
        <w:rPr>
          <w:rFonts w:hint="eastAsia" w:ascii="仿宋_GB2312" w:hAnsi="仿宋" w:eastAsia="仿宋_GB2312"/>
          <w:sz w:val="32"/>
          <w:szCs w:val="32"/>
        </w:rPr>
        <w:t>属</w:t>
      </w:r>
      <w:r>
        <w:rPr>
          <w:rFonts w:hint="eastAsia" w:ascii="仿宋_GB2312" w:hAnsi="仿宋" w:eastAsia="仿宋_GB2312"/>
          <w:sz w:val="32"/>
          <w:szCs w:val="32"/>
          <w:lang w:eastAsia="zh-CN"/>
        </w:rPr>
        <w:t>二</w:t>
      </w:r>
      <w:r>
        <w:rPr>
          <w:rFonts w:hint="eastAsia" w:ascii="仿宋_GB2312" w:hAnsi="仿宋" w:eastAsia="仿宋_GB2312"/>
          <w:sz w:val="32"/>
          <w:szCs w:val="32"/>
        </w:rPr>
        <w:t>级预算单位，独立编制机构数1个，独立核算机构数1个，</w:t>
      </w:r>
    </w:p>
    <w:p>
      <w:pPr>
        <w:pStyle w:val="2"/>
        <w:rPr>
          <w:rFonts w:hint="eastAsia" w:ascii="仿宋_GB2312" w:hAnsi="仿宋_GB2312" w:eastAsia="仿宋_GB2312" w:cs="仿宋_GB2312"/>
          <w:b w:val="0"/>
          <w:bCs w:val="0"/>
          <w:color w:val="auto"/>
          <w:sz w:val="32"/>
          <w:szCs w:val="32"/>
          <w:lang w:val="en-US" w:eastAsia="zh-CN"/>
        </w:rPr>
      </w:pPr>
    </w:p>
    <w:p>
      <w:pPr>
        <w:pStyle w:val="2"/>
        <w:rPr>
          <w:rFonts w:hint="eastAsia" w:ascii="仿宋_GB2312" w:hAnsi="仿宋_GB2312" w:eastAsia="仿宋_GB2312" w:cs="仿宋_GB2312"/>
          <w:b w:val="0"/>
          <w:bCs w:val="0"/>
          <w:color w:val="auto"/>
          <w:sz w:val="32"/>
          <w:szCs w:val="32"/>
          <w:lang w:val="en-US" w:eastAsia="zh-CN"/>
        </w:rPr>
      </w:pPr>
    </w:p>
    <w:p>
      <w:pPr>
        <w:pStyle w:val="2"/>
        <w:rPr>
          <w:rFonts w:hint="eastAsia" w:ascii="仿宋_GB2312" w:hAnsi="仿宋_GB2312" w:eastAsia="仿宋_GB2312" w:cs="仿宋_GB2312"/>
          <w:b w:val="0"/>
          <w:bCs w:val="0"/>
          <w:color w:val="auto"/>
          <w:sz w:val="32"/>
          <w:szCs w:val="32"/>
          <w:lang w:val="en-US" w:eastAsia="zh-CN"/>
        </w:rPr>
      </w:pPr>
    </w:p>
    <w:p>
      <w:pPr>
        <w:pStyle w:val="2"/>
        <w:rPr>
          <w:rFonts w:hint="eastAsia" w:ascii="仿宋_GB2312" w:hAnsi="仿宋_GB2312" w:eastAsia="仿宋_GB2312" w:cs="仿宋_GB2312"/>
          <w:b w:val="0"/>
          <w:bCs w:val="0"/>
          <w:color w:val="auto"/>
          <w:sz w:val="32"/>
          <w:szCs w:val="32"/>
          <w:lang w:val="en-US" w:eastAsia="zh-CN"/>
        </w:rPr>
      </w:pPr>
    </w:p>
    <w:p>
      <w:pPr>
        <w:pStyle w:val="2"/>
        <w:rPr>
          <w:rFonts w:hint="eastAsia" w:ascii="仿宋_GB2312" w:hAnsi="仿宋_GB2312" w:eastAsia="仿宋_GB2312" w:cs="仿宋_GB2312"/>
          <w:b w:val="0"/>
          <w:bCs w:val="0"/>
          <w:color w:val="auto"/>
          <w:sz w:val="32"/>
          <w:szCs w:val="32"/>
          <w:lang w:val="en-US" w:eastAsia="zh-CN"/>
        </w:rPr>
      </w:pPr>
    </w:p>
    <w:p>
      <w:pPr>
        <w:pStyle w:val="13"/>
        <w:ind w:left="0" w:leftChars="0" w:firstLine="0" w:firstLineChars="0"/>
      </w:pPr>
    </w:p>
    <w:p>
      <w:pPr>
        <w:pStyle w:val="4"/>
        <w:ind w:right="440"/>
        <w:jc w:val="right"/>
        <w:rPr>
          <w:rStyle w:val="28"/>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8"/>
          <w:rFonts w:hint="eastAsia" w:ascii="黑体" w:hAnsi="黑体" w:eastAsia="黑体"/>
          <w:b w:val="0"/>
          <w:bCs w:val="0"/>
        </w:rPr>
        <w:t>2019年度部门决算情况说明</w:t>
      </w:r>
      <w:bookmarkEnd w:id="22"/>
      <w:bookmarkEnd w:id="23"/>
    </w:p>
    <w:p/>
    <w:p>
      <w:pPr>
        <w:pStyle w:val="27"/>
        <w:numPr>
          <w:ilvl w:val="0"/>
          <w:numId w:val="1"/>
        </w:numPr>
        <w:spacing w:line="600" w:lineRule="exact"/>
        <w:ind w:firstLineChars="0"/>
        <w:outlineLvl w:val="1"/>
        <w:rPr>
          <w:rStyle w:val="29"/>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9"/>
          <w:rFonts w:hint="eastAsia" w:ascii="黑体" w:hAnsi="黑体" w:eastAsia="黑体"/>
          <w:b w:val="0"/>
        </w:rPr>
        <w:t>入支出决算总体情况说明</w:t>
      </w:r>
      <w:bookmarkEnd w:id="24"/>
      <w:bookmarkEnd w:id="25"/>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_GB2312" w:eastAsia="仿宋_GB2312" w:cs="仿宋_GB2312"/>
          <w:b w:val="0"/>
          <w:bCs w:val="0"/>
          <w:color w:val="auto"/>
          <w:sz w:val="32"/>
          <w:szCs w:val="32"/>
          <w:lang w:val="en-US" w:eastAsia="zh-CN"/>
        </w:rPr>
        <w:t>2019年松潘县粮食局本年收入合计</w:t>
      </w:r>
      <w:r>
        <w:rPr>
          <w:rFonts w:hint="eastAsia" w:ascii="仿宋_GB2312" w:hAnsi="仿宋" w:eastAsia="仿宋_GB2312"/>
          <w:sz w:val="32"/>
          <w:szCs w:val="32"/>
          <w:lang w:val="en-US" w:eastAsia="zh-CN"/>
        </w:rPr>
        <w:t>189.19</w:t>
      </w:r>
      <w:r>
        <w:rPr>
          <w:rFonts w:hint="eastAsia" w:ascii="仿宋_GB2312" w:hAnsi="仿宋_GB2312" w:eastAsia="仿宋_GB2312" w:cs="仿宋_GB2312"/>
          <w:b w:val="0"/>
          <w:bCs w:val="0"/>
          <w:color w:val="auto"/>
          <w:sz w:val="32"/>
          <w:szCs w:val="32"/>
          <w:lang w:val="en-US" w:eastAsia="zh-CN"/>
        </w:rPr>
        <w:t>万元，</w:t>
      </w:r>
      <w:r>
        <w:rPr>
          <w:rFonts w:hint="eastAsia" w:ascii="仿宋_GB2312" w:hAnsi="仿宋" w:eastAsia="仿宋_GB2312"/>
          <w:sz w:val="32"/>
          <w:szCs w:val="32"/>
        </w:rPr>
        <w:t>其中：预算拨入经常性经费</w:t>
      </w:r>
      <w:r>
        <w:rPr>
          <w:rFonts w:hint="eastAsia" w:ascii="仿宋_GB2312" w:hAnsi="仿宋" w:eastAsia="仿宋_GB2312"/>
          <w:sz w:val="32"/>
          <w:szCs w:val="32"/>
          <w:lang w:val="en-US" w:eastAsia="zh-CN"/>
        </w:rPr>
        <w:t>189.19</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rPr>
        <w:t>与上年</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7.42万元。其中人员经费增加6.9万元。日常公用经费增加0.52万元。</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_GB2312" w:eastAsia="仿宋_GB2312" w:cs="仿宋_GB2312"/>
          <w:b w:val="0"/>
          <w:bCs w:val="0"/>
          <w:color w:val="auto"/>
          <w:sz w:val="32"/>
          <w:szCs w:val="32"/>
          <w:lang w:val="en-US" w:eastAsia="zh-CN"/>
        </w:rPr>
        <w:t>2019年度松潘县粮食局本年支出合计</w:t>
      </w:r>
      <w:r>
        <w:rPr>
          <w:rFonts w:hint="eastAsia" w:ascii="仿宋_GB2312" w:hAnsi="仿宋" w:eastAsia="仿宋_GB2312"/>
          <w:sz w:val="32"/>
          <w:szCs w:val="32"/>
          <w:lang w:val="en-US" w:eastAsia="zh-CN"/>
        </w:rPr>
        <w:t>189.19</w:t>
      </w:r>
      <w:r>
        <w:rPr>
          <w:rFonts w:hint="eastAsia" w:ascii="仿宋_GB2312" w:hAnsi="仿宋_GB2312" w:eastAsia="仿宋_GB2312" w:cs="仿宋_GB2312"/>
          <w:b w:val="0"/>
          <w:bCs w:val="0"/>
          <w:color w:val="auto"/>
          <w:sz w:val="32"/>
          <w:szCs w:val="32"/>
          <w:lang w:val="en-US" w:eastAsia="zh-CN"/>
        </w:rPr>
        <w:t>万元，</w:t>
      </w:r>
      <w:r>
        <w:rPr>
          <w:rFonts w:hint="eastAsia" w:ascii="仿宋_GB2312" w:hAnsi="仿宋" w:eastAsia="仿宋_GB2312"/>
          <w:sz w:val="32"/>
          <w:szCs w:val="32"/>
        </w:rPr>
        <w:t>其中基本支出</w:t>
      </w:r>
      <w:r>
        <w:rPr>
          <w:rFonts w:hint="eastAsia" w:ascii="仿宋_GB2312" w:hAnsi="仿宋" w:eastAsia="仿宋_GB2312"/>
          <w:sz w:val="32"/>
          <w:szCs w:val="32"/>
          <w:lang w:val="en-US" w:eastAsia="zh-CN"/>
        </w:rPr>
        <w:t>189.19</w:t>
      </w:r>
      <w:r>
        <w:rPr>
          <w:rFonts w:hint="eastAsia" w:ascii="仿宋_GB2312" w:hAnsi="仿宋" w:eastAsia="仿宋_GB2312"/>
          <w:sz w:val="32"/>
          <w:szCs w:val="32"/>
        </w:rPr>
        <w:t>万元（基本支出中人员支出</w:t>
      </w:r>
      <w:r>
        <w:rPr>
          <w:rFonts w:hint="eastAsia" w:ascii="仿宋_GB2312" w:hAnsi="仿宋" w:eastAsia="仿宋_GB2312"/>
          <w:sz w:val="32"/>
          <w:szCs w:val="32"/>
          <w:lang w:val="en-US" w:eastAsia="zh-CN"/>
        </w:rPr>
        <w:t>159.19</w:t>
      </w:r>
      <w:r>
        <w:rPr>
          <w:rFonts w:hint="eastAsia" w:ascii="仿宋_GB2312" w:hAnsi="仿宋" w:eastAsia="仿宋_GB2312"/>
          <w:sz w:val="32"/>
          <w:szCs w:val="32"/>
        </w:rPr>
        <w:t>万元，公用支出</w:t>
      </w:r>
      <w:r>
        <w:rPr>
          <w:rFonts w:hint="eastAsia" w:ascii="仿宋_GB2312" w:hAnsi="仿宋" w:eastAsia="仿宋_GB2312"/>
          <w:sz w:val="32"/>
          <w:szCs w:val="32"/>
          <w:lang w:val="en-US" w:eastAsia="zh-CN"/>
        </w:rPr>
        <w:t>30</w:t>
      </w:r>
      <w:r>
        <w:rPr>
          <w:rFonts w:hint="eastAsia" w:ascii="仿宋_GB2312" w:hAnsi="仿宋" w:eastAsia="仿宋_GB2312"/>
          <w:sz w:val="32"/>
          <w:szCs w:val="32"/>
        </w:rPr>
        <w:t>万元）.与</w:t>
      </w:r>
      <w:r>
        <w:rPr>
          <w:rFonts w:hint="eastAsia" w:ascii="仿宋_GB2312" w:hAnsi="仿宋" w:eastAsia="仿宋_GB2312"/>
          <w:sz w:val="32"/>
          <w:szCs w:val="32"/>
          <w:lang w:val="en-US" w:eastAsia="zh-CN"/>
        </w:rPr>
        <w:t>2018年支出相比人员经费增加6.9万元；与2018年支出相比日常公用经费增加0.52万元。</w:t>
      </w:r>
    </w:p>
    <w:p>
      <w:pPr>
        <w:pStyle w:val="13"/>
        <w:ind w:left="0" w:leftChars="0" w:firstLine="0" w:firstLineChars="0"/>
        <w:rPr>
          <w:rFonts w:hint="eastAsia"/>
          <w:lang w:val="en-US" w:eastAsia="zh-CN"/>
        </w:rPr>
      </w:pPr>
    </w:p>
    <w:p>
      <w:pPr>
        <w:pStyle w:val="27"/>
        <w:numPr>
          <w:ilvl w:val="0"/>
          <w:numId w:val="1"/>
        </w:numPr>
        <w:spacing w:line="600" w:lineRule="exact"/>
        <w:ind w:firstLineChars="0"/>
        <w:outlineLvl w:val="1"/>
        <w:rPr>
          <w:rStyle w:val="29"/>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9"/>
          <w:rFonts w:hint="eastAsia" w:ascii="黑体" w:hAnsi="黑体" w:eastAsia="黑体"/>
          <w:b w:val="0"/>
        </w:rPr>
        <w:t>入决算情况说明</w:t>
      </w:r>
      <w:bookmarkEnd w:id="26"/>
      <w:bookmarkEnd w:id="2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2019年本年收入合计</w:t>
      </w:r>
      <w:r>
        <w:rPr>
          <w:rFonts w:hint="eastAsia" w:ascii="仿宋_GB2312" w:hAnsi="仿宋" w:eastAsia="仿宋_GB2312"/>
          <w:sz w:val="32"/>
          <w:szCs w:val="32"/>
          <w:lang w:val="en-US" w:eastAsia="zh-CN"/>
        </w:rPr>
        <w:t>189.19</w:t>
      </w:r>
      <w:r>
        <w:rPr>
          <w:rFonts w:hint="eastAsia" w:ascii="仿宋_GB2312" w:hAnsi="仿宋_GB2312" w:eastAsia="仿宋_GB2312" w:cs="仿宋_GB2312"/>
          <w:b w:val="0"/>
          <w:bCs w:val="0"/>
          <w:color w:val="auto"/>
          <w:sz w:val="32"/>
          <w:szCs w:val="32"/>
          <w:lang w:val="en-US" w:eastAsia="zh-CN"/>
        </w:rPr>
        <w:t>万元，其中：一般公共预算财政拨款收入</w:t>
      </w:r>
      <w:r>
        <w:rPr>
          <w:rFonts w:hint="eastAsia" w:ascii="仿宋_GB2312" w:hAnsi="仿宋" w:eastAsia="仿宋_GB2312"/>
          <w:sz w:val="32"/>
          <w:szCs w:val="32"/>
          <w:lang w:val="en-US" w:eastAsia="zh-CN"/>
        </w:rPr>
        <w:t>189.19</w:t>
      </w:r>
      <w:r>
        <w:rPr>
          <w:rFonts w:hint="eastAsia" w:ascii="仿宋_GB2312" w:hAnsi="仿宋_GB2312" w:eastAsia="仿宋_GB2312" w:cs="仿宋_GB2312"/>
          <w:b w:val="0"/>
          <w:bCs w:val="0"/>
          <w:color w:val="auto"/>
          <w:sz w:val="32"/>
          <w:szCs w:val="32"/>
          <w:lang w:val="en-US" w:eastAsia="zh-CN"/>
        </w:rPr>
        <w:t>万元，占总收入100%。</w:t>
      </w:r>
    </w:p>
    <w:p>
      <w:pPr>
        <w:pStyle w:val="13"/>
      </w:pPr>
    </w:p>
    <w:p>
      <w:pPr>
        <w:pStyle w:val="27"/>
        <w:numPr>
          <w:ilvl w:val="0"/>
          <w:numId w:val="1"/>
        </w:numPr>
        <w:spacing w:line="600" w:lineRule="exact"/>
        <w:ind w:firstLineChars="0"/>
        <w:outlineLvl w:val="1"/>
        <w:rPr>
          <w:rStyle w:val="29"/>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9"/>
          <w:rFonts w:hint="eastAsia" w:ascii="黑体" w:hAnsi="黑体" w:eastAsia="黑体"/>
          <w:b w:val="0"/>
        </w:rPr>
        <w:t>出决算情况说明</w:t>
      </w:r>
      <w:bookmarkEnd w:id="28"/>
      <w:bookmarkEnd w:id="2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仿宋_GB2312"/>
          <w:b w:val="0"/>
          <w:bCs w:val="0"/>
          <w:color w:val="auto"/>
          <w:sz w:val="32"/>
          <w:szCs w:val="32"/>
          <w:lang w:val="en-US" w:eastAsia="zh-CN"/>
        </w:rPr>
        <w:t>2019年本年支出合计</w:t>
      </w:r>
      <w:r>
        <w:rPr>
          <w:rFonts w:hint="eastAsia" w:ascii="仿宋_GB2312" w:hAnsi="仿宋" w:eastAsia="仿宋_GB2312"/>
          <w:sz w:val="32"/>
          <w:szCs w:val="32"/>
          <w:lang w:val="en-US" w:eastAsia="zh-CN"/>
        </w:rPr>
        <w:t>189.19</w:t>
      </w:r>
      <w:r>
        <w:rPr>
          <w:rFonts w:hint="default" w:ascii="仿宋_GB2312" w:hAnsi="仿宋_GB2312" w:eastAsia="仿宋_GB2312" w:cs="仿宋_GB2312"/>
          <w:b w:val="0"/>
          <w:bCs w:val="0"/>
          <w:color w:val="auto"/>
          <w:sz w:val="32"/>
          <w:szCs w:val="32"/>
          <w:lang w:val="en-US" w:eastAsia="zh-CN"/>
        </w:rPr>
        <w:t>万元，</w:t>
      </w:r>
      <w:r>
        <w:rPr>
          <w:rFonts w:hint="eastAsia" w:ascii="仿宋_GB2312" w:hAnsi="仿宋_GB2312" w:eastAsia="仿宋_GB2312" w:cs="仿宋_GB2312"/>
          <w:b w:val="0"/>
          <w:bCs w:val="0"/>
          <w:color w:val="auto"/>
          <w:sz w:val="32"/>
          <w:szCs w:val="32"/>
          <w:lang w:val="en-US" w:eastAsia="zh-CN"/>
        </w:rPr>
        <w:t>其中：</w:t>
      </w:r>
      <w:r>
        <w:rPr>
          <w:rFonts w:hint="eastAsia" w:ascii="仿宋_GB2312" w:hAnsi="仿宋_GB2312" w:eastAsia="仿宋_GB2312" w:cs="Times New Roman"/>
          <w:kern w:val="0"/>
          <w:sz w:val="32"/>
          <w:szCs w:val="22"/>
          <w:lang w:val="en-US" w:eastAsia="zh-CN" w:bidi="ar-SA"/>
        </w:rPr>
        <w:t>基本支出</w:t>
      </w:r>
      <w:r>
        <w:rPr>
          <w:rFonts w:hint="eastAsia" w:ascii="仿宋_GB2312" w:hAnsi="仿宋" w:eastAsia="仿宋_GB2312"/>
          <w:sz w:val="32"/>
          <w:szCs w:val="32"/>
          <w:lang w:val="en-US" w:eastAsia="zh-CN"/>
        </w:rPr>
        <w:t>189.19</w:t>
      </w:r>
      <w:r>
        <w:rPr>
          <w:rFonts w:hint="eastAsia" w:ascii="仿宋_GB2312" w:hAnsi="仿宋_GB2312" w:eastAsia="仿宋_GB2312" w:cs="Times New Roman"/>
          <w:kern w:val="0"/>
          <w:sz w:val="32"/>
          <w:szCs w:val="22"/>
          <w:lang w:val="en-US" w:eastAsia="zh-CN" w:bidi="ar-SA"/>
        </w:rPr>
        <w:t>万元，占100%。</w:t>
      </w:r>
    </w:p>
    <w:p>
      <w:pPr>
        <w:pStyle w:val="13"/>
        <w:rPr>
          <w:rFonts w:hint="default"/>
          <w:lang w:val="en-US" w:eastAsia="zh-CN"/>
        </w:rPr>
      </w:pPr>
    </w:p>
    <w:p>
      <w:pPr>
        <w:spacing w:line="600" w:lineRule="exact"/>
        <w:ind w:firstLine="640" w:firstLineChars="200"/>
        <w:outlineLvl w:val="1"/>
        <w:rPr>
          <w:rStyle w:val="29"/>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30"/>
      <w:bookmarkEnd w:id="3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2019年财政拨款收入合计</w:t>
      </w:r>
      <w:r>
        <w:rPr>
          <w:rFonts w:hint="eastAsia" w:ascii="仿宋_GB2312" w:hAnsi="仿宋" w:eastAsia="仿宋_GB2312"/>
          <w:sz w:val="32"/>
          <w:szCs w:val="32"/>
          <w:lang w:val="en-US" w:eastAsia="zh-CN"/>
        </w:rPr>
        <w:t>189.19</w:t>
      </w:r>
      <w:r>
        <w:rPr>
          <w:rFonts w:hint="default" w:ascii="仿宋_GB2312" w:hAnsi="仿宋_GB2312" w:eastAsia="仿宋_GB2312" w:cs="仿宋_GB2312"/>
          <w:b w:val="0"/>
          <w:bCs w:val="0"/>
          <w:color w:val="auto"/>
          <w:sz w:val="32"/>
          <w:szCs w:val="32"/>
          <w:lang w:val="en-US" w:eastAsia="zh-CN"/>
        </w:rPr>
        <w:t>万元</w:t>
      </w:r>
      <w:r>
        <w:rPr>
          <w:rFonts w:hint="eastAsia" w:ascii="仿宋_GB2312" w:hAnsi="仿宋_GB2312" w:eastAsia="仿宋_GB2312" w:cs="仿宋_GB2312"/>
          <w:b w:val="0"/>
          <w:bCs w:val="0"/>
          <w:color w:val="auto"/>
          <w:sz w:val="32"/>
          <w:szCs w:val="32"/>
          <w:lang w:val="en-US" w:eastAsia="zh-CN"/>
        </w:rPr>
        <w:t>，较2018年预算安排收入相比，财政拨款收入</w:t>
      </w:r>
      <w:r>
        <w:rPr>
          <w:rFonts w:hint="eastAsia" w:ascii="仿宋_GB2312" w:hAnsi="仿宋" w:eastAsia="仿宋_GB2312"/>
          <w:sz w:val="32"/>
          <w:szCs w:val="32"/>
          <w:lang w:eastAsia="zh-CN"/>
        </w:rPr>
        <w:t>增加了</w:t>
      </w:r>
      <w:r>
        <w:rPr>
          <w:rFonts w:hint="eastAsia" w:ascii="仿宋_GB2312" w:hAnsi="仿宋" w:eastAsia="仿宋_GB2312"/>
          <w:sz w:val="32"/>
          <w:szCs w:val="32"/>
          <w:lang w:val="en-US" w:eastAsia="zh-CN"/>
        </w:rPr>
        <w:t>7.42万元</w:t>
      </w:r>
      <w:r>
        <w:rPr>
          <w:rFonts w:hint="eastAsia" w:ascii="仿宋_GB2312" w:hAnsi="仿宋_GB2312" w:eastAsia="仿宋_GB2312" w:cs="仿宋_GB2312"/>
          <w:b w:val="0"/>
          <w:bCs w:val="0"/>
          <w:color w:val="auto"/>
          <w:sz w:val="32"/>
          <w:szCs w:val="32"/>
          <w:lang w:val="en-US" w:eastAsia="zh-CN"/>
        </w:rPr>
        <w:t>。</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_GB2312" w:eastAsia="仿宋_GB2312" w:cs="仿宋_GB2312"/>
          <w:b w:val="0"/>
          <w:bCs w:val="0"/>
          <w:color w:val="auto"/>
          <w:sz w:val="32"/>
          <w:szCs w:val="32"/>
          <w:lang w:val="en-US" w:eastAsia="zh-CN"/>
        </w:rPr>
        <w:t>2019年财政拨款支出合计</w:t>
      </w:r>
      <w:r>
        <w:rPr>
          <w:rFonts w:hint="eastAsia" w:ascii="仿宋_GB2312" w:hAnsi="仿宋" w:eastAsia="仿宋_GB2312"/>
          <w:sz w:val="32"/>
          <w:szCs w:val="32"/>
          <w:lang w:val="en-US" w:eastAsia="zh-CN"/>
        </w:rPr>
        <w:t>189.19</w:t>
      </w:r>
      <w:r>
        <w:rPr>
          <w:rFonts w:hint="default" w:ascii="仿宋_GB2312" w:hAnsi="仿宋_GB2312" w:eastAsia="仿宋_GB2312" w:cs="仿宋_GB2312"/>
          <w:b w:val="0"/>
          <w:bCs w:val="0"/>
          <w:color w:val="auto"/>
          <w:sz w:val="32"/>
          <w:szCs w:val="32"/>
          <w:lang w:val="en-US" w:eastAsia="zh-CN"/>
        </w:rPr>
        <w:t>万元，</w:t>
      </w:r>
      <w:r>
        <w:rPr>
          <w:rFonts w:hint="eastAsia" w:ascii="仿宋_GB2312" w:hAnsi="仿宋_GB2312" w:eastAsia="仿宋_GB2312" w:cs="仿宋_GB2312"/>
          <w:b w:val="0"/>
          <w:bCs w:val="0"/>
          <w:color w:val="auto"/>
          <w:sz w:val="32"/>
          <w:szCs w:val="32"/>
          <w:lang w:val="en-US" w:eastAsia="zh-CN"/>
        </w:rPr>
        <w:t>较2018年支出相比</w:t>
      </w:r>
      <w:r>
        <w:rPr>
          <w:rFonts w:hint="eastAsia" w:ascii="仿宋_GB2312" w:hAnsi="仿宋" w:eastAsia="仿宋_GB2312"/>
          <w:sz w:val="32"/>
          <w:szCs w:val="32"/>
          <w:lang w:val="en-US" w:eastAsia="zh-CN"/>
        </w:rPr>
        <w:t>人员经费增加6.9万元；日常公用经费增加0.52万元。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pStyle w:val="13"/>
        <w:rPr>
          <w:rFonts w:hint="eastAsia"/>
          <w:lang w:val="en-US" w:eastAsia="zh-CN"/>
        </w:rPr>
      </w:pPr>
    </w:p>
    <w:p>
      <w:pPr>
        <w:spacing w:line="600" w:lineRule="exact"/>
        <w:ind w:firstLine="640" w:firstLineChars="200"/>
        <w:outlineLvl w:val="1"/>
        <w:rPr>
          <w:rStyle w:val="29"/>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2019年一般公共预算财政拨款支出</w:t>
      </w:r>
      <w:r>
        <w:rPr>
          <w:rFonts w:hint="eastAsia" w:ascii="仿宋_GB2312" w:hAnsi="仿宋" w:eastAsia="仿宋_GB2312"/>
          <w:sz w:val="32"/>
          <w:szCs w:val="32"/>
          <w:lang w:val="en-US" w:eastAsia="zh-CN"/>
        </w:rPr>
        <w:t>189.19</w:t>
      </w:r>
      <w:r>
        <w:rPr>
          <w:rFonts w:hint="eastAsia" w:ascii="仿宋_GB2312" w:hAnsi="仿宋_GB2312" w:eastAsia="仿宋_GB2312" w:cs="仿宋_GB2312"/>
          <w:b w:val="0"/>
          <w:bCs w:val="0"/>
          <w:color w:val="auto"/>
          <w:sz w:val="32"/>
          <w:szCs w:val="32"/>
          <w:lang w:val="en-US" w:eastAsia="zh-CN"/>
        </w:rPr>
        <w:t>万元，占本年支出合计的100%。与2018年相比，</w:t>
      </w:r>
      <w:r>
        <w:rPr>
          <w:rFonts w:hint="eastAsia" w:ascii="仿宋_GB2312" w:hAnsi="仿宋" w:eastAsia="仿宋_GB2312"/>
          <w:sz w:val="32"/>
          <w:szCs w:val="32"/>
          <w:lang w:eastAsia="zh-CN"/>
        </w:rPr>
        <w:t>增加了</w:t>
      </w:r>
      <w:r>
        <w:rPr>
          <w:rFonts w:hint="eastAsia" w:ascii="仿宋_GB2312" w:hAnsi="仿宋" w:eastAsia="仿宋_GB2312"/>
          <w:sz w:val="32"/>
          <w:szCs w:val="32"/>
          <w:lang w:val="en-US" w:eastAsia="zh-CN"/>
        </w:rPr>
        <w:t>7.42万元</w:t>
      </w:r>
      <w:r>
        <w:rPr>
          <w:rFonts w:hint="eastAsia" w:ascii="仿宋_GB2312" w:hAnsi="仿宋_GB2312" w:eastAsia="仿宋_GB2312" w:cs="仿宋_GB2312"/>
          <w:b w:val="0"/>
          <w:bCs w:val="0"/>
          <w:color w:val="auto"/>
          <w:sz w:val="32"/>
          <w:szCs w:val="32"/>
          <w:lang w:val="en-US" w:eastAsia="zh-CN"/>
        </w:rPr>
        <w:t>。</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2019年一般公共预算财政拨款支出</w:t>
      </w:r>
      <w:r>
        <w:rPr>
          <w:rFonts w:hint="eastAsia" w:ascii="仿宋_GB2312" w:hAnsi="仿宋" w:eastAsia="仿宋_GB2312"/>
          <w:sz w:val="32"/>
          <w:szCs w:val="32"/>
          <w:lang w:val="en-US" w:eastAsia="zh-CN"/>
        </w:rPr>
        <w:t>189.19</w:t>
      </w:r>
      <w:r>
        <w:rPr>
          <w:rFonts w:hint="eastAsia" w:ascii="仿宋_GB2312" w:hAnsi="仿宋_GB2312" w:eastAsia="仿宋_GB2312" w:cs="仿宋_GB2312"/>
          <w:b w:val="0"/>
          <w:bCs w:val="0"/>
          <w:color w:val="auto"/>
          <w:sz w:val="32"/>
          <w:szCs w:val="32"/>
          <w:lang w:val="en-US" w:eastAsia="zh-CN"/>
        </w:rPr>
        <w:t>万元，主要用于以下方面:社会保障和就业（类）支出12.73万元，占7%；卫生健康支出7.56万元，占4%；住房保障支出10.71万元，占6%；粮油物资储备（类）支出158.19万元，占83%。</w:t>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bookmarkStart w:id="37" w:name="_Toc15378460"/>
      <w:bookmarkStart w:id="38" w:name="_Toc15377213"/>
      <w:bookmarkStart w:id="39" w:name="_Toc15377444"/>
      <w:r>
        <w:rPr>
          <w:rFonts w:hint="eastAsia" w:ascii="仿宋_GB2312" w:hAnsi="仿宋_GB2312" w:eastAsia="仿宋_GB2312" w:cs="仿宋_GB2312"/>
          <w:b w:val="0"/>
          <w:bCs w:val="0"/>
          <w:color w:val="auto"/>
          <w:sz w:val="32"/>
          <w:szCs w:val="32"/>
          <w:lang w:val="en-US" w:eastAsia="zh-CN"/>
        </w:rPr>
        <w:t>2019年一般公共预算支出决算数为189.19万元，完成预算100%。其中：</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1.社会保障和就业（类）208（款）02（项）: 支出决算为12.73万元，完成预算100%。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2.卫生健康（类）210（款）11（项）:支出决算为7.56万元，完成预算100%。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3.住房保障（类）221（款）02（项）:支出决算为10.71万元，完成预算100%。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4.粮油物资储备（类）222（款）04（项）:支出决算为158.19万元，完成预算100%。</w:t>
      </w:r>
    </w:p>
    <w:p>
      <w:pPr>
        <w:snapToGrid w:val="0"/>
        <w:spacing w:line="520" w:lineRule="exact"/>
        <w:ind w:firstLine="640" w:firstLineChars="200"/>
        <w:rPr>
          <w:rFonts w:hint="eastAsia" w:ascii="仿宋_GB2312" w:hAnsi="仿宋" w:eastAsia="仿宋_GB2312"/>
          <w:sz w:val="32"/>
          <w:szCs w:val="32"/>
          <w:lang w:val="en-US" w:eastAsia="zh-CN"/>
        </w:rPr>
      </w:pPr>
      <w:bookmarkStart w:id="40" w:name="_Toc15377214"/>
      <w:bookmarkStart w:id="41" w:name="_Toc15396608"/>
      <w:r>
        <w:rPr>
          <w:rFonts w:hint="eastAsia" w:ascii="仿宋_GB2312" w:hAnsi="仿宋" w:eastAsia="仿宋_GB2312"/>
          <w:sz w:val="32"/>
          <w:szCs w:val="32"/>
          <w:lang w:val="en-US" w:eastAsia="zh-CN"/>
        </w:rPr>
        <w:t xml:space="preserve">2019年松潘县粮食局本年支出合计189.19万元，其中：基本支出189.19万元，占100%。 </w:t>
      </w:r>
    </w:p>
    <w:p>
      <w:pPr>
        <w:pStyle w:val="13"/>
        <w:rPr>
          <w:rFonts w:hint="eastAsia"/>
          <w:lang w:val="en-US" w:eastAsia="zh-CN"/>
        </w:rPr>
      </w:pPr>
    </w:p>
    <w:p>
      <w:pPr>
        <w:tabs>
          <w:tab w:val="right" w:pos="8306"/>
        </w:tabs>
        <w:spacing w:line="600" w:lineRule="exact"/>
        <w:ind w:firstLine="640"/>
        <w:outlineLvl w:val="1"/>
        <w:rPr>
          <w:rStyle w:val="29"/>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40"/>
      <w:bookmarkEnd w:id="41"/>
      <w:r>
        <w:rPr>
          <w:rStyle w:val="29"/>
          <w:rFonts w:ascii="黑体" w:hAnsi="黑体" w:eastAsia="黑体"/>
          <w:b w:val="0"/>
        </w:rPr>
        <w:tab/>
      </w:r>
    </w:p>
    <w:p>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2019年一般公共预算财政拨款基本支出189.19万元，其中：</w:t>
      </w:r>
    </w:p>
    <w:p>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人员经费</w:t>
      </w:r>
      <w:r>
        <w:rPr>
          <w:rFonts w:hint="eastAsia" w:ascii="仿宋_GB2312" w:hAnsi="仿宋" w:eastAsia="仿宋_GB2312"/>
          <w:sz w:val="32"/>
          <w:szCs w:val="32"/>
          <w:lang w:val="en-US" w:eastAsia="zh-CN"/>
        </w:rPr>
        <w:t>159.19</w:t>
      </w:r>
      <w:r>
        <w:rPr>
          <w:rFonts w:hint="eastAsia" w:ascii="仿宋_GB2312" w:hAnsi="仿宋" w:eastAsia="仿宋_GB2312" w:cs="Times New Roman"/>
          <w:sz w:val="32"/>
          <w:szCs w:val="32"/>
          <w:lang w:val="en-US" w:eastAsia="zh-CN"/>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 w:eastAsia="仿宋_GB2312" w:cs="Times New Roman"/>
          <w:sz w:val="32"/>
          <w:szCs w:val="32"/>
          <w:lang w:val="en-US" w:eastAsia="zh-CN"/>
        </w:rPr>
        <w:br w:type="textWrapping"/>
      </w:r>
      <w:r>
        <w:rPr>
          <w:rFonts w:hint="eastAsia" w:ascii="仿宋_GB2312" w:hAnsi="仿宋" w:eastAsia="仿宋_GB2312" w:cs="Times New Roman"/>
          <w:sz w:val="32"/>
          <w:szCs w:val="32"/>
          <w:lang w:val="en-US" w:eastAsia="zh-CN"/>
        </w:rPr>
        <w:t>　　日常公用经费30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13"/>
        <w:rPr>
          <w:rFonts w:hint="eastAsia"/>
          <w:lang w:val="en-US" w:eastAsia="zh-CN"/>
        </w:rPr>
      </w:pPr>
    </w:p>
    <w:p>
      <w:pPr>
        <w:spacing w:line="600" w:lineRule="exact"/>
        <w:ind w:firstLine="640"/>
        <w:outlineLvl w:val="1"/>
        <w:rPr>
          <w:rStyle w:val="29"/>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napToGrid w:val="0"/>
        <w:spacing w:line="520" w:lineRule="exact"/>
        <w:ind w:firstLine="640" w:firstLineChars="200"/>
        <w:rPr>
          <w:rFonts w:hint="eastAsia"/>
          <w:lang w:val="en-US" w:eastAsia="zh-CN"/>
        </w:rPr>
      </w:pPr>
      <w:r>
        <w:rPr>
          <w:rFonts w:hint="eastAsia" w:ascii="仿宋_GB2312" w:hAnsi="仿宋" w:eastAsia="仿宋_GB2312" w:cs="Times New Roman"/>
          <w:sz w:val="32"/>
          <w:szCs w:val="32"/>
          <w:lang w:val="en-US" w:eastAsia="zh-CN"/>
        </w:rPr>
        <w:t>2019年“三公”经费财政拨款支出决算为1.8万元，完成预算100%，决算数与预算数持平的主要原因是我单位厉行节俭。</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2019年“三公”经费财政拨款支出决算中，因公出国（境）费支出决算0万元，占0%；公务用车购置及运行维护费支出决算1.8万元，占100%；公务接待费支出决算0万元，占0%。具体情况如下：</w:t>
      </w:r>
    </w:p>
    <w:p>
      <w:pPr>
        <w:numPr>
          <w:ilvl w:val="0"/>
          <w:numId w:val="2"/>
        </w:numPr>
        <w:spacing w:line="600" w:lineRule="exact"/>
        <w:ind w:firstLine="640"/>
        <w:rPr>
          <w:rFonts w:hint="eastAsia" w:ascii="仿宋_GB2312" w:hAnsi="Times New Roman" w:eastAsia="仿宋_GB2312" w:cs="Times New Roman"/>
          <w:color w:val="000000"/>
          <w:sz w:val="32"/>
          <w:szCs w:val="32"/>
        </w:rPr>
      </w:pPr>
      <w:r>
        <w:rPr>
          <w:rFonts w:hint="eastAsia" w:ascii="仿宋_GB2312" w:eastAsia="仿宋_GB2312"/>
          <w:b/>
          <w:color w:val="000000"/>
          <w:sz w:val="32"/>
          <w:szCs w:val="32"/>
        </w:rPr>
        <w:t>因公出国（境）经费支出</w:t>
      </w:r>
      <w:r>
        <w:rPr>
          <w:rFonts w:hint="eastAsia" w:ascii="仿宋_GB2312" w:hAnsi="Times New Roman" w:eastAsia="仿宋_GB2312" w:cs="Times New Roman"/>
          <w:b/>
          <w:color w:val="000000"/>
          <w:sz w:val="32"/>
          <w:szCs w:val="32"/>
          <w:lang w:val="en-US" w:eastAsia="zh-CN"/>
        </w:rPr>
        <w:t>0</w:t>
      </w:r>
      <w:r>
        <w:rPr>
          <w:rFonts w:hint="eastAsia" w:ascii="仿宋_GB2312" w:hAnsi="Times New Roman" w:eastAsia="仿宋_GB2312" w:cs="Times New Roman"/>
          <w:b/>
          <w:color w:val="000000"/>
          <w:sz w:val="32"/>
          <w:szCs w:val="32"/>
        </w:rPr>
        <w:t>万元，完成预算</w:t>
      </w:r>
      <w:r>
        <w:rPr>
          <w:rFonts w:hint="eastAsia" w:ascii="仿宋_GB2312" w:hAnsi="Times New Roman" w:eastAsia="仿宋_GB2312" w:cs="Times New Roman"/>
          <w:b/>
          <w:color w:val="000000"/>
          <w:sz w:val="32"/>
          <w:szCs w:val="32"/>
          <w:lang w:val="en-US" w:eastAsia="zh-CN"/>
        </w:rPr>
        <w:t>100</w:t>
      </w:r>
      <w:r>
        <w:rPr>
          <w:rFonts w:hint="eastAsia" w:ascii="仿宋_GB2312" w:hAnsi="Times New Roman" w:eastAsia="仿宋_GB2312" w:cs="Times New Roman"/>
          <w:b/>
          <w:color w:val="000000"/>
          <w:sz w:val="32"/>
          <w:szCs w:val="32"/>
        </w:rPr>
        <w:t>%。</w:t>
      </w:r>
      <w:r>
        <w:rPr>
          <w:rFonts w:hint="eastAsia" w:ascii="仿宋_GB2312" w:hAnsi="Times New Roman" w:eastAsia="仿宋_GB2312" w:cs="Times New Roman"/>
          <w:color w:val="000000"/>
          <w:sz w:val="32"/>
          <w:szCs w:val="32"/>
        </w:rPr>
        <w:t>全年安排因公出国（境）团组</w:t>
      </w:r>
      <w:r>
        <w:rPr>
          <w:rFonts w:hint="eastAsia" w:ascii="仿宋_GB2312" w:hAnsi="Times New Roman" w:eastAsia="仿宋_GB2312" w:cs="Times New Roman"/>
          <w:color w:val="000000"/>
          <w:sz w:val="32"/>
          <w:szCs w:val="32"/>
          <w:lang w:val="en-US" w:eastAsia="zh-CN"/>
        </w:rPr>
        <w:t>0</w:t>
      </w:r>
      <w:r>
        <w:rPr>
          <w:rFonts w:hint="eastAsia" w:ascii="仿宋_GB2312" w:hAnsi="Times New Roman" w:eastAsia="仿宋_GB2312" w:cs="Times New Roman"/>
          <w:color w:val="000000"/>
          <w:sz w:val="32"/>
          <w:szCs w:val="32"/>
        </w:rPr>
        <w:t>次，出国（境）</w:t>
      </w:r>
      <w:r>
        <w:rPr>
          <w:rFonts w:hint="eastAsia" w:ascii="仿宋_GB2312" w:hAnsi="Times New Roman" w:eastAsia="仿宋_GB2312" w:cs="Times New Roman"/>
          <w:color w:val="000000"/>
          <w:sz w:val="32"/>
          <w:szCs w:val="32"/>
          <w:lang w:val="en-US" w:eastAsia="zh-CN"/>
        </w:rPr>
        <w:t>0</w:t>
      </w:r>
      <w:r>
        <w:rPr>
          <w:rFonts w:hint="eastAsia" w:ascii="仿宋_GB2312" w:hAnsi="Times New Roman" w:eastAsia="仿宋_GB2312" w:cs="Times New Roman"/>
          <w:color w:val="000000"/>
          <w:sz w:val="32"/>
          <w:szCs w:val="32"/>
        </w:rPr>
        <w:t>人。因公出国（境）支出决算比2018年增加/减少</w:t>
      </w:r>
      <w:r>
        <w:rPr>
          <w:rFonts w:hint="eastAsia" w:ascii="仿宋_GB2312" w:hAnsi="Times New Roman" w:eastAsia="仿宋_GB2312" w:cs="Times New Roman"/>
          <w:color w:val="000000"/>
          <w:sz w:val="32"/>
          <w:szCs w:val="32"/>
          <w:lang w:val="en-US" w:eastAsia="zh-CN"/>
        </w:rPr>
        <w:t>0</w:t>
      </w:r>
      <w:r>
        <w:rPr>
          <w:rFonts w:hint="eastAsia" w:ascii="仿宋_GB2312" w:hAnsi="Times New Roman" w:eastAsia="仿宋_GB2312" w:cs="Times New Roman"/>
          <w:color w:val="000000"/>
          <w:sz w:val="32"/>
          <w:szCs w:val="32"/>
        </w:rPr>
        <w:t>万元，增长/下降</w:t>
      </w:r>
      <w:r>
        <w:rPr>
          <w:rFonts w:hint="eastAsia" w:ascii="仿宋_GB2312" w:hAnsi="Times New Roman" w:eastAsia="仿宋_GB2312" w:cs="Times New Roman"/>
          <w:color w:val="000000"/>
          <w:sz w:val="32"/>
          <w:szCs w:val="32"/>
          <w:lang w:val="en-US" w:eastAsia="zh-CN"/>
        </w:rPr>
        <w:t>0</w:t>
      </w:r>
      <w:r>
        <w:rPr>
          <w:rFonts w:hint="eastAsia" w:ascii="仿宋_GB2312" w:hAnsi="Times New Roman" w:eastAsia="仿宋_GB2312" w:cs="Times New Roman"/>
          <w:color w:val="000000"/>
          <w:sz w:val="32"/>
          <w:szCs w:val="32"/>
        </w:rPr>
        <w:t>%。主要原因是</w:t>
      </w:r>
      <w:r>
        <w:rPr>
          <w:rFonts w:hint="eastAsia" w:ascii="仿宋_GB2312" w:eastAsia="仿宋_GB2312" w:cs="Times New Roman"/>
          <w:color w:val="000000"/>
          <w:sz w:val="32"/>
          <w:szCs w:val="32"/>
          <w:lang w:eastAsia="zh-CN"/>
        </w:rPr>
        <w:t>预算未</w:t>
      </w:r>
      <w:r>
        <w:rPr>
          <w:rFonts w:hint="eastAsia" w:ascii="仿宋_GB2312" w:hAnsi="Times New Roman" w:eastAsia="仿宋_GB2312" w:cs="Times New Roman"/>
          <w:color w:val="000000"/>
          <w:sz w:val="32"/>
          <w:szCs w:val="32"/>
          <w:lang w:eastAsia="zh-CN"/>
        </w:rPr>
        <w:t>安排</w:t>
      </w:r>
      <w:r>
        <w:rPr>
          <w:rFonts w:hint="eastAsia" w:ascii="仿宋_GB2312" w:hAnsi="Times New Roman" w:eastAsia="仿宋_GB2312" w:cs="Times New Roman"/>
          <w:color w:val="000000"/>
          <w:sz w:val="32"/>
          <w:szCs w:val="32"/>
        </w:rPr>
        <w:t>因公出国（境）经费</w:t>
      </w:r>
      <w:r>
        <w:rPr>
          <w:rFonts w:hint="eastAsia" w:ascii="仿宋_GB2312" w:hAnsi="Times New Roman" w:eastAsia="仿宋_GB2312" w:cs="Times New Roman"/>
          <w:color w:val="000000"/>
          <w:sz w:val="32"/>
          <w:szCs w:val="32"/>
          <w:lang w:eastAsia="zh-CN"/>
        </w:rPr>
        <w:t>。</w:t>
      </w:r>
    </w:p>
    <w:p>
      <w:pPr>
        <w:numPr>
          <w:ilvl w:val="0"/>
          <w:numId w:val="2"/>
        </w:numPr>
        <w:spacing w:line="600" w:lineRule="exact"/>
        <w:ind w:firstLine="640"/>
        <w:rPr>
          <w:rFonts w:ascii="仿宋_GB2312" w:eastAsia="仿宋_GB2312"/>
          <w:b/>
          <w:color w:val="000000"/>
          <w:sz w:val="32"/>
          <w:szCs w:val="32"/>
        </w:rPr>
      </w:pPr>
      <w:r>
        <w:rPr>
          <w:rFonts w:hint="eastAsia" w:ascii="仿宋_GB2312" w:eastAsia="仿宋_GB2312"/>
          <w:b/>
          <w:color w:val="000000"/>
          <w:sz w:val="32"/>
          <w:szCs w:val="32"/>
        </w:rPr>
        <w:t>公务用车购置及运行维护费支出</w:t>
      </w:r>
      <w:r>
        <w:rPr>
          <w:rFonts w:hint="eastAsia" w:ascii="仿宋_GB2312" w:eastAsia="仿宋_GB2312" w:cs="Times New Roman"/>
          <w:b/>
          <w:color w:val="000000"/>
          <w:sz w:val="32"/>
          <w:szCs w:val="32"/>
          <w:lang w:val="en-US" w:eastAsia="zh-CN"/>
        </w:rPr>
        <w:t>1.8</w:t>
      </w:r>
      <w:r>
        <w:rPr>
          <w:rFonts w:hint="eastAsia" w:ascii="仿宋_GB2312" w:hAnsi="Times New Roman" w:eastAsia="仿宋_GB2312" w:cs="Times New Roman"/>
          <w:b/>
          <w:color w:val="000000"/>
          <w:sz w:val="32"/>
          <w:szCs w:val="32"/>
        </w:rPr>
        <w:t>万元,完成预算</w:t>
      </w:r>
      <w:r>
        <w:rPr>
          <w:rFonts w:hint="eastAsia" w:ascii="仿宋_GB2312" w:eastAsia="仿宋_GB2312" w:cs="Times New Roman"/>
          <w:b/>
          <w:color w:val="000000"/>
          <w:sz w:val="32"/>
          <w:szCs w:val="32"/>
          <w:lang w:val="en-US" w:eastAsia="zh-CN"/>
        </w:rPr>
        <w:t>100</w:t>
      </w:r>
      <w:r>
        <w:rPr>
          <w:rFonts w:hint="eastAsia" w:ascii="仿宋_GB2312" w:hAnsi="Times New Roman" w:eastAsia="仿宋_GB2312" w:cs="Times New Roman"/>
          <w:b/>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w:t>
      </w:r>
      <w:r>
        <w:rPr>
          <w:rFonts w:hint="eastAsia" w:ascii="仿宋_GB2312" w:hAnsi="仿宋" w:eastAsia="仿宋_GB2312"/>
          <w:sz w:val="32"/>
          <w:szCs w:val="32"/>
          <w:lang w:val="en-US" w:eastAsia="zh-CN"/>
        </w:rPr>
        <w:t>少0.12万元</w:t>
      </w:r>
      <w:r>
        <w:rPr>
          <w:rFonts w:hint="eastAsia" w:ascii="仿宋_GB2312" w:eastAsia="仿宋_GB2312"/>
          <w:color w:val="000000"/>
          <w:sz w:val="32"/>
          <w:szCs w:val="32"/>
        </w:rPr>
        <w:t>。主要原因</w:t>
      </w:r>
      <w:r>
        <w:rPr>
          <w:rFonts w:hint="eastAsia" w:ascii="仿宋_GB2312" w:hAnsi="仿宋" w:eastAsia="仿宋_GB2312"/>
          <w:sz w:val="32"/>
          <w:szCs w:val="32"/>
          <w:lang w:val="en-US" w:eastAsia="zh-CN"/>
        </w:rPr>
        <w:t>是我单位厉行节俭。</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w:t>
      </w:r>
      <w:r>
        <w:rPr>
          <w:rFonts w:hint="eastAsia" w:ascii="仿宋_GB2312" w:eastAsia="仿宋_GB2312"/>
          <w:color w:val="000000"/>
          <w:sz w:val="32"/>
          <w:szCs w:val="32"/>
          <w:lang w:eastAsia="zh-CN"/>
        </w:rPr>
        <w:t>其他用车</w:t>
      </w:r>
      <w:r>
        <w:rPr>
          <w:rFonts w:hint="eastAsia" w:ascii="仿宋_GB2312" w:eastAsia="仿宋_GB2312"/>
          <w:color w:val="000000"/>
          <w:sz w:val="32"/>
          <w:szCs w:val="32"/>
          <w:lang w:val="en-US" w:eastAsia="zh-CN"/>
        </w:rPr>
        <w:t>1辆</w:t>
      </w:r>
      <w:r>
        <w:rPr>
          <w:rFonts w:hint="eastAsia" w:ascii="仿宋_GB2312" w:eastAsia="仿宋_GB2312"/>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日常工作</w:t>
      </w:r>
      <w:r>
        <w:rPr>
          <w:rFonts w:hint="eastAsia" w:ascii="仿宋_GB2312" w:eastAsia="仿宋_GB2312"/>
          <w:color w:val="000000"/>
          <w:sz w:val="32"/>
          <w:szCs w:val="32"/>
        </w:rPr>
        <w:t>等所需的公务用车燃料费、维修费、过路过桥费、保险费等支出。</w:t>
      </w:r>
    </w:p>
    <w:p>
      <w:pPr>
        <w:spacing w:line="578" w:lineRule="exact"/>
        <w:ind w:firstLine="643" w:firstLineChars="200"/>
        <w:jc w:val="left"/>
        <w:rPr>
          <w:rFonts w:ascii="仿宋_GB2312" w:eastAsia="仿宋_GB2312"/>
          <w:color w:val="000000"/>
          <w:sz w:val="32"/>
          <w:szCs w:val="32"/>
        </w:rPr>
      </w:pPr>
      <w:r>
        <w:rPr>
          <w:rFonts w:ascii="仿宋_GB2312" w:eastAsia="仿宋_GB2312"/>
          <w:b/>
          <w:color w:val="000000"/>
          <w:sz w:val="32"/>
          <w:szCs w:val="32"/>
        </w:rPr>
        <w:t>3.</w:t>
      </w:r>
      <w:r>
        <w:rPr>
          <w:rFonts w:hint="eastAsia" w:ascii="仿宋_GB2312" w:hAnsi="Times New Roman" w:eastAsia="仿宋_GB2312" w:cs="Times New Roman"/>
          <w:b/>
          <w:color w:val="000000"/>
          <w:sz w:val="32"/>
          <w:szCs w:val="32"/>
        </w:rPr>
        <w:t>公务接待费支出</w:t>
      </w:r>
      <w:r>
        <w:rPr>
          <w:rFonts w:hint="eastAsia" w:ascii="仿宋_GB2312" w:eastAsia="仿宋_GB2312" w:cs="Times New Roman"/>
          <w:b/>
          <w:color w:val="000000"/>
          <w:sz w:val="32"/>
          <w:szCs w:val="32"/>
          <w:lang w:val="en-US" w:eastAsia="zh-CN"/>
        </w:rPr>
        <w:t>0</w:t>
      </w:r>
      <w:r>
        <w:rPr>
          <w:rFonts w:hint="eastAsia" w:ascii="仿宋_GB2312" w:hAnsi="Times New Roman" w:eastAsia="仿宋_GB2312" w:cs="Times New Roman"/>
          <w:b/>
          <w:color w:val="000000"/>
          <w:sz w:val="32"/>
          <w:szCs w:val="32"/>
        </w:rPr>
        <w:t>万元，完成预算</w:t>
      </w:r>
      <w:r>
        <w:rPr>
          <w:rFonts w:hint="eastAsia" w:ascii="仿宋_GB2312" w:eastAsia="仿宋_GB2312" w:cs="Times New Roman"/>
          <w:b/>
          <w:color w:val="000000"/>
          <w:sz w:val="32"/>
          <w:szCs w:val="32"/>
          <w:lang w:val="en-US" w:eastAsia="zh-CN"/>
        </w:rPr>
        <w:t>100</w:t>
      </w:r>
      <w:r>
        <w:rPr>
          <w:rFonts w:hint="eastAsia" w:ascii="仿宋_GB2312" w:hAnsi="Times New Roman" w:eastAsia="仿宋_GB2312" w:cs="Times New Roman"/>
          <w:b/>
          <w:color w:val="000000"/>
          <w:sz w:val="32"/>
          <w:szCs w:val="32"/>
        </w:rPr>
        <w:t>%。</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公务接待费支</w:t>
      </w:r>
      <w:r>
        <w:rPr>
          <w:rFonts w:hint="eastAsia" w:ascii="仿宋_GB2312" w:eastAsia="仿宋_GB2312"/>
          <w:color w:val="000000"/>
          <w:sz w:val="32"/>
          <w:szCs w:val="32"/>
          <w:lang w:eastAsia="zh-CN"/>
        </w:rPr>
        <w:t>出</w:t>
      </w:r>
      <w:r>
        <w:rPr>
          <w:rFonts w:hint="eastAsia" w:ascii="仿宋_GB2312" w:hAnsi="仿宋" w:eastAsia="仿宋_GB2312"/>
          <w:sz w:val="32"/>
          <w:szCs w:val="32"/>
          <w:lang w:val="en-US" w:eastAsia="zh-CN"/>
        </w:rPr>
        <w:t>。</w:t>
      </w:r>
    </w:p>
    <w:p>
      <w:pPr>
        <w:spacing w:line="600" w:lineRule="exact"/>
        <w:ind w:firstLine="640"/>
        <w:rPr>
          <w:rFonts w:hint="eastAsia"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b/>
          <w:color w:val="000000"/>
          <w:sz w:val="32"/>
          <w:szCs w:val="32"/>
          <w:lang w:eastAsia="zh-CN"/>
        </w:rPr>
        <w:t>：</w:t>
      </w:r>
      <w:r>
        <w:rPr>
          <w:rFonts w:hint="eastAsia" w:ascii="仿宋_GB2312" w:hAnsi="Times New Roman" w:eastAsia="仿宋_GB2312" w:cs="Times New Roman"/>
          <w:color w:val="000000"/>
          <w:sz w:val="32"/>
          <w:szCs w:val="32"/>
          <w:lang w:eastAsia="zh-CN"/>
        </w:rPr>
        <w:t>无国内公务接待支出。</w:t>
      </w:r>
    </w:p>
    <w:p>
      <w:pPr>
        <w:spacing w:line="600" w:lineRule="exact"/>
        <w:ind w:firstLine="643" w:firstLineChars="200"/>
        <w:rPr>
          <w:rFonts w:hint="eastAsia" w:ascii="仿宋_GB2312" w:hAnsi="Times New Roman" w:eastAsia="仿宋_GB2312" w:cs="Times New Roman"/>
          <w:color w:val="000000"/>
          <w:sz w:val="32"/>
          <w:szCs w:val="32"/>
          <w:lang w:eastAsia="zh-CN"/>
        </w:rPr>
      </w:pPr>
      <w:r>
        <w:rPr>
          <w:rFonts w:hint="eastAsia" w:ascii="仿宋" w:hAnsi="仿宋" w:eastAsia="仿宋"/>
          <w:b/>
          <w:color w:val="000000"/>
          <w:sz w:val="32"/>
          <w:szCs w:val="32"/>
        </w:rPr>
        <w:t>外事接待支出</w:t>
      </w:r>
      <w:r>
        <w:rPr>
          <w:rFonts w:hint="eastAsia" w:ascii="仿宋" w:hAnsi="仿宋" w:eastAsia="仿宋"/>
          <w:b/>
          <w:color w:val="000000"/>
          <w:sz w:val="32"/>
          <w:szCs w:val="32"/>
          <w:lang w:eastAsia="zh-CN"/>
        </w:rPr>
        <w:t>：</w:t>
      </w:r>
      <w:r>
        <w:rPr>
          <w:rFonts w:hint="eastAsia" w:ascii="仿宋_GB2312" w:hAnsi="Times New Roman" w:eastAsia="仿宋_GB2312" w:cs="Times New Roman"/>
          <w:color w:val="000000"/>
          <w:sz w:val="32"/>
          <w:szCs w:val="32"/>
          <w:lang w:eastAsia="zh-CN"/>
        </w:rPr>
        <w:t>无外事接待支出</w:t>
      </w:r>
    </w:p>
    <w:p>
      <w:pPr>
        <w:pStyle w:val="13"/>
        <w:rPr>
          <w:rFonts w:hint="eastAsia"/>
          <w:lang w:eastAsia="zh-CN"/>
        </w:rPr>
      </w:pPr>
    </w:p>
    <w:p>
      <w:pPr>
        <w:spacing w:line="600" w:lineRule="exact"/>
        <w:ind w:firstLine="640"/>
        <w:outlineLvl w:val="1"/>
        <w:rPr>
          <w:rStyle w:val="29"/>
          <w:rFonts w:ascii="黑体" w:hAnsi="黑体" w:eastAsia="黑体"/>
        </w:rPr>
      </w:pPr>
      <w:bookmarkStart w:id="46" w:name="_Toc15396610"/>
      <w:bookmarkStart w:id="47" w:name="_Toc15377218"/>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政府性基金预算拨款支出。</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29"/>
          <w:rFonts w:ascii="黑体" w:hAnsi="黑体" w:eastAsia="黑体"/>
          <w:b w:val="0"/>
        </w:rPr>
      </w:pPr>
      <w:bookmarkStart w:id="48" w:name="_Toc15396611"/>
      <w:bookmarkStart w:id="49" w:name="_Toc15377219"/>
      <w:r>
        <w:rPr>
          <w:rStyle w:val="29"/>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国有资本经营预算拨款支出。</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9"/>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9"/>
          <w:rFonts w:hint="eastAsia" w:ascii="黑体" w:hAnsi="黑体" w:eastAsia="黑体"/>
        </w:rPr>
        <w:t>、</w:t>
      </w:r>
      <w:r>
        <w:rPr>
          <w:rStyle w:val="29"/>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松潘县粮食局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30.05</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0.57</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松潘县粮食局无</w:t>
      </w:r>
      <w:r>
        <w:rPr>
          <w:rFonts w:hint="eastAsia" w:ascii="仿宋_GB2312" w:eastAsia="仿宋_GB2312"/>
          <w:color w:val="000000"/>
          <w:sz w:val="32"/>
          <w:szCs w:val="32"/>
        </w:rPr>
        <w:t>政府采购支出。</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rPr>
        <w:t>截至2019年12月31日，</w:t>
      </w:r>
      <w:r>
        <w:rPr>
          <w:rFonts w:hint="eastAsia" w:ascii="仿宋_GB2312" w:eastAsia="仿宋_GB2312"/>
          <w:color w:val="000000"/>
          <w:sz w:val="32"/>
          <w:szCs w:val="32"/>
          <w:lang w:eastAsia="zh-CN"/>
        </w:rPr>
        <w:t>松潘县粮食局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，其</w:t>
      </w:r>
      <w:r>
        <w:rPr>
          <w:rFonts w:hint="eastAsia" w:ascii="仿宋_GB2312" w:eastAsia="仿宋_GB2312"/>
          <w:color w:val="000000"/>
          <w:sz w:val="32"/>
          <w:szCs w:val="32"/>
        </w:rPr>
        <w:t>他用车主要是用于</w:t>
      </w:r>
      <w:r>
        <w:rPr>
          <w:rFonts w:hint="eastAsia" w:ascii="仿宋_GB2312" w:eastAsia="仿宋_GB2312"/>
          <w:color w:val="000000"/>
          <w:sz w:val="32"/>
          <w:szCs w:val="32"/>
          <w:lang w:eastAsia="zh-CN"/>
        </w:rPr>
        <w:t>松潘县粮食局。</w:t>
      </w:r>
      <w:r>
        <w:rPr>
          <w:rFonts w:hint="eastAsia" w:ascii="仿宋_GB2312" w:eastAsia="仿宋_GB2312"/>
          <w:color w:val="000000"/>
          <w:sz w:val="32"/>
          <w:szCs w:val="32"/>
        </w:rPr>
        <w:t>单价50万元以上通用设备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台（套），单价100万元以上专用设备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无专项预算项目，因此未组织开展项目支出绩效评价。</w:t>
      </w: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按要求对2019年部门整体支出绩效评价情况开展自评，《</w:t>
      </w:r>
      <w:r>
        <w:rPr>
          <w:rFonts w:hint="eastAsia" w:ascii="仿宋_GB2312" w:hAnsi="仿宋_GB2312" w:eastAsia="仿宋_GB2312" w:cs="仿宋_GB2312"/>
          <w:sz w:val="32"/>
          <w:szCs w:val="32"/>
          <w:lang w:eastAsia="zh-CN"/>
        </w:rPr>
        <w:t>松潘县粮食局</w:t>
      </w:r>
      <w:r>
        <w:rPr>
          <w:rFonts w:hint="eastAsia" w:ascii="仿宋_GB2312" w:hAnsi="仿宋_GB2312" w:eastAsia="仿宋_GB2312" w:cs="仿宋_GB2312"/>
          <w:sz w:val="32"/>
          <w:szCs w:val="32"/>
        </w:rPr>
        <w:t>2019年部门整体支出绩效评价报告》见附件（附件1）。</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28"/>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8"/>
          <w:rFonts w:hint="eastAsia" w:ascii="黑体" w:hAnsi="黑体" w:eastAsia="黑体"/>
          <w:b w:val="0"/>
        </w:rPr>
        <w:t>词解释</w:t>
      </w:r>
      <w:bookmarkEnd w:id="55"/>
      <w:bookmarkEnd w:id="56"/>
    </w:p>
    <w:p>
      <w:pPr>
        <w:keepNext w:val="0"/>
        <w:keepLines w:val="0"/>
        <w:pageBreakBefore w:val="0"/>
        <w:widowControl w:val="0"/>
        <w:kinsoku/>
        <w:wordWrap/>
        <w:overflowPunct/>
        <w:topLinePunct w:val="0"/>
        <w:bidi w:val="0"/>
        <w:snapToGrid/>
        <w:spacing w:line="540" w:lineRule="exact"/>
        <w:jc w:val="left"/>
        <w:textAlignment w:val="auto"/>
        <w:rPr>
          <w:rFonts w:ascii="宋体"/>
          <w:b/>
          <w:color w:val="000000"/>
          <w:sz w:val="44"/>
          <w:szCs w:val="44"/>
        </w:rPr>
      </w:pPr>
    </w:p>
    <w:p>
      <w:pPr>
        <w:pStyle w:val="26"/>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6"/>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6"/>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6"/>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6"/>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结余分配：指事业单位按照事业单位会计制度的规定从非财政补助结余中分配的事业基金和职工福利基金等。</w:t>
      </w:r>
    </w:p>
    <w:p>
      <w:pPr>
        <w:pStyle w:val="26"/>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hAnsi="仿宋_GB2312" w:eastAsia="仿宋_GB2312" w:cs="仿宋_GB2312"/>
          <w:b w:val="0"/>
          <w:bCs w:val="0"/>
          <w:color w:val="auto"/>
          <w:sz w:val="32"/>
          <w:szCs w:val="32"/>
          <w:lang w:val="en-US" w:eastAsia="zh-CN"/>
        </w:rPr>
        <w:t>社会保障和就业（类）208（款）02（项）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民政管理事务支出</w:t>
      </w:r>
      <w:r>
        <w:rPr>
          <w:rFonts w:hint="eastAsia" w:ascii="仿宋_GB2312" w:eastAsia="仿宋_GB2312"/>
          <w:color w:val="000000"/>
          <w:sz w:val="32"/>
          <w:szCs w:val="32"/>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hAnsi="仿宋_GB2312" w:eastAsia="仿宋_GB2312" w:cs="仿宋_GB2312"/>
          <w:b w:val="0"/>
          <w:bCs w:val="0"/>
          <w:color w:val="auto"/>
          <w:sz w:val="32"/>
          <w:szCs w:val="32"/>
          <w:lang w:val="en-US" w:eastAsia="zh-CN"/>
        </w:rPr>
        <w:t>卫生健康（类）210（款）11（项）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行政事业单位医疗方面的支出</w:t>
      </w:r>
      <w:r>
        <w:rPr>
          <w:rFonts w:hint="eastAsia" w:ascii="仿宋_GB2312" w:eastAsia="仿宋_GB2312"/>
          <w:color w:val="000000"/>
          <w:sz w:val="32"/>
          <w:szCs w:val="32"/>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hAnsi="仿宋_GB2312" w:eastAsia="仿宋_GB2312" w:cs="仿宋_GB2312"/>
          <w:b w:val="0"/>
          <w:bCs w:val="0"/>
          <w:color w:val="auto"/>
          <w:sz w:val="32"/>
          <w:szCs w:val="32"/>
          <w:lang w:val="en-US" w:eastAsia="zh-CN"/>
        </w:rPr>
        <w:t>住房保障（类）221（款）02（项）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hAnsi="仿宋_GB2312" w:eastAsia="仿宋_GB2312" w:cs="仿宋_GB2312"/>
          <w:b w:val="0"/>
          <w:bCs w:val="0"/>
          <w:color w:val="auto"/>
          <w:sz w:val="32"/>
          <w:szCs w:val="32"/>
          <w:lang w:val="en-US" w:eastAsia="zh-CN"/>
        </w:rPr>
        <w:t>粮油物资储备（类）222（款）04（项）: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国家粮油储备的有关支出</w:t>
      </w:r>
      <w:r>
        <w:rPr>
          <w:rFonts w:hint="eastAsia" w:ascii="仿宋_GB2312" w:eastAsia="仿宋_GB2312"/>
          <w:color w:val="000000"/>
          <w:sz w:val="32"/>
          <w:szCs w:val="32"/>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pStyle w:val="26"/>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32"/>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napToGrid/>
        <w:spacing w:line="540" w:lineRule="exact"/>
        <w:jc w:val="center"/>
        <w:textAlignment w:val="auto"/>
        <w:outlineLvl w:val="0"/>
        <w:rPr>
          <w:rStyle w:val="28"/>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8"/>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keepNext w:val="0"/>
        <w:keepLines w:val="0"/>
        <w:pageBreakBefore w:val="0"/>
        <w:widowControl/>
        <w:kinsoku/>
        <w:wordWrap/>
        <w:overflowPunct/>
        <w:topLinePunct w:val="0"/>
        <w:autoSpaceDE/>
        <w:autoSpaceDN/>
        <w:bidi w:val="0"/>
        <w:spacing w:line="578" w:lineRule="exact"/>
        <w:jc w:val="center"/>
        <w:rPr>
          <w:rFonts w:hint="eastAsia" w:ascii="方正小标宋简体" w:hAnsi="宋体" w:eastAsia="方正小标宋简体"/>
          <w:b/>
          <w:bCs/>
          <w:sz w:val="44"/>
          <w:szCs w:val="44"/>
          <w:lang w:eastAsia="zh-CN"/>
        </w:rPr>
      </w:pPr>
      <w:r>
        <w:rPr>
          <w:rFonts w:hint="eastAsia" w:ascii="方正小标宋简体" w:hAnsi="宋体" w:eastAsia="方正小标宋简体"/>
          <w:b/>
          <w:bCs/>
          <w:sz w:val="44"/>
          <w:szCs w:val="44"/>
          <w:lang w:eastAsia="zh-CN"/>
        </w:rPr>
        <w:t>松潘县粮食局</w:t>
      </w:r>
    </w:p>
    <w:p>
      <w:pPr>
        <w:keepNext w:val="0"/>
        <w:keepLines w:val="0"/>
        <w:pageBreakBefore w:val="0"/>
        <w:widowControl/>
        <w:kinsoku/>
        <w:wordWrap/>
        <w:overflowPunct/>
        <w:topLinePunct w:val="0"/>
        <w:autoSpaceDE/>
        <w:autoSpaceDN/>
        <w:bidi w:val="0"/>
        <w:spacing w:line="578" w:lineRule="exact"/>
        <w:jc w:val="center"/>
        <w:rPr>
          <w:rFonts w:ascii="方正小标宋简体" w:hAnsi="宋体" w:eastAsia="方正小标宋简体"/>
          <w:b/>
          <w:bCs/>
          <w:sz w:val="44"/>
          <w:szCs w:val="44"/>
        </w:rPr>
      </w:pPr>
      <w:r>
        <w:rPr>
          <w:rFonts w:ascii="方正小标宋简体" w:hAnsi="宋体" w:eastAsia="方正小标宋简体"/>
          <w:b/>
          <w:bCs/>
          <w:sz w:val="44"/>
          <w:szCs w:val="44"/>
        </w:rPr>
        <w:t>2</w:t>
      </w:r>
      <w:r>
        <w:rPr>
          <w:rFonts w:hint="eastAsia" w:ascii="方正小标宋简体" w:hAnsi="宋体" w:eastAsia="方正小标宋简体"/>
          <w:b/>
          <w:bCs/>
          <w:sz w:val="44"/>
          <w:szCs w:val="44"/>
          <w:lang w:val="en-US" w:eastAsia="zh-CN"/>
        </w:rPr>
        <w:t>019</w:t>
      </w:r>
      <w:r>
        <w:rPr>
          <w:rFonts w:hint="eastAsia" w:ascii="方正小标宋简体" w:hAnsi="宋体" w:eastAsia="方正小标宋简体"/>
          <w:b/>
          <w:bCs/>
          <w:sz w:val="44"/>
          <w:szCs w:val="44"/>
        </w:rPr>
        <w:t>年部门整体支出绩效</w:t>
      </w:r>
      <w:r>
        <w:rPr>
          <w:rFonts w:hint="eastAsia" w:ascii="方正小标宋简体" w:hAnsi="宋体" w:eastAsia="方正小标宋简体"/>
          <w:b/>
          <w:bCs/>
          <w:sz w:val="44"/>
          <w:szCs w:val="44"/>
          <w:lang w:eastAsia="zh-CN"/>
        </w:rPr>
        <w:t>评价</w:t>
      </w:r>
      <w:r>
        <w:rPr>
          <w:rFonts w:hint="eastAsia" w:ascii="方正小标宋简体" w:hAnsi="宋体" w:eastAsia="方正小标宋简体"/>
          <w:b/>
          <w:bCs/>
          <w:sz w:val="44"/>
          <w:szCs w:val="44"/>
        </w:rPr>
        <w:t>报告</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黑体" w:hAnsi="宋体" w:eastAsia="黑体" w:cs="宋体"/>
          <w:color w:val="000000"/>
          <w:kern w:val="0"/>
          <w:sz w:val="32"/>
          <w:szCs w:val="32"/>
        </w:rPr>
      </w:pPr>
    </w:p>
    <w:p>
      <w:pPr>
        <w:snapToGrid w:val="0"/>
        <w:spacing w:line="520" w:lineRule="atLeast"/>
        <w:ind w:firstLine="643" w:firstLineChars="200"/>
        <w:rPr>
          <w:rFonts w:hint="eastAsia" w:ascii="仿宋_GB2312" w:hAnsi="宋体" w:eastAsia="仿宋_GB2312" w:cs="宋体"/>
          <w:b/>
          <w:bCs/>
          <w:sz w:val="32"/>
          <w:szCs w:val="32"/>
        </w:rPr>
      </w:pPr>
      <w:bookmarkStart w:id="59" w:name="_Toc15396618"/>
      <w:r>
        <w:rPr>
          <w:rFonts w:hint="eastAsia" w:ascii="仿宋_GB2312" w:hAnsi="宋体" w:eastAsia="仿宋_GB2312" w:cs="宋体"/>
          <w:b/>
          <w:bCs/>
          <w:sz w:val="32"/>
          <w:szCs w:val="32"/>
          <w:lang w:eastAsia="zh-CN"/>
        </w:rPr>
        <w:t>一、</w:t>
      </w:r>
      <w:r>
        <w:rPr>
          <w:rFonts w:hint="eastAsia" w:ascii="仿宋_GB2312" w:hAnsi="宋体" w:eastAsia="仿宋_GB2312" w:cs="宋体"/>
          <w:b/>
          <w:bCs/>
          <w:sz w:val="32"/>
          <w:szCs w:val="32"/>
        </w:rPr>
        <w:t>内设机构　</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（一）办公室。</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贯彻执行国家粮食流通的方针、政策和法律、法规;拟定全县粮食流通改革方案，并组织实施;协助局领导处理口常工作，负责综合性会议的组织和会议决定事项的督办;协调各业务股室工作关系，保证机关工作的正常运转;</w:t>
      </w:r>
      <w:r>
        <w:rPr>
          <w:rFonts w:hint="eastAsia" w:ascii="仿宋_GB2312" w:eastAsia="仿宋_GB2312"/>
          <w:sz w:val="32"/>
          <w:szCs w:val="32"/>
          <w:lang w:eastAsia="zh-CN"/>
        </w:rPr>
        <w:t>负责</w:t>
      </w:r>
      <w:r>
        <w:rPr>
          <w:rFonts w:hint="eastAsia" w:ascii="仿宋_GB2312" w:eastAsia="仿宋_GB2312"/>
          <w:sz w:val="32"/>
          <w:szCs w:val="32"/>
        </w:rPr>
        <w:t>组织全局重要文件的起草、综合性报告及重要文稿的审核工作;负责文秘、机要、保密、档案、机关保卫、政策体改法规、目标管理、外事活动及政务信息工作;管理机关财产。</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 负</w:t>
      </w:r>
      <w:r>
        <w:rPr>
          <w:rFonts w:hint="eastAsia" w:ascii="仿宋_GB2312" w:eastAsia="仿宋_GB2312"/>
          <w:sz w:val="32"/>
          <w:szCs w:val="32"/>
          <w:lang w:eastAsia="zh-CN"/>
        </w:rPr>
        <w:t>责</w:t>
      </w:r>
      <w:r>
        <w:rPr>
          <w:rFonts w:hint="eastAsia" w:ascii="仿宋_GB2312" w:eastAsia="仿宋_GB2312"/>
          <w:sz w:val="32"/>
          <w:szCs w:val="32"/>
        </w:rPr>
        <w:t>局机关和企业的机构编制、人事管理和离退休人员管理工作:负责局机关人员、工资、教育统计工作;承办局机关和企业的党风廉政建设、社会治安综合治理和精神文明建设工作:办理有关人民来信来访工作。</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业务稽查股</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负</w:t>
      </w:r>
      <w:r>
        <w:rPr>
          <w:rFonts w:hint="eastAsia" w:ascii="仿宋_GB2312" w:eastAsia="仿宋_GB2312"/>
          <w:sz w:val="32"/>
          <w:szCs w:val="32"/>
          <w:lang w:eastAsia="zh-CN"/>
        </w:rPr>
        <w:t>责</w:t>
      </w:r>
      <w:r>
        <w:rPr>
          <w:rFonts w:hint="eastAsia" w:ascii="仿宋_GB2312" w:eastAsia="仿宋_GB2312"/>
          <w:sz w:val="32"/>
          <w:szCs w:val="32"/>
        </w:rPr>
        <w:t>粮油稽查工作，打击违法经营活动。协助有关部门管理全县粮汕市场，组织市场供求平衡，满足城镇军锅民食。</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综合股</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 负责全县狼食总量平衡以及粮食流通中长期规划;研究专项储备粮布局和储藏、轮换计划并监督实施;编制下达商品粮收购、销售、调运总量平衡计划;</w:t>
      </w:r>
      <w:r>
        <w:rPr>
          <w:rFonts w:hint="eastAsia" w:ascii="仿宋_GB2312" w:eastAsia="仿宋_GB2312"/>
          <w:sz w:val="32"/>
          <w:szCs w:val="32"/>
          <w:lang w:eastAsia="zh-CN"/>
        </w:rPr>
        <w:t>负责</w:t>
      </w:r>
      <w:r>
        <w:rPr>
          <w:rFonts w:hint="eastAsia" w:ascii="仿宋_GB2312" w:eastAsia="仿宋_GB2312"/>
          <w:sz w:val="32"/>
          <w:szCs w:val="32"/>
        </w:rPr>
        <w:t>督促并检查国家粮食收购计划的落实和完成;安排军供粮</w:t>
      </w:r>
      <w:r>
        <w:rPr>
          <w:rFonts w:hint="eastAsia" w:ascii="仿宋_GB2312" w:eastAsia="仿宋_GB2312"/>
          <w:sz w:val="32"/>
          <w:szCs w:val="32"/>
          <w:lang w:eastAsia="zh-CN"/>
        </w:rPr>
        <w:t>油</w:t>
      </w:r>
      <w:r>
        <w:rPr>
          <w:rFonts w:hint="eastAsia" w:ascii="仿宋_GB2312" w:eastAsia="仿宋_GB2312"/>
          <w:sz w:val="32"/>
          <w:szCs w:val="32"/>
        </w:rPr>
        <w:t>、退耕还林、灾区农牧民及国家重点建设项目的用粮计划并组织实施;管理粮油价格，汇编粮油行业统计报表。负责行业的安全生产、防火防汛抢险救灾工作，负</w:t>
      </w:r>
      <w:r>
        <w:rPr>
          <w:rFonts w:hint="eastAsia" w:ascii="仿宋_GB2312" w:eastAsia="仿宋_GB2312"/>
          <w:sz w:val="32"/>
          <w:szCs w:val="32"/>
          <w:lang w:eastAsia="zh-CN"/>
        </w:rPr>
        <w:t>责</w:t>
      </w:r>
      <w:r>
        <w:rPr>
          <w:rFonts w:hint="eastAsia" w:ascii="仿宋_GB2312" w:eastAsia="仿宋_GB2312"/>
          <w:sz w:val="32"/>
          <w:szCs w:val="32"/>
        </w:rPr>
        <w:t>收集安全生产资料及统计工作;负责专储粮和商品粮的仓储管理;定期检查粮汕的库存、质量和安全;负责全县粮汕仓储设施的新建、报废、占用、拆迁的市核上报工作;负责粮油仓储设施统计工作。</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财务审计股</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 指导全县粮食财务管理和扭亏增盈工作，组织实施粮食财务和会计制度;负责编制粮食年度财务计划和会计决算，定期编报财务会计报表;组织落实全县粮油收购、调拨资金并进行监督、检查、使用;负责粮食政策性补贴的管理工作;负责粮食基础设施建设和维修改造资金的管理工作。负责军供粮汕、退耕还林粮食的财务结算;会同有关部门做好粮食收购资|金封闭运行和粮食风险基金包干的协调管理工作;指导并监督企业国有资产管理工作;负责全系统的内审工作。</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eastAsia="仿宋_GB2312"/>
          <w:sz w:val="32"/>
          <w:szCs w:val="32"/>
        </w:rPr>
      </w:pPr>
    </w:p>
    <w:p>
      <w:pPr>
        <w:snapToGrid w:val="0"/>
        <w:spacing w:line="520" w:lineRule="atLeast"/>
        <w:ind w:firstLine="643" w:firstLineChars="200"/>
        <w:rPr>
          <w:rFonts w:hint="eastAsia" w:ascii="仿宋_GB2312" w:hAnsi="宋体" w:eastAsia="仿宋_GB2312" w:cs="宋体"/>
          <w:b/>
          <w:bCs/>
          <w:sz w:val="32"/>
          <w:szCs w:val="32"/>
        </w:rPr>
      </w:pPr>
      <w:r>
        <w:rPr>
          <w:rFonts w:hint="eastAsia" w:ascii="仿宋_GB2312" w:hAnsi="宋体" w:eastAsia="仿宋_GB2312" w:cs="宋体"/>
          <w:b/>
          <w:bCs/>
          <w:sz w:val="32"/>
          <w:szCs w:val="32"/>
          <w:lang w:eastAsia="zh-CN"/>
        </w:rPr>
        <w:t>二</w:t>
      </w:r>
      <w:r>
        <w:rPr>
          <w:rFonts w:hint="eastAsia" w:ascii="仿宋_GB2312" w:hAnsi="宋体" w:eastAsia="仿宋_GB2312" w:cs="宋体"/>
          <w:b/>
          <w:bCs/>
          <w:sz w:val="32"/>
          <w:szCs w:val="32"/>
        </w:rPr>
        <w:t>、部门（单位）情况</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（一）粮食购销工作</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1.积极掌握粮源，确保了本县市场粮食供应不断档、不脱销。截止201</w:t>
      </w:r>
      <w:r>
        <w:rPr>
          <w:rFonts w:hint="eastAsia" w:ascii="仿宋_GB2312" w:eastAsia="仿宋_GB2312"/>
          <w:sz w:val="32"/>
          <w:szCs w:val="32"/>
          <w:lang w:val="en-US" w:eastAsia="zh-CN"/>
        </w:rPr>
        <w:t>9</w:t>
      </w:r>
      <w:r>
        <w:rPr>
          <w:rFonts w:hint="eastAsia" w:ascii="仿宋_GB2312" w:eastAsia="仿宋_GB2312"/>
          <w:sz w:val="32"/>
          <w:szCs w:val="32"/>
        </w:rPr>
        <w:t>年</w:t>
      </w:r>
      <w:r>
        <w:rPr>
          <w:rFonts w:hint="eastAsia" w:ascii="仿宋_GB2312" w:eastAsia="仿宋_GB2312"/>
          <w:sz w:val="32"/>
          <w:szCs w:val="32"/>
          <w:lang w:val="en-US" w:eastAsia="zh-CN"/>
        </w:rPr>
        <w:t>完成</w:t>
      </w:r>
      <w:r>
        <w:rPr>
          <w:rFonts w:hint="eastAsia" w:ascii="仿宋_GB2312" w:eastAsia="仿宋_GB2312"/>
          <w:sz w:val="32"/>
          <w:szCs w:val="32"/>
        </w:rPr>
        <w:t>粮油销售</w:t>
      </w:r>
      <w:r>
        <w:rPr>
          <w:rFonts w:hint="eastAsia" w:ascii="仿宋_GB2312" w:eastAsia="仿宋_GB2312"/>
          <w:sz w:val="32"/>
          <w:szCs w:val="32"/>
          <w:lang w:val="en-US" w:eastAsia="zh-CN"/>
        </w:rPr>
        <w:t>2800</w:t>
      </w:r>
      <w:r>
        <w:rPr>
          <w:rFonts w:hint="eastAsia" w:ascii="仿宋_GB2312" w:eastAsia="仿宋_GB2312"/>
          <w:sz w:val="32"/>
          <w:szCs w:val="32"/>
        </w:rPr>
        <w:t>吨</w:t>
      </w:r>
      <w:r>
        <w:rPr>
          <w:rFonts w:hint="eastAsia" w:ascii="仿宋_GB2312" w:eastAsia="仿宋_GB2312"/>
          <w:sz w:val="32"/>
          <w:szCs w:val="32"/>
          <w:lang w:eastAsia="zh-CN"/>
        </w:rPr>
        <w:t>、</w:t>
      </w:r>
      <w:r>
        <w:rPr>
          <w:rFonts w:hint="eastAsia" w:ascii="仿宋_GB2312" w:eastAsia="仿宋_GB2312"/>
          <w:sz w:val="32"/>
          <w:szCs w:val="32"/>
          <w:lang w:val="en-US" w:eastAsia="zh-CN"/>
        </w:rPr>
        <w:t>食用油40吨，粮食收购300吨。</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2.加强军粮和学生口粮供应工作，完成201</w:t>
      </w:r>
      <w:r>
        <w:rPr>
          <w:rFonts w:hint="eastAsia" w:ascii="仿宋_GB2312" w:eastAsia="仿宋_GB2312"/>
          <w:sz w:val="32"/>
          <w:szCs w:val="32"/>
          <w:lang w:val="en-US" w:eastAsia="zh-CN"/>
        </w:rPr>
        <w:t>9</w:t>
      </w:r>
      <w:r>
        <w:rPr>
          <w:rFonts w:hint="eastAsia" w:ascii="仿宋_GB2312" w:eastAsia="仿宋_GB2312"/>
          <w:sz w:val="32"/>
          <w:szCs w:val="32"/>
        </w:rPr>
        <w:t>年度军粮供应上报电子版升级工作；按照州人民政府《关于将救灾救济和学生口粮等政策性粮油供应纳入国有粮食承储企业直供的通知》（阿府办函（2014）88号）文件要求、“放心粮油”工程建设要求，为关爱学生身体健康、保障学校食堂粮油安全，我</w:t>
      </w:r>
      <w:r>
        <w:rPr>
          <w:rFonts w:hint="eastAsia" w:ascii="仿宋_GB2312" w:eastAsia="仿宋_GB2312"/>
          <w:sz w:val="32"/>
          <w:szCs w:val="32"/>
          <w:lang w:eastAsia="zh-CN"/>
        </w:rPr>
        <w:t>中心</w:t>
      </w:r>
      <w:r>
        <w:rPr>
          <w:rFonts w:hint="eastAsia" w:ascii="仿宋_GB2312" w:eastAsia="仿宋_GB2312"/>
          <w:sz w:val="32"/>
          <w:szCs w:val="32"/>
        </w:rPr>
        <w:t>与</w:t>
      </w:r>
      <w:r>
        <w:rPr>
          <w:rFonts w:hint="eastAsia" w:ascii="仿宋_GB2312" w:eastAsia="仿宋_GB2312"/>
          <w:sz w:val="32"/>
          <w:szCs w:val="32"/>
          <w:lang w:eastAsia="zh-CN"/>
        </w:rPr>
        <w:t>县</w:t>
      </w:r>
      <w:r>
        <w:rPr>
          <w:rFonts w:hint="eastAsia" w:ascii="仿宋_GB2312" w:eastAsia="仿宋_GB2312"/>
          <w:sz w:val="32"/>
          <w:szCs w:val="32"/>
        </w:rPr>
        <w:t>教育</w:t>
      </w:r>
      <w:r>
        <w:rPr>
          <w:rFonts w:hint="eastAsia" w:ascii="仿宋_GB2312" w:eastAsia="仿宋_GB2312"/>
          <w:sz w:val="32"/>
          <w:szCs w:val="32"/>
          <w:lang w:eastAsia="zh-CN"/>
        </w:rPr>
        <w:t>局</w:t>
      </w:r>
      <w:r>
        <w:rPr>
          <w:rFonts w:hint="eastAsia" w:ascii="仿宋_GB2312" w:eastAsia="仿宋_GB2312"/>
          <w:sz w:val="32"/>
          <w:szCs w:val="32"/>
        </w:rPr>
        <w:t>积极配合协调，共同开展了学生口粮供应工作，</w:t>
      </w:r>
      <w:r>
        <w:rPr>
          <w:rFonts w:hint="eastAsia" w:ascii="仿宋_GB2312" w:eastAsia="仿宋_GB2312"/>
          <w:sz w:val="32"/>
          <w:szCs w:val="32"/>
          <w:lang w:eastAsia="zh-CN"/>
        </w:rPr>
        <w:t>涉及全县</w:t>
      </w:r>
      <w:r>
        <w:rPr>
          <w:rFonts w:hint="eastAsia" w:ascii="仿宋_GB2312" w:eastAsia="仿宋_GB2312"/>
          <w:sz w:val="32"/>
          <w:szCs w:val="32"/>
          <w:lang w:val="en-US" w:eastAsia="zh-CN"/>
        </w:rPr>
        <w:t>32所中小学。</w:t>
      </w:r>
      <w:r>
        <w:rPr>
          <w:rFonts w:hint="eastAsia" w:ascii="仿宋_GB2312" w:eastAsia="仿宋_GB2312"/>
          <w:sz w:val="32"/>
          <w:szCs w:val="32"/>
        </w:rPr>
        <w:t>截止2019年12月底累计供应军粮和学生口粮324.37吨，其中大米218.87吨、面粉58.56吨、食用油46.64吨。</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）粮食安全及宏观调控</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1.储备粮管理情况</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根据州、县安排部署，全县应有州级储备</w:t>
      </w:r>
      <w:r>
        <w:rPr>
          <w:rFonts w:hint="eastAsia" w:ascii="仿宋_GB2312" w:eastAsia="仿宋_GB2312"/>
          <w:sz w:val="32"/>
          <w:szCs w:val="32"/>
          <w:lang w:val="en-US" w:eastAsia="zh-CN"/>
        </w:rPr>
        <w:t>773.4</w:t>
      </w:r>
      <w:r>
        <w:rPr>
          <w:rFonts w:hint="eastAsia" w:ascii="仿宋_GB2312" w:eastAsia="仿宋_GB2312"/>
          <w:sz w:val="32"/>
          <w:szCs w:val="32"/>
        </w:rPr>
        <w:t>吨</w:t>
      </w:r>
      <w:r>
        <w:rPr>
          <w:rFonts w:hint="eastAsia" w:ascii="仿宋_GB2312" w:eastAsia="仿宋_GB2312"/>
          <w:sz w:val="32"/>
          <w:szCs w:val="32"/>
          <w:lang w:eastAsia="zh-CN"/>
        </w:rPr>
        <w:t>（大米</w:t>
      </w:r>
      <w:r>
        <w:rPr>
          <w:rFonts w:hint="eastAsia" w:ascii="仿宋_GB2312" w:eastAsia="仿宋_GB2312"/>
          <w:sz w:val="32"/>
          <w:szCs w:val="32"/>
          <w:lang w:val="en-US" w:eastAsia="zh-CN"/>
        </w:rPr>
        <w:t>693.4吨、面粉60吨、食用油20吨</w:t>
      </w:r>
      <w:r>
        <w:rPr>
          <w:rFonts w:hint="eastAsia" w:ascii="仿宋_GB2312" w:eastAsia="仿宋_GB2312"/>
          <w:sz w:val="32"/>
          <w:szCs w:val="32"/>
          <w:lang w:eastAsia="zh-CN"/>
        </w:rPr>
        <w:t>）</w:t>
      </w:r>
      <w:r>
        <w:rPr>
          <w:rFonts w:hint="eastAsia" w:ascii="仿宋_GB2312" w:eastAsia="仿宋_GB2312"/>
          <w:sz w:val="32"/>
          <w:szCs w:val="32"/>
        </w:rPr>
        <w:t>、县级储备250吨</w:t>
      </w:r>
      <w:r>
        <w:rPr>
          <w:rFonts w:hint="eastAsia" w:ascii="仿宋_GB2312" w:eastAsia="仿宋_GB2312"/>
          <w:sz w:val="32"/>
          <w:szCs w:val="32"/>
          <w:lang w:eastAsia="zh-CN"/>
        </w:rPr>
        <w:t>（大米</w:t>
      </w:r>
      <w:r>
        <w:rPr>
          <w:rFonts w:hint="eastAsia" w:ascii="仿宋_GB2312" w:eastAsia="仿宋_GB2312"/>
          <w:sz w:val="32"/>
          <w:szCs w:val="32"/>
          <w:lang w:val="en-US" w:eastAsia="zh-CN"/>
        </w:rPr>
        <w:t>200吨、青稞50吨</w:t>
      </w:r>
      <w:r>
        <w:rPr>
          <w:rFonts w:hint="eastAsia" w:ascii="仿宋_GB2312" w:eastAsia="仿宋_GB2312"/>
          <w:sz w:val="32"/>
          <w:szCs w:val="32"/>
          <w:lang w:eastAsia="zh-CN"/>
        </w:rPr>
        <w:t>）</w:t>
      </w:r>
      <w:r>
        <w:rPr>
          <w:rFonts w:hint="eastAsia" w:ascii="仿宋_GB2312" w:eastAsia="仿宋_GB2312"/>
          <w:sz w:val="32"/>
          <w:szCs w:val="32"/>
        </w:rPr>
        <w:t>，合计：</w:t>
      </w:r>
      <w:r>
        <w:rPr>
          <w:rFonts w:hint="eastAsia" w:ascii="仿宋_GB2312" w:eastAsia="仿宋_GB2312"/>
          <w:sz w:val="32"/>
          <w:szCs w:val="32"/>
          <w:lang w:val="en-US" w:eastAsia="zh-CN"/>
        </w:rPr>
        <w:t>1023.4</w:t>
      </w:r>
      <w:r>
        <w:rPr>
          <w:rFonts w:hint="eastAsia" w:ascii="仿宋_GB2312" w:eastAsia="仿宋_GB2312"/>
          <w:sz w:val="32"/>
          <w:szCs w:val="32"/>
        </w:rPr>
        <w:t>吨</w:t>
      </w:r>
      <w:r>
        <w:rPr>
          <w:rFonts w:hint="eastAsia" w:ascii="仿宋_GB2312" w:eastAsia="仿宋_GB2312"/>
          <w:sz w:val="32"/>
          <w:szCs w:val="32"/>
          <w:lang w:eastAsia="zh-CN"/>
        </w:rPr>
        <w:t>（</w:t>
      </w:r>
      <w:r>
        <w:rPr>
          <w:rFonts w:hint="eastAsia" w:ascii="仿宋_GB2312" w:eastAsia="仿宋_GB2312"/>
          <w:sz w:val="32"/>
          <w:szCs w:val="32"/>
          <w:lang w:val="en-US" w:eastAsia="zh-CN"/>
        </w:rPr>
        <w:t>原计划州级储备大米数205吨稻谷折合成大米139.4吨，原计划合计数1089吨</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按照储备粮管理办法，县粮食</w:t>
      </w:r>
      <w:r>
        <w:rPr>
          <w:rFonts w:hint="eastAsia" w:ascii="仿宋_GB2312" w:eastAsia="仿宋_GB2312"/>
          <w:sz w:val="32"/>
          <w:szCs w:val="32"/>
          <w:lang w:eastAsia="zh-CN"/>
        </w:rPr>
        <w:t>中心</w:t>
      </w:r>
      <w:r>
        <w:rPr>
          <w:rFonts w:hint="eastAsia" w:ascii="仿宋_GB2312" w:eastAsia="仿宋_GB2312"/>
          <w:sz w:val="32"/>
          <w:szCs w:val="32"/>
        </w:rPr>
        <w:t>和粮油收储公司签订了粮油安全目标责任书，层层落实责任，保证了各级储备粮的安全。</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完成松潘县政策性粮食库存数量和质量大清查工作</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根据</w:t>
      </w:r>
      <w:r>
        <w:rPr>
          <w:rFonts w:hint="eastAsia" w:ascii="仿宋_GB2312" w:eastAsia="仿宋_GB2312"/>
          <w:sz w:val="32"/>
          <w:szCs w:val="32"/>
          <w:lang w:val="en-US" w:eastAsia="zh-CN"/>
        </w:rPr>
        <w:t>《国务院办公厅关于开展全国政策性粮食库存数量和质量大清查的通知》（国办发〔2018〕61号）、国家发展改革委等7部门《关于印发全国政策性粮食库存数量和质量大清查实施方案的通知》（发改粮食〔2019〕247号）、四川省人民政府办公厅《转发省政策性粮食库存数量和质量大清查工作协调小组关于四川省政策性粮食库存数量和质量大清查实施方案的通知》（川办函〔2019〕21号）和《阿坝州政策性粮食库存数量和质量大清查实施方案》等文件精神，结合我中心实施方案，</w:t>
      </w:r>
      <w:r>
        <w:rPr>
          <w:rFonts w:hint="eastAsia" w:ascii="仿宋_GB2312" w:eastAsia="仿宋_GB2312"/>
          <w:sz w:val="32"/>
          <w:szCs w:val="32"/>
          <w:lang w:eastAsia="zh-CN"/>
        </w:rPr>
        <w:t>对粮食企业州、县级储备粮和商品粮数量、品种、质量、信贷资金、政策性补贴、仓储管理情况进行了检查。通过检查，企业会计、统计、保管三账账面数量一致，实物检查账实相符；企业按规定要求认真落实安全生产主体责任，作业管理符合规定要求，安全生产管理机构建立健全，粮食储运无安全隐患，粮食企业库存管理的各项工作落实到人。</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）松潘县</w:t>
      </w:r>
      <w:r>
        <w:rPr>
          <w:rFonts w:hint="eastAsia" w:ascii="仿宋_GB2312" w:eastAsia="仿宋_GB2312"/>
          <w:sz w:val="32"/>
          <w:szCs w:val="32"/>
          <w:lang w:val="en-US" w:eastAsia="zh-CN"/>
        </w:rPr>
        <w:t>2019年易地育人学生换粮及大骨节病区更换粮食项目工作</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按照《阿坝州财政局 阿坝州扶贫移民局关于下达2019年州级财政专项扶贫资金的通知》（阿州财农〔2019〕179号）</w:t>
      </w:r>
      <w:r>
        <w:rPr>
          <w:rFonts w:hint="eastAsia" w:ascii="仿宋_GB2312" w:eastAsia="仿宋_GB2312"/>
          <w:sz w:val="32"/>
          <w:szCs w:val="32"/>
        </w:rPr>
        <w:t>文件精神，</w:t>
      </w:r>
      <w:r>
        <w:rPr>
          <w:rFonts w:hint="eastAsia" w:ascii="仿宋_GB2312" w:eastAsia="仿宋_GB2312"/>
          <w:sz w:val="32"/>
          <w:szCs w:val="32"/>
          <w:lang w:eastAsia="zh-CN"/>
        </w:rPr>
        <w:t>结合脱贫攻坚工作，为</w:t>
      </w:r>
      <w:r>
        <w:rPr>
          <w:rFonts w:hint="eastAsia" w:ascii="仿宋_GB2312" w:eastAsia="仿宋_GB2312"/>
          <w:sz w:val="32"/>
          <w:szCs w:val="32"/>
        </w:rPr>
        <w:t>改善大骨节病区群众的生产生活条件和增收脱贫，我</w:t>
      </w:r>
      <w:r>
        <w:rPr>
          <w:rFonts w:hint="eastAsia" w:ascii="仿宋_GB2312" w:eastAsia="仿宋_GB2312"/>
          <w:sz w:val="32"/>
          <w:szCs w:val="32"/>
          <w:lang w:eastAsia="zh-CN"/>
        </w:rPr>
        <w:t>县</w:t>
      </w:r>
      <w:r>
        <w:rPr>
          <w:rFonts w:hint="eastAsia" w:ascii="仿宋_GB2312" w:eastAsia="仿宋_GB2312"/>
          <w:sz w:val="32"/>
          <w:szCs w:val="32"/>
        </w:rPr>
        <w:t>继续实施更换粮食综合防控大骨节病措施。</w:t>
      </w:r>
      <w:r>
        <w:rPr>
          <w:rFonts w:hint="eastAsia" w:ascii="仿宋_GB2312" w:eastAsia="仿宋_GB2312"/>
          <w:sz w:val="32"/>
          <w:szCs w:val="32"/>
          <w:lang w:val="en-US" w:eastAsia="zh-CN"/>
        </w:rPr>
        <w:t>2019年</w:t>
      </w:r>
      <w:r>
        <w:rPr>
          <w:rFonts w:hint="eastAsia" w:ascii="仿宋_GB2312" w:eastAsia="仿宋_GB2312"/>
          <w:sz w:val="32"/>
          <w:szCs w:val="32"/>
        </w:rPr>
        <w:t>牧区</w:t>
      </w:r>
      <w:r>
        <w:rPr>
          <w:rFonts w:hint="eastAsia" w:ascii="仿宋_GB2312" w:eastAsia="仿宋_GB2312"/>
          <w:sz w:val="32"/>
          <w:szCs w:val="32"/>
          <w:lang w:eastAsia="zh-CN"/>
        </w:rPr>
        <w:t>和农区统一标准按</w:t>
      </w:r>
      <w:r>
        <w:rPr>
          <w:rFonts w:hint="eastAsia" w:ascii="仿宋_GB2312" w:eastAsia="仿宋_GB2312"/>
          <w:sz w:val="32"/>
          <w:szCs w:val="32"/>
        </w:rPr>
        <w:t>每人每年</w:t>
      </w:r>
      <w:r>
        <w:rPr>
          <w:rFonts w:hint="eastAsia" w:ascii="仿宋_GB2312" w:eastAsia="仿宋_GB2312"/>
          <w:sz w:val="32"/>
          <w:szCs w:val="32"/>
          <w:lang w:val="en-US" w:eastAsia="zh-CN"/>
        </w:rPr>
        <w:t>80</w:t>
      </w:r>
      <w:r>
        <w:rPr>
          <w:rFonts w:hint="eastAsia" w:ascii="仿宋_GB2312" w:eastAsia="仿宋_GB2312"/>
          <w:sz w:val="32"/>
          <w:szCs w:val="32"/>
        </w:rPr>
        <w:t>公斤</w:t>
      </w:r>
      <w:r>
        <w:rPr>
          <w:rFonts w:hint="eastAsia" w:ascii="仿宋_GB2312" w:eastAsia="仿宋_GB2312"/>
          <w:sz w:val="32"/>
          <w:szCs w:val="32"/>
          <w:lang w:eastAsia="zh-CN"/>
        </w:rPr>
        <w:t>粮食开展，易地育人更换粮食口粮供应为每人每年</w:t>
      </w:r>
      <w:r>
        <w:rPr>
          <w:rFonts w:hint="eastAsia" w:ascii="仿宋_GB2312" w:eastAsia="仿宋_GB2312"/>
          <w:sz w:val="32"/>
          <w:szCs w:val="32"/>
          <w:lang w:val="en-US" w:eastAsia="zh-CN"/>
        </w:rPr>
        <w:t>30公斤</w:t>
      </w:r>
      <w:r>
        <w:rPr>
          <w:rFonts w:hint="eastAsia" w:ascii="仿宋_GB2312" w:eastAsia="仿宋_GB2312"/>
          <w:sz w:val="32"/>
          <w:szCs w:val="32"/>
          <w:lang w:eastAsia="zh-CN"/>
        </w:rPr>
        <w:t>。</w:t>
      </w:r>
      <w:r>
        <w:rPr>
          <w:rFonts w:hint="eastAsia" w:ascii="仿宋_GB2312" w:eastAsia="仿宋_GB2312"/>
          <w:sz w:val="32"/>
          <w:szCs w:val="32"/>
          <w:lang w:val="en-US" w:eastAsia="zh-CN"/>
        </w:rPr>
        <w:t>2019年</w:t>
      </w:r>
      <w:r>
        <w:rPr>
          <w:rFonts w:hint="eastAsia" w:ascii="仿宋_GB2312" w:eastAsia="仿宋_GB2312"/>
          <w:sz w:val="32"/>
          <w:szCs w:val="32"/>
          <w:lang w:eastAsia="zh-CN"/>
        </w:rPr>
        <w:t>为</w:t>
      </w:r>
      <w:r>
        <w:rPr>
          <w:rFonts w:hint="eastAsia" w:ascii="仿宋_GB2312" w:eastAsia="仿宋_GB2312"/>
          <w:sz w:val="32"/>
          <w:szCs w:val="32"/>
        </w:rPr>
        <w:t>8个乡（场）27个村7133人</w:t>
      </w:r>
      <w:r>
        <w:rPr>
          <w:rFonts w:hint="eastAsia" w:ascii="仿宋_GB2312" w:eastAsia="仿宋_GB2312"/>
          <w:sz w:val="32"/>
          <w:szCs w:val="32"/>
          <w:lang w:eastAsia="zh-CN"/>
        </w:rPr>
        <w:t>供应</w:t>
      </w:r>
      <w:r>
        <w:rPr>
          <w:rFonts w:hint="eastAsia" w:ascii="仿宋_GB2312" w:eastAsia="仿宋_GB2312"/>
          <w:sz w:val="32"/>
          <w:szCs w:val="32"/>
        </w:rPr>
        <w:t>成品口粮57.064万公斤，</w:t>
      </w:r>
      <w:r>
        <w:rPr>
          <w:rFonts w:hint="eastAsia" w:ascii="仿宋_GB2312" w:eastAsia="仿宋_GB2312"/>
          <w:sz w:val="32"/>
          <w:szCs w:val="32"/>
          <w:lang w:eastAsia="zh-CN"/>
        </w:rPr>
        <w:t>为</w:t>
      </w:r>
      <w:r>
        <w:rPr>
          <w:rFonts w:hint="eastAsia" w:ascii="仿宋_GB2312" w:eastAsia="仿宋_GB2312"/>
          <w:sz w:val="32"/>
          <w:szCs w:val="32"/>
        </w:rPr>
        <w:t>易地学龄儿童1519人</w:t>
      </w:r>
      <w:r>
        <w:rPr>
          <w:rFonts w:hint="eastAsia" w:ascii="仿宋_GB2312" w:eastAsia="仿宋_GB2312"/>
          <w:sz w:val="32"/>
          <w:szCs w:val="32"/>
          <w:lang w:eastAsia="zh-CN"/>
        </w:rPr>
        <w:t>供应</w:t>
      </w:r>
      <w:r>
        <w:rPr>
          <w:rFonts w:hint="eastAsia" w:ascii="仿宋_GB2312" w:eastAsia="仿宋_GB2312"/>
          <w:sz w:val="32"/>
          <w:szCs w:val="32"/>
        </w:rPr>
        <w:t>成品粮4.557万公斤</w:t>
      </w:r>
      <w:r>
        <w:rPr>
          <w:rFonts w:hint="eastAsia" w:ascii="仿宋_GB2312" w:eastAsia="仿宋_GB2312"/>
          <w:sz w:val="32"/>
          <w:szCs w:val="32"/>
          <w:lang w:eastAsia="zh-CN"/>
        </w:rPr>
        <w:t>，共计</w:t>
      </w:r>
      <w:r>
        <w:rPr>
          <w:rFonts w:hint="eastAsia" w:ascii="仿宋_GB2312" w:eastAsia="仿宋_GB2312"/>
          <w:sz w:val="32"/>
          <w:szCs w:val="32"/>
          <w:lang w:val="en-US" w:eastAsia="zh-CN"/>
        </w:rPr>
        <w:t>61.621万公斤。11月中旬粮食发放完毕，12月完成报账工作。</w:t>
      </w:r>
    </w:p>
    <w:p>
      <w:pPr>
        <w:snapToGrid w:val="0"/>
        <w:spacing w:line="520" w:lineRule="atLeast"/>
        <w:ind w:firstLine="643" w:firstLineChars="200"/>
        <w:rPr>
          <w:rFonts w:hint="eastAsia" w:ascii="仿宋_GB2312" w:hAnsi="宋体" w:eastAsia="仿宋_GB2312" w:cs="宋体"/>
          <w:b/>
          <w:bCs/>
          <w:sz w:val="32"/>
          <w:szCs w:val="32"/>
        </w:rPr>
      </w:pPr>
      <w:r>
        <w:rPr>
          <w:rFonts w:hint="eastAsia" w:ascii="仿宋_GB2312" w:hAnsi="宋体" w:eastAsia="仿宋_GB2312" w:cs="宋体"/>
          <w:b/>
          <w:bCs/>
          <w:sz w:val="32"/>
          <w:szCs w:val="32"/>
          <w:lang w:eastAsia="zh-CN"/>
        </w:rPr>
        <w:t>三</w:t>
      </w:r>
      <w:r>
        <w:rPr>
          <w:rFonts w:hint="eastAsia" w:ascii="仿宋_GB2312" w:hAnsi="宋体" w:eastAsia="仿宋_GB2312" w:cs="宋体"/>
          <w:b/>
          <w:bCs/>
          <w:sz w:val="32"/>
          <w:szCs w:val="32"/>
        </w:rPr>
        <w:t>、收入支出预算执行情况分析</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（一）收入支出预算安排情况</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2019</w:t>
      </w:r>
      <w:r>
        <w:rPr>
          <w:rFonts w:hint="eastAsia" w:ascii="仿宋_GB2312" w:eastAsia="仿宋_GB2312"/>
          <w:sz w:val="32"/>
          <w:szCs w:val="32"/>
        </w:rPr>
        <w:t>年松潘县</w:t>
      </w:r>
      <w:r>
        <w:rPr>
          <w:rFonts w:hint="eastAsia" w:ascii="仿宋_GB2312" w:eastAsia="仿宋_GB2312"/>
          <w:sz w:val="32"/>
          <w:szCs w:val="32"/>
          <w:lang w:eastAsia="zh-CN"/>
        </w:rPr>
        <w:t>粮食局</w:t>
      </w:r>
      <w:r>
        <w:rPr>
          <w:rFonts w:hint="eastAsia" w:ascii="仿宋_GB2312" w:eastAsia="仿宋_GB2312"/>
          <w:sz w:val="32"/>
          <w:szCs w:val="32"/>
        </w:rPr>
        <w:t>局本年收入合计</w:t>
      </w:r>
      <w:r>
        <w:rPr>
          <w:rFonts w:hint="eastAsia" w:ascii="仿宋_GB2312" w:eastAsia="仿宋_GB2312"/>
          <w:sz w:val="32"/>
          <w:szCs w:val="32"/>
          <w:lang w:val="en-US" w:eastAsia="zh-CN"/>
        </w:rPr>
        <w:t>1891859</w:t>
      </w:r>
      <w:r>
        <w:rPr>
          <w:rFonts w:hint="eastAsia" w:ascii="仿宋_GB2312" w:eastAsia="仿宋_GB2312"/>
          <w:sz w:val="32"/>
          <w:szCs w:val="32"/>
        </w:rPr>
        <w:t>元，其中：财政拨款收入</w:t>
      </w:r>
      <w:r>
        <w:rPr>
          <w:rFonts w:hint="eastAsia" w:ascii="仿宋_GB2312" w:eastAsia="仿宋_GB2312"/>
          <w:sz w:val="32"/>
          <w:szCs w:val="32"/>
          <w:lang w:val="en-US" w:eastAsia="zh-CN"/>
        </w:rPr>
        <w:t>1891859</w:t>
      </w:r>
      <w:r>
        <w:rPr>
          <w:rFonts w:hint="eastAsia" w:ascii="仿宋_GB2312" w:eastAsia="仿宋_GB2312"/>
          <w:sz w:val="32"/>
          <w:szCs w:val="32"/>
        </w:rPr>
        <w:t>元，占100%。</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2019</w:t>
      </w:r>
      <w:r>
        <w:rPr>
          <w:rFonts w:hint="eastAsia" w:ascii="仿宋_GB2312" w:eastAsia="仿宋_GB2312"/>
          <w:sz w:val="32"/>
          <w:szCs w:val="32"/>
        </w:rPr>
        <w:t>年松潘县</w:t>
      </w:r>
      <w:r>
        <w:rPr>
          <w:rFonts w:hint="eastAsia" w:ascii="仿宋_GB2312" w:eastAsia="仿宋_GB2312"/>
          <w:sz w:val="32"/>
          <w:szCs w:val="32"/>
          <w:lang w:eastAsia="zh-CN"/>
        </w:rPr>
        <w:t>粮食局</w:t>
      </w:r>
      <w:r>
        <w:rPr>
          <w:rFonts w:hint="eastAsia" w:ascii="仿宋_GB2312" w:eastAsia="仿宋_GB2312"/>
          <w:sz w:val="32"/>
          <w:szCs w:val="32"/>
        </w:rPr>
        <w:t>局本年支出合计</w:t>
      </w:r>
      <w:r>
        <w:rPr>
          <w:rFonts w:hint="eastAsia" w:ascii="仿宋_GB2312" w:eastAsia="仿宋_GB2312"/>
          <w:sz w:val="32"/>
          <w:szCs w:val="32"/>
          <w:lang w:val="en-US" w:eastAsia="zh-CN"/>
        </w:rPr>
        <w:t>1891959</w:t>
      </w:r>
      <w:r>
        <w:rPr>
          <w:rFonts w:hint="eastAsia" w:ascii="仿宋_GB2312" w:eastAsia="仿宋_GB2312"/>
          <w:sz w:val="32"/>
          <w:szCs w:val="32"/>
        </w:rPr>
        <w:t>元，其中：基本支出</w:t>
      </w:r>
      <w:r>
        <w:rPr>
          <w:rFonts w:hint="eastAsia" w:ascii="仿宋_GB2312" w:eastAsia="仿宋_GB2312"/>
          <w:sz w:val="32"/>
          <w:szCs w:val="32"/>
          <w:lang w:val="en-US" w:eastAsia="zh-CN"/>
        </w:rPr>
        <w:t>1891959</w:t>
      </w:r>
      <w:r>
        <w:rPr>
          <w:rFonts w:hint="eastAsia" w:ascii="仿宋_GB2312" w:eastAsia="仿宋_GB2312"/>
          <w:sz w:val="32"/>
          <w:szCs w:val="32"/>
        </w:rPr>
        <w:t>元，占</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(二)支出预算执行情况</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2019</w:t>
      </w:r>
      <w:r>
        <w:rPr>
          <w:rFonts w:hint="eastAsia" w:ascii="仿宋_GB2312" w:eastAsia="仿宋_GB2312"/>
          <w:sz w:val="32"/>
          <w:szCs w:val="32"/>
        </w:rPr>
        <w:t>年松潘县</w:t>
      </w:r>
      <w:r>
        <w:rPr>
          <w:rFonts w:hint="eastAsia" w:ascii="仿宋_GB2312" w:eastAsia="仿宋_GB2312"/>
          <w:sz w:val="32"/>
          <w:szCs w:val="32"/>
          <w:lang w:eastAsia="zh-CN"/>
        </w:rPr>
        <w:t>粮食局</w:t>
      </w:r>
      <w:r>
        <w:rPr>
          <w:rFonts w:hint="eastAsia" w:ascii="仿宋_GB2312" w:eastAsia="仿宋_GB2312"/>
          <w:sz w:val="32"/>
          <w:szCs w:val="32"/>
        </w:rPr>
        <w:t>财政拨款本年支出合计</w:t>
      </w:r>
      <w:r>
        <w:rPr>
          <w:rFonts w:hint="eastAsia" w:ascii="仿宋_GB2312" w:eastAsia="仿宋_GB2312"/>
          <w:sz w:val="32"/>
          <w:szCs w:val="32"/>
          <w:lang w:val="en-US" w:eastAsia="zh-CN"/>
        </w:rPr>
        <w:t>1891959</w:t>
      </w:r>
      <w:r>
        <w:rPr>
          <w:rFonts w:hint="eastAsia" w:ascii="仿宋_GB2312" w:eastAsia="仿宋_GB2312"/>
          <w:sz w:val="32"/>
          <w:szCs w:val="32"/>
        </w:rPr>
        <w:t>元， 基本支出</w:t>
      </w:r>
      <w:r>
        <w:rPr>
          <w:rFonts w:hint="eastAsia" w:ascii="仿宋_GB2312" w:eastAsia="仿宋_GB2312"/>
          <w:sz w:val="32"/>
          <w:szCs w:val="32"/>
          <w:lang w:val="en-US" w:eastAsia="zh-CN"/>
        </w:rPr>
        <w:t>1891959</w:t>
      </w:r>
      <w:r>
        <w:rPr>
          <w:rFonts w:hint="eastAsia" w:ascii="仿宋_GB2312" w:eastAsia="仿宋_GB2312"/>
          <w:sz w:val="32"/>
          <w:szCs w:val="32"/>
        </w:rPr>
        <w:t>元。</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1、人员支出</w:t>
      </w:r>
      <w:r>
        <w:rPr>
          <w:rFonts w:hint="eastAsia" w:ascii="仿宋_GB2312" w:eastAsia="仿宋_GB2312"/>
          <w:sz w:val="32"/>
          <w:szCs w:val="32"/>
          <w:lang w:val="en-US" w:eastAsia="zh-CN"/>
        </w:rPr>
        <w:t>1591471</w:t>
      </w:r>
      <w:r>
        <w:rPr>
          <w:rFonts w:hint="eastAsia" w:ascii="仿宋_GB2312" w:eastAsia="仿宋_GB2312"/>
          <w:sz w:val="32"/>
          <w:szCs w:val="32"/>
        </w:rPr>
        <w:t>元(包括：工资、津贴、绩效工资、医疗保险等福利支出</w:t>
      </w:r>
      <w:r>
        <w:rPr>
          <w:rFonts w:hint="eastAsia" w:ascii="仿宋_GB2312" w:eastAsia="仿宋_GB2312"/>
          <w:sz w:val="32"/>
          <w:szCs w:val="32"/>
          <w:lang w:val="en-US" w:eastAsia="zh-CN"/>
        </w:rPr>
        <w:t>1591471</w:t>
      </w:r>
      <w:r>
        <w:rPr>
          <w:rFonts w:hint="eastAsia" w:ascii="仿宋_GB2312" w:eastAsia="仿宋_GB2312"/>
          <w:sz w:val="32"/>
          <w:szCs w:val="32"/>
        </w:rPr>
        <w:t>元，全部按照国家规定的工资福利政策标准，严格按照在册人数执行;人员支出比率</w:t>
      </w:r>
      <w:r>
        <w:rPr>
          <w:rFonts w:hint="eastAsia" w:ascii="仿宋_GB2312" w:eastAsia="仿宋_GB2312"/>
          <w:sz w:val="32"/>
          <w:szCs w:val="32"/>
          <w:lang w:val="en-US" w:eastAsia="zh-CN"/>
        </w:rPr>
        <w:t>100</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2、公用支出</w:t>
      </w:r>
      <w:r>
        <w:rPr>
          <w:rFonts w:hint="eastAsia" w:ascii="仿宋_GB2312" w:eastAsia="仿宋_GB2312"/>
          <w:sz w:val="32"/>
          <w:szCs w:val="32"/>
          <w:lang w:val="en-US" w:eastAsia="zh-CN"/>
        </w:rPr>
        <w:t>300488</w:t>
      </w:r>
      <w:r>
        <w:rPr>
          <w:rFonts w:hint="eastAsia" w:ascii="仿宋_GB2312" w:eastAsia="仿宋_GB2312"/>
          <w:sz w:val="32"/>
          <w:szCs w:val="32"/>
        </w:rPr>
        <w:t>元(包括：办公费</w:t>
      </w:r>
      <w:r>
        <w:rPr>
          <w:rFonts w:hint="eastAsia" w:ascii="仿宋_GB2312" w:eastAsia="仿宋_GB2312"/>
          <w:sz w:val="32"/>
          <w:szCs w:val="32"/>
          <w:lang w:val="en-US" w:eastAsia="zh-CN"/>
        </w:rPr>
        <w:t>234186</w:t>
      </w:r>
      <w:r>
        <w:rPr>
          <w:rFonts w:hint="eastAsia" w:ascii="仿宋_GB2312" w:eastAsia="仿宋_GB2312"/>
          <w:sz w:val="32"/>
          <w:szCs w:val="32"/>
        </w:rPr>
        <w:t>元、水费</w:t>
      </w:r>
      <w:r>
        <w:rPr>
          <w:rFonts w:hint="eastAsia" w:ascii="仿宋_GB2312" w:eastAsia="仿宋_GB2312"/>
          <w:sz w:val="32"/>
          <w:szCs w:val="32"/>
          <w:lang w:val="en-US" w:eastAsia="zh-CN"/>
        </w:rPr>
        <w:t>1463</w:t>
      </w:r>
      <w:r>
        <w:rPr>
          <w:rFonts w:hint="eastAsia" w:ascii="仿宋_GB2312" w:eastAsia="仿宋_GB2312"/>
          <w:sz w:val="32"/>
          <w:szCs w:val="32"/>
        </w:rPr>
        <w:t>元、电费</w:t>
      </w:r>
      <w:r>
        <w:rPr>
          <w:rFonts w:hint="eastAsia" w:ascii="仿宋_GB2312" w:eastAsia="仿宋_GB2312"/>
          <w:sz w:val="32"/>
          <w:szCs w:val="32"/>
          <w:lang w:val="en-US" w:eastAsia="zh-CN"/>
        </w:rPr>
        <w:t>1255</w:t>
      </w:r>
      <w:r>
        <w:rPr>
          <w:rFonts w:hint="eastAsia" w:ascii="仿宋_GB2312" w:eastAsia="仿宋_GB2312"/>
          <w:sz w:val="32"/>
          <w:szCs w:val="32"/>
        </w:rPr>
        <w:t>元、邮电费</w:t>
      </w:r>
      <w:r>
        <w:rPr>
          <w:rFonts w:hint="eastAsia" w:ascii="仿宋_GB2312" w:eastAsia="仿宋_GB2312"/>
          <w:sz w:val="32"/>
          <w:szCs w:val="32"/>
          <w:lang w:val="en-US" w:eastAsia="zh-CN"/>
        </w:rPr>
        <w:t>7343</w:t>
      </w:r>
      <w:r>
        <w:rPr>
          <w:rFonts w:hint="eastAsia" w:ascii="仿宋_GB2312" w:eastAsia="仿宋_GB2312"/>
          <w:sz w:val="32"/>
          <w:szCs w:val="32"/>
        </w:rPr>
        <w:t>元、差旅费</w:t>
      </w:r>
      <w:r>
        <w:rPr>
          <w:rFonts w:hint="eastAsia" w:ascii="仿宋_GB2312" w:eastAsia="仿宋_GB2312"/>
          <w:sz w:val="32"/>
          <w:szCs w:val="32"/>
          <w:lang w:val="en-US" w:eastAsia="zh-CN"/>
        </w:rPr>
        <w:t>36441</w:t>
      </w:r>
      <w:r>
        <w:rPr>
          <w:rFonts w:hint="eastAsia" w:ascii="仿宋_GB2312" w:eastAsia="仿宋_GB2312"/>
          <w:sz w:val="32"/>
          <w:szCs w:val="32"/>
        </w:rPr>
        <w:t>元、公务用车</w:t>
      </w:r>
      <w:r>
        <w:rPr>
          <w:rFonts w:hint="eastAsia" w:ascii="仿宋_GB2312" w:eastAsia="仿宋_GB2312"/>
          <w:sz w:val="32"/>
          <w:szCs w:val="32"/>
          <w:lang w:eastAsia="zh-CN"/>
        </w:rPr>
        <w:t>运行维护费</w:t>
      </w:r>
      <w:r>
        <w:rPr>
          <w:rFonts w:hint="eastAsia" w:ascii="仿宋_GB2312" w:eastAsia="仿宋_GB2312"/>
          <w:sz w:val="32"/>
          <w:szCs w:val="32"/>
          <w:lang w:val="en-US" w:eastAsia="zh-CN"/>
        </w:rPr>
        <w:t>18000</w:t>
      </w:r>
      <w:r>
        <w:rPr>
          <w:rFonts w:hint="eastAsia" w:ascii="仿宋_GB2312" w:eastAsia="仿宋_GB2312"/>
          <w:sz w:val="32"/>
          <w:szCs w:val="32"/>
        </w:rPr>
        <w:t>元、培训费</w:t>
      </w:r>
      <w:r>
        <w:rPr>
          <w:rFonts w:hint="eastAsia" w:ascii="仿宋_GB2312" w:eastAsia="仿宋_GB2312"/>
          <w:sz w:val="32"/>
          <w:szCs w:val="32"/>
          <w:lang w:val="en-US" w:eastAsia="zh-CN"/>
        </w:rPr>
        <w:t>1800</w:t>
      </w:r>
      <w:r>
        <w:rPr>
          <w:rFonts w:hint="eastAsia" w:ascii="仿宋_GB2312" w:eastAsia="仿宋_GB2312"/>
          <w:sz w:val="32"/>
          <w:szCs w:val="32"/>
        </w:rPr>
        <w:t>元</w:t>
      </w:r>
      <w:r>
        <w:rPr>
          <w:rFonts w:hint="eastAsia" w:ascii="仿宋_GB2312" w:eastAsia="仿宋_GB2312"/>
          <w:sz w:val="32"/>
          <w:szCs w:val="32"/>
          <w:lang w:eastAsia="zh-CN"/>
        </w:rPr>
        <w:t>、公务接待费</w:t>
      </w:r>
      <w:r>
        <w:rPr>
          <w:rFonts w:hint="eastAsia" w:ascii="仿宋_GB2312" w:eastAsia="仿宋_GB2312"/>
          <w:sz w:val="32"/>
          <w:szCs w:val="32"/>
          <w:lang w:val="en-US" w:eastAsia="zh-CN"/>
        </w:rPr>
        <w:t>0元、取暖费0元</w:t>
      </w:r>
      <w:r>
        <w:rPr>
          <w:rFonts w:hint="eastAsia" w:ascii="仿宋_GB2312" w:eastAsia="仿宋_GB2312"/>
          <w:sz w:val="32"/>
          <w:szCs w:val="32"/>
        </w:rPr>
        <w:t>)是根据单位正常运转和日常培训任务需要列支。公用支出比率</w:t>
      </w:r>
      <w:r>
        <w:rPr>
          <w:rFonts w:hint="eastAsia" w:ascii="仿宋_GB2312" w:eastAsia="仿宋_GB2312"/>
          <w:sz w:val="32"/>
          <w:szCs w:val="32"/>
          <w:lang w:val="en-US" w:eastAsia="zh-CN"/>
        </w:rPr>
        <w:t>15</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（2）差异原因分析。</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主要是由调资和正常晋升造成的差额。</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4.重点经济分类支出执行情况</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（1）“三公”经费支出情况。</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“三公”经费财政拨款支出决算总体情况说明 </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宋体" w:eastAsia="仿宋_GB2312"/>
          <w:sz w:val="32"/>
          <w:szCs w:val="32"/>
        </w:rPr>
      </w:pPr>
      <w:r>
        <w:rPr>
          <w:rFonts w:hint="eastAsia" w:ascii="仿宋_GB2312" w:eastAsia="仿宋_GB2312"/>
          <w:sz w:val="32"/>
          <w:szCs w:val="32"/>
        </w:rPr>
        <w:t>松潘县</w:t>
      </w:r>
      <w:r>
        <w:rPr>
          <w:rFonts w:hint="eastAsia" w:ascii="仿宋_GB2312" w:eastAsia="仿宋_GB2312"/>
          <w:sz w:val="32"/>
          <w:szCs w:val="32"/>
          <w:lang w:eastAsia="zh-CN"/>
        </w:rPr>
        <w:t>粮食局2019</w:t>
      </w:r>
      <w:r>
        <w:rPr>
          <w:rFonts w:hint="eastAsia" w:ascii="仿宋_GB2312" w:eastAsia="仿宋_GB2312"/>
          <w:sz w:val="32"/>
          <w:szCs w:val="32"/>
        </w:rPr>
        <w:t>年度“三公”经费财政拨款支出决算为</w:t>
      </w:r>
      <w:r>
        <w:rPr>
          <w:rFonts w:hint="eastAsia" w:ascii="仿宋_GB2312" w:eastAsia="仿宋_GB2312"/>
          <w:sz w:val="32"/>
          <w:szCs w:val="32"/>
          <w:lang w:val="en-US" w:eastAsia="zh-CN"/>
        </w:rPr>
        <w:t>18000</w:t>
      </w:r>
      <w:r>
        <w:rPr>
          <w:rFonts w:hint="eastAsia" w:ascii="仿宋_GB2312" w:eastAsia="仿宋_GB2312"/>
          <w:sz w:val="32"/>
          <w:szCs w:val="32"/>
        </w:rPr>
        <w:t>元，完成预算</w:t>
      </w:r>
      <w:r>
        <w:rPr>
          <w:rFonts w:hint="eastAsia" w:ascii="仿宋_GB2312" w:eastAsia="仿宋_GB2312"/>
          <w:sz w:val="32"/>
          <w:szCs w:val="32"/>
          <w:lang w:val="en-US" w:eastAsia="zh-CN"/>
        </w:rPr>
        <w:t>90</w:t>
      </w:r>
      <w:r>
        <w:rPr>
          <w:rFonts w:hint="eastAsia" w:ascii="仿宋_GB2312" w:eastAsia="仿宋_GB2312"/>
          <w:sz w:val="32"/>
          <w:szCs w:val="32"/>
        </w:rPr>
        <w:t>%，其中：因公出国（境）费支出决算为0万元，完成预算0%；公务用车运行维护费支出决算为</w:t>
      </w:r>
      <w:r>
        <w:rPr>
          <w:rFonts w:hint="eastAsia" w:ascii="仿宋_GB2312" w:eastAsia="仿宋_GB2312"/>
          <w:sz w:val="32"/>
          <w:szCs w:val="32"/>
          <w:lang w:val="en-US" w:eastAsia="zh-CN"/>
        </w:rPr>
        <w:t>18000</w:t>
      </w:r>
      <w:r>
        <w:rPr>
          <w:rFonts w:hint="eastAsia" w:ascii="仿宋_GB2312" w:eastAsia="仿宋_GB2312"/>
          <w:sz w:val="32"/>
          <w:szCs w:val="32"/>
        </w:rPr>
        <w:t>元，完成预算</w:t>
      </w:r>
      <w:r>
        <w:rPr>
          <w:rFonts w:hint="eastAsia" w:ascii="仿宋_GB2312" w:eastAsia="仿宋_GB2312"/>
          <w:sz w:val="32"/>
          <w:szCs w:val="32"/>
          <w:lang w:val="en-US" w:eastAsia="zh-CN"/>
        </w:rPr>
        <w:t>100</w:t>
      </w:r>
      <w:r>
        <w:rPr>
          <w:rFonts w:hint="eastAsia" w:ascii="仿宋_GB2312" w:eastAsia="仿宋_GB2312"/>
          <w:sz w:val="32"/>
          <w:szCs w:val="32"/>
        </w:rPr>
        <w:t>%；公务接待费支出决算为</w:t>
      </w:r>
      <w:r>
        <w:rPr>
          <w:rFonts w:hint="eastAsia" w:ascii="仿宋_GB2312" w:eastAsia="仿宋_GB2312"/>
          <w:sz w:val="32"/>
          <w:szCs w:val="32"/>
          <w:lang w:val="en-US" w:eastAsia="zh-CN"/>
        </w:rPr>
        <w:t>0</w:t>
      </w:r>
      <w:r>
        <w:rPr>
          <w:rFonts w:hint="eastAsia" w:ascii="仿宋_GB2312" w:eastAsia="仿宋_GB2312"/>
          <w:sz w:val="32"/>
          <w:szCs w:val="32"/>
        </w:rPr>
        <w:t>元。</w:t>
      </w:r>
      <w:r>
        <w:rPr>
          <w:rFonts w:hint="eastAsia" w:ascii="仿宋_GB2312" w:eastAsia="仿宋_GB2312"/>
          <w:sz w:val="32"/>
          <w:szCs w:val="32"/>
          <w:lang w:eastAsia="zh-CN"/>
        </w:rPr>
        <w:t>完成预算</w:t>
      </w:r>
      <w:r>
        <w:rPr>
          <w:rFonts w:hint="eastAsia" w:ascii="仿宋_GB2312" w:eastAsia="仿宋_GB2312"/>
          <w:sz w:val="32"/>
          <w:szCs w:val="32"/>
          <w:lang w:val="en-US" w:eastAsia="zh-CN"/>
        </w:rPr>
        <w:t>0%。</w:t>
      </w:r>
      <w:r>
        <w:rPr>
          <w:rFonts w:hint="eastAsia" w:ascii="仿宋_GB2312" w:eastAsia="仿宋_GB2312"/>
          <w:sz w:val="32"/>
          <w:szCs w:val="32"/>
          <w:lang w:eastAsia="zh-CN"/>
        </w:rPr>
        <w:t>完成预算2019</w:t>
      </w:r>
      <w:r>
        <w:rPr>
          <w:rFonts w:hint="eastAsia" w:ascii="仿宋_GB2312" w:eastAsia="仿宋_GB2312"/>
          <w:sz w:val="32"/>
          <w:szCs w:val="32"/>
        </w:rPr>
        <w:t>年度“三公”经费支出决算数小于预算数（或与预算数持平</w:t>
      </w:r>
      <w:r>
        <w:rPr>
          <w:rFonts w:hint="eastAsia" w:ascii="仿宋_GB2312" w:hAnsi="宋体" w:eastAsia="仿宋_GB2312"/>
          <w:sz w:val="32"/>
          <w:szCs w:val="32"/>
        </w:rPr>
        <w:t xml:space="preserve">）的主要原因是严格按照中央八项规定和行政单位会计制度执行。 </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sz w:val="32"/>
          <w:szCs w:val="32"/>
        </w:rPr>
        <w:t xml:space="preserve"> 同201</w:t>
      </w:r>
      <w:r>
        <w:rPr>
          <w:rFonts w:hint="eastAsia" w:ascii="仿宋_GB2312" w:hAnsi="宋体" w:eastAsia="仿宋_GB2312"/>
          <w:sz w:val="32"/>
          <w:szCs w:val="32"/>
          <w:lang w:val="en-US" w:eastAsia="zh-CN"/>
        </w:rPr>
        <w:t>8</w:t>
      </w:r>
      <w:r>
        <w:rPr>
          <w:rFonts w:hint="eastAsia" w:ascii="仿宋_GB2312" w:hAnsi="宋体" w:eastAsia="仿宋_GB2312"/>
          <w:sz w:val="32"/>
          <w:szCs w:val="32"/>
        </w:rPr>
        <w:t>年相比,</w:t>
      </w:r>
      <w:r>
        <w:rPr>
          <w:rFonts w:hint="eastAsia" w:ascii="仿宋_GB2312" w:hAnsi="宋体" w:eastAsia="仿宋_GB2312"/>
          <w:sz w:val="32"/>
          <w:szCs w:val="32"/>
          <w:lang w:eastAsia="zh-CN"/>
        </w:rPr>
        <w:t>2019</w:t>
      </w:r>
      <w:r>
        <w:rPr>
          <w:rFonts w:hint="eastAsia" w:ascii="仿宋_GB2312" w:hAnsi="宋体" w:eastAsia="仿宋_GB2312"/>
          <w:sz w:val="32"/>
          <w:szCs w:val="32"/>
        </w:rPr>
        <w:t>年公务接待费减少支出</w:t>
      </w:r>
      <w:r>
        <w:rPr>
          <w:rFonts w:hint="eastAsia" w:ascii="仿宋_GB2312" w:hAnsi="宋体" w:eastAsia="仿宋_GB2312"/>
          <w:sz w:val="32"/>
          <w:szCs w:val="32"/>
          <w:lang w:val="en-US" w:eastAsia="zh-CN"/>
        </w:rPr>
        <w:t>1286</w:t>
      </w:r>
      <w:r>
        <w:rPr>
          <w:rFonts w:hint="eastAsia" w:ascii="仿宋_GB2312" w:hAnsi="宋体" w:eastAsia="仿宋_GB2312"/>
          <w:sz w:val="32"/>
          <w:szCs w:val="32"/>
        </w:rPr>
        <w:t>元；2017年“三公”经费增加数额都未超出预算范围,属于正常开支。增减变动的主要原因进一步执行中央八项规定。</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（2）重点经济分类支出中存在的问题及改进措施。</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无</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（3）其他对部门（单位）影响较大的支出情况。</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无</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left"/>
        <w:textAlignment w:val="auto"/>
        <w:rPr>
          <w:rFonts w:hint="eastAsia" w:ascii="仿宋_GB2312" w:hAnsi="宋体" w:eastAsia="仿宋_GB2312" w:cs="宋体"/>
          <w:b/>
          <w:bCs/>
          <w:sz w:val="32"/>
          <w:szCs w:val="32"/>
        </w:rPr>
      </w:pPr>
      <w:r>
        <w:rPr>
          <w:rFonts w:hint="eastAsia" w:ascii="仿宋_GB2312" w:hAnsi="宋体" w:eastAsia="仿宋_GB2312" w:cs="宋体"/>
          <w:b/>
          <w:bCs/>
          <w:color w:val="000000"/>
          <w:kern w:val="0"/>
          <w:sz w:val="32"/>
          <w:szCs w:val="32"/>
          <w:lang w:eastAsia="zh-CN"/>
        </w:rPr>
        <w:t>四</w:t>
      </w:r>
      <w:r>
        <w:rPr>
          <w:rFonts w:hint="eastAsia" w:ascii="仿宋_GB2312" w:hAnsi="宋体" w:eastAsia="仿宋_GB2312" w:cs="宋体"/>
          <w:b/>
          <w:bCs/>
          <w:color w:val="000000"/>
          <w:kern w:val="0"/>
          <w:sz w:val="32"/>
          <w:szCs w:val="32"/>
        </w:rPr>
        <w:t>、部门财政支出管理情况</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（一）预算编制情况。</w:t>
      </w:r>
    </w:p>
    <w:p>
      <w:pPr>
        <w:keepNext w:val="0"/>
        <w:keepLines w:val="0"/>
        <w:pageBreakBefore w:val="0"/>
        <w:widowControl w:val="0"/>
        <w:kinsoku/>
        <w:wordWrap/>
        <w:overflowPunct/>
        <w:topLinePunct w:val="0"/>
        <w:autoSpaceDE/>
        <w:autoSpaceDN/>
        <w:bidi w:val="0"/>
        <w:adjustRightInd w:val="0"/>
        <w:snapToGrid w:val="0"/>
        <w:spacing w:line="520" w:lineRule="exact"/>
        <w:ind w:firstLine="720"/>
        <w:jc w:val="left"/>
        <w:textAlignment w:val="auto"/>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包括预算编制质量、绩效目标填报、转移支付提前下达及专项转移支付分地区分项目编制情况等。</w:t>
      </w:r>
    </w:p>
    <w:p>
      <w:pPr>
        <w:keepNext w:val="0"/>
        <w:keepLines w:val="0"/>
        <w:pageBreakBefore w:val="0"/>
        <w:widowControl w:val="0"/>
        <w:kinsoku/>
        <w:wordWrap/>
        <w:overflowPunct/>
        <w:topLinePunct w:val="0"/>
        <w:autoSpaceDE/>
        <w:autoSpaceDN/>
        <w:bidi w:val="0"/>
        <w:adjustRightInd w:val="0"/>
        <w:snapToGrid w:val="0"/>
        <w:spacing w:line="520" w:lineRule="exact"/>
        <w:ind w:firstLine="720"/>
        <w:jc w:val="left"/>
        <w:textAlignment w:val="auto"/>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（二）执行管理情况。</w:t>
      </w:r>
      <w:r>
        <w:rPr>
          <w:rFonts w:hint="eastAsia" w:ascii="仿宋_GB2312" w:hAnsi="宋体" w:eastAsia="仿宋_GB2312" w:cs="宋体"/>
          <w:color w:val="000000"/>
          <w:kern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20" w:lineRule="exact"/>
        <w:ind w:firstLine="720"/>
        <w:jc w:val="left"/>
        <w:textAlignment w:val="auto"/>
        <w:rPr>
          <w:rFonts w:hint="eastAsia" w:ascii="仿宋_GB2312" w:hAnsi="宋体" w:eastAsia="仿宋_GB2312" w:cs="宋体"/>
          <w:color w:val="000000"/>
          <w:kern w:val="0"/>
          <w:sz w:val="32"/>
          <w:szCs w:val="32"/>
          <w:lang w:val="zh-CN"/>
        </w:rPr>
      </w:pPr>
      <w:r>
        <w:rPr>
          <w:rFonts w:hint="eastAsia" w:ascii="仿宋_GB2312" w:hAnsi="宋体" w:eastAsia="仿宋_GB2312" w:cs="宋体"/>
          <w:sz w:val="32"/>
          <w:szCs w:val="32"/>
        </w:rPr>
        <w:t>从整体情况来看，我办严格按照年初预算进行部门整体支出。在支出过程中，能严格遵守各项规章制度，“三公经费”明显下降。实行了先有预算、后有执行、“用钱必问效、无效必问责”的新常态。</w:t>
      </w:r>
    </w:p>
    <w:p>
      <w:pPr>
        <w:keepNext w:val="0"/>
        <w:keepLines w:val="0"/>
        <w:pageBreakBefore w:val="0"/>
        <w:widowControl w:val="0"/>
        <w:kinsoku/>
        <w:wordWrap/>
        <w:overflowPunct/>
        <w:topLinePunct w:val="0"/>
        <w:autoSpaceDE/>
        <w:autoSpaceDN/>
        <w:bidi w:val="0"/>
        <w:adjustRightInd w:val="0"/>
        <w:snapToGrid w:val="0"/>
        <w:spacing w:line="520" w:lineRule="exact"/>
        <w:ind w:firstLine="720"/>
        <w:jc w:val="left"/>
        <w:textAlignment w:val="auto"/>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（三）综合管理情况。</w:t>
      </w:r>
    </w:p>
    <w:p>
      <w:pPr>
        <w:pStyle w:val="15"/>
        <w:keepNext w:val="0"/>
        <w:keepLines w:val="0"/>
        <w:pageBreakBefore w:val="0"/>
        <w:widowControl w:val="0"/>
        <w:kinsoku/>
        <w:wordWrap/>
        <w:overflowPunct/>
        <w:topLinePunct w:val="0"/>
        <w:autoSpaceDE/>
        <w:autoSpaceDN/>
        <w:bidi w:val="0"/>
        <w:spacing w:beforeAutospacing="0" w:afterAutospacing="0"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预决算公开：</w:t>
      </w:r>
      <w:r>
        <w:rPr>
          <w:rFonts w:hint="eastAsia" w:ascii="仿宋_GB2312" w:eastAsia="仿宋_GB2312"/>
          <w:sz w:val="32"/>
          <w:szCs w:val="32"/>
          <w:lang w:eastAsia="zh-CN"/>
        </w:rPr>
        <w:t>2019</w:t>
      </w:r>
      <w:r>
        <w:rPr>
          <w:rFonts w:hint="eastAsia" w:ascii="仿宋_GB2312" w:eastAsia="仿宋_GB2312"/>
          <w:sz w:val="32"/>
          <w:szCs w:val="32"/>
        </w:rPr>
        <w:t>年，我办按照财政要求，在网站上进行了预决算公开。</w:t>
      </w:r>
    </w:p>
    <w:p>
      <w:pPr>
        <w:pStyle w:val="15"/>
        <w:keepNext w:val="0"/>
        <w:keepLines w:val="0"/>
        <w:pageBreakBefore w:val="0"/>
        <w:widowControl w:val="0"/>
        <w:kinsoku/>
        <w:wordWrap/>
        <w:overflowPunct/>
        <w:topLinePunct w:val="0"/>
        <w:autoSpaceDE/>
        <w:autoSpaceDN/>
        <w:bidi w:val="0"/>
        <w:spacing w:beforeAutospacing="0" w:afterAutospacing="0"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资产管理：</w:t>
      </w:r>
      <w:r>
        <w:rPr>
          <w:rFonts w:hint="eastAsia" w:ascii="仿宋_GB2312" w:eastAsia="仿宋_GB2312"/>
          <w:sz w:val="32"/>
          <w:szCs w:val="32"/>
          <w:lang w:eastAsia="zh-CN"/>
        </w:rPr>
        <w:t>2019</w:t>
      </w:r>
      <w:r>
        <w:rPr>
          <w:rFonts w:hint="eastAsia" w:ascii="仿宋_GB2312" w:eastAsia="仿宋_GB2312"/>
          <w:sz w:val="32"/>
          <w:szCs w:val="32"/>
        </w:rPr>
        <w:t>年进行全面的资产清查，并就清查中发现的问题进行全面整改。完善了单位财务管理制度，确保各项资产核算准确、帐实相符、管理到位。</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“三公经费”控制情况：贯彻落实上级有关精神，严格控制“三公经费”支出，取得了良好效果。我单位“三公”经费支出</w:t>
      </w:r>
      <w:r>
        <w:rPr>
          <w:rFonts w:hint="eastAsia" w:ascii="仿宋_GB2312" w:hAnsi="宋体" w:eastAsia="仿宋_GB2312"/>
          <w:sz w:val="32"/>
          <w:szCs w:val="32"/>
          <w:lang w:val="en-US" w:eastAsia="zh-CN"/>
        </w:rPr>
        <w:t>18000</w:t>
      </w:r>
      <w:r>
        <w:rPr>
          <w:rFonts w:hint="eastAsia" w:ascii="仿宋_GB2312" w:hAnsi="宋体" w:eastAsia="仿宋_GB2312" w:cs="宋体"/>
          <w:sz w:val="32"/>
          <w:szCs w:val="32"/>
        </w:rPr>
        <w:t>元，其中：公务用车维护费</w:t>
      </w:r>
      <w:r>
        <w:rPr>
          <w:rFonts w:hint="eastAsia" w:ascii="仿宋_GB2312" w:eastAsia="仿宋_GB2312"/>
          <w:color w:val="000000"/>
          <w:sz w:val="32"/>
          <w:szCs w:val="32"/>
          <w:lang w:val="en-US" w:eastAsia="zh-CN"/>
        </w:rPr>
        <w:t>18000</w:t>
      </w:r>
      <w:r>
        <w:rPr>
          <w:rFonts w:hint="eastAsia" w:ascii="仿宋_GB2312" w:hAnsi="宋体" w:eastAsia="仿宋_GB2312" w:cs="宋体"/>
          <w:sz w:val="32"/>
          <w:szCs w:val="32"/>
        </w:rPr>
        <w:t>元。无会议费支出情况。无因公出国（境）费。</w:t>
      </w:r>
    </w:p>
    <w:p>
      <w:pPr>
        <w:pStyle w:val="15"/>
        <w:keepNext w:val="0"/>
        <w:keepLines w:val="0"/>
        <w:pageBreakBefore w:val="0"/>
        <w:widowControl w:val="0"/>
        <w:kinsoku/>
        <w:wordWrap/>
        <w:overflowPunct/>
        <w:topLinePunct w:val="0"/>
        <w:autoSpaceDE/>
        <w:autoSpaceDN/>
        <w:bidi w:val="0"/>
        <w:spacing w:beforeAutospacing="0" w:afterAutospacing="0" w:line="520" w:lineRule="exact"/>
        <w:ind w:firstLine="640" w:firstLineChars="200"/>
        <w:textAlignment w:val="auto"/>
        <w:rPr>
          <w:rFonts w:hint="eastAsia" w:ascii="仿宋_GB2312" w:eastAsia="仿宋_GB2312"/>
          <w:color w:val="000000"/>
          <w:sz w:val="32"/>
          <w:szCs w:val="32"/>
          <w:lang w:val="zh-CN"/>
        </w:rPr>
      </w:pPr>
      <w:r>
        <w:rPr>
          <w:rFonts w:hint="eastAsia" w:ascii="仿宋_GB2312" w:eastAsia="仿宋_GB2312"/>
          <w:sz w:val="32"/>
          <w:szCs w:val="32"/>
        </w:rPr>
        <w:t>内部管理制度建设情况：近年来，我办制定、完善了财务管理制度、车辆管理制度、差旅费管理实施办法等内部制度。</w:t>
      </w:r>
    </w:p>
    <w:p>
      <w:pPr>
        <w:keepNext w:val="0"/>
        <w:keepLines w:val="0"/>
        <w:pageBreakBefore w:val="0"/>
        <w:widowControl w:val="0"/>
        <w:kinsoku/>
        <w:wordWrap/>
        <w:overflowPunct/>
        <w:topLinePunct w:val="0"/>
        <w:autoSpaceDE/>
        <w:autoSpaceDN/>
        <w:bidi w:val="0"/>
        <w:adjustRightInd w:val="0"/>
        <w:snapToGrid w:val="0"/>
        <w:spacing w:line="520" w:lineRule="exact"/>
        <w:ind w:firstLine="720"/>
        <w:jc w:val="left"/>
        <w:textAlignment w:val="auto"/>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（四）整体绩效。</w:t>
      </w:r>
    </w:p>
    <w:p>
      <w:pPr>
        <w:keepNext w:val="0"/>
        <w:keepLines w:val="0"/>
        <w:pageBreakBefore w:val="0"/>
        <w:widowControl w:val="0"/>
        <w:kinsoku/>
        <w:wordWrap/>
        <w:overflowPunct/>
        <w:topLinePunct w:val="0"/>
        <w:autoSpaceDE/>
        <w:autoSpaceDN/>
        <w:bidi w:val="0"/>
        <w:adjustRightInd w:val="0"/>
        <w:snapToGrid w:val="0"/>
        <w:spacing w:line="520" w:lineRule="exact"/>
        <w:ind w:firstLine="720"/>
        <w:jc w:val="left"/>
        <w:textAlignment w:val="auto"/>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包括部门职责履行结果、重点项目绩效评价结果和服务对象满意度等。</w:t>
      </w:r>
    </w:p>
    <w:p>
      <w:pPr>
        <w:pStyle w:val="15"/>
        <w:keepNext w:val="0"/>
        <w:keepLines w:val="0"/>
        <w:pageBreakBefore w:val="0"/>
        <w:widowControl w:val="0"/>
        <w:kinsoku/>
        <w:wordWrap/>
        <w:overflowPunct/>
        <w:topLinePunct w:val="0"/>
        <w:autoSpaceDE/>
        <w:autoSpaceDN/>
        <w:bidi w:val="0"/>
        <w:spacing w:beforeAutospacing="0" w:afterAutospacing="0" w:line="520" w:lineRule="exact"/>
        <w:ind w:firstLine="579" w:firstLineChars="181"/>
        <w:textAlignment w:val="auto"/>
        <w:rPr>
          <w:rFonts w:hint="eastAsia" w:ascii="仿宋_GB2312" w:eastAsia="仿宋_GB2312"/>
          <w:sz w:val="32"/>
          <w:szCs w:val="32"/>
        </w:rPr>
      </w:pPr>
      <w:r>
        <w:rPr>
          <w:rFonts w:hint="eastAsia" w:ascii="仿宋_GB2312" w:eastAsia="仿宋_GB2312"/>
          <w:color w:val="000000"/>
          <w:sz w:val="32"/>
          <w:szCs w:val="32"/>
          <w:lang w:val="zh-CN"/>
        </w:rPr>
        <w:t>（</w:t>
      </w:r>
      <w:r>
        <w:rPr>
          <w:rFonts w:hint="eastAsia" w:ascii="仿宋_GB2312" w:eastAsia="仿宋_GB2312"/>
          <w:sz w:val="32"/>
          <w:szCs w:val="32"/>
        </w:rPr>
        <w:t>一）绩效评价目的:</w:t>
      </w:r>
    </w:p>
    <w:p>
      <w:pPr>
        <w:pStyle w:val="15"/>
        <w:keepNext w:val="0"/>
        <w:keepLines w:val="0"/>
        <w:pageBreakBefore w:val="0"/>
        <w:widowControl w:val="0"/>
        <w:kinsoku/>
        <w:wordWrap/>
        <w:overflowPunct/>
        <w:topLinePunct w:val="0"/>
        <w:autoSpaceDE/>
        <w:autoSpaceDN/>
        <w:bidi w:val="0"/>
        <w:spacing w:beforeAutospacing="0" w:afterAutospacing="0"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此次绩效评价的目的是：严格落实《预算法》及省、州绩效管理工作的有关规定，进一步规范财政资金的管理，强化财政支出绩效理念，提升部门责任意识，提高资金使用效益。</w:t>
      </w:r>
    </w:p>
    <w:p>
      <w:pPr>
        <w:pStyle w:val="15"/>
        <w:keepNext w:val="0"/>
        <w:keepLines w:val="0"/>
        <w:pageBreakBefore w:val="0"/>
        <w:widowControl w:val="0"/>
        <w:kinsoku/>
        <w:wordWrap/>
        <w:overflowPunct/>
        <w:topLinePunct w:val="0"/>
        <w:autoSpaceDE/>
        <w:autoSpaceDN/>
        <w:bidi w:val="0"/>
        <w:spacing w:beforeAutospacing="0" w:afterAutospacing="0" w:line="520" w:lineRule="exact"/>
        <w:ind w:firstLine="420"/>
        <w:textAlignment w:val="auto"/>
        <w:rPr>
          <w:rFonts w:hint="eastAsia" w:ascii="仿宋_GB2312" w:eastAsia="仿宋_GB2312"/>
          <w:sz w:val="32"/>
          <w:szCs w:val="32"/>
        </w:rPr>
      </w:pPr>
      <w:r>
        <w:rPr>
          <w:rFonts w:hint="eastAsia" w:ascii="仿宋_GB2312" w:eastAsia="仿宋_GB2312"/>
          <w:sz w:val="32"/>
          <w:szCs w:val="32"/>
        </w:rPr>
        <w:t>（二）绩效评价的主要过程:</w:t>
      </w:r>
    </w:p>
    <w:p>
      <w:pPr>
        <w:pStyle w:val="15"/>
        <w:keepNext w:val="0"/>
        <w:keepLines w:val="0"/>
        <w:pageBreakBefore w:val="0"/>
        <w:widowControl w:val="0"/>
        <w:kinsoku/>
        <w:wordWrap/>
        <w:overflowPunct/>
        <w:topLinePunct w:val="0"/>
        <w:autoSpaceDE/>
        <w:autoSpaceDN/>
        <w:bidi w:val="0"/>
        <w:spacing w:beforeAutospacing="0" w:afterAutospacing="0" w:line="520" w:lineRule="exact"/>
        <w:ind w:firstLine="640" w:firstLineChars="200"/>
        <w:textAlignment w:val="auto"/>
        <w:rPr>
          <w:rFonts w:hint="eastAsia" w:ascii="仿宋_GB2312" w:eastAsia="仿宋_GB2312"/>
          <w:color w:val="000000"/>
          <w:sz w:val="32"/>
          <w:szCs w:val="32"/>
          <w:lang w:val="zh-CN"/>
        </w:rPr>
      </w:pPr>
      <w:r>
        <w:rPr>
          <w:rFonts w:hint="eastAsia" w:ascii="仿宋_GB2312" w:eastAsia="仿宋_GB2312"/>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left"/>
        <w:textAlignment w:val="auto"/>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lang w:eastAsia="zh-CN"/>
        </w:rPr>
        <w:t>五</w:t>
      </w:r>
      <w:r>
        <w:rPr>
          <w:rFonts w:hint="eastAsia" w:ascii="仿宋_GB2312" w:hAnsi="宋体" w:eastAsia="仿宋_GB2312" w:cs="宋体"/>
          <w:b/>
          <w:bCs/>
          <w:color w:val="000000"/>
          <w:kern w:val="0"/>
          <w:sz w:val="32"/>
          <w:szCs w:val="32"/>
        </w:rPr>
        <w:t>、评价结论及建议</w:t>
      </w:r>
    </w:p>
    <w:p>
      <w:pPr>
        <w:pStyle w:val="15"/>
        <w:keepNext w:val="0"/>
        <w:keepLines w:val="0"/>
        <w:pageBreakBefore w:val="0"/>
        <w:widowControl w:val="0"/>
        <w:kinsoku/>
        <w:wordWrap/>
        <w:overflowPunct/>
        <w:topLinePunct w:val="0"/>
        <w:autoSpaceDE/>
        <w:autoSpaceDN/>
        <w:bidi w:val="0"/>
        <w:spacing w:beforeAutospacing="0" w:afterAutospacing="0" w:line="520" w:lineRule="exact"/>
        <w:ind w:firstLine="480" w:firstLineChars="150"/>
        <w:textAlignment w:val="auto"/>
        <w:rPr>
          <w:rFonts w:hint="eastAsia" w:ascii="仿宋_GB2312" w:eastAsia="仿宋_GB2312"/>
          <w:color w:val="000000"/>
          <w:sz w:val="32"/>
          <w:szCs w:val="32"/>
          <w:lang w:val="zh-CN"/>
        </w:rPr>
      </w:pPr>
      <w:r>
        <w:rPr>
          <w:rFonts w:hint="eastAsia" w:ascii="仿宋_GB2312" w:eastAsia="仿宋_GB2312"/>
          <w:color w:val="000000"/>
          <w:sz w:val="32"/>
          <w:szCs w:val="32"/>
          <w:lang w:val="zh-CN"/>
        </w:rPr>
        <w:t>（一）评价结论。</w:t>
      </w:r>
      <w:r>
        <w:rPr>
          <w:rFonts w:hint="eastAsia" w:ascii="仿宋_GB2312" w:eastAsia="仿宋_GB2312"/>
          <w:sz w:val="32"/>
          <w:szCs w:val="32"/>
        </w:rPr>
        <w:t>规范了财政资金的管理，强化财政支出绩效理念，提升任意识，提高资金使用效益。</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(二)存在问题。无</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(三)改进建议。无</w:t>
      </w: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8"/>
          <w:rFonts w:ascii="黑体" w:hAnsi="黑体" w:eastAsia="黑体"/>
          <w:b w:val="0"/>
        </w:rPr>
      </w:pPr>
      <w:r>
        <w:rPr>
          <w:rFonts w:hint="eastAsia" w:ascii="黑体" w:hAnsi="黑体" w:eastAsia="黑体"/>
          <w:color w:val="000000"/>
          <w:sz w:val="44"/>
          <w:szCs w:val="44"/>
        </w:rPr>
        <w:t>第</w:t>
      </w:r>
      <w:r>
        <w:rPr>
          <w:rStyle w:val="28"/>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5"/>
        <w:rPr>
          <w:rFonts w:ascii="仿宋" w:hAnsi="仿宋" w:eastAsia="仿宋"/>
          <w:color w:val="000000"/>
        </w:rPr>
      </w:pPr>
      <w:bookmarkStart w:id="60" w:name="_Toc15396619"/>
      <w:r>
        <w:rPr>
          <w:rFonts w:hint="eastAsia" w:ascii="仿宋" w:hAnsi="仿宋" w:eastAsia="仿宋"/>
          <w:b w:val="0"/>
          <w:color w:val="000000"/>
        </w:rPr>
        <w:t>一、收</w:t>
      </w:r>
      <w:r>
        <w:rPr>
          <w:rStyle w:val="29"/>
          <w:rFonts w:hint="eastAsia" w:ascii="仿宋" w:hAnsi="仿宋" w:eastAsia="仿宋"/>
          <w:b w:val="0"/>
          <w:bCs w:val="0"/>
        </w:rPr>
        <w:t>入支出决算总表</w:t>
      </w:r>
      <w:bookmarkEnd w:id="60"/>
    </w:p>
    <w:p>
      <w:pPr>
        <w:pStyle w:val="5"/>
        <w:rPr>
          <w:rFonts w:ascii="仿宋" w:hAnsi="仿宋" w:eastAsia="仿宋"/>
          <w:color w:val="000000"/>
        </w:rPr>
      </w:pPr>
      <w:bookmarkStart w:id="61" w:name="_Toc15396620"/>
      <w:r>
        <w:rPr>
          <w:rFonts w:hint="eastAsia" w:ascii="仿宋" w:hAnsi="仿宋" w:eastAsia="仿宋"/>
          <w:b w:val="0"/>
          <w:color w:val="000000"/>
        </w:rPr>
        <w:t>二、收</w:t>
      </w:r>
      <w:r>
        <w:rPr>
          <w:rStyle w:val="29"/>
          <w:rFonts w:hint="eastAsia" w:ascii="仿宋" w:hAnsi="仿宋" w:eastAsia="仿宋"/>
          <w:b w:val="0"/>
          <w:bCs w:val="0"/>
        </w:rPr>
        <w:t>入决算表</w:t>
      </w:r>
      <w:bookmarkEnd w:id="61"/>
    </w:p>
    <w:p>
      <w:pPr>
        <w:pStyle w:val="5"/>
        <w:rPr>
          <w:rFonts w:ascii="仿宋" w:hAnsi="仿宋" w:eastAsia="仿宋"/>
          <w:color w:val="000000"/>
        </w:rPr>
      </w:pPr>
      <w:bookmarkStart w:id="62" w:name="_Toc15396621"/>
      <w:r>
        <w:rPr>
          <w:rStyle w:val="29"/>
          <w:rFonts w:hint="eastAsia" w:ascii="仿宋" w:hAnsi="仿宋" w:eastAsia="仿宋"/>
          <w:b w:val="0"/>
          <w:bCs w:val="0"/>
        </w:rPr>
        <w:t>三、</w:t>
      </w:r>
      <w:r>
        <w:rPr>
          <w:rFonts w:hint="eastAsia" w:ascii="仿宋" w:hAnsi="仿宋" w:eastAsia="仿宋"/>
          <w:b w:val="0"/>
          <w:color w:val="000000"/>
        </w:rPr>
        <w:t>支</w:t>
      </w:r>
      <w:r>
        <w:rPr>
          <w:rStyle w:val="29"/>
          <w:rFonts w:hint="eastAsia" w:ascii="仿宋" w:hAnsi="仿宋" w:eastAsia="仿宋"/>
          <w:b w:val="0"/>
          <w:bCs w:val="0"/>
        </w:rPr>
        <w:t>出决算表</w:t>
      </w:r>
      <w:bookmarkEnd w:id="62"/>
    </w:p>
    <w:p>
      <w:pPr>
        <w:pStyle w:val="5"/>
        <w:rPr>
          <w:rFonts w:ascii="仿宋" w:hAnsi="仿宋" w:eastAsia="仿宋"/>
          <w:b w:val="0"/>
          <w:color w:val="000000"/>
        </w:rPr>
      </w:pPr>
      <w:bookmarkStart w:id="63" w:name="_Toc15396622"/>
      <w:r>
        <w:rPr>
          <w:rStyle w:val="29"/>
          <w:rFonts w:hint="eastAsia" w:ascii="仿宋" w:hAnsi="仿宋" w:eastAsia="仿宋"/>
          <w:b w:val="0"/>
          <w:bCs w:val="0"/>
        </w:rPr>
        <w:t>四、</w:t>
      </w:r>
      <w:r>
        <w:rPr>
          <w:rFonts w:hint="eastAsia" w:ascii="仿宋" w:hAnsi="仿宋" w:eastAsia="仿宋"/>
          <w:b w:val="0"/>
          <w:color w:val="000000"/>
        </w:rPr>
        <w:t>财</w:t>
      </w:r>
      <w:r>
        <w:rPr>
          <w:rStyle w:val="29"/>
          <w:rFonts w:hint="eastAsia" w:ascii="仿宋" w:hAnsi="仿宋" w:eastAsia="仿宋"/>
          <w:b w:val="0"/>
          <w:bCs w:val="0"/>
        </w:rPr>
        <w:t>政拨款收入支出决算总表</w:t>
      </w:r>
      <w:bookmarkEnd w:id="63"/>
    </w:p>
    <w:p>
      <w:pPr>
        <w:pStyle w:val="5"/>
        <w:rPr>
          <w:rStyle w:val="29"/>
          <w:rFonts w:ascii="仿宋" w:hAnsi="仿宋" w:eastAsia="仿宋"/>
          <w:b w:val="0"/>
          <w:bCs w:val="0"/>
        </w:rPr>
      </w:pPr>
      <w:bookmarkStart w:id="64" w:name="_Toc15396623"/>
      <w:r>
        <w:rPr>
          <w:rStyle w:val="29"/>
          <w:rFonts w:hint="eastAsia" w:ascii="仿宋" w:hAnsi="仿宋" w:eastAsia="仿宋"/>
          <w:b w:val="0"/>
          <w:bCs w:val="0"/>
        </w:rPr>
        <w:t>五、</w:t>
      </w:r>
      <w:r>
        <w:rPr>
          <w:rFonts w:hint="eastAsia" w:ascii="仿宋" w:hAnsi="仿宋" w:eastAsia="仿宋"/>
          <w:b w:val="0"/>
          <w:color w:val="000000"/>
        </w:rPr>
        <w:t>财</w:t>
      </w:r>
      <w:r>
        <w:rPr>
          <w:rStyle w:val="29"/>
          <w:rFonts w:hint="eastAsia" w:ascii="仿宋" w:hAnsi="仿宋" w:eastAsia="仿宋"/>
          <w:b w:val="0"/>
          <w:bCs w:val="0"/>
        </w:rPr>
        <w:t>政拨款支出决算明细表</w:t>
      </w:r>
      <w:bookmarkEnd w:id="64"/>
      <w:bookmarkStart w:id="65" w:name="_Toc15396624"/>
    </w:p>
    <w:p>
      <w:pPr>
        <w:pStyle w:val="5"/>
        <w:rPr>
          <w:rFonts w:ascii="仿宋" w:hAnsi="仿宋" w:eastAsia="仿宋"/>
          <w:color w:val="000000"/>
        </w:rPr>
      </w:pPr>
      <w:r>
        <w:rPr>
          <w:rStyle w:val="29"/>
          <w:rFonts w:hint="eastAsia" w:ascii="仿宋" w:hAnsi="仿宋" w:eastAsia="仿宋"/>
          <w:b w:val="0"/>
          <w:bCs w:val="0"/>
        </w:rPr>
        <w:t>六、</w:t>
      </w:r>
      <w:r>
        <w:rPr>
          <w:rFonts w:hint="eastAsia" w:ascii="仿宋" w:hAnsi="仿宋" w:eastAsia="仿宋"/>
          <w:b w:val="0"/>
          <w:color w:val="000000"/>
        </w:rPr>
        <w:t>一</w:t>
      </w:r>
      <w:r>
        <w:rPr>
          <w:rStyle w:val="29"/>
          <w:rFonts w:hint="eastAsia" w:ascii="仿宋" w:hAnsi="仿宋" w:eastAsia="仿宋"/>
          <w:b w:val="0"/>
          <w:bCs w:val="0"/>
        </w:rPr>
        <w:t>般公共预算财政拨款支出决算表</w:t>
      </w:r>
      <w:bookmarkEnd w:id="65"/>
    </w:p>
    <w:p>
      <w:pPr>
        <w:pStyle w:val="5"/>
        <w:rPr>
          <w:rFonts w:ascii="仿宋" w:hAnsi="仿宋" w:eastAsia="仿宋"/>
          <w:color w:val="000000"/>
        </w:rPr>
      </w:pPr>
      <w:bookmarkStart w:id="66" w:name="_Toc15396625"/>
      <w:r>
        <w:rPr>
          <w:rStyle w:val="29"/>
          <w:rFonts w:hint="eastAsia" w:ascii="仿宋" w:hAnsi="仿宋" w:eastAsia="仿宋"/>
          <w:b w:val="0"/>
          <w:bCs w:val="0"/>
        </w:rPr>
        <w:t>七、</w:t>
      </w:r>
      <w:r>
        <w:rPr>
          <w:rFonts w:hint="eastAsia" w:ascii="仿宋" w:hAnsi="仿宋" w:eastAsia="仿宋"/>
          <w:b w:val="0"/>
          <w:color w:val="000000"/>
        </w:rPr>
        <w:t>一</w:t>
      </w:r>
      <w:r>
        <w:rPr>
          <w:rStyle w:val="29"/>
          <w:rFonts w:hint="eastAsia" w:ascii="仿宋" w:hAnsi="仿宋" w:eastAsia="仿宋"/>
          <w:b w:val="0"/>
          <w:bCs w:val="0"/>
        </w:rPr>
        <w:t>般公共预算财政拨款支出决算明细表</w:t>
      </w:r>
      <w:bookmarkEnd w:id="66"/>
    </w:p>
    <w:p>
      <w:pPr>
        <w:pStyle w:val="5"/>
        <w:rPr>
          <w:rFonts w:ascii="仿宋" w:hAnsi="仿宋" w:eastAsia="仿宋"/>
          <w:color w:val="000000"/>
        </w:rPr>
      </w:pPr>
      <w:bookmarkStart w:id="67" w:name="_Toc15396626"/>
      <w:r>
        <w:rPr>
          <w:rStyle w:val="29"/>
          <w:rFonts w:hint="eastAsia" w:ascii="仿宋" w:hAnsi="仿宋" w:eastAsia="仿宋"/>
          <w:b w:val="0"/>
          <w:bCs w:val="0"/>
        </w:rPr>
        <w:t>八、</w:t>
      </w:r>
      <w:r>
        <w:rPr>
          <w:rFonts w:hint="eastAsia" w:ascii="仿宋" w:hAnsi="仿宋" w:eastAsia="仿宋"/>
          <w:b w:val="0"/>
          <w:color w:val="000000"/>
        </w:rPr>
        <w:t>一</w:t>
      </w:r>
      <w:r>
        <w:rPr>
          <w:rStyle w:val="29"/>
          <w:rFonts w:hint="eastAsia" w:ascii="仿宋" w:hAnsi="仿宋" w:eastAsia="仿宋"/>
          <w:b w:val="0"/>
          <w:bCs w:val="0"/>
        </w:rPr>
        <w:t>般公共预算财政拨款基本支出决算表</w:t>
      </w:r>
      <w:bookmarkEnd w:id="67"/>
    </w:p>
    <w:p>
      <w:pPr>
        <w:pStyle w:val="5"/>
        <w:rPr>
          <w:rFonts w:ascii="仿宋" w:hAnsi="仿宋" w:eastAsia="仿宋"/>
          <w:color w:val="000000"/>
        </w:rPr>
      </w:pPr>
      <w:bookmarkStart w:id="68" w:name="_Toc15396627"/>
      <w:r>
        <w:rPr>
          <w:rStyle w:val="29"/>
          <w:rFonts w:hint="eastAsia" w:ascii="仿宋" w:hAnsi="仿宋" w:eastAsia="仿宋"/>
          <w:b w:val="0"/>
          <w:bCs w:val="0"/>
        </w:rPr>
        <w:t>九、</w:t>
      </w:r>
      <w:r>
        <w:rPr>
          <w:rFonts w:hint="eastAsia" w:ascii="仿宋" w:hAnsi="仿宋" w:eastAsia="仿宋"/>
          <w:b w:val="0"/>
          <w:color w:val="000000"/>
        </w:rPr>
        <w:t>一</w:t>
      </w:r>
      <w:r>
        <w:rPr>
          <w:rStyle w:val="29"/>
          <w:rFonts w:hint="eastAsia" w:ascii="仿宋" w:hAnsi="仿宋" w:eastAsia="仿宋"/>
          <w:b w:val="0"/>
          <w:bCs w:val="0"/>
        </w:rPr>
        <w:t>般公共预算财政拨款项目支出决算表</w:t>
      </w:r>
      <w:bookmarkEnd w:id="68"/>
    </w:p>
    <w:p>
      <w:pPr>
        <w:pStyle w:val="5"/>
        <w:rPr>
          <w:rFonts w:ascii="仿宋" w:hAnsi="仿宋" w:eastAsia="仿宋"/>
          <w:color w:val="000000"/>
        </w:rPr>
      </w:pPr>
      <w:bookmarkStart w:id="69" w:name="_Toc15396628"/>
      <w:r>
        <w:rPr>
          <w:rStyle w:val="29"/>
          <w:rFonts w:hint="eastAsia" w:ascii="仿宋" w:hAnsi="仿宋" w:eastAsia="仿宋"/>
          <w:b w:val="0"/>
          <w:bCs w:val="0"/>
        </w:rPr>
        <w:t>十、</w:t>
      </w:r>
      <w:r>
        <w:rPr>
          <w:rFonts w:hint="eastAsia" w:ascii="仿宋" w:hAnsi="仿宋" w:eastAsia="仿宋"/>
          <w:b w:val="0"/>
          <w:color w:val="000000"/>
        </w:rPr>
        <w:t>一</w:t>
      </w:r>
      <w:r>
        <w:rPr>
          <w:rStyle w:val="29"/>
          <w:rFonts w:hint="eastAsia" w:ascii="仿宋" w:hAnsi="仿宋" w:eastAsia="仿宋"/>
          <w:b w:val="0"/>
          <w:bCs w:val="0"/>
        </w:rPr>
        <w:t>般公共预算财政拨款“三公”经费支出决算表</w:t>
      </w:r>
      <w:bookmarkEnd w:id="69"/>
    </w:p>
    <w:p>
      <w:pPr>
        <w:pStyle w:val="5"/>
        <w:rPr>
          <w:rFonts w:ascii="仿宋" w:hAnsi="仿宋" w:eastAsia="仿宋"/>
          <w:color w:val="000000"/>
        </w:rPr>
      </w:pPr>
      <w:bookmarkStart w:id="70" w:name="_Toc15396629"/>
      <w:r>
        <w:rPr>
          <w:rStyle w:val="29"/>
          <w:rFonts w:hint="eastAsia" w:ascii="仿宋" w:hAnsi="仿宋" w:eastAsia="仿宋"/>
          <w:b w:val="0"/>
          <w:bCs w:val="0"/>
        </w:rPr>
        <w:t>十一、</w:t>
      </w:r>
      <w:r>
        <w:rPr>
          <w:rFonts w:hint="eastAsia" w:ascii="仿宋" w:hAnsi="仿宋" w:eastAsia="仿宋"/>
          <w:b w:val="0"/>
          <w:color w:val="000000"/>
        </w:rPr>
        <w:t>政</w:t>
      </w:r>
      <w:r>
        <w:rPr>
          <w:rStyle w:val="29"/>
          <w:rFonts w:hint="eastAsia" w:ascii="仿宋" w:hAnsi="仿宋" w:eastAsia="仿宋"/>
          <w:b w:val="0"/>
          <w:bCs w:val="0"/>
        </w:rPr>
        <w:t>府性基金预算财政拨款收入支出决算表</w:t>
      </w:r>
      <w:bookmarkEnd w:id="70"/>
    </w:p>
    <w:p>
      <w:pPr>
        <w:pStyle w:val="5"/>
        <w:rPr>
          <w:rFonts w:ascii="仿宋" w:hAnsi="仿宋" w:eastAsia="仿宋"/>
          <w:color w:val="000000"/>
        </w:rPr>
      </w:pPr>
      <w:bookmarkStart w:id="71" w:name="_Toc15396630"/>
      <w:r>
        <w:rPr>
          <w:rStyle w:val="29"/>
          <w:rFonts w:hint="eastAsia" w:ascii="仿宋" w:hAnsi="仿宋" w:eastAsia="仿宋"/>
          <w:b w:val="0"/>
          <w:bCs w:val="0"/>
        </w:rPr>
        <w:t>十二、</w:t>
      </w:r>
      <w:r>
        <w:rPr>
          <w:rFonts w:hint="eastAsia" w:ascii="仿宋" w:hAnsi="仿宋" w:eastAsia="仿宋"/>
          <w:b w:val="0"/>
          <w:color w:val="000000"/>
        </w:rPr>
        <w:t>政</w:t>
      </w:r>
      <w:r>
        <w:rPr>
          <w:rStyle w:val="29"/>
          <w:rFonts w:hint="eastAsia" w:ascii="仿宋" w:hAnsi="仿宋" w:eastAsia="仿宋"/>
          <w:b w:val="0"/>
          <w:bCs w:val="0"/>
        </w:rPr>
        <w:t>府性基金预算财政拨款“三公”经费支出决算表</w:t>
      </w:r>
      <w:bookmarkEnd w:id="71"/>
    </w:p>
    <w:p>
      <w:pPr>
        <w:pStyle w:val="5"/>
        <w:rPr>
          <w:rFonts w:ascii="仿宋" w:hAnsi="仿宋" w:eastAsia="仿宋"/>
          <w:color w:val="000000" w:themeColor="text1"/>
        </w:rPr>
      </w:pPr>
      <w:bookmarkStart w:id="72" w:name="_Toc15396631"/>
      <w:r>
        <w:rPr>
          <w:rStyle w:val="29"/>
          <w:rFonts w:hint="eastAsia" w:ascii="仿宋" w:hAnsi="仿宋" w:eastAsia="仿宋"/>
          <w:b w:val="0"/>
          <w:bCs w:val="0"/>
        </w:rPr>
        <w:t>十三、</w:t>
      </w:r>
      <w:r>
        <w:rPr>
          <w:rFonts w:hint="eastAsia" w:ascii="仿宋" w:hAnsi="仿宋" w:eastAsia="仿宋"/>
          <w:b w:val="0"/>
          <w:color w:val="000000"/>
        </w:rPr>
        <w:t>国</w:t>
      </w:r>
      <w:r>
        <w:rPr>
          <w:rStyle w:val="29"/>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B8B7706"/>
    <w:multiLevelType w:val="singleLevel"/>
    <w:tmpl w:val="5B8B7706"/>
    <w:lvl w:ilvl="0" w:tentative="0">
      <w:start w:val="1"/>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B2B0F"/>
    <w:rsid w:val="045231A9"/>
    <w:rsid w:val="07C4087B"/>
    <w:rsid w:val="0C676298"/>
    <w:rsid w:val="10C055FF"/>
    <w:rsid w:val="16BB723D"/>
    <w:rsid w:val="1F052C84"/>
    <w:rsid w:val="240371BF"/>
    <w:rsid w:val="25FA1F0F"/>
    <w:rsid w:val="25FB63CB"/>
    <w:rsid w:val="28AB1266"/>
    <w:rsid w:val="29650ECA"/>
    <w:rsid w:val="29FD04D3"/>
    <w:rsid w:val="2A391EBA"/>
    <w:rsid w:val="2DBC32DC"/>
    <w:rsid w:val="319F7F4E"/>
    <w:rsid w:val="4409637A"/>
    <w:rsid w:val="49D4646D"/>
    <w:rsid w:val="4DA143B3"/>
    <w:rsid w:val="4ECE2238"/>
    <w:rsid w:val="596D49A8"/>
    <w:rsid w:val="5A326305"/>
    <w:rsid w:val="62587095"/>
    <w:rsid w:val="64AA629E"/>
    <w:rsid w:val="682C030D"/>
    <w:rsid w:val="682E14FB"/>
    <w:rsid w:val="6FB16AF7"/>
    <w:rsid w:val="72734D90"/>
    <w:rsid w:val="7800782A"/>
    <w:rsid w:val="79C82AFD"/>
    <w:rsid w:val="7A1859AD"/>
    <w:rsid w:val="7EF736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line="240" w:lineRule="auto"/>
      <w:ind w:left="0" w:right="-334" w:rightChars="-159" w:firstLine="640" w:firstLineChars="200"/>
      <w:jc w:val="left"/>
      <w:textAlignment w:val="auto"/>
    </w:pPr>
    <w:rPr>
      <w:rFonts w:ascii="仿宋_GB2312" w:hAnsi="仿宋_GB2312" w:eastAsia="仿宋_GB2312"/>
      <w:kern w:val="2"/>
      <w:sz w:val="32"/>
      <w:szCs w:val="32"/>
    </w:r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100" w:beforeAutospacing="1" w:after="100" w:afterAutospacing="1" w:line="240" w:lineRule="auto"/>
      <w:jc w:val="left"/>
      <w:textAlignment w:val="auto"/>
    </w:pPr>
    <w:rPr>
      <w:rFonts w:ascii="宋体" w:hAnsi="宋体" w:eastAsia="宋体" w:cs="宋体"/>
      <w:sz w:val="24"/>
      <w:szCs w:val="24"/>
      <w:u w:val="none" w:color="auto"/>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7"/>
    <w:qFormat/>
    <w:locked/>
    <w:uiPriority w:val="99"/>
    <w:rPr>
      <w:rFonts w:ascii="仿宋_GB2312" w:hAnsi="Times New Roman" w:eastAsia="仿宋_GB2312"/>
      <w:sz w:val="24"/>
    </w:rPr>
  </w:style>
  <w:style w:type="paragraph" w:customStyle="1" w:styleId="26">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List Paragraph"/>
    <w:basedOn w:val="1"/>
    <w:qFormat/>
    <w:uiPriority w:val="34"/>
    <w:pPr>
      <w:ind w:firstLine="420" w:firstLineChars="200"/>
    </w:pPr>
  </w:style>
  <w:style w:type="character" w:customStyle="1" w:styleId="28">
    <w:name w:val="标题 1 字符"/>
    <w:basedOn w:val="17"/>
    <w:link w:val="4"/>
    <w:qFormat/>
    <w:uiPriority w:val="9"/>
    <w:rPr>
      <w:rFonts w:ascii="Times New Roman" w:hAnsi="Times New Roman"/>
      <w:b/>
      <w:bCs/>
      <w:kern w:val="44"/>
      <w:sz w:val="44"/>
      <w:szCs w:val="44"/>
    </w:rPr>
  </w:style>
  <w:style w:type="character" w:customStyle="1" w:styleId="29">
    <w:name w:val="标题 2 字符"/>
    <w:basedOn w:val="17"/>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字符"/>
    <w:basedOn w:val="17"/>
    <w:link w:val="9"/>
    <w:semiHidden/>
    <w:qFormat/>
    <w:uiPriority w:val="99"/>
    <w:rPr>
      <w:rFonts w:ascii="Times New Roman" w:hAnsi="Times New Roman"/>
      <w:kern w:val="2"/>
      <w:sz w:val="18"/>
      <w:szCs w:val="18"/>
    </w:rPr>
  </w:style>
  <w:style w:type="character" w:customStyle="1" w:styleId="32">
    <w:name w:val="标题 3 字符"/>
    <w:basedOn w:val="17"/>
    <w:link w:val="6"/>
    <w:qFormat/>
    <w:uiPriority w:val="9"/>
    <w:rPr>
      <w:rFonts w:ascii="Times New Roman" w:hAnsi="Times New Roman"/>
      <w:b/>
      <w:bCs/>
      <w:kern w:val="2"/>
      <w:sz w:val="32"/>
      <w:szCs w:val="32"/>
    </w:r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p0"/>
    <w:basedOn w:val="1"/>
    <w:qFormat/>
    <w:uiPriority w:val="0"/>
    <w:pPr>
      <w:widowControl/>
      <w:spacing w:beforeAutospacing="1" w:afterAutospacing="1" w:line="408" w:lineRule="auto"/>
      <w:ind w:left="1"/>
    </w:pPr>
    <w:rPr>
      <w:color w:val="000000"/>
      <w:szCs w:val="21"/>
    </w:rPr>
  </w:style>
  <w:style w:type="paragraph" w:customStyle="1" w:styleId="35">
    <w:name w:val="四号正文"/>
    <w:basedOn w:val="1"/>
    <w:qFormat/>
    <w:uiPriority w:val="0"/>
    <w:pPr>
      <w:spacing w:line="360" w:lineRule="auto"/>
    </w:pPr>
    <w:rPr>
      <w:rFonts w:ascii="??" w:hAnsi="??" w:eastAsia="宋体"/>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1FA5C-FBC4-4E0C-90C9-F7AB8D53FD8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1284</Words>
  <Characters>7320</Characters>
  <Lines>61</Lines>
  <Paragraphs>17</Paragraphs>
  <TotalTime>7</TotalTime>
  <ScaleCrop>false</ScaleCrop>
  <LinksUpToDate>false</LinksUpToDate>
  <CharactersWithSpaces>8587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月亮</cp:lastModifiedBy>
  <cp:lastPrinted>2020-07-23T02:58:00Z</cp:lastPrinted>
  <dcterms:modified xsi:type="dcterms:W3CDTF">2021-02-26T08:10:32Z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