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7D484">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96597"/>
      <w:bookmarkStart w:id="3" w:name="_Toc15377193"/>
      <w:bookmarkStart w:id="4" w:name="_Toc15306267"/>
      <w:bookmarkStart w:id="5" w:name="_Toc15377425"/>
    </w:p>
    <w:p w14:paraId="27B2B83D">
      <w:pPr>
        <w:pStyle w:val="5"/>
        <w:rPr>
          <w:rFonts w:hint="eastAsia" w:ascii="Times New Roman" w:hAnsi="Times New Roman" w:eastAsia="方正小标宋简体" w:cs="Times New Roman"/>
          <w:color w:val="auto"/>
          <w:kern w:val="2"/>
          <w:sz w:val="72"/>
          <w:szCs w:val="72"/>
          <w:highlight w:val="none"/>
          <w:lang w:val="en-US" w:eastAsia="zh-CN" w:bidi="ar-SA"/>
        </w:rPr>
      </w:pPr>
    </w:p>
    <w:p w14:paraId="058A5992">
      <w:pPr>
        <w:pStyle w:val="5"/>
        <w:rPr>
          <w:rFonts w:hint="eastAsia" w:ascii="Times New Roman" w:hAnsi="Times New Roman" w:eastAsia="方正小标宋简体" w:cs="Times New Roman"/>
          <w:color w:val="auto"/>
          <w:kern w:val="2"/>
          <w:sz w:val="72"/>
          <w:szCs w:val="72"/>
          <w:highlight w:val="none"/>
          <w:lang w:val="en-US" w:eastAsia="zh-CN" w:bidi="ar-SA"/>
        </w:rPr>
      </w:pPr>
    </w:p>
    <w:p w14:paraId="776DFDE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0479"/>
      <w:bookmarkStart w:id="7" w:name="_Toc2823"/>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6"/>
      <w:bookmarkEnd w:id="7"/>
    </w:p>
    <w:p w14:paraId="4B74CB4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29627"/>
      <w:bookmarkStart w:id="9" w:name="_Toc7289"/>
      <w:r>
        <w:rPr>
          <w:rFonts w:hint="eastAsia" w:ascii="方正小标宋简体" w:hAnsi="方正小标宋简体" w:eastAsia="方正小标宋简体" w:cs="方正小标宋简体"/>
          <w:sz w:val="72"/>
          <w:szCs w:val="72"/>
        </w:rPr>
        <w:t>阿坝州松潘县就业局决算</w:t>
      </w:r>
      <w:bookmarkEnd w:id="8"/>
      <w:bookmarkEnd w:id="9"/>
    </w:p>
    <w:p w14:paraId="4490D00A">
      <w:pPr>
        <w:adjustRightInd w:val="0"/>
        <w:snapToGrid w:val="0"/>
        <w:spacing w:line="360" w:lineRule="auto"/>
        <w:jc w:val="center"/>
        <w:outlineLvl w:val="0"/>
        <w:rPr>
          <w:rFonts w:hint="default" w:ascii="方正小标宋简体" w:hAnsi="方正小标宋简体" w:eastAsia="方正小标宋简体" w:cs="方正小标宋简体"/>
          <w:sz w:val="72"/>
          <w:szCs w:val="72"/>
          <w:lang w:val="en-US" w:eastAsia="zh-CN"/>
        </w:rPr>
      </w:pPr>
    </w:p>
    <w:p w14:paraId="67FE3425">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215A37C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9FE4A21">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bookmarkStart w:id="106" w:name="_GoBack"/>
      <w:bookmarkEnd w:id="106"/>
      <w:r>
        <w:rPr>
          <w:rFonts w:hint="eastAsia" w:ascii="Times New Roman" w:hAnsi="Times New Roman" w:eastAsia="仿宋_GB2312" w:cs="仿宋_GB2312"/>
          <w:color w:val="auto"/>
          <w:sz w:val="32"/>
          <w:szCs w:val="32"/>
          <w:highlight w:val="none"/>
        </w:rPr>
        <w:t>日</w:t>
      </w:r>
    </w:p>
    <w:p w14:paraId="05778341">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440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F7903A9">
          <w:pPr>
            <w:spacing w:before="0" w:beforeLines="0" w:after="0" w:afterLines="0" w:line="240" w:lineRule="auto"/>
            <w:ind w:left="0" w:leftChars="0" w:right="0" w:rightChars="0" w:firstLine="0" w:firstLineChars="0"/>
            <w:jc w:val="center"/>
          </w:pPr>
        </w:p>
        <w:p w14:paraId="31F56E9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color w:val="auto"/>
              <w:sz w:val="32"/>
              <w:szCs w:val="32"/>
              <w:highlight w:val="none"/>
            </w:rPr>
          </w:pPr>
          <w:r>
            <w:fldChar w:fldCharType="begin"/>
          </w:r>
          <w:r>
            <w:instrText xml:space="preserve">TOC \o "1-2" \h \u </w:instrText>
          </w:r>
          <w:r>
            <w:fldChar w:fldCharType="separate"/>
          </w: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HYPERLINK \l _Toc28188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第一部分</w:t>
          </w:r>
          <w:r>
            <w:rPr>
              <w:rFonts w:hint="eastAsia" w:ascii="Times New Roman" w:hAnsi="Times New Roman" w:eastAsia="仿宋_GB2312" w:cs="仿宋_GB2312"/>
              <w:b/>
              <w:bCs/>
              <w:color w:val="auto"/>
              <w:sz w:val="32"/>
              <w:szCs w:val="32"/>
              <w:highlight w:val="none"/>
              <w:lang w:val="en-US" w:eastAsia="zh-CN"/>
            </w:rPr>
            <w:t xml:space="preserve"> </w:t>
          </w:r>
          <w:r>
            <w:rPr>
              <w:rFonts w:hint="eastAsia" w:ascii="Times New Roman" w:hAnsi="Times New Roman" w:eastAsia="仿宋_GB2312" w:cs="仿宋_GB2312"/>
              <w:b/>
              <w:bCs/>
              <w:color w:val="auto"/>
              <w:sz w:val="32"/>
              <w:szCs w:val="32"/>
              <w:highlight w:val="none"/>
            </w:rPr>
            <w:t xml:space="preserve"> 部门概况</w:t>
          </w:r>
          <w:r>
            <w:rPr>
              <w:rFonts w:hint="eastAsia" w:ascii="Times New Roman" w:hAnsi="Times New Roman" w:eastAsia="仿宋_GB2312" w:cs="仿宋_GB2312"/>
              <w:b/>
              <w:bCs/>
              <w:color w:val="auto"/>
              <w:sz w:val="32"/>
              <w:szCs w:val="32"/>
              <w:highlight w:val="none"/>
            </w:rPr>
            <w:tab/>
          </w: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PAGEREF _Toc28188 \h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1</w:t>
          </w:r>
          <w:r>
            <w:rPr>
              <w:rFonts w:hint="eastAsia" w:ascii="Times New Roman" w:hAnsi="Times New Roman" w:eastAsia="仿宋_GB2312" w:cs="仿宋_GB2312"/>
              <w:b/>
              <w:bCs/>
              <w:color w:val="auto"/>
              <w:sz w:val="32"/>
              <w:szCs w:val="32"/>
              <w:highlight w:val="none"/>
            </w:rPr>
            <w:fldChar w:fldCharType="end"/>
          </w:r>
          <w:r>
            <w:rPr>
              <w:rFonts w:hint="eastAsia" w:ascii="Times New Roman" w:hAnsi="Times New Roman" w:eastAsia="仿宋_GB2312" w:cs="仿宋_GB2312"/>
              <w:b/>
              <w:bCs/>
              <w:color w:val="auto"/>
              <w:sz w:val="32"/>
              <w:szCs w:val="32"/>
              <w:highlight w:val="none"/>
            </w:rPr>
            <w:fldChar w:fldCharType="end"/>
          </w:r>
        </w:p>
        <w:p w14:paraId="48A7E20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_Toc348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_Toc348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B9F095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_Toc18535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_Toc18535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07189A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HYPERLINK \l _Toc6416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第二部分</w:t>
          </w:r>
          <w:r>
            <w:rPr>
              <w:rFonts w:hint="eastAsia" w:ascii="Times New Roman" w:hAnsi="Times New Roman" w:eastAsia="仿宋_GB2312" w:cs="仿宋_GB2312"/>
              <w:b/>
              <w:bCs/>
              <w:color w:val="auto"/>
              <w:sz w:val="32"/>
              <w:szCs w:val="32"/>
              <w:highlight w:val="none"/>
              <w:lang w:val="en-US" w:eastAsia="zh-CN"/>
            </w:rPr>
            <w:t xml:space="preserve"> </w:t>
          </w:r>
          <w:r>
            <w:rPr>
              <w:rFonts w:hint="eastAsia" w:ascii="Times New Roman" w:hAnsi="Times New Roman" w:eastAsia="仿宋_GB2312" w:cs="仿宋_GB2312"/>
              <w:b/>
              <w:bCs/>
              <w:color w:val="auto"/>
              <w:sz w:val="32"/>
              <w:szCs w:val="32"/>
              <w:highlight w:val="none"/>
            </w:rPr>
            <w:t xml:space="preserve"> </w:t>
          </w:r>
          <w:r>
            <w:rPr>
              <w:rFonts w:hint="eastAsia" w:ascii="Times New Roman" w:hAnsi="Times New Roman" w:eastAsia="仿宋_GB2312" w:cs="仿宋_GB2312"/>
              <w:b/>
              <w:bCs/>
              <w:color w:val="auto"/>
              <w:sz w:val="32"/>
              <w:szCs w:val="32"/>
              <w:highlight w:val="none"/>
              <w:lang w:val="en-US" w:eastAsia="zh-CN"/>
            </w:rPr>
            <w:t>2024年度</w:t>
          </w:r>
          <w:r>
            <w:rPr>
              <w:rFonts w:hint="eastAsia" w:ascii="Times New Roman" w:hAnsi="Times New Roman" w:eastAsia="仿宋_GB2312" w:cs="仿宋_GB2312"/>
              <w:b/>
              <w:bCs/>
              <w:color w:val="auto"/>
              <w:sz w:val="32"/>
              <w:szCs w:val="32"/>
              <w:highlight w:val="none"/>
            </w:rPr>
            <w:t>部门决算情况说明</w:t>
          </w:r>
          <w:r>
            <w:rPr>
              <w:rFonts w:hint="eastAsia" w:ascii="Times New Roman" w:hAnsi="Times New Roman" w:eastAsia="仿宋_GB2312" w:cs="仿宋_GB2312"/>
              <w:b/>
              <w:bCs/>
              <w:color w:val="auto"/>
              <w:sz w:val="32"/>
              <w:szCs w:val="32"/>
              <w:highlight w:val="none"/>
            </w:rPr>
            <w:tab/>
          </w: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PAGEREF _Toc6416 \h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3</w:t>
          </w:r>
          <w:r>
            <w:rPr>
              <w:rFonts w:hint="eastAsia" w:ascii="Times New Roman" w:hAnsi="Times New Roman" w:eastAsia="仿宋_GB2312" w:cs="仿宋_GB2312"/>
              <w:b/>
              <w:bCs/>
              <w:color w:val="auto"/>
              <w:sz w:val="32"/>
              <w:szCs w:val="32"/>
              <w:highlight w:val="none"/>
            </w:rPr>
            <w:fldChar w:fldCharType="end"/>
          </w:r>
          <w:r>
            <w:rPr>
              <w:rFonts w:hint="eastAsia" w:ascii="Times New Roman" w:hAnsi="Times New Roman" w:eastAsia="仿宋_GB2312" w:cs="仿宋_GB2312"/>
              <w:b/>
              <w:bCs/>
              <w:color w:val="auto"/>
              <w:sz w:val="32"/>
              <w:szCs w:val="32"/>
              <w:highlight w:val="none"/>
            </w:rPr>
            <w:fldChar w:fldCharType="end"/>
          </w:r>
        </w:p>
        <w:p w14:paraId="7C77E4D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_Toc32036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color w:val="auto"/>
              <w:sz w:val="32"/>
              <w:szCs w:val="32"/>
              <w:highlight w:val="none"/>
            </w:rPr>
            <w:t>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_Toc32036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A2B430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_Toc21853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二、收入决算情况说明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_Toc21853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EE669B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_Toc7810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_Toc7810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4</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A631B6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_Toc7375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_Toc7375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4</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8FF7E5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_Toc26249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_Toc26249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E58E14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_Toc12201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_Toc12201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BC713B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_Toc9595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七、财政拨款“三公”经费支出决算情况说明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_Toc9595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9</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112712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_Toc2743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_Toc2743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4A119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_Toc2842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九、</w:t>
          </w:r>
          <w:r>
            <w:rPr>
              <w:rFonts w:hint="eastAsia" w:ascii="Times New Roman" w:hAnsi="Times New Roman" w:eastAsia="仿宋_GB2312" w:cs="仿宋_GB2312"/>
              <w:color w:val="auto"/>
              <w:sz w:val="32"/>
              <w:szCs w:val="32"/>
              <w:highlight w:val="none"/>
            </w:rPr>
            <w:t>国有资本经营预算支出决算情况说明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_Toc2842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87A55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_Toc11549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_Toc11549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3B88243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HYPERLINK \l _Toc828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第</w:t>
          </w:r>
          <w:r>
            <w:rPr>
              <w:rFonts w:hint="eastAsia" w:ascii="Times New Roman" w:hAnsi="Times New Roman" w:eastAsia="仿宋_GB2312" w:cs="仿宋_GB2312"/>
              <w:b/>
              <w:bCs/>
              <w:color w:val="auto"/>
              <w:sz w:val="32"/>
              <w:szCs w:val="32"/>
              <w:highlight w:val="none"/>
              <w:lang w:eastAsia="zh-CN"/>
            </w:rPr>
            <w:t>三</w:t>
          </w:r>
          <w:r>
            <w:rPr>
              <w:rFonts w:hint="eastAsia" w:ascii="Times New Roman" w:hAnsi="Times New Roman" w:eastAsia="仿宋_GB2312" w:cs="仿宋_GB2312"/>
              <w:b/>
              <w:bCs/>
              <w:color w:val="auto"/>
              <w:sz w:val="32"/>
              <w:szCs w:val="32"/>
              <w:highlight w:val="none"/>
            </w:rPr>
            <w:t>部分</w:t>
          </w:r>
          <w:r>
            <w:rPr>
              <w:rFonts w:hint="eastAsia" w:ascii="Times New Roman" w:hAnsi="Times New Roman" w:eastAsia="仿宋_GB2312" w:cs="仿宋_GB2312"/>
              <w:b/>
              <w:bCs/>
              <w:color w:val="auto"/>
              <w:sz w:val="32"/>
              <w:szCs w:val="32"/>
              <w:highlight w:val="none"/>
              <w:lang w:val="en-US" w:eastAsia="zh-CN"/>
            </w:rPr>
            <w:t xml:space="preserve">  </w:t>
          </w:r>
          <w:r>
            <w:rPr>
              <w:rFonts w:hint="eastAsia" w:ascii="Times New Roman" w:hAnsi="Times New Roman" w:eastAsia="仿宋_GB2312" w:cs="仿宋_GB2312"/>
              <w:b/>
              <w:bCs/>
              <w:color w:val="auto"/>
              <w:sz w:val="32"/>
              <w:szCs w:val="32"/>
              <w:highlight w:val="none"/>
            </w:rPr>
            <w:t>名词解释</w:t>
          </w:r>
          <w:r>
            <w:rPr>
              <w:rFonts w:hint="eastAsia" w:ascii="Times New Roman" w:hAnsi="Times New Roman" w:eastAsia="仿宋_GB2312" w:cs="仿宋_GB2312"/>
              <w:b/>
              <w:bCs/>
              <w:color w:val="auto"/>
              <w:sz w:val="32"/>
              <w:szCs w:val="32"/>
              <w:highlight w:val="none"/>
            </w:rPr>
            <w:tab/>
          </w: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PAGEREF _Toc828 \h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13</w:t>
          </w:r>
          <w:r>
            <w:rPr>
              <w:rFonts w:hint="eastAsia" w:ascii="Times New Roman" w:hAnsi="Times New Roman" w:eastAsia="仿宋_GB2312" w:cs="仿宋_GB2312"/>
              <w:b/>
              <w:bCs/>
              <w:color w:val="auto"/>
              <w:sz w:val="32"/>
              <w:szCs w:val="32"/>
              <w:highlight w:val="none"/>
            </w:rPr>
            <w:fldChar w:fldCharType="end"/>
          </w:r>
          <w:r>
            <w:rPr>
              <w:rFonts w:hint="eastAsia" w:ascii="Times New Roman" w:hAnsi="Times New Roman" w:eastAsia="仿宋_GB2312" w:cs="仿宋_GB2312"/>
              <w:b/>
              <w:bCs/>
              <w:color w:val="auto"/>
              <w:sz w:val="32"/>
              <w:szCs w:val="32"/>
              <w:highlight w:val="none"/>
            </w:rPr>
            <w:fldChar w:fldCharType="end"/>
          </w:r>
        </w:p>
        <w:p w14:paraId="5F23F99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HYPERLINK \l _Toc24508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第四部分</w:t>
          </w:r>
          <w:r>
            <w:rPr>
              <w:rFonts w:hint="eastAsia" w:ascii="Times New Roman" w:hAnsi="Times New Roman" w:eastAsia="仿宋_GB2312" w:cs="仿宋_GB2312"/>
              <w:b/>
              <w:bCs/>
              <w:color w:val="auto"/>
              <w:sz w:val="32"/>
              <w:szCs w:val="32"/>
              <w:highlight w:val="none"/>
              <w:lang w:val="en-US" w:eastAsia="zh-CN"/>
            </w:rPr>
            <w:t xml:space="preserve"> </w:t>
          </w:r>
          <w:r>
            <w:rPr>
              <w:rFonts w:hint="eastAsia" w:ascii="Times New Roman" w:hAnsi="Times New Roman" w:eastAsia="仿宋_GB2312" w:cs="仿宋_GB2312"/>
              <w:b/>
              <w:bCs/>
              <w:color w:val="auto"/>
              <w:sz w:val="32"/>
              <w:szCs w:val="32"/>
              <w:highlight w:val="none"/>
            </w:rPr>
            <w:t xml:space="preserve"> 附件</w:t>
          </w:r>
          <w:r>
            <w:rPr>
              <w:rFonts w:hint="eastAsia" w:ascii="Times New Roman" w:hAnsi="Times New Roman" w:eastAsia="仿宋_GB2312" w:cs="仿宋_GB2312"/>
              <w:b/>
              <w:bCs/>
              <w:color w:val="auto"/>
              <w:sz w:val="32"/>
              <w:szCs w:val="32"/>
              <w:highlight w:val="none"/>
            </w:rPr>
            <w:tab/>
          </w: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PAGEREF _Toc24508 \h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17</w:t>
          </w:r>
          <w:r>
            <w:rPr>
              <w:rFonts w:hint="eastAsia" w:ascii="Times New Roman" w:hAnsi="Times New Roman" w:eastAsia="仿宋_GB2312" w:cs="仿宋_GB2312"/>
              <w:b/>
              <w:bCs/>
              <w:color w:val="auto"/>
              <w:sz w:val="32"/>
              <w:szCs w:val="32"/>
              <w:highlight w:val="none"/>
            </w:rPr>
            <w:fldChar w:fldCharType="end"/>
          </w:r>
          <w:r>
            <w:rPr>
              <w:rFonts w:hint="eastAsia" w:ascii="Times New Roman" w:hAnsi="Times New Roman" w:eastAsia="仿宋_GB2312" w:cs="仿宋_GB2312"/>
              <w:b/>
              <w:bCs/>
              <w:color w:val="auto"/>
              <w:sz w:val="32"/>
              <w:szCs w:val="32"/>
              <w:highlight w:val="none"/>
            </w:rPr>
            <w:fldChar w:fldCharType="end"/>
          </w:r>
        </w:p>
        <w:p w14:paraId="50518D7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pP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HYPERLINK \l _Toc26651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第五部分 附表</w:t>
          </w:r>
          <w:r>
            <w:rPr>
              <w:rFonts w:hint="eastAsia" w:ascii="Times New Roman" w:hAnsi="Times New Roman" w:eastAsia="仿宋_GB2312" w:cs="仿宋_GB2312"/>
              <w:b/>
              <w:bCs/>
              <w:color w:val="auto"/>
              <w:sz w:val="32"/>
              <w:szCs w:val="32"/>
              <w:highlight w:val="none"/>
            </w:rPr>
            <w:tab/>
          </w:r>
          <w:r>
            <w:rPr>
              <w:rFonts w:hint="eastAsia" w:ascii="Times New Roman" w:hAnsi="Times New Roman" w:eastAsia="仿宋_GB2312" w:cs="仿宋_GB2312"/>
              <w:b/>
              <w:bCs/>
              <w:color w:val="auto"/>
              <w:sz w:val="32"/>
              <w:szCs w:val="32"/>
              <w:highlight w:val="none"/>
            </w:rPr>
            <w:fldChar w:fldCharType="begin"/>
          </w:r>
          <w:r>
            <w:rPr>
              <w:rFonts w:hint="eastAsia" w:ascii="Times New Roman" w:hAnsi="Times New Roman" w:eastAsia="仿宋_GB2312" w:cs="仿宋_GB2312"/>
              <w:b/>
              <w:bCs/>
              <w:color w:val="auto"/>
              <w:sz w:val="32"/>
              <w:szCs w:val="32"/>
              <w:highlight w:val="none"/>
            </w:rPr>
            <w:instrText xml:space="preserve"> PAGEREF _Toc26651 \h </w:instrText>
          </w:r>
          <w:r>
            <w:rPr>
              <w:rFonts w:hint="eastAsia" w:ascii="Times New Roman" w:hAnsi="Times New Roman" w:eastAsia="仿宋_GB2312" w:cs="仿宋_GB2312"/>
              <w:b/>
              <w:bCs/>
              <w:color w:val="auto"/>
              <w:sz w:val="32"/>
              <w:szCs w:val="32"/>
              <w:highlight w:val="none"/>
            </w:rPr>
            <w:fldChar w:fldCharType="separate"/>
          </w:r>
          <w:r>
            <w:rPr>
              <w:rFonts w:hint="eastAsia" w:ascii="Times New Roman" w:hAnsi="Times New Roman" w:eastAsia="仿宋_GB2312" w:cs="仿宋_GB2312"/>
              <w:b/>
              <w:bCs/>
              <w:color w:val="auto"/>
              <w:sz w:val="32"/>
              <w:szCs w:val="32"/>
              <w:highlight w:val="none"/>
            </w:rPr>
            <w:t>18</w:t>
          </w:r>
          <w:r>
            <w:rPr>
              <w:rFonts w:hint="eastAsia" w:ascii="Times New Roman" w:hAnsi="Times New Roman" w:eastAsia="仿宋_GB2312" w:cs="仿宋_GB2312"/>
              <w:b/>
              <w:bCs/>
              <w:color w:val="auto"/>
              <w:sz w:val="32"/>
              <w:szCs w:val="32"/>
              <w:highlight w:val="none"/>
            </w:rPr>
            <w:fldChar w:fldCharType="end"/>
          </w:r>
          <w:r>
            <w:rPr>
              <w:rFonts w:hint="eastAsia" w:ascii="Times New Roman" w:hAnsi="Times New Roman" w:eastAsia="仿宋_GB2312" w:cs="仿宋_GB2312"/>
              <w:b/>
              <w:bCs/>
              <w:color w:val="auto"/>
              <w:sz w:val="32"/>
              <w:szCs w:val="32"/>
              <w:highlight w:val="none"/>
            </w:rPr>
            <w:fldChar w:fldCharType="end"/>
          </w:r>
        </w:p>
        <w:p w14:paraId="7AF362CC">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fldChar w:fldCharType="end"/>
          </w:r>
        </w:p>
      </w:sdtContent>
    </w:sdt>
    <w:p w14:paraId="463D3B3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BF0DF5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2FE5CC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27A7CCA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129AD6C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362F77A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6C36EC9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788653D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14F24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42231DE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2295AE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2B6A017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B7C8D5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0E447D44">
      <w:pPr>
        <w:pStyle w:val="2"/>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10" w:name="_Toc28188"/>
      <w:bookmarkStart w:id="11" w:name="_Toc15396599"/>
      <w:bookmarkStart w:id="12" w:name="_Toc15377196"/>
    </w:p>
    <w:p w14:paraId="627F24A1">
      <w:pPr>
        <w:pStyle w:val="2"/>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0"/>
      <w:bookmarkEnd w:id="11"/>
      <w:bookmarkEnd w:id="12"/>
    </w:p>
    <w:p w14:paraId="7A3CF105">
      <w:pPr>
        <w:widowControl/>
        <w:jc w:val="left"/>
        <w:rPr>
          <w:rFonts w:ascii="Times New Roman" w:hAnsi="Times New Roman" w:eastAsia="黑体"/>
          <w:color w:val="auto"/>
          <w:sz w:val="32"/>
          <w:szCs w:val="32"/>
          <w:highlight w:val="none"/>
        </w:rPr>
      </w:pPr>
    </w:p>
    <w:p w14:paraId="622B9F4A">
      <w:pPr>
        <w:pStyle w:val="3"/>
        <w:rPr>
          <w:rFonts w:hint="eastAsia" w:ascii="Times New Roman" w:hAnsi="Times New Roman" w:eastAsia="黑体"/>
          <w:b w:val="0"/>
          <w:color w:val="auto"/>
          <w:highlight w:val="none"/>
          <w:lang w:eastAsia="zh-CN"/>
        </w:rPr>
      </w:pPr>
      <w:bookmarkStart w:id="13" w:name="_Toc15396600"/>
      <w:bookmarkStart w:id="14" w:name="_Toc15377197"/>
      <w:bookmarkStart w:id="15" w:name="_Toc348"/>
      <w:r>
        <w:rPr>
          <w:rFonts w:hint="eastAsia" w:ascii="Times New Roman" w:hAnsi="Times New Roman" w:eastAsia="黑体"/>
          <w:b w:val="0"/>
          <w:color w:val="auto"/>
          <w:highlight w:val="none"/>
        </w:rPr>
        <w:t>一、</w:t>
      </w:r>
      <w:bookmarkEnd w:id="13"/>
      <w:bookmarkEnd w:id="14"/>
      <w:r>
        <w:rPr>
          <w:rFonts w:hint="eastAsia" w:ascii="Times New Roman" w:hAnsi="Times New Roman" w:eastAsia="黑体"/>
          <w:b w:val="0"/>
          <w:color w:val="auto"/>
          <w:highlight w:val="none"/>
          <w:lang w:eastAsia="zh-CN"/>
        </w:rPr>
        <w:t>部门职责</w:t>
      </w:r>
      <w:bookmarkEnd w:id="15"/>
    </w:p>
    <w:p w14:paraId="5FC54312">
      <w:pPr>
        <w:widowControl/>
        <w:ind w:firstLine="640" w:firstLineChars="200"/>
        <w:jc w:val="left"/>
        <w:rPr>
          <w:rFonts w:hint="eastAsia" w:ascii="仿宋" w:hAnsi="仿宋" w:eastAsia="仿宋" w:cs="Times New Roman"/>
          <w:color w:val="000000"/>
          <w:sz w:val="32"/>
          <w:szCs w:val="32"/>
        </w:rPr>
      </w:pPr>
      <w:bookmarkStart w:id="16" w:name="_Toc15377200"/>
      <w:bookmarkStart w:id="17" w:name="_Toc15396601"/>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贯彻执行就业再就业方针政策和法律法规，认真做好就业再就业工作。</w:t>
      </w:r>
    </w:p>
    <w:p w14:paraId="6F0C4C85">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根据全区城镇失业人员、下岗人员及农村劳动力等人力资源和企事业单位用工需求情况，制定并组织实施全区劳动就业工作年度计划和长远规划。</w:t>
      </w:r>
    </w:p>
    <w:p w14:paraId="01CA75A5">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负责人力资源市场建设管理工作；开展劳务交流、劳动就业政策咨询、宣传和就业指导工作；指导、管理全区基层劳动保障所和职业介绍机构落实就业再就业政策工作。</w:t>
      </w:r>
    </w:p>
    <w:p w14:paraId="6D2D199B">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负责制订就业培训计划，监督管理城镇失业人员、下岗失业人员等就业困难人员和农村劳动力职业技能等培训工作。</w:t>
      </w:r>
    </w:p>
    <w:p w14:paraId="095D25F7">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认真做好职业资格证书制度推行工作。负责组织初级职业技能考核鉴定工作和中、高级职业技能鉴定的申报工作。</w:t>
      </w:r>
    </w:p>
    <w:p w14:paraId="797B5ADE">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6</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负责失业保险金申领审核及档案托管工作；指导和管理就业证、失业证、外出务工卡、再就业优惠证的办理工作。</w:t>
      </w:r>
    </w:p>
    <w:p w14:paraId="43FBFCC3">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负责办理小额担保贷款初审和社保补贴、公益性岗位认定及补贴、职业介绍补贴、培训补贴的审核及就业再就业政策的落实工作。</w:t>
      </w:r>
    </w:p>
    <w:p w14:paraId="6562824E">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负责对享受就业再就业优惠政策企业的认定及相关管理工作。</w:t>
      </w:r>
    </w:p>
    <w:p w14:paraId="2179C10A">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负责全区就业再就业统计工作。</w:t>
      </w:r>
    </w:p>
    <w:p w14:paraId="171395E6">
      <w:pPr>
        <w:widowControl/>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10</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完成领导交办的其他工作任务。</w:t>
      </w:r>
    </w:p>
    <w:p w14:paraId="19A5F43B">
      <w:pPr>
        <w:pStyle w:val="3"/>
        <w:rPr>
          <w:rStyle w:val="30"/>
          <w:rFonts w:ascii="Times New Roman" w:hAnsi="Times New Roman"/>
          <w:b w:val="0"/>
          <w:bCs w:val="0"/>
          <w:color w:val="auto"/>
          <w:highlight w:val="none"/>
        </w:rPr>
      </w:pPr>
      <w:bookmarkStart w:id="18" w:name="_Toc18535"/>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bookmarkEnd w:id="18"/>
    </w:p>
    <w:p w14:paraId="134DF6E3">
      <w:pPr>
        <w:widowControl/>
        <w:ind w:firstLine="640" w:firstLineChars="200"/>
        <w:jc w:val="left"/>
        <w:rPr>
          <w:rFonts w:ascii="Times New Roman" w:hAnsi="Times New Roman" w:eastAsia="仿宋"/>
          <w:color w:val="auto"/>
          <w:kern w:val="0"/>
          <w:sz w:val="32"/>
          <w:szCs w:val="32"/>
          <w:highlight w:val="none"/>
        </w:rPr>
      </w:pPr>
      <w:r>
        <w:rPr>
          <w:rFonts w:hint="eastAsia" w:ascii="仿宋" w:hAnsi="仿宋" w:eastAsia="仿宋"/>
          <w:color w:val="000000"/>
          <w:sz w:val="32"/>
          <w:szCs w:val="32"/>
        </w:rPr>
        <w:t>阿坝州松潘县就业局</w:t>
      </w:r>
      <w:r>
        <w:rPr>
          <w:rFonts w:ascii="仿宋" w:hAnsi="仿宋" w:eastAsia="仿宋"/>
          <w:color w:val="000000"/>
          <w:sz w:val="32"/>
          <w:szCs w:val="32"/>
        </w:rPr>
        <w:t>成立于1986年，</w:t>
      </w:r>
      <w:r>
        <w:rPr>
          <w:rFonts w:hint="eastAsia" w:ascii="仿宋" w:hAnsi="仿宋" w:eastAsia="仿宋"/>
          <w:color w:val="000000"/>
          <w:sz w:val="32"/>
          <w:szCs w:val="32"/>
          <w:lang w:eastAsia="zh-CN"/>
        </w:rPr>
        <w:t>属于</w:t>
      </w:r>
      <w:r>
        <w:rPr>
          <w:rFonts w:ascii="仿宋" w:hAnsi="仿宋" w:eastAsia="仿宋"/>
          <w:color w:val="000000"/>
          <w:sz w:val="32"/>
          <w:szCs w:val="32"/>
        </w:rPr>
        <w:t>参照公务员法管理的事业单位，现有人员</w:t>
      </w:r>
      <w:r>
        <w:rPr>
          <w:rFonts w:hint="eastAsia" w:ascii="仿宋" w:hAnsi="仿宋" w:eastAsia="仿宋"/>
          <w:color w:val="000000"/>
          <w:sz w:val="32"/>
          <w:szCs w:val="32"/>
          <w:lang w:val="en-US" w:eastAsia="zh-CN"/>
        </w:rPr>
        <w:t>11</w:t>
      </w:r>
      <w:r>
        <w:rPr>
          <w:rFonts w:ascii="仿宋" w:hAnsi="仿宋" w:eastAsia="仿宋"/>
          <w:color w:val="000000"/>
          <w:sz w:val="32"/>
          <w:szCs w:val="32"/>
        </w:rPr>
        <w:t>人，其中在职</w:t>
      </w:r>
      <w:r>
        <w:rPr>
          <w:rFonts w:hint="eastAsia" w:ascii="仿宋" w:hAnsi="仿宋" w:eastAsia="仿宋"/>
          <w:color w:val="000000"/>
          <w:sz w:val="32"/>
          <w:szCs w:val="32"/>
          <w:lang w:val="en-US" w:eastAsia="zh-CN"/>
        </w:rPr>
        <w:t>11</w:t>
      </w:r>
      <w:r>
        <w:rPr>
          <w:rFonts w:ascii="仿宋" w:hAnsi="仿宋" w:eastAsia="仿宋"/>
          <w:color w:val="000000"/>
          <w:sz w:val="32"/>
          <w:szCs w:val="32"/>
        </w:rPr>
        <w:t>人，退休2人。局内</w:t>
      </w:r>
      <w:r>
        <w:rPr>
          <w:rFonts w:hint="eastAsia" w:ascii="仿宋" w:hAnsi="仿宋" w:eastAsia="仿宋"/>
          <w:color w:val="000000"/>
          <w:sz w:val="32"/>
          <w:szCs w:val="32"/>
          <w:lang w:eastAsia="zh-CN"/>
        </w:rPr>
        <w:t>设有</w:t>
      </w:r>
      <w:r>
        <w:rPr>
          <w:rFonts w:ascii="仿宋" w:hAnsi="仿宋" w:eastAsia="仿宋"/>
          <w:color w:val="000000"/>
          <w:sz w:val="32"/>
          <w:szCs w:val="32"/>
        </w:rPr>
        <w:t>办公室、失业保险股、就业指导股、劳动就业服务企业管理股、培训股。</w:t>
      </w:r>
      <w:r>
        <w:rPr>
          <w:rFonts w:ascii="Times New Roman" w:hAnsi="Times New Roman" w:eastAsia="仿宋"/>
          <w:color w:val="auto"/>
          <w:sz w:val="32"/>
          <w:szCs w:val="32"/>
          <w:highlight w:val="none"/>
        </w:rPr>
        <w:br w:type="page"/>
      </w:r>
    </w:p>
    <w:p w14:paraId="6F6854B4">
      <w:pPr>
        <w:pStyle w:val="2"/>
        <w:jc w:val="center"/>
        <w:rPr>
          <w:rFonts w:hint="eastAsia" w:ascii="Times New Roman" w:hAnsi="Times New Roman" w:eastAsia="方正小标宋简体" w:cs="方正小标宋简体"/>
          <w:b w:val="0"/>
          <w:color w:val="auto"/>
          <w:highlight w:val="none"/>
        </w:rPr>
      </w:pPr>
      <w:bookmarkStart w:id="19" w:name="_Toc15396602"/>
      <w:bookmarkStart w:id="20" w:name="_Toc15377204"/>
      <w:bookmarkStart w:id="21" w:name="_Toc6416"/>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bookmarkEnd w:id="21"/>
    </w:p>
    <w:p w14:paraId="5F62E21A">
      <w:pPr>
        <w:rPr>
          <w:rFonts w:ascii="Times New Roman" w:hAnsi="Times New Roman"/>
          <w:color w:val="auto"/>
          <w:highlight w:val="none"/>
        </w:rPr>
      </w:pPr>
    </w:p>
    <w:p w14:paraId="4224A62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3"/>
      <w:bookmarkStart w:id="23" w:name="_Toc32036"/>
      <w:bookmarkStart w:id="2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2"/>
      <w:bookmarkEnd w:id="23"/>
      <w:bookmarkEnd w:id="24"/>
    </w:p>
    <w:p w14:paraId="2577892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 w:eastAsia="仿宋_GB2312" w:cs="Times New Roman"/>
          <w:kern w:val="2"/>
          <w:sz w:val="32"/>
          <w:szCs w:val="32"/>
          <w:highlight w:val="none"/>
          <w:lang w:val="en-US" w:eastAsia="zh-CN" w:bidi="ar-SA"/>
        </w:rPr>
      </w:pPr>
      <w:bookmarkStart w:id="25" w:name="_Toc14445"/>
      <w:bookmarkStart w:id="26" w:name="_Toc29103"/>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为</w:t>
      </w:r>
      <w:r>
        <w:rPr>
          <w:rFonts w:hint="eastAsia" w:ascii="仿宋_GB2312" w:hAnsi="仿宋_GB2312" w:eastAsia="仿宋_GB2312" w:cs="仿宋_GB2312"/>
          <w:sz w:val="32"/>
          <w:szCs w:val="32"/>
        </w:rPr>
        <w:t>966.98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为976.98</w:t>
      </w:r>
      <w:r>
        <w:rPr>
          <w:rFonts w:hint="eastAsia" w:ascii="Times New Roman" w:hAnsi="Times New Roman"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仿宋_GB2312" w:hAnsi="仿宋" w:eastAsia="仿宋_GB2312" w:cs="Times New Roman"/>
          <w:kern w:val="2"/>
          <w:sz w:val="32"/>
          <w:szCs w:val="32"/>
          <w:highlight w:val="none"/>
          <w:lang w:val="en-US" w:eastAsia="zh-CN" w:bidi="ar-SA"/>
        </w:rPr>
        <w:t>减少31.97万元，减少3.2%，主要变动原因是今年收入较去年项目减少。支出减少32.14万元，减少3.18%，主要变动原因是今年收入较去年项目减少。</w:t>
      </w:r>
      <w:bookmarkEnd w:id="25"/>
      <w:bookmarkEnd w:id="26"/>
    </w:p>
    <w:p w14:paraId="67A34D0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rPr>
      </w:pPr>
      <w:bookmarkStart w:id="27" w:name="_Toc21238"/>
      <w:bookmarkStart w:id="28" w:name="_Toc2168"/>
      <w:r>
        <w:drawing>
          <wp:anchor distT="0" distB="0" distL="114300" distR="114300" simplePos="0" relativeHeight="251660288" behindDoc="0" locked="0" layoutInCell="1" allowOverlap="1">
            <wp:simplePos x="0" y="0"/>
            <wp:positionH relativeFrom="column">
              <wp:posOffset>332740</wp:posOffset>
            </wp:positionH>
            <wp:positionV relativeFrom="paragraph">
              <wp:posOffset>225425</wp:posOffset>
            </wp:positionV>
            <wp:extent cx="4824730" cy="2853055"/>
            <wp:effectExtent l="4445" t="4445" r="17145" b="7620"/>
            <wp:wrapTopAndBottom/>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bookmarkEnd w:id="27"/>
      <w:bookmarkEnd w:id="28"/>
    </w:p>
    <w:p w14:paraId="365CCC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2E11E0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9" w:name="_Toc21853"/>
      <w:bookmarkStart w:id="30" w:name="_Toc15396604"/>
      <w:bookmarkStart w:id="31" w:name="_Toc15377206"/>
      <w:r>
        <w:rPr>
          <w:rFonts w:hint="eastAsia" w:ascii="Times New Roman" w:hAnsi="Times New Roman" w:eastAsia="黑体"/>
          <w:color w:val="auto"/>
          <w:sz w:val="32"/>
          <w:szCs w:val="32"/>
          <w:highlight w:val="none"/>
          <w:lang w:eastAsia="zh-CN"/>
        </w:rPr>
        <w:t>二、收入决算情况说明</w:t>
      </w:r>
      <w:bookmarkEnd w:id="29"/>
      <w:bookmarkEnd w:id="30"/>
      <w:bookmarkEnd w:id="31"/>
    </w:p>
    <w:p w14:paraId="745219E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32" w:name="_Toc29325"/>
      <w:bookmarkStart w:id="33" w:name="_Toc14688"/>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966.98万元，其中：一般公共预算财政拨款收入966.98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32"/>
      <w:bookmarkEnd w:id="33"/>
    </w:p>
    <w:p w14:paraId="65378D6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40FB4AF">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261235"/>
            <wp:effectExtent l="4445" t="4445" r="15875" b="5080"/>
            <wp:docPr id="205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Times New Roman" w:hAnsi="Times New Roman" w:eastAsia="仿宋_GB2312" w:cs="仿宋_GB2312"/>
          <w:color w:val="auto"/>
          <w:sz w:val="32"/>
          <w:szCs w:val="32"/>
          <w:highlight w:val="none"/>
          <w:lang w:eastAsia="zh-CN"/>
        </w:rPr>
        <w:t>（图2：收入决算结构图）（饼状图）</w:t>
      </w:r>
    </w:p>
    <w:p w14:paraId="240168F3">
      <w:pPr>
        <w:ind w:firstLine="800" w:firstLineChars="250"/>
        <w:rPr>
          <w:rFonts w:hint="eastAsia" w:ascii="Times New Roman" w:hAnsi="Times New Roman" w:eastAsia="仿宋_GB2312" w:cs="仿宋_GB2312"/>
          <w:color w:val="auto"/>
          <w:sz w:val="32"/>
          <w:szCs w:val="32"/>
          <w:highlight w:val="none"/>
          <w:lang w:eastAsia="zh-CN"/>
        </w:rPr>
      </w:pPr>
    </w:p>
    <w:p w14:paraId="27F8E7B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4" w:name="_Toc15377207"/>
      <w:bookmarkStart w:id="35" w:name="_Toc15396605"/>
      <w:bookmarkStart w:id="36" w:name="_Toc7810"/>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4"/>
      <w:bookmarkEnd w:id="35"/>
      <w:bookmarkEnd w:id="36"/>
    </w:p>
    <w:p w14:paraId="439340A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37" w:name="_Toc32266"/>
      <w:bookmarkStart w:id="38" w:name="_Toc13424"/>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976.98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225.93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751.05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76.87</w:t>
      </w:r>
      <w:r>
        <w:rPr>
          <w:rFonts w:hint="eastAsia" w:ascii="仿宋_GB2312" w:hAnsi="仿宋_GB2312" w:eastAsia="仿宋_GB2312" w:cs="仿宋_GB2312"/>
          <w:color w:val="auto"/>
          <w:sz w:val="32"/>
          <w:szCs w:val="32"/>
          <w:highlight w:val="none"/>
          <w:lang w:eastAsia="zh-CN"/>
        </w:rPr>
        <w:t>%。</w:t>
      </w:r>
      <w:bookmarkEnd w:id="37"/>
      <w:bookmarkEnd w:id="38"/>
    </w:p>
    <w:p w14:paraId="23E394B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1"/>
        <w:rPr>
          <w:rFonts w:hint="eastAsia" w:ascii="Times New Roman" w:hAnsi="Times New Roman" w:eastAsia="仿宋_GB2312" w:cs="仿宋_GB2312"/>
          <w:color w:val="auto"/>
          <w:sz w:val="32"/>
          <w:szCs w:val="32"/>
          <w:highlight w:val="none"/>
          <w:lang w:eastAsia="zh-CN"/>
        </w:rPr>
      </w:pPr>
      <w:bookmarkStart w:id="39" w:name="_Toc13336"/>
      <w:bookmarkStart w:id="40" w:name="_Toc11114"/>
      <w:r>
        <w:drawing>
          <wp:anchor distT="0" distB="0" distL="114300" distR="114300" simplePos="0" relativeHeight="251661312" behindDoc="0" locked="0" layoutInCell="1" allowOverlap="1">
            <wp:simplePos x="0" y="0"/>
            <wp:positionH relativeFrom="column">
              <wp:posOffset>378460</wp:posOffset>
            </wp:positionH>
            <wp:positionV relativeFrom="paragraph">
              <wp:posOffset>231775</wp:posOffset>
            </wp:positionV>
            <wp:extent cx="4825365" cy="2606675"/>
            <wp:effectExtent l="4445" t="4445" r="16510" b="10160"/>
            <wp:wrapTopAndBottom/>
            <wp:docPr id="307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bookmarkEnd w:id="39"/>
      <w:bookmarkEnd w:id="40"/>
    </w:p>
    <w:p w14:paraId="7C361EE5">
      <w:pPr>
        <w:ind w:firstLine="800" w:firstLineChars="250"/>
        <w:rPr>
          <w:rFonts w:hint="eastAsia" w:ascii="Times New Roman" w:hAnsi="Times New Roman" w:eastAsia="仿宋_GB2312" w:cs="仿宋_GB2312"/>
          <w:color w:val="auto"/>
          <w:sz w:val="32"/>
          <w:szCs w:val="32"/>
          <w:highlight w:val="none"/>
          <w:lang w:eastAsia="zh-CN"/>
        </w:rPr>
      </w:pPr>
    </w:p>
    <w:p w14:paraId="1D9FC4FA">
      <w:pPr>
        <w:spacing w:line="600" w:lineRule="exact"/>
        <w:ind w:firstLine="640" w:firstLineChars="200"/>
        <w:outlineLvl w:val="1"/>
        <w:rPr>
          <w:rStyle w:val="30"/>
          <w:rFonts w:ascii="Times New Roman" w:hAnsi="Times New Roman" w:eastAsia="黑体"/>
          <w:b w:val="0"/>
          <w:color w:val="auto"/>
          <w:highlight w:val="none"/>
        </w:rPr>
      </w:pPr>
      <w:bookmarkStart w:id="41" w:name="_Toc15396606"/>
      <w:bookmarkStart w:id="42" w:name="_Toc7375"/>
      <w:bookmarkStart w:id="43"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41"/>
      <w:bookmarkEnd w:id="42"/>
      <w:bookmarkEnd w:id="43"/>
    </w:p>
    <w:p w14:paraId="5EDDB89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 w:eastAsia="仿宋_GB2312" w:cs="Times New Roman"/>
          <w:kern w:val="2"/>
          <w:sz w:val="32"/>
          <w:szCs w:val="32"/>
          <w:highlight w:val="none"/>
          <w:lang w:val="en-US" w:eastAsia="zh-CN" w:bidi="ar-SA"/>
        </w:rPr>
      </w:pPr>
      <w:bookmarkStart w:id="44" w:name="_Toc32567"/>
      <w:bookmarkStart w:id="45" w:name="_Toc958"/>
      <w:r>
        <w:rPr>
          <w:rFonts w:hint="eastAsia" w:ascii="Times New Roman" w:hAnsi="Times New Roman" w:eastAsia="仿宋_GB2312" w:cs="仿宋_GB2312"/>
          <w:color w:val="auto"/>
          <w:kern w:val="2"/>
          <w:sz w:val="32"/>
          <w:szCs w:val="32"/>
          <w:highlight w:val="none"/>
          <w:lang w:val="en-US" w:eastAsia="zh-CN" w:bidi="ar-SA"/>
        </w:rPr>
        <w:t>2024年度财政拨款</w:t>
      </w:r>
      <w:r>
        <w:rPr>
          <w:rFonts w:hint="eastAsia" w:eastAsia="仿宋_GB2312" w:cs="仿宋_GB2312"/>
          <w:color w:val="auto"/>
          <w:kern w:val="2"/>
          <w:sz w:val="32"/>
          <w:szCs w:val="32"/>
          <w:highlight w:val="none"/>
          <w:lang w:val="en-US" w:eastAsia="zh-CN" w:bidi="ar-SA"/>
        </w:rPr>
        <w:t>收入</w:t>
      </w:r>
      <w:r>
        <w:rPr>
          <w:rFonts w:hint="eastAsia" w:ascii="仿宋_GB2312" w:hAnsi="仿宋_GB2312" w:eastAsia="仿宋_GB2312" w:cs="仿宋_GB2312"/>
          <w:sz w:val="32"/>
          <w:szCs w:val="32"/>
        </w:rPr>
        <w:t>966.98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w:t>
      </w:r>
      <w:r>
        <w:drawing>
          <wp:anchor distT="0" distB="0" distL="114300" distR="114300" simplePos="0" relativeHeight="251661312" behindDoc="0" locked="0" layoutInCell="1" allowOverlap="1">
            <wp:simplePos x="0" y="0"/>
            <wp:positionH relativeFrom="column">
              <wp:posOffset>526415</wp:posOffset>
            </wp:positionH>
            <wp:positionV relativeFrom="paragraph">
              <wp:posOffset>1541145</wp:posOffset>
            </wp:positionV>
            <wp:extent cx="4824730" cy="2853055"/>
            <wp:effectExtent l="4445" t="4445" r="17145" b="7620"/>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sz w:val="32"/>
          <w:szCs w:val="32"/>
          <w:highlight w:val="none"/>
        </w:rPr>
        <w:t>计</w:t>
      </w:r>
      <w:r>
        <w:rPr>
          <w:rFonts w:hint="eastAsia" w:ascii="Times New Roman" w:hAnsi="Times New Roman" w:eastAsia="仿宋_GB2312" w:cs="仿宋_GB2312"/>
          <w:color w:val="auto"/>
          <w:sz w:val="32"/>
          <w:szCs w:val="32"/>
          <w:highlight w:val="none"/>
          <w:lang w:eastAsia="zh-CN"/>
        </w:rPr>
        <w:t>为976.98</w:t>
      </w:r>
      <w:r>
        <w:rPr>
          <w:rFonts w:hint="eastAsia" w:ascii="Times New Roman" w:hAnsi="Times New Roman"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sz w:val="32"/>
          <w:szCs w:val="32"/>
          <w:highlight w:val="none"/>
          <w:lang w:eastAsia="zh-CN"/>
        </w:rPr>
        <w:t>收入</w:t>
      </w:r>
      <w:r>
        <w:rPr>
          <w:rFonts w:hint="eastAsia" w:ascii="仿宋_GB2312" w:hAnsi="仿宋" w:eastAsia="仿宋_GB2312" w:cs="Times New Roman"/>
          <w:kern w:val="2"/>
          <w:sz w:val="32"/>
          <w:szCs w:val="32"/>
          <w:highlight w:val="none"/>
          <w:lang w:val="en-US" w:eastAsia="zh-CN" w:bidi="ar-SA"/>
        </w:rPr>
        <w:t>减少31.97万元，减少3.2%，主要变动原因是今年收入较去年项目减少。</w:t>
      </w:r>
      <w:r>
        <w:rPr>
          <w:rFonts w:hint="eastAsia" w:ascii="Times New Roman" w:hAnsi="Times New Roman" w:eastAsia="仿宋_GB2312" w:cs="仿宋_GB2312"/>
          <w:color w:val="auto"/>
          <w:kern w:val="2"/>
          <w:sz w:val="32"/>
          <w:szCs w:val="32"/>
          <w:highlight w:val="none"/>
          <w:lang w:val="en-US" w:eastAsia="zh-CN" w:bidi="ar-SA"/>
        </w:rPr>
        <w:t>财政拨款</w:t>
      </w:r>
      <w:r>
        <w:rPr>
          <w:rFonts w:hint="eastAsia" w:ascii="仿宋_GB2312" w:hAnsi="仿宋" w:eastAsia="仿宋_GB2312" w:cs="Times New Roman"/>
          <w:kern w:val="2"/>
          <w:sz w:val="32"/>
          <w:szCs w:val="32"/>
          <w:highlight w:val="none"/>
          <w:lang w:val="en-US" w:eastAsia="zh-CN" w:bidi="ar-SA"/>
        </w:rPr>
        <w:t>支出减少32.14万元，减少3.18%，主要变动原因是今年收入较去年项目减少。</w:t>
      </w:r>
      <w:bookmarkEnd w:id="44"/>
      <w:bookmarkEnd w:id="45"/>
    </w:p>
    <w:p w14:paraId="621C102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95BE7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88F888">
      <w:pPr>
        <w:spacing w:line="600" w:lineRule="exact"/>
        <w:ind w:firstLine="640" w:firstLineChars="200"/>
        <w:outlineLvl w:val="1"/>
        <w:rPr>
          <w:rStyle w:val="30"/>
          <w:rFonts w:ascii="Times New Roman" w:hAnsi="Times New Roman" w:eastAsia="黑体"/>
          <w:b w:val="0"/>
          <w:color w:val="auto"/>
          <w:highlight w:val="none"/>
        </w:rPr>
      </w:pPr>
      <w:bookmarkStart w:id="46" w:name="_Toc15396607"/>
      <w:bookmarkStart w:id="47" w:name="_Toc15377209"/>
      <w:bookmarkStart w:id="48" w:name="_Toc2624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6"/>
      <w:bookmarkEnd w:id="47"/>
      <w:bookmarkEnd w:id="48"/>
    </w:p>
    <w:p w14:paraId="0CB9401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9"/>
    </w:p>
    <w:p w14:paraId="17327D1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 w:eastAsia="仿宋_GB2312" w:cs="Times New Roman"/>
          <w:kern w:val="2"/>
          <w:sz w:val="32"/>
          <w:szCs w:val="32"/>
          <w:highlight w:val="none"/>
          <w:lang w:val="en-US" w:eastAsia="zh-CN" w:bidi="ar-SA"/>
        </w:rPr>
      </w:pPr>
      <w:bookmarkStart w:id="50" w:name="_Toc26524"/>
      <w:bookmarkStart w:id="51" w:name="_Toc23699"/>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976.98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仿宋_GB2312" w:hAnsi="仿宋" w:eastAsia="仿宋_GB2312" w:cs="Times New Roman"/>
          <w:kern w:val="2"/>
          <w:sz w:val="32"/>
          <w:szCs w:val="32"/>
          <w:highlight w:val="none"/>
          <w:lang w:val="en-US" w:eastAsia="zh-CN" w:bidi="ar-SA"/>
        </w:rPr>
        <w:t>减少32.14万元，减少3.18%，主要变动原因是今年收入较去年项目减少。</w:t>
      </w:r>
      <w:bookmarkEnd w:id="50"/>
      <w:bookmarkEnd w:id="51"/>
    </w:p>
    <w:p w14:paraId="41688111">
      <w:pPr>
        <w:spacing w:line="600" w:lineRule="exact"/>
        <w:ind w:firstLine="640"/>
        <w:rPr>
          <w:rFonts w:hint="eastAsia" w:ascii="仿宋_GB2312" w:hAnsi="仿宋" w:eastAsia="仿宋_GB2312" w:cs="Times New Roman"/>
          <w:kern w:val="2"/>
          <w:sz w:val="32"/>
          <w:szCs w:val="32"/>
          <w:highlight w:val="none"/>
          <w:lang w:val="en-US" w:eastAsia="zh-CN" w:bidi="ar-SA"/>
        </w:rPr>
      </w:pPr>
    </w:p>
    <w:p w14:paraId="609623EB">
      <w:pPr>
        <w:spacing w:line="600" w:lineRule="exact"/>
        <w:ind w:firstLine="640"/>
        <w:rPr>
          <w:rFonts w:hint="eastAsia" w:ascii="仿宋_GB2312" w:hAnsi="仿宋" w:eastAsia="仿宋_GB2312" w:cs="Times New Roman"/>
          <w:kern w:val="2"/>
          <w:sz w:val="32"/>
          <w:szCs w:val="32"/>
          <w:highlight w:val="none"/>
          <w:lang w:val="en-US" w:eastAsia="zh-CN" w:bidi="ar-SA"/>
        </w:rPr>
      </w:pPr>
    </w:p>
    <w:p w14:paraId="2B1AD705">
      <w:pPr>
        <w:spacing w:line="600" w:lineRule="exact"/>
        <w:ind w:firstLine="640"/>
        <w:rPr>
          <w:rFonts w:hint="eastAsia" w:ascii="仿宋_GB2312" w:hAnsi="仿宋" w:eastAsia="仿宋_GB2312" w:cs="Times New Roman"/>
          <w:kern w:val="2"/>
          <w:sz w:val="32"/>
          <w:szCs w:val="32"/>
          <w:highlight w:val="none"/>
          <w:lang w:val="en-US" w:eastAsia="zh-CN" w:bidi="ar-SA"/>
        </w:rPr>
      </w:pPr>
    </w:p>
    <w:p w14:paraId="0355C9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563880</wp:posOffset>
            </wp:positionH>
            <wp:positionV relativeFrom="paragraph">
              <wp:posOffset>-226060</wp:posOffset>
            </wp:positionV>
            <wp:extent cx="3946525" cy="2054225"/>
            <wp:effectExtent l="4445" t="4445" r="11430" b="13970"/>
            <wp:wrapTopAndBottom/>
            <wp:docPr id="410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5A0DDA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CFF7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2"/>
    </w:p>
    <w:p w14:paraId="7520155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976.98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教育支出211.68万元，占</w:t>
      </w:r>
      <w:r>
        <w:rPr>
          <w:rFonts w:hint="eastAsia" w:eastAsia="仿宋_GB2312" w:cs="仿宋_GB2312"/>
          <w:color w:val="auto"/>
          <w:kern w:val="2"/>
          <w:sz w:val="32"/>
          <w:szCs w:val="32"/>
          <w:highlight w:val="none"/>
          <w:lang w:val="en-US" w:eastAsia="zh-CN" w:bidi="ar-SA"/>
        </w:rPr>
        <w:t>21.67</w:t>
      </w:r>
      <w:r>
        <w:rPr>
          <w:rFonts w:hint="eastAsia" w:ascii="Times New Roman" w:hAnsi="Times New Roman" w:eastAsia="仿宋_GB2312" w:cs="仿宋_GB2312"/>
          <w:color w:val="auto"/>
          <w:kern w:val="2"/>
          <w:sz w:val="32"/>
          <w:szCs w:val="32"/>
          <w:highlight w:val="none"/>
          <w:lang w:val="en-US" w:eastAsia="zh-CN" w:bidi="ar-SA"/>
        </w:rPr>
        <w:t>%；社会保障和就业支出735.37万元，占</w:t>
      </w:r>
      <w:r>
        <w:rPr>
          <w:rFonts w:hint="eastAsia" w:eastAsia="仿宋_GB2312" w:cs="仿宋_GB2312"/>
          <w:color w:val="auto"/>
          <w:kern w:val="2"/>
          <w:sz w:val="32"/>
          <w:szCs w:val="32"/>
          <w:highlight w:val="none"/>
          <w:lang w:val="en-US" w:eastAsia="zh-CN" w:bidi="ar-SA"/>
        </w:rPr>
        <w:t>75.27</w:t>
      </w:r>
      <w:r>
        <w:rPr>
          <w:rFonts w:hint="eastAsia" w:ascii="Times New Roman" w:hAnsi="Times New Roman" w:eastAsia="仿宋_GB2312" w:cs="仿宋_GB2312"/>
          <w:color w:val="auto"/>
          <w:kern w:val="2"/>
          <w:sz w:val="32"/>
          <w:szCs w:val="32"/>
          <w:highlight w:val="none"/>
          <w:lang w:val="en-US" w:eastAsia="zh-CN" w:bidi="ar-SA"/>
        </w:rPr>
        <w:t>%；卫生健康支出12.77万元，占</w:t>
      </w:r>
      <w:r>
        <w:rPr>
          <w:rFonts w:hint="eastAsia" w:eastAsia="仿宋_GB2312" w:cs="仿宋_GB2312"/>
          <w:color w:val="auto"/>
          <w:kern w:val="2"/>
          <w:sz w:val="32"/>
          <w:szCs w:val="32"/>
          <w:highlight w:val="none"/>
          <w:lang w:val="en-US" w:eastAsia="zh-CN" w:bidi="ar-SA"/>
        </w:rPr>
        <w:t>1.31</w:t>
      </w:r>
      <w:r>
        <w:rPr>
          <w:rFonts w:hint="eastAsia" w:ascii="Times New Roman" w:hAnsi="Times New Roman" w:eastAsia="仿宋_GB2312" w:cs="仿宋_GB2312"/>
          <w:color w:val="auto"/>
          <w:kern w:val="2"/>
          <w:sz w:val="32"/>
          <w:szCs w:val="32"/>
          <w:highlight w:val="none"/>
          <w:lang w:val="en-US" w:eastAsia="zh-CN" w:bidi="ar-SA"/>
        </w:rPr>
        <w:t>%；住房保障支出17.16万元，占</w:t>
      </w:r>
      <w:r>
        <w:rPr>
          <w:rFonts w:hint="eastAsia" w:eastAsia="仿宋_GB2312" w:cs="仿宋_GB2312"/>
          <w:color w:val="auto"/>
          <w:kern w:val="2"/>
          <w:sz w:val="32"/>
          <w:szCs w:val="32"/>
          <w:highlight w:val="none"/>
          <w:lang w:val="en-US" w:eastAsia="zh-CN" w:bidi="ar-SA"/>
        </w:rPr>
        <w:t>1.76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69E640E">
      <w:pPr>
        <w:pStyle w:val="14"/>
        <w:rPr>
          <w:rFonts w:hint="eastAsia"/>
          <w:lang w:val="en-US" w:eastAsia="zh-CN"/>
        </w:rPr>
      </w:pPr>
      <w:r>
        <w:drawing>
          <wp:inline distT="0" distB="0" distL="114300" distR="114300">
            <wp:extent cx="5269865" cy="2919095"/>
            <wp:effectExtent l="4445" t="4445" r="13970" b="17780"/>
            <wp:docPr id="51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C97E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050CD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3"/>
    </w:p>
    <w:p w14:paraId="7D49A2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4" w:name="_Toc15377444"/>
      <w:bookmarkStart w:id="55" w:name="_Toc15378460"/>
      <w:bookmarkStart w:id="5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976.98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4"/>
      <w:bookmarkEnd w:id="55"/>
      <w:bookmarkEnd w:id="56"/>
    </w:p>
    <w:p w14:paraId="3E433329">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sz w:val="32"/>
          <w:szCs w:val="32"/>
        </w:rPr>
        <w:t>1.</w:t>
      </w:r>
      <w:r>
        <w:rPr>
          <w:rStyle w:val="18"/>
          <w:rFonts w:hint="eastAsia" w:ascii="仿宋" w:hAnsi="仿宋" w:eastAsia="仿宋"/>
          <w:bCs/>
          <w:sz w:val="32"/>
          <w:szCs w:val="32"/>
        </w:rPr>
        <w:t>教育支出（类）普通教育（款）其他普通教育支出（项）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支出决算为32.02万元，完成预算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31C18F60">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教育支出（类）职业教育（款）其他职业教育支出（项）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支出决算为9.66万元，完成预算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65DEEC25">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教育支出（类）进修及培训（款）培训支出（项）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支出决算为170.00万元，完成预算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438385F6">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4.</w:t>
      </w:r>
      <w:r>
        <w:rPr>
          <w:rStyle w:val="18"/>
          <w:rFonts w:hint="eastAsia" w:ascii="仿宋" w:hAnsi="仿宋" w:eastAsia="仿宋"/>
          <w:bCs/>
          <w:sz w:val="32"/>
          <w:szCs w:val="32"/>
        </w:rPr>
        <w:t>社会保障和就业支出（类）人力资源和社会保障管理事务（款）就业管理事务（项）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支出决算为27.70万元，完成预算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7418FEFD">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5.</w:t>
      </w:r>
      <w:r>
        <w:rPr>
          <w:rStyle w:val="18"/>
          <w:rFonts w:hint="eastAsia" w:ascii="仿宋" w:hAnsi="仿宋" w:eastAsia="仿宋"/>
          <w:bCs/>
          <w:sz w:val="32"/>
          <w:szCs w:val="32"/>
        </w:rPr>
        <w:t>社会保障和就业支出（类）人力资源和社会保障管理事务（款）社会保险经办机构（项）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支出决算为159.02万元，完成预算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5129D024">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Style w:val="18"/>
          <w:rFonts w:hint="eastAsia" w:ascii="仿宋" w:hAnsi="仿宋" w:eastAsia="仿宋"/>
          <w:bCs/>
          <w:sz w:val="32"/>
          <w:szCs w:val="32"/>
        </w:rPr>
        <w:t>社会保障和就业支出（类）行政事业单位养老支出（款）机关事业单位基本养老保险缴费支出（项）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支出决算为20.78万元，完成预算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3AEADD25">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rPr>
        <w:t>社会保障和就业支出（类）行政事业单位养老支出（款）机关事业单位职业年金缴费支出（项）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支出决算为12.00万元，完成预算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26EEE8E9">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rPr>
        <w:t>社会保障和就业支出（类）就业补助（款）就业创业服务补贴（项）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支出决算为411.50万元，完成预算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549967FE">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Style w:val="18"/>
          <w:rFonts w:hint="eastAsia" w:ascii="仿宋" w:hAnsi="仿宋" w:eastAsia="仿宋"/>
          <w:bCs/>
          <w:sz w:val="32"/>
          <w:szCs w:val="32"/>
        </w:rPr>
        <w:t>社会保障和就业（类）就业补助（款）其他就业补助支出（项）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支出决算为104.37万元，完成预算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63BA0567">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10</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（类）行政事业单位医疗（款）行政单位医疗（项）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支出决算为7.86万元，完成预算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3B0077F9">
      <w:pPr>
        <w:spacing w:line="600" w:lineRule="exact"/>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bCs/>
          <w:sz w:val="32"/>
          <w:szCs w:val="32"/>
          <w:lang w:val="en-US" w:eastAsia="zh-CN"/>
        </w:rPr>
        <w:t>11.</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（类）行政事业单位医疗（款）公务员医疗补助（项）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支出决算为2.89万元，完成预算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p>
    <w:p w14:paraId="49BB06CC">
      <w:pPr>
        <w:spacing w:line="600" w:lineRule="exact"/>
        <w:ind w:firstLine="643" w:firstLineChars="200"/>
        <w:rPr>
          <w:rStyle w:val="18"/>
          <w:rFonts w:hint="eastAsia" w:ascii="仿宋" w:hAnsi="仿宋" w:eastAsia="仿宋" w:cs="Times New Roman"/>
          <w:b w:val="0"/>
          <w:bCs/>
          <w:color w:val="auto"/>
          <w:sz w:val="32"/>
          <w:szCs w:val="32"/>
          <w:highlight w:val="none"/>
          <w:lang w:val="en-US" w:eastAsia="zh-CN"/>
        </w:rPr>
      </w:pPr>
      <w:r>
        <w:rPr>
          <w:rFonts w:hint="eastAsia" w:ascii="仿宋" w:hAnsi="仿宋" w:eastAsia="仿宋"/>
          <w:b/>
          <w:sz w:val="32"/>
          <w:szCs w:val="32"/>
          <w:lang w:val="en-US" w:eastAsia="zh-CN"/>
        </w:rPr>
        <w:t>12.</w:t>
      </w:r>
      <w:r>
        <w:rPr>
          <w:rStyle w:val="18"/>
          <w:rFonts w:hint="eastAsia" w:ascii="仿宋" w:hAnsi="仿宋" w:eastAsia="仿宋" w:cs="Times New Roman"/>
          <w:bCs/>
          <w:color w:val="auto"/>
          <w:sz w:val="32"/>
          <w:szCs w:val="32"/>
          <w:highlight w:val="none"/>
          <w:lang w:val="en-US" w:eastAsia="zh-CN"/>
        </w:rPr>
        <w:t>住房保障（类）住房改革支出（款）住房公积金（项）：</w:t>
      </w:r>
      <w:r>
        <w:rPr>
          <w:rStyle w:val="18"/>
          <w:rFonts w:hint="eastAsia" w:ascii="仿宋" w:hAnsi="仿宋" w:eastAsia="仿宋" w:cs="Times New Roman"/>
          <w:b w:val="0"/>
          <w:bCs/>
          <w:color w:val="auto"/>
          <w:sz w:val="32"/>
          <w:szCs w:val="32"/>
          <w:highlight w:val="none"/>
        </w:rPr>
        <w:t>支出决算为</w:t>
      </w:r>
      <w:r>
        <w:rPr>
          <w:rStyle w:val="18"/>
          <w:rFonts w:hint="eastAsia" w:ascii="仿宋" w:hAnsi="仿宋" w:eastAsia="仿宋" w:cs="Times New Roman"/>
          <w:b w:val="0"/>
          <w:bCs/>
          <w:color w:val="auto"/>
          <w:sz w:val="32"/>
          <w:szCs w:val="32"/>
          <w:highlight w:val="none"/>
          <w:lang w:val="en-US" w:eastAsia="zh-CN"/>
        </w:rPr>
        <w:t>17.16</w:t>
      </w:r>
      <w:r>
        <w:rPr>
          <w:rStyle w:val="18"/>
          <w:rFonts w:hint="eastAsia" w:ascii="仿宋" w:hAnsi="仿宋" w:eastAsia="仿宋" w:cs="Times New Roman"/>
          <w:b w:val="0"/>
          <w:bCs/>
          <w:color w:val="auto"/>
          <w:sz w:val="32"/>
          <w:szCs w:val="32"/>
          <w:highlight w:val="none"/>
        </w:rPr>
        <w:t>万元，完成预算</w:t>
      </w:r>
      <w:r>
        <w:rPr>
          <w:rStyle w:val="18"/>
          <w:rFonts w:hint="eastAsia" w:ascii="仿宋" w:hAnsi="仿宋" w:eastAsia="仿宋" w:cs="Times New Roman"/>
          <w:b w:val="0"/>
          <w:bCs/>
          <w:color w:val="auto"/>
          <w:sz w:val="32"/>
          <w:szCs w:val="32"/>
          <w:highlight w:val="none"/>
          <w:lang w:val="en-US" w:eastAsia="zh-CN"/>
        </w:rPr>
        <w:t>100</w:t>
      </w:r>
      <w:r>
        <w:rPr>
          <w:rStyle w:val="18"/>
          <w:rFonts w:hint="eastAsia" w:ascii="仿宋" w:hAnsi="仿宋" w:eastAsia="仿宋" w:cs="Times New Roman"/>
          <w:b w:val="0"/>
          <w:bCs/>
          <w:color w:val="auto"/>
          <w:sz w:val="32"/>
          <w:szCs w:val="32"/>
          <w:highlight w:val="none"/>
        </w:rPr>
        <w:t>%，决算数</w:t>
      </w:r>
      <w:r>
        <w:rPr>
          <w:rStyle w:val="18"/>
          <w:rFonts w:hint="eastAsia" w:ascii="仿宋" w:hAnsi="仿宋" w:eastAsia="仿宋" w:cs="Times New Roman"/>
          <w:b w:val="0"/>
          <w:bCs/>
          <w:color w:val="auto"/>
          <w:sz w:val="32"/>
          <w:szCs w:val="32"/>
          <w:highlight w:val="none"/>
          <w:lang w:eastAsia="zh-CN"/>
        </w:rPr>
        <w:t>与</w:t>
      </w:r>
      <w:r>
        <w:rPr>
          <w:rStyle w:val="18"/>
          <w:rFonts w:hint="eastAsia" w:ascii="仿宋" w:hAnsi="仿宋" w:eastAsia="仿宋" w:cs="Times New Roman"/>
          <w:b w:val="0"/>
          <w:bCs/>
          <w:color w:val="auto"/>
          <w:sz w:val="32"/>
          <w:szCs w:val="32"/>
          <w:highlight w:val="none"/>
        </w:rPr>
        <w:t>预算数</w:t>
      </w:r>
      <w:r>
        <w:rPr>
          <w:rStyle w:val="18"/>
          <w:rFonts w:hint="eastAsia" w:ascii="仿宋" w:hAnsi="仿宋" w:eastAsia="仿宋" w:cs="Times New Roman"/>
          <w:b w:val="0"/>
          <w:bCs/>
          <w:color w:val="auto"/>
          <w:sz w:val="32"/>
          <w:szCs w:val="32"/>
          <w:highlight w:val="none"/>
          <w:lang w:eastAsia="zh-CN"/>
        </w:rPr>
        <w:t>持平</w:t>
      </w:r>
      <w:r>
        <w:rPr>
          <w:rStyle w:val="18"/>
          <w:rFonts w:hint="eastAsia" w:ascii="仿宋" w:hAnsi="仿宋" w:eastAsia="仿宋" w:cs="Times New Roman"/>
          <w:b w:val="0"/>
          <w:bCs/>
          <w:color w:val="auto"/>
          <w:sz w:val="32"/>
          <w:szCs w:val="32"/>
          <w:highlight w:val="none"/>
        </w:rPr>
        <w:t>。</w:t>
      </w:r>
    </w:p>
    <w:p w14:paraId="2ADEA2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F61873">
      <w:pPr>
        <w:tabs>
          <w:tab w:val="right" w:pos="8306"/>
        </w:tabs>
        <w:spacing w:line="600" w:lineRule="exact"/>
        <w:ind w:firstLine="640"/>
        <w:outlineLvl w:val="1"/>
        <w:rPr>
          <w:rStyle w:val="30"/>
          <w:rFonts w:ascii="Times New Roman" w:hAnsi="Times New Roman"/>
          <w:color w:val="auto"/>
          <w:highlight w:val="none"/>
        </w:rPr>
      </w:pPr>
      <w:bookmarkStart w:id="57" w:name="_Toc12201"/>
      <w:bookmarkStart w:id="58" w:name="_Toc15396608"/>
      <w:bookmarkStart w:id="5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7"/>
      <w:bookmarkEnd w:id="58"/>
      <w:bookmarkEnd w:id="59"/>
      <w:r>
        <w:rPr>
          <w:rStyle w:val="30"/>
          <w:rFonts w:ascii="Times New Roman" w:hAnsi="Times New Roman" w:eastAsia="黑体"/>
          <w:b w:val="0"/>
          <w:color w:val="auto"/>
          <w:highlight w:val="none"/>
        </w:rPr>
        <w:tab/>
      </w:r>
    </w:p>
    <w:p w14:paraId="648C8F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225.93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99DBD4D">
      <w:pPr>
        <w:spacing w:line="600" w:lineRule="exact"/>
        <w:ind w:firstLine="64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216.33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基本工资、津贴补贴、奖金、机关事业单位基本养老保险缴费、职业年金缴费</w:t>
      </w:r>
      <w:r>
        <w:rPr>
          <w:rFonts w:hint="eastAsia" w:ascii="仿宋" w:hAnsi="仿宋" w:eastAsia="仿宋"/>
          <w:sz w:val="32"/>
          <w:szCs w:val="32"/>
          <w:lang w:eastAsia="zh-CN"/>
        </w:rPr>
        <w:t>、</w:t>
      </w:r>
      <w:r>
        <w:rPr>
          <w:rFonts w:hint="eastAsia" w:ascii="仿宋" w:hAnsi="仿宋" w:eastAsia="仿宋"/>
          <w:sz w:val="32"/>
          <w:szCs w:val="32"/>
        </w:rPr>
        <w:t>职工基本医疗保险缴费、公务员医疗补助缴费</w:t>
      </w:r>
      <w:r>
        <w:rPr>
          <w:rFonts w:hint="eastAsia" w:ascii="仿宋" w:hAnsi="仿宋" w:eastAsia="仿宋"/>
          <w:sz w:val="32"/>
          <w:szCs w:val="32"/>
          <w:lang w:eastAsia="zh-CN"/>
        </w:rPr>
        <w:t>、其他社会保障缴费</w:t>
      </w:r>
      <w:r>
        <w:rPr>
          <w:rFonts w:hint="eastAsia" w:ascii="仿宋" w:hAnsi="仿宋" w:eastAsia="仿宋"/>
          <w:sz w:val="32"/>
          <w:szCs w:val="32"/>
        </w:rPr>
        <w:t>、住房公积金、生活补助</w:t>
      </w:r>
      <w:r>
        <w:rPr>
          <w:rFonts w:hint="eastAsia" w:ascii="仿宋" w:hAnsi="仿宋" w:eastAsia="仿宋"/>
          <w:sz w:val="32"/>
          <w:szCs w:val="32"/>
          <w:lang w:eastAsia="zh-CN"/>
        </w:rPr>
        <w:t>、奖励金</w:t>
      </w:r>
      <w:r>
        <w:rPr>
          <w:rFonts w:hint="eastAsia" w:ascii="仿宋" w:hAnsi="仿宋" w:eastAsia="仿宋"/>
          <w:sz w:val="32"/>
          <w:szCs w:val="32"/>
        </w:rPr>
        <w:t>。</w:t>
      </w:r>
    </w:p>
    <w:p w14:paraId="7CFD9A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9.6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包括办公费</w:t>
      </w:r>
      <w:r>
        <w:rPr>
          <w:rFonts w:hint="eastAsia" w:ascii="仿宋" w:hAnsi="仿宋" w:eastAsia="仿宋"/>
          <w:sz w:val="32"/>
          <w:szCs w:val="32"/>
        </w:rPr>
        <w:t>、电费、邮电费、差旅费、工会经费、公务用车运行维护费</w:t>
      </w:r>
      <w:r>
        <w:rPr>
          <w:rFonts w:hint="eastAsia" w:ascii="Times New Roman" w:hAnsi="Times New Roman" w:eastAsia="仿宋_GB2312" w:cs="仿宋_GB2312"/>
          <w:color w:val="auto"/>
          <w:kern w:val="2"/>
          <w:sz w:val="32"/>
          <w:szCs w:val="32"/>
          <w:highlight w:val="none"/>
          <w:lang w:val="en-US" w:eastAsia="zh-CN" w:bidi="ar-SA"/>
        </w:rPr>
        <w:t>等。</w:t>
      </w:r>
    </w:p>
    <w:p w14:paraId="049E9E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4E30C8">
      <w:pPr>
        <w:spacing w:line="600" w:lineRule="exact"/>
        <w:ind w:firstLine="640"/>
        <w:outlineLvl w:val="1"/>
        <w:rPr>
          <w:rStyle w:val="30"/>
          <w:rFonts w:ascii="Times New Roman" w:hAnsi="Times New Roman" w:eastAsia="黑体"/>
          <w:b w:val="0"/>
          <w:color w:val="auto"/>
          <w:highlight w:val="none"/>
        </w:rPr>
      </w:pPr>
      <w:bookmarkStart w:id="60" w:name="_Toc9595"/>
      <w:bookmarkStart w:id="61" w:name="_Toc15377215"/>
      <w:bookmarkStart w:id="62"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60"/>
      <w:bookmarkEnd w:id="61"/>
      <w:bookmarkEnd w:id="62"/>
    </w:p>
    <w:p w14:paraId="5B37CF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3"/>
    </w:p>
    <w:p w14:paraId="06DCEE4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1.56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ascii="仿宋_GB2312" w:hAnsi="仿宋" w:eastAsia="仿宋_GB2312" w:cs="仿宋"/>
          <w:color w:val="000000"/>
          <w:sz w:val="32"/>
          <w:szCs w:val="32"/>
          <w:lang w:val="en-US" w:eastAsia="zh-CN"/>
        </w:rPr>
        <w:t>减少0.12万元，下降7.02%，主要原因是车辆运行维护费较去年支出减少。</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厉行节约，减少“三公”经费开支。</w:t>
      </w:r>
    </w:p>
    <w:p w14:paraId="1C8B9EC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4"/>
    </w:p>
    <w:p w14:paraId="49C1C0E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1.56</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47C334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410845</wp:posOffset>
            </wp:positionH>
            <wp:positionV relativeFrom="paragraph">
              <wp:posOffset>210185</wp:posOffset>
            </wp:positionV>
            <wp:extent cx="4822190" cy="2786380"/>
            <wp:effectExtent l="4445" t="4445" r="19685" b="13335"/>
            <wp:wrapTopAndBottom/>
            <wp:docPr id="615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27D458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515682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1.56万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92.86</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ascii="仿宋_GB2312" w:hAnsi="仿宋" w:eastAsia="仿宋_GB2312" w:cs="仿宋"/>
          <w:color w:val="000000"/>
          <w:sz w:val="32"/>
          <w:szCs w:val="32"/>
          <w:lang w:val="en-US" w:eastAsia="zh-CN"/>
        </w:rPr>
        <w:t>减少0.12万元，下降7.02%，主要原因是车辆运行维护费较去年支出减少。</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1辆</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1辆</w:t>
      </w:r>
      <w:r>
        <w:rPr>
          <w:rFonts w:hint="eastAsia" w:ascii="Times New Roman" w:hAnsi="Times New Roman" w:eastAsia="仿宋_GB2312" w:cs="仿宋_GB2312"/>
          <w:color w:val="auto"/>
          <w:kern w:val="2"/>
          <w:sz w:val="32"/>
          <w:szCs w:val="32"/>
          <w:highlight w:val="none"/>
          <w:lang w:val="en-US" w:eastAsia="zh-CN" w:bidi="ar-SA"/>
        </w:rPr>
        <w:t>、越野车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、载客汽车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w:t>
      </w:r>
    </w:p>
    <w:p w14:paraId="7FF1C3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1.56</w:t>
      </w:r>
      <w:r>
        <w:rPr>
          <w:rFonts w:hint="eastAsia" w:ascii="Times New Roman" w:hAnsi="Times New Roman" w:eastAsia="仿宋_GB2312" w:cs="仿宋_GB2312"/>
          <w:color w:val="auto"/>
          <w:kern w:val="2"/>
          <w:sz w:val="32"/>
          <w:szCs w:val="32"/>
          <w:highlight w:val="none"/>
          <w:lang w:val="en-US" w:eastAsia="zh-CN" w:bidi="ar-SA"/>
        </w:rPr>
        <w:t>万元。主要用于公务用车燃料费、维修费、过路过桥费、保险费等支出。</w:t>
      </w:r>
    </w:p>
    <w:p w14:paraId="1C6416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0FB6CE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58A06A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本年度我单位无</w:t>
      </w: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w:t>
      </w:r>
    </w:p>
    <w:p w14:paraId="72CC67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5" w:name="_Toc15377218"/>
      <w:bookmarkStart w:id="66" w:name="_Toc15396610"/>
    </w:p>
    <w:p w14:paraId="6B7D3A76">
      <w:pPr>
        <w:spacing w:line="600" w:lineRule="exact"/>
        <w:ind w:firstLine="640"/>
        <w:outlineLvl w:val="1"/>
        <w:rPr>
          <w:rStyle w:val="30"/>
          <w:rFonts w:ascii="Times New Roman" w:hAnsi="Times New Roman" w:eastAsia="黑体"/>
          <w:color w:val="auto"/>
          <w:highlight w:val="none"/>
        </w:rPr>
      </w:pPr>
      <w:bookmarkStart w:id="67" w:name="_Toc2743"/>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5"/>
      <w:bookmarkEnd w:id="66"/>
      <w:bookmarkEnd w:id="67"/>
    </w:p>
    <w:p w14:paraId="598723A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5858EE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FFC7A6">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68" w:name="_Toc15396611"/>
      <w:bookmarkStart w:id="69" w:name="_Toc15377219"/>
      <w:bookmarkStart w:id="70" w:name="_Toc2842"/>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8"/>
      <w:bookmarkEnd w:id="69"/>
      <w:bookmarkEnd w:id="70"/>
    </w:p>
    <w:p w14:paraId="7DF07E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15523D42">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71" w:name="_Toc15396612"/>
      <w:bookmarkStart w:id="72" w:name="_Toc15377221"/>
      <w:bookmarkStart w:id="73" w:name="_Toc11549"/>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71"/>
      <w:bookmarkEnd w:id="72"/>
      <w:bookmarkEnd w:id="73"/>
    </w:p>
    <w:p w14:paraId="5AA398C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4" w:name="_Toc15377222"/>
      <w:r>
        <w:rPr>
          <w:rFonts w:hint="eastAsia" w:ascii="Times New Roman" w:hAnsi="Times New Roman" w:eastAsia="楷体_GB2312" w:cs="楷体_GB2312"/>
          <w:b/>
          <w:color w:val="auto"/>
          <w:sz w:val="32"/>
          <w:szCs w:val="32"/>
          <w:highlight w:val="none"/>
        </w:rPr>
        <w:t>（一）机关运行经费支出情况</w:t>
      </w:r>
      <w:bookmarkEnd w:id="74"/>
    </w:p>
    <w:p w14:paraId="37F6C22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阿坝州松潘县就业局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9.6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元，比2023年度增加0.12万元，增长1.25%。主要原因是</w:t>
      </w:r>
      <w:r>
        <w:rPr>
          <w:rFonts w:hint="eastAsia" w:eastAsia="仿宋_GB2312" w:cs="仿宋_GB2312"/>
          <w:color w:val="auto"/>
          <w:kern w:val="2"/>
          <w:sz w:val="32"/>
          <w:szCs w:val="32"/>
          <w:highlight w:val="none"/>
          <w:lang w:val="en-US" w:eastAsia="zh-CN" w:bidi="ar-SA"/>
        </w:rPr>
        <w:t>人员变动导致经费增加，增加幅度较小，基本持平。</w:t>
      </w:r>
    </w:p>
    <w:p w14:paraId="5192FC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F26995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5" w:name="_Toc15377223"/>
      <w:r>
        <w:rPr>
          <w:rFonts w:hint="eastAsia" w:ascii="Times New Roman" w:hAnsi="Times New Roman" w:eastAsia="楷体_GB2312" w:cs="楷体_GB2312"/>
          <w:b/>
          <w:color w:val="auto"/>
          <w:sz w:val="32"/>
          <w:szCs w:val="32"/>
          <w:highlight w:val="none"/>
        </w:rPr>
        <w:t>（二）政府采购支出情况</w:t>
      </w:r>
      <w:bookmarkEnd w:id="75"/>
    </w:p>
    <w:p w14:paraId="196554D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阿坝州松潘县就业局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kern w:val="2"/>
          <w:sz w:val="32"/>
          <w:szCs w:val="32"/>
          <w:highlight w:val="none"/>
          <w:lang w:val="en-US" w:eastAsia="zh-CN" w:bidi="ar-SA"/>
        </w:rPr>
        <w:t>万元。主要用于就业技能培训。授予中小企业合同金额</w:t>
      </w:r>
      <w:r>
        <w:rPr>
          <w:rFonts w:hint="eastAsia" w:ascii="仿宋_GB2312" w:hAnsi="仿宋_GB2312" w:eastAsia="仿宋_GB2312" w:cs="仿宋_GB2312"/>
          <w:sz w:val="32"/>
          <w:szCs w:val="32"/>
          <w:highlight w:val="none"/>
        </w:rPr>
        <w:t>38.8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7FC6F5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FB8E5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6" w:name="_Toc15377224"/>
      <w:r>
        <w:rPr>
          <w:rFonts w:hint="eastAsia" w:ascii="Times New Roman" w:hAnsi="Times New Roman" w:eastAsia="楷体_GB2312" w:cs="楷体_GB2312"/>
          <w:b/>
          <w:color w:val="auto"/>
          <w:sz w:val="32"/>
          <w:szCs w:val="32"/>
          <w:highlight w:val="none"/>
        </w:rPr>
        <w:t>（三）国有资产占有使用情况</w:t>
      </w:r>
      <w:bookmarkEnd w:id="76"/>
    </w:p>
    <w:p w14:paraId="24D1AC4D">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截至2024年12月31日，</w:t>
      </w:r>
      <w:r>
        <w:rPr>
          <w:rFonts w:hint="eastAsia" w:ascii="仿宋_GB2312" w:hAnsi="仿宋_GB2312" w:eastAsia="仿宋_GB2312" w:cs="仿宋_GB2312"/>
          <w:sz w:val="32"/>
          <w:szCs w:val="32"/>
        </w:rPr>
        <w:t>阿坝州松潘县就业局</w:t>
      </w:r>
      <w:r>
        <w:rPr>
          <w:rFonts w:hint="eastAsia" w:ascii="仿宋_GB2312" w:hAnsi="仿宋_GB2312" w:eastAsia="仿宋_GB2312" w:cs="仿宋_GB2312"/>
          <w:sz w:val="32"/>
          <w:szCs w:val="32"/>
          <w:lang w:val="en-US" w:eastAsia="zh-CN"/>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rPr>
        <w:t>其他用车主要是用于</w:t>
      </w:r>
      <w:r>
        <w:rPr>
          <w:rFonts w:hint="eastAsia" w:ascii="仿宋_GB2312" w:hAnsi="仿宋_GB2312" w:eastAsia="仿宋_GB2312" w:cs="仿宋_GB2312"/>
          <w:sz w:val="32"/>
          <w:szCs w:val="32"/>
          <w:lang w:val="en-US" w:eastAsia="zh-CN"/>
        </w:rPr>
        <w:t>日常公务。单价100万元（含）以上设备（不含车辆）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台（套）。</w:t>
      </w:r>
    </w:p>
    <w:p w14:paraId="1BDF74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CC9D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0E0B2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highlight w:val="none"/>
        </w:rPr>
        <w:t>根据预算绩效管理要求，本单位在2023年度预算编制阶段，组织对</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lang w:eastAsia="zh-CN"/>
        </w:rPr>
        <w:t>个项目</w:t>
      </w:r>
      <w:r>
        <w:rPr>
          <w:rFonts w:hint="eastAsia" w:ascii="仿宋_GB2312" w:eastAsia="仿宋_GB2312"/>
          <w:sz w:val="32"/>
          <w:szCs w:val="32"/>
          <w:highlight w:val="none"/>
        </w:rPr>
        <w:t>（松潘县象藏艺术学校基础设施提升改造项目、“9+3”职业教育费用、松潘县劳动力技能培训和转移就业、松潘县2024年“家门口就业工作坊”促进就业补助、就业创业工作经费、农民工服务中心工作经费、建立完善县三级劳务服务体系工作经费、劳动人口转移就业工程、就业创业补助资金项目、企业招用新成长劳动力补贴、就业创业补助资金）等</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lang w:eastAsia="zh-CN"/>
        </w:rPr>
        <w:t>个项目</w:t>
      </w:r>
      <w:r>
        <w:rPr>
          <w:rFonts w:hint="eastAsia" w:ascii="仿宋_GB2312" w:eastAsia="仿宋_GB2312"/>
          <w:sz w:val="32"/>
          <w:szCs w:val="32"/>
          <w:highlight w:val="none"/>
        </w:rPr>
        <w:t>开展了预算事前绩效评估，对</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lang w:eastAsia="zh-CN"/>
        </w:rPr>
        <w:t>个项目</w:t>
      </w:r>
      <w:r>
        <w:rPr>
          <w:rFonts w:hint="eastAsia" w:ascii="仿宋_GB2312" w:eastAsia="仿宋_GB2312"/>
          <w:sz w:val="32"/>
          <w:szCs w:val="32"/>
          <w:highlight w:val="none"/>
        </w:rPr>
        <w:t>编制了绩效目标</w:t>
      </w:r>
      <w:r>
        <w:rPr>
          <w:rFonts w:hint="eastAsia" w:ascii="仿宋_GB2312" w:eastAsia="仿宋_GB2312"/>
          <w:sz w:val="32"/>
          <w:szCs w:val="32"/>
          <w:highlight w:val="none"/>
          <w:lang w:eastAsia="zh-CN"/>
        </w:rPr>
        <w:t>，在</w:t>
      </w:r>
      <w:r>
        <w:rPr>
          <w:rFonts w:hint="eastAsia" w:ascii="仿宋_GB2312" w:eastAsia="仿宋_GB2312"/>
          <w:sz w:val="32"/>
          <w:szCs w:val="32"/>
          <w:highlight w:val="none"/>
        </w:rPr>
        <w:t>预算执行过程中，选取</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lang w:eastAsia="zh-CN"/>
        </w:rPr>
        <w:t>个项目</w:t>
      </w:r>
      <w:r>
        <w:rPr>
          <w:rFonts w:hint="eastAsia" w:ascii="仿宋_GB2312" w:eastAsia="仿宋_GB2312"/>
          <w:sz w:val="32"/>
          <w:szCs w:val="32"/>
          <w:highlight w:val="none"/>
        </w:rPr>
        <w:t>开展绩效监控，组织对</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lang w:eastAsia="zh-CN"/>
        </w:rPr>
        <w:t>个项目</w:t>
      </w:r>
      <w:r>
        <w:rPr>
          <w:rFonts w:hint="eastAsia" w:ascii="仿宋_GB2312" w:eastAsia="仿宋_GB2312"/>
          <w:sz w:val="32"/>
          <w:szCs w:val="32"/>
          <w:highlight w:val="none"/>
        </w:rPr>
        <w:t>开展绩效自评，绩效自评表详见第四部分附件。</w:t>
      </w:r>
    </w:p>
    <w:p w14:paraId="0B477611">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6B5AECF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7" w:name="_Toc828"/>
      <w:bookmarkStart w:id="78" w:name="_Toc15377225"/>
      <w:bookmarkStart w:id="79"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7"/>
      <w:bookmarkEnd w:id="78"/>
      <w:bookmarkEnd w:id="79"/>
    </w:p>
    <w:p w14:paraId="00542A71">
      <w:pPr>
        <w:spacing w:line="600" w:lineRule="exact"/>
        <w:jc w:val="left"/>
        <w:rPr>
          <w:rFonts w:ascii="Times New Roman" w:hAnsi="Times New Roman"/>
          <w:b/>
          <w:color w:val="auto"/>
          <w:sz w:val="44"/>
          <w:szCs w:val="44"/>
          <w:highlight w:val="none"/>
        </w:rPr>
      </w:pPr>
    </w:p>
    <w:p w14:paraId="28BA37CE">
      <w:pPr>
        <w:spacing w:line="600" w:lineRule="exact"/>
        <w:ind w:firstLine="640" w:firstLineChars="200"/>
        <w:outlineLvl w:val="1"/>
        <w:rPr>
          <w:rFonts w:hint="eastAsia" w:ascii="仿宋_GB2312" w:hAnsi="Times New Roman" w:eastAsia="仿宋_GB2312" w:cs="Times New Roman"/>
          <w:sz w:val="32"/>
          <w:szCs w:val="32"/>
        </w:rPr>
      </w:pPr>
      <w:bookmarkStart w:id="80" w:name="_Toc16240"/>
      <w:bookmarkStart w:id="81" w:name="_Toc15723"/>
      <w:bookmarkStart w:id="82" w:name="_Toc7001"/>
      <w:bookmarkStart w:id="83" w:name="_Toc15377226"/>
      <w:r>
        <w:rPr>
          <w:rFonts w:hint="eastAsia" w:ascii="仿宋_GB2312" w:hAnsi="Times New Roman" w:eastAsia="仿宋_GB2312" w:cs="Times New Roman"/>
          <w:sz w:val="32"/>
          <w:szCs w:val="32"/>
        </w:rPr>
        <w:t>1.财政拨款收入：指单位从同级财政部门取得的财政预算资金。</w:t>
      </w:r>
      <w:bookmarkEnd w:id="80"/>
      <w:bookmarkEnd w:id="81"/>
      <w:bookmarkEnd w:id="82"/>
    </w:p>
    <w:p w14:paraId="68A58FC5">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2.事业收入：指事业单位开展专业业务活动及辅助活动取得的收入。</w:t>
      </w:r>
    </w:p>
    <w:p w14:paraId="3F5F010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3.经营收入：指事业单位在专业业务活动及其辅助活动之外开展非独立核算经营活动取得的收入</w:t>
      </w:r>
    </w:p>
    <w:p w14:paraId="56F98EE0">
      <w:pPr>
        <w:spacing w:line="600" w:lineRule="exact"/>
        <w:ind w:firstLine="640" w:firstLineChars="200"/>
        <w:outlineLvl w:val="1"/>
        <w:rPr>
          <w:rFonts w:hint="eastAsia" w:ascii="仿宋_GB2312" w:hAnsi="Times New Roman" w:eastAsia="仿宋_GB2312" w:cs="Times New Roman"/>
          <w:sz w:val="32"/>
          <w:szCs w:val="32"/>
        </w:rPr>
      </w:pPr>
      <w:bookmarkStart w:id="84" w:name="_Toc30336"/>
      <w:bookmarkStart w:id="85" w:name="_Toc22210"/>
      <w:bookmarkStart w:id="86" w:name="_Toc13966"/>
      <w:r>
        <w:rPr>
          <w:rFonts w:hint="eastAsia" w:ascii="仿宋_GB2312" w:hAnsi="Times New Roman" w:eastAsia="仿宋_GB2312" w:cs="Times New Roman"/>
          <w:sz w:val="32"/>
          <w:szCs w:val="32"/>
        </w:rPr>
        <w:t>4.其他收入：指单位取得的除上述收入以外的各项收入。</w:t>
      </w:r>
      <w:bookmarkEnd w:id="84"/>
      <w:bookmarkEnd w:id="85"/>
      <w:bookmarkEnd w:id="86"/>
    </w:p>
    <w:p w14:paraId="1336381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E290B65">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6.年初结转和结余：指以前年度尚未完成、结转到本年按有关规定继续使用的资金。 </w:t>
      </w:r>
    </w:p>
    <w:p w14:paraId="2E91134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7.结余分配：指事业单位按照事业单位会计制度的规定从非财政补助结余中分配的事业基金和职工福利基金等。</w:t>
      </w:r>
    </w:p>
    <w:p w14:paraId="654226E1">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8.年末结转和结余：指单位按有关规定结转到下年或以后年度继续使用的资金。</w:t>
      </w:r>
    </w:p>
    <w:p w14:paraId="6654482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9.社会保障和就业支出（208）人力资源和社会保障管理事务（20801）社会保险经办机构（2080109）：反映社会保险经办机构开展业务工作的支出。</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10.社会保障和就业支出（208）行政事业单位养老支出（20805）机关事业单位基本养老保险缴费支出（2080505）：反映机关事业单位实施养老保险制度由单位缴纳的基本养老保险费支出。</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11.社会保障和就业支出（208）行政事业单位养老支出（20805）机关事业单位职业年金缴费支出（2080506）：反映机关事业单位实施养老保险制度由单位实际缴纳的职业年金支出。</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12.社会保障和就业支出（208）就业补助（20807）就业创业服务补贴（2080701）：反映财政用于支持加强公共就业服务机构提升创业服务能力和向社会力量购买就业创业服务成果的补助支出。</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.社会保障和就业支出（208）就业补助（20807）其他就业补助支出（2080799）：反映除上述项目以外按规定确定的其他用于促进就业的补助支出。</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lang w:val="en-US" w:eastAsia="zh-CN"/>
        </w:rPr>
        <w:t xml:space="preserve">    15</w:t>
      </w:r>
      <w:r>
        <w:rPr>
          <w:rFonts w:hint="eastAsia" w:ascii="仿宋_GB2312" w:hAnsi="Times New Roman" w:eastAsia="仿宋_GB2312" w:cs="Times New Roman"/>
          <w:sz w:val="32"/>
          <w:szCs w:val="32"/>
        </w:rPr>
        <w:t>.卫生健康支出（210）行政事业单位医疗（21011）公务员医疗补助（2101103）：反映财政部门安排的公务员医疗补助经费。</w:t>
      </w:r>
    </w:p>
    <w:p w14:paraId="0C52CF68">
      <w:pPr>
        <w:spacing w:line="60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16</w:t>
      </w:r>
      <w:r>
        <w:rPr>
          <w:rFonts w:hint="eastAsia" w:ascii="仿宋_GB2312" w:hAnsi="Times New Roman" w:eastAsia="仿宋_GB2312" w:cs="Times New Roman"/>
          <w:sz w:val="32"/>
          <w:szCs w:val="32"/>
        </w:rPr>
        <w:t>.农林水支出（213）巩固脱贫衔接乡村振兴（21305）其他巩固脱贫衔接乡村振兴支出（2130599）：反映除上述项目以外其他用于扶贫方面的支出。</w:t>
      </w:r>
      <w:r>
        <w:rPr>
          <w:rFonts w:hint="eastAsia" w:ascii="仿宋_GB2312" w:hAnsi="Times New Roman" w:eastAsia="仿宋_GB2312" w:cs="Times New Roman"/>
          <w:sz w:val="32"/>
          <w:szCs w:val="32"/>
        </w:rPr>
        <w:cr/>
      </w:r>
      <w:r>
        <w:rPr>
          <w:rFonts w:hint="eastAsia" w:ascii="仿宋_GB2312" w:hAnsi="Times New Roman" w:eastAsia="仿宋_GB2312" w:cs="Times New Roman"/>
          <w:sz w:val="32"/>
          <w:szCs w:val="32"/>
          <w:lang w:val="en-US" w:eastAsia="zh-CN"/>
        </w:rPr>
        <w:t xml:space="preserve">    17</w:t>
      </w:r>
      <w:r>
        <w:rPr>
          <w:rFonts w:hint="eastAsia" w:ascii="仿宋_GB2312" w:hAnsi="Times New Roman" w:eastAsia="仿宋_GB2312" w:cs="Times New Roman"/>
          <w:sz w:val="32"/>
          <w:szCs w:val="32"/>
        </w:rPr>
        <w:t>.住房保障支出（221）住房改革支出（22102）住房公积金（2210201）：反映行政事业单位按人力资源和社会保障部、财政部规定的基本工资和津贴补贴以及规定比例为职工缴纳的住房公积金。</w:t>
      </w:r>
    </w:p>
    <w:p w14:paraId="0DEBB98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rPr>
        <w:t>.基本支出：指为保障机构正常运转、完成日常工作任务而发生的人员支出和公用支出。</w:t>
      </w:r>
    </w:p>
    <w:p w14:paraId="33A5DD55">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19</w:t>
      </w:r>
      <w:r>
        <w:rPr>
          <w:rFonts w:hint="eastAsia" w:ascii="仿宋_GB2312" w:hAnsi="Times New Roman" w:eastAsia="仿宋_GB2312" w:cs="Times New Roman"/>
          <w:sz w:val="32"/>
          <w:szCs w:val="32"/>
        </w:rPr>
        <w:t xml:space="preserve">.项目支出：指在基本支出之外为完成特定行政任务和事业发展目标所发生的支出。 </w:t>
      </w:r>
    </w:p>
    <w:p w14:paraId="00A4664B">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39852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49BF95">
      <w:pPr>
        <w:numPr>
          <w:ilvl w:val="0"/>
          <w:numId w:val="0"/>
        </w:numPr>
        <w:spacing w:line="600" w:lineRule="exact"/>
        <w:jc w:val="center"/>
        <w:outlineLvl w:val="0"/>
        <w:rPr>
          <w:rStyle w:val="29"/>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87" w:name="_Toc24508"/>
      <w:bookmarkStart w:id="8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87"/>
      <w:bookmarkEnd w:id="88"/>
    </w:p>
    <w:p w14:paraId="6BCA17B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086E28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89" w:name="_Toc986"/>
      <w:bookmarkStart w:id="90" w:name="_Toc32739"/>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89"/>
      <w:bookmarkEnd w:id="90"/>
    </w:p>
    <w:p w14:paraId="5C54537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DD38DEC">
      <w:pPr>
        <w:spacing w:line="600" w:lineRule="exact"/>
        <w:ind w:firstLine="640" w:firstLineChars="200"/>
        <w:rPr>
          <w:rFonts w:hint="eastAsia" w:ascii="Times New Roman" w:hAnsi="Times New Roman" w:eastAsia="仿宋_GB2312" w:cs="仿宋_GB2312"/>
          <w:b w:val="0"/>
          <w:bCs w:val="0"/>
          <w:kern w:val="0"/>
          <w:position w:val="0"/>
          <w:sz w:val="32"/>
          <w:szCs w:val="32"/>
          <w:highlight w:val="none"/>
          <w:lang w:val="en-US" w:eastAsia="zh-CN" w:bidi="ar-SA"/>
        </w:rPr>
      </w:pPr>
      <w:bookmarkStart w:id="91" w:name="_Toc15396618"/>
      <w:r>
        <w:rPr>
          <w:rFonts w:hint="eastAsia" w:ascii="仿宋_GB2312" w:eastAsia="仿宋_GB2312" w:cs="Times New Roman"/>
          <w:sz w:val="32"/>
          <w:szCs w:val="32"/>
          <w:lang w:val="en-US" w:eastAsia="zh-CN"/>
        </w:rPr>
        <w:t>本年度无此项。</w:t>
      </w: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207E05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2" w:name="_Toc26651"/>
      <w:r>
        <w:rPr>
          <w:rFonts w:hint="eastAsia" w:ascii="Times New Roman" w:hAnsi="Times New Roman" w:eastAsia="黑体"/>
          <w:color w:val="auto"/>
          <w:sz w:val="44"/>
          <w:szCs w:val="44"/>
          <w:highlight w:val="none"/>
        </w:rPr>
        <w:t>第五部分 附表</w:t>
      </w:r>
      <w:bookmarkEnd w:id="83"/>
      <w:bookmarkEnd w:id="91"/>
      <w:bookmarkEnd w:id="92"/>
      <w:bookmarkStart w:id="93" w:name="_Toc15396619"/>
    </w:p>
    <w:p w14:paraId="0CDAA21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AA43BD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93"/>
    </w:p>
    <w:p w14:paraId="52BFB89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4" w:name="_Toc15396620"/>
      <w:r>
        <w:rPr>
          <w:rFonts w:hint="eastAsia" w:ascii="Times New Roman" w:hAnsi="Times New Roman" w:eastAsia="仿宋_GB2312" w:cs="仿宋_GB2312"/>
          <w:color w:val="auto"/>
          <w:sz w:val="32"/>
          <w:szCs w:val="32"/>
          <w:highlight w:val="none"/>
        </w:rPr>
        <w:t>二、收入决算表</w:t>
      </w:r>
      <w:bookmarkEnd w:id="94"/>
    </w:p>
    <w:p w14:paraId="795D735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5" w:name="_Toc15396621"/>
      <w:r>
        <w:rPr>
          <w:rFonts w:hint="eastAsia" w:ascii="Times New Roman" w:hAnsi="Times New Roman" w:eastAsia="仿宋_GB2312" w:cs="仿宋_GB2312"/>
          <w:color w:val="auto"/>
          <w:sz w:val="32"/>
          <w:szCs w:val="32"/>
          <w:highlight w:val="none"/>
        </w:rPr>
        <w:t>三、支出决算表</w:t>
      </w:r>
      <w:bookmarkEnd w:id="95"/>
    </w:p>
    <w:p w14:paraId="26C4722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6" w:name="_Toc15396622"/>
      <w:r>
        <w:rPr>
          <w:rFonts w:hint="eastAsia" w:ascii="Times New Roman" w:hAnsi="Times New Roman" w:eastAsia="仿宋_GB2312" w:cs="仿宋_GB2312"/>
          <w:color w:val="auto"/>
          <w:sz w:val="32"/>
          <w:szCs w:val="32"/>
          <w:highlight w:val="none"/>
        </w:rPr>
        <w:t>四、财政拨款收入支出决算总表</w:t>
      </w:r>
      <w:bookmarkEnd w:id="96"/>
    </w:p>
    <w:p w14:paraId="4A8638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7" w:name="_Toc15396623"/>
      <w:r>
        <w:rPr>
          <w:rFonts w:hint="eastAsia" w:ascii="Times New Roman" w:hAnsi="Times New Roman" w:eastAsia="仿宋_GB2312" w:cs="仿宋_GB2312"/>
          <w:color w:val="auto"/>
          <w:sz w:val="32"/>
          <w:szCs w:val="32"/>
          <w:highlight w:val="none"/>
        </w:rPr>
        <w:t>五、财政拨款支出决算明细表</w:t>
      </w:r>
      <w:bookmarkEnd w:id="97"/>
      <w:bookmarkStart w:id="98" w:name="_Toc15396624"/>
    </w:p>
    <w:p w14:paraId="7FAF07C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98"/>
    </w:p>
    <w:p w14:paraId="3640856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9" w:name="_Toc15396625"/>
      <w:r>
        <w:rPr>
          <w:rFonts w:hint="eastAsia" w:ascii="Times New Roman" w:hAnsi="Times New Roman" w:eastAsia="仿宋_GB2312" w:cs="仿宋_GB2312"/>
          <w:color w:val="auto"/>
          <w:sz w:val="32"/>
          <w:szCs w:val="32"/>
          <w:highlight w:val="none"/>
        </w:rPr>
        <w:t>七、一般公共预算财政拨款支出决算明细表</w:t>
      </w:r>
      <w:bookmarkEnd w:id="99"/>
    </w:p>
    <w:p w14:paraId="470DB6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0" w:name="_Toc15396626"/>
      <w:r>
        <w:rPr>
          <w:rFonts w:hint="eastAsia" w:ascii="Times New Roman" w:hAnsi="Times New Roman" w:eastAsia="仿宋_GB2312" w:cs="仿宋_GB2312"/>
          <w:color w:val="auto"/>
          <w:sz w:val="32"/>
          <w:szCs w:val="32"/>
          <w:highlight w:val="none"/>
        </w:rPr>
        <w:t>八、一般公共预算财政拨款基本支出决算表</w:t>
      </w:r>
      <w:bookmarkEnd w:id="100"/>
    </w:p>
    <w:p w14:paraId="17DCBF8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1" w:name="_Toc15396627"/>
      <w:r>
        <w:rPr>
          <w:rFonts w:hint="eastAsia" w:ascii="Times New Roman" w:hAnsi="Times New Roman" w:eastAsia="仿宋_GB2312" w:cs="仿宋_GB2312"/>
          <w:color w:val="auto"/>
          <w:sz w:val="32"/>
          <w:szCs w:val="32"/>
          <w:highlight w:val="none"/>
        </w:rPr>
        <w:t>九、一般公共预算财政拨款项目支出决算表</w:t>
      </w:r>
      <w:bookmarkEnd w:id="101"/>
    </w:p>
    <w:p w14:paraId="2371B7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2" w:name="_Toc15396628"/>
      <w:r>
        <w:rPr>
          <w:rFonts w:hint="eastAsia" w:ascii="Times New Roman" w:hAnsi="Times New Roman" w:eastAsia="仿宋_GB2312" w:cs="仿宋_GB2312"/>
          <w:color w:val="auto"/>
          <w:sz w:val="32"/>
          <w:szCs w:val="32"/>
          <w:highlight w:val="none"/>
        </w:rPr>
        <w:t>十、</w:t>
      </w:r>
      <w:bookmarkEnd w:id="102"/>
      <w:r>
        <w:rPr>
          <w:rFonts w:hint="eastAsia" w:ascii="Times New Roman" w:hAnsi="Times New Roman" w:eastAsia="仿宋_GB2312" w:cs="仿宋_GB2312"/>
          <w:color w:val="auto"/>
          <w:sz w:val="32"/>
          <w:szCs w:val="32"/>
          <w:highlight w:val="none"/>
        </w:rPr>
        <w:t>政府性基金预算财政拨款收入支出决算表</w:t>
      </w:r>
    </w:p>
    <w:p w14:paraId="106386F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3" w:name="_Toc15396629"/>
      <w:r>
        <w:rPr>
          <w:rFonts w:hint="eastAsia" w:ascii="Times New Roman" w:hAnsi="Times New Roman" w:eastAsia="仿宋_GB2312" w:cs="仿宋_GB2312"/>
          <w:color w:val="auto"/>
          <w:sz w:val="32"/>
          <w:szCs w:val="32"/>
          <w:highlight w:val="none"/>
        </w:rPr>
        <w:t>十一、</w:t>
      </w:r>
      <w:bookmarkEnd w:id="10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46EAB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4" w:name="_Toc15396630"/>
      <w:r>
        <w:rPr>
          <w:rFonts w:hint="eastAsia" w:ascii="Times New Roman" w:hAnsi="Times New Roman" w:eastAsia="仿宋_GB2312" w:cs="仿宋_GB2312"/>
          <w:color w:val="auto"/>
          <w:sz w:val="32"/>
          <w:szCs w:val="32"/>
          <w:highlight w:val="none"/>
        </w:rPr>
        <w:t>十二、</w:t>
      </w:r>
      <w:bookmarkEnd w:id="104"/>
      <w:r>
        <w:rPr>
          <w:rFonts w:hint="eastAsia" w:ascii="Times New Roman" w:hAnsi="Times New Roman" w:eastAsia="仿宋_GB2312" w:cs="仿宋_GB2312"/>
          <w:color w:val="auto"/>
          <w:sz w:val="32"/>
          <w:szCs w:val="32"/>
          <w:highlight w:val="none"/>
          <w:lang w:eastAsia="zh-CN"/>
        </w:rPr>
        <w:t>国有资本经营预算财政拨款支出决算表</w:t>
      </w:r>
    </w:p>
    <w:p w14:paraId="2F5EA6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05" w:name="_Toc15396631"/>
      <w:r>
        <w:rPr>
          <w:rFonts w:hint="eastAsia" w:ascii="Times New Roman" w:hAnsi="Times New Roman" w:eastAsia="仿宋_GB2312" w:cs="仿宋_GB2312"/>
          <w:color w:val="auto"/>
          <w:sz w:val="32"/>
          <w:szCs w:val="32"/>
          <w:highlight w:val="none"/>
        </w:rPr>
        <w:t>十三、</w:t>
      </w:r>
      <w:bookmarkEnd w:id="105"/>
      <w:r>
        <w:rPr>
          <w:rFonts w:hint="eastAsia" w:ascii="Times New Roman" w:hAnsi="Times New Roman" w:eastAsia="仿宋_GB2312" w:cs="仿宋_GB2312"/>
          <w:color w:val="auto"/>
          <w:sz w:val="32"/>
          <w:szCs w:val="32"/>
          <w:highlight w:val="none"/>
          <w:lang w:eastAsia="zh-CN"/>
        </w:rPr>
        <w:t>财政拨款“三公”经费支出决算表</w:t>
      </w:r>
    </w:p>
    <w:p w14:paraId="33587E1E">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53BE48-71B7-4171-8184-04C8B82B42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D0A8207-9072-4B66-99E8-BFF0F7AB12AE}"/>
  </w:font>
  <w:font w:name="仿宋">
    <w:panose1 w:val="02010609060101010101"/>
    <w:charset w:val="86"/>
    <w:family w:val="modern"/>
    <w:pitch w:val="default"/>
    <w:sig w:usb0="800002BF" w:usb1="38CF7CFA" w:usb2="00000016" w:usb3="00000000" w:csb0="00040001" w:csb1="00000000"/>
    <w:embedRegular r:id="rId3" w:fontKey="{AB310397-BD7D-4501-8A0D-34209FF7FEDE}"/>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248118C9-F383-40B4-9820-1309446FD6A5}"/>
  </w:font>
  <w:font w:name="楷体_GB2312">
    <w:panose1 w:val="02010609030101010101"/>
    <w:charset w:val="86"/>
    <w:family w:val="auto"/>
    <w:pitch w:val="default"/>
    <w:sig w:usb0="00000001" w:usb1="080E0000" w:usb2="00000000" w:usb3="00000000" w:csb0="00040000" w:csb1="00000000"/>
    <w:embedRegular r:id="rId5" w:fontKey="{455D03AF-4E1E-4394-BE13-698DCC6EAB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3A76">
    <w:pPr>
      <w:pStyle w:val="10"/>
      <w:jc w:val="center"/>
    </w:pPr>
  </w:p>
  <w:p w14:paraId="56B7FA6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7EAC">
    <w:pPr>
      <w:pStyle w:val="10"/>
      <w:jc w:val="center"/>
    </w:pPr>
  </w:p>
  <w:p w14:paraId="4032067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058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4A3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09794">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409794">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34867567">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0D1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96CE6">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196CE6">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2694">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3420ED"/>
    <w:rsid w:val="09867E8F"/>
    <w:rsid w:val="0A2032A3"/>
    <w:rsid w:val="0CA8290A"/>
    <w:rsid w:val="0D35B1ED"/>
    <w:rsid w:val="0E254B6B"/>
    <w:rsid w:val="0F98263C"/>
    <w:rsid w:val="101860EC"/>
    <w:rsid w:val="101F47CC"/>
    <w:rsid w:val="10C055FF"/>
    <w:rsid w:val="11694EBD"/>
    <w:rsid w:val="11772AA4"/>
    <w:rsid w:val="118107EC"/>
    <w:rsid w:val="119836EC"/>
    <w:rsid w:val="12E24EE2"/>
    <w:rsid w:val="13D50BC4"/>
    <w:rsid w:val="13F753F7"/>
    <w:rsid w:val="14B17F78"/>
    <w:rsid w:val="14CB3037"/>
    <w:rsid w:val="165E0673"/>
    <w:rsid w:val="169869DC"/>
    <w:rsid w:val="16B831D5"/>
    <w:rsid w:val="16BB723D"/>
    <w:rsid w:val="17E50567"/>
    <w:rsid w:val="186504BB"/>
    <w:rsid w:val="19A445FC"/>
    <w:rsid w:val="1A0538E9"/>
    <w:rsid w:val="1BE8440E"/>
    <w:rsid w:val="1D155CEE"/>
    <w:rsid w:val="1D1638FE"/>
    <w:rsid w:val="1E312DEB"/>
    <w:rsid w:val="1E740ACF"/>
    <w:rsid w:val="1EB1403F"/>
    <w:rsid w:val="1F3E21E6"/>
    <w:rsid w:val="1FF35744"/>
    <w:rsid w:val="1FF6BC77"/>
    <w:rsid w:val="20713C1E"/>
    <w:rsid w:val="2112407F"/>
    <w:rsid w:val="2186353C"/>
    <w:rsid w:val="219C0FF9"/>
    <w:rsid w:val="22E542B8"/>
    <w:rsid w:val="23860B96"/>
    <w:rsid w:val="240371BF"/>
    <w:rsid w:val="244F3473"/>
    <w:rsid w:val="2460172E"/>
    <w:rsid w:val="24C97D99"/>
    <w:rsid w:val="25A718F0"/>
    <w:rsid w:val="25BB59F6"/>
    <w:rsid w:val="260F557C"/>
    <w:rsid w:val="26970054"/>
    <w:rsid w:val="281408E2"/>
    <w:rsid w:val="297F03B3"/>
    <w:rsid w:val="29FD04D3"/>
    <w:rsid w:val="2BFF7BC6"/>
    <w:rsid w:val="2C8A61B5"/>
    <w:rsid w:val="2DF04E50"/>
    <w:rsid w:val="2E586DFA"/>
    <w:rsid w:val="2F040D46"/>
    <w:rsid w:val="2F6B035B"/>
    <w:rsid w:val="2FAE5751"/>
    <w:rsid w:val="2FB1A395"/>
    <w:rsid w:val="2FD9A7D8"/>
    <w:rsid w:val="2FDBF714"/>
    <w:rsid w:val="303625F7"/>
    <w:rsid w:val="30AB6865"/>
    <w:rsid w:val="319F7F4E"/>
    <w:rsid w:val="32BD1EF1"/>
    <w:rsid w:val="3304709D"/>
    <w:rsid w:val="33A773CB"/>
    <w:rsid w:val="349D6851"/>
    <w:rsid w:val="34EC0B94"/>
    <w:rsid w:val="36AA5135"/>
    <w:rsid w:val="36BE0DA7"/>
    <w:rsid w:val="376B6AA6"/>
    <w:rsid w:val="376D39B2"/>
    <w:rsid w:val="37D0105C"/>
    <w:rsid w:val="37E16F03"/>
    <w:rsid w:val="37F53A3B"/>
    <w:rsid w:val="389B6C89"/>
    <w:rsid w:val="38D469F0"/>
    <w:rsid w:val="39627CCD"/>
    <w:rsid w:val="397BAF1F"/>
    <w:rsid w:val="3A2F369D"/>
    <w:rsid w:val="3AB79AF3"/>
    <w:rsid w:val="3AE834C0"/>
    <w:rsid w:val="3B7EF35A"/>
    <w:rsid w:val="3B9FDB6C"/>
    <w:rsid w:val="3BF5BC2F"/>
    <w:rsid w:val="3C504A40"/>
    <w:rsid w:val="3CEBA265"/>
    <w:rsid w:val="3D5017F3"/>
    <w:rsid w:val="3D98207C"/>
    <w:rsid w:val="3DEE7CF3"/>
    <w:rsid w:val="3E740A63"/>
    <w:rsid w:val="3E78745D"/>
    <w:rsid w:val="3EE17838"/>
    <w:rsid w:val="3F55381A"/>
    <w:rsid w:val="3F7F7599"/>
    <w:rsid w:val="3FF4CAE0"/>
    <w:rsid w:val="3FF7B227"/>
    <w:rsid w:val="40B27C77"/>
    <w:rsid w:val="44E268DA"/>
    <w:rsid w:val="450D13D7"/>
    <w:rsid w:val="45506656"/>
    <w:rsid w:val="462A14EA"/>
    <w:rsid w:val="486A6C7A"/>
    <w:rsid w:val="4A627F82"/>
    <w:rsid w:val="4B0E749A"/>
    <w:rsid w:val="4B2477C4"/>
    <w:rsid w:val="4B4F25DA"/>
    <w:rsid w:val="4BE068DB"/>
    <w:rsid w:val="4D577224"/>
    <w:rsid w:val="4DBF1CEB"/>
    <w:rsid w:val="4DF0007C"/>
    <w:rsid w:val="4E067784"/>
    <w:rsid w:val="4EAB630A"/>
    <w:rsid w:val="4ECE2238"/>
    <w:rsid w:val="4F053468"/>
    <w:rsid w:val="4F833267"/>
    <w:rsid w:val="4FE9BD67"/>
    <w:rsid w:val="4FFB052F"/>
    <w:rsid w:val="503B5B3F"/>
    <w:rsid w:val="51A8199C"/>
    <w:rsid w:val="537E6D0A"/>
    <w:rsid w:val="53F74C96"/>
    <w:rsid w:val="540E1011"/>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754D0E"/>
    <w:rsid w:val="5FBF9FF3"/>
    <w:rsid w:val="5FCD4E2C"/>
    <w:rsid w:val="5FEF394A"/>
    <w:rsid w:val="5FF67715"/>
    <w:rsid w:val="62BF3928"/>
    <w:rsid w:val="63B3701E"/>
    <w:rsid w:val="647F5392"/>
    <w:rsid w:val="65E66580"/>
    <w:rsid w:val="66061E04"/>
    <w:rsid w:val="66301FB8"/>
    <w:rsid w:val="66330BC1"/>
    <w:rsid w:val="664B1D71"/>
    <w:rsid w:val="664B4E8E"/>
    <w:rsid w:val="67277B67"/>
    <w:rsid w:val="67AA3209"/>
    <w:rsid w:val="697F233D"/>
    <w:rsid w:val="698D0931"/>
    <w:rsid w:val="6A7FE5F3"/>
    <w:rsid w:val="6B053271"/>
    <w:rsid w:val="6BDD78B3"/>
    <w:rsid w:val="6C4A05C8"/>
    <w:rsid w:val="6C8742B8"/>
    <w:rsid w:val="6D8A7E75"/>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5974A3"/>
    <w:rsid w:val="72734D90"/>
    <w:rsid w:val="72A21998"/>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6C1733"/>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39077\Desktop\&#26494;&#28504;2024&#24180;&#20915;&#31639;&#20844;&#24320;&#36164;&#26009;\&#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9077\Desktop\&#26494;&#28504;2024&#24180;&#20915;&#31639;&#20844;&#24320;&#36164;&#26009;\&#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39077\Desktop\&#26494;&#28504;2024&#24180;&#20915;&#31639;&#20844;&#24320;&#36164;&#26009;\&#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39077\Desktop\&#26494;&#28504;2024&#24180;&#20915;&#31639;&#20844;&#24320;&#36164;&#26009;\&#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39077\Desktop\&#26494;&#28504;2024&#24180;&#20915;&#31639;&#20844;&#24320;&#36164;&#26009;\&#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39077\Desktop\&#26494;&#28504;2024&#24180;&#20915;&#31639;&#20844;&#24320;&#36164;&#26009;\&#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39077\Desktop\&#26494;&#28504;2024&#24180;&#20915;&#31639;&#20844;&#24320;&#36164;&#26009;\&#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 工作表.xls]Sheet1'!$A$2</c:f>
              <c:strCache>
                <c:ptCount val="1"/>
                <c:pt idx="0">
                  <c:v>收入</c:v>
                </c:pt>
              </c:strCache>
            </c:strRef>
          </c:tx>
          <c:spPr>
            <a:solidFill>
              <a:schemeClr val="accent1"/>
            </a:solidFill>
            <a:ln>
              <a:noFill/>
            </a:ln>
            <a:effectLst/>
          </c:spPr>
          <c:invertIfNegative val="0"/>
          <c:dLbls>
            <c:delete val="1"/>
          </c:dLbls>
          <c:val>
            <c:numRef>
              <c:f>'[新建 XLS 工作表.xls]Sheet1'!$A$3</c:f>
              <c:numCache>
                <c:formatCode>General</c:formatCode>
                <c:ptCount val="1"/>
                <c:pt idx="0">
                  <c:v>0</c:v>
                </c:pt>
              </c:numCache>
            </c:numRef>
          </c:val>
        </c:ser>
        <c:ser>
          <c:idx val="1"/>
          <c:order val="1"/>
          <c:tx>
            <c:strRef>
              <c:f>'[新建 XLS 工作表.xls]Sheet1'!$F$1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'[新建 XLS 工作表.xls]Sheet1'!$F$2:$F$3</c:f>
              <c:numCache>
                <c:formatCode>General</c:formatCode>
                <c:ptCount val="2"/>
                <c:pt idx="0">
                  <c:v>998.96</c:v>
                </c:pt>
                <c:pt idx="1" c:formatCode="#,##0.00">
                  <c:v>1009.12</c:v>
                </c:pt>
              </c:numCache>
            </c:numRef>
          </c:val>
        </c:ser>
        <c:ser>
          <c:idx val="2"/>
          <c:order val="2"/>
          <c:tx>
            <c:strRef>
              <c:f>'[新建 XLS 工作表.xls]Sheet1'!$G$1</c:f>
              <c:strCache>
                <c:ptCount val="1"/>
                <c:pt idx="0">
                  <c:v>2024年</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'[新建 XLS 工作表.xls]Sheet1'!$G$2:$G$3</c:f>
              <c:numCache>
                <c:formatCode>General</c:formatCode>
                <c:ptCount val="2"/>
                <c:pt idx="0">
                  <c:v>966.98</c:v>
                </c:pt>
                <c:pt idx="1">
                  <c:v>976.98</c:v>
                </c:pt>
              </c:numCache>
            </c:numRef>
          </c:val>
        </c:ser>
        <c:dLbls>
          <c:showLegendKey val="0"/>
          <c:showVal val="0"/>
          <c:showCatName val="0"/>
          <c:showSerName val="0"/>
          <c:showPercent val="0"/>
          <c:showBubbleSize val="0"/>
        </c:dLbls>
        <c:gapWidth val="246"/>
        <c:overlap val="-28"/>
        <c:axId val="410443642"/>
        <c:axId val="424619870"/>
      </c:barChart>
      <c:catAx>
        <c:axId val="410443642"/>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595959">
                    <a:alpha val="100000"/>
                  </a:srgbClr>
                </a:solidFill>
                <a:latin typeface="+mn-lt"/>
                <a:ea typeface="+mn-ea"/>
                <a:cs typeface="+mn-cs"/>
              </a:defRPr>
            </a:pPr>
          </a:p>
        </c:txPr>
        <c:crossAx val="424619870"/>
        <c:crosses val="autoZero"/>
        <c:auto val="1"/>
        <c:lblAlgn val="ctr"/>
        <c:lblOffset val="100"/>
        <c:noMultiLvlLbl val="0"/>
      </c:catAx>
      <c:valAx>
        <c:axId val="42461987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443642"/>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23ba59-3775-459f-ac80-60a07c9b622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工作表.xls]Sheet2'!$A$1:$A$2</c:f>
              <c:strCache>
                <c:ptCount val="2"/>
                <c:pt idx="0">
                  <c:v>一般公共预算财政拨款收入</c:v>
                </c:pt>
              </c:strCache>
            </c:strRef>
          </c:cat>
          <c:val>
            <c:numRef>
              <c:f>'[新建 XLS 工作表.xls]Sheet2'!$B$1:$B$2</c:f>
              <c:numCache>
                <c:formatCode>0.00%</c:formatCode>
                <c:ptCount val="2"/>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03d579-5178-46c0-a25c-9446ec7b908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工作表.xls]Sheet3'!$A$1:$A$2</c:f>
              <c:strCache>
                <c:ptCount val="2"/>
                <c:pt idx="0">
                  <c:v>基本支出</c:v>
                </c:pt>
                <c:pt idx="1">
                  <c:v>项目支出</c:v>
                </c:pt>
              </c:strCache>
            </c:strRef>
          </c:cat>
          <c:val>
            <c:numRef>
              <c:f>'[新建 XLS 工作表.xls]Sheet3'!$B$1:$B$2</c:f>
              <c:numCache>
                <c:formatCode>0.00%</c:formatCode>
                <c:ptCount val="2"/>
                <c:pt idx="0">
                  <c:v>0.2313</c:v>
                </c:pt>
                <c:pt idx="1">
                  <c:v>0.7687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2d2289-8aa6-44c0-85ba-f273ee93af9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8312064202079"/>
          <c:y val="0.0481370053228419"/>
          <c:w val="0.888225233521905"/>
          <c:h val="0.792872020365656"/>
        </c:manualLayout>
      </c:layout>
      <c:barChart>
        <c:barDir val="col"/>
        <c:grouping val="clustered"/>
        <c:varyColors val="0"/>
        <c:ser>
          <c:idx val="0"/>
          <c:order val="0"/>
          <c:tx>
            <c:strRef>
              <c:f>'[新建 XLS 工作表.xls]Sheet1'!$A$2</c:f>
              <c:strCache>
                <c:ptCount val="1"/>
                <c:pt idx="0">
                  <c:v>收入</c:v>
                </c:pt>
              </c:strCache>
            </c:strRef>
          </c:tx>
          <c:spPr>
            <a:solidFill>
              <a:schemeClr val="accent1"/>
            </a:solidFill>
            <a:ln>
              <a:noFill/>
            </a:ln>
            <a:effectLst/>
          </c:spPr>
          <c:invertIfNegative val="0"/>
          <c:dLbls>
            <c:delete val="1"/>
          </c:dLbls>
          <c:val>
            <c:numRef>
              <c:f>'[新建 XLS 工作表.xls]Sheet1'!$A$3</c:f>
              <c:numCache>
                <c:formatCode>General</c:formatCode>
                <c:ptCount val="1"/>
                <c:pt idx="0">
                  <c:v>0</c:v>
                </c:pt>
              </c:numCache>
            </c:numRef>
          </c:val>
        </c:ser>
        <c:ser>
          <c:idx val="1"/>
          <c:order val="1"/>
          <c:tx>
            <c:strRef>
              <c:f>'[新建 XLS 工作表.xls]Sheet1'!$F$1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'[新建 XLS 工作表.xls]Sheet1'!$F$2:$F$3</c:f>
              <c:numCache>
                <c:formatCode>General</c:formatCode>
                <c:ptCount val="2"/>
                <c:pt idx="0">
                  <c:v>998.96</c:v>
                </c:pt>
                <c:pt idx="1" c:formatCode="#,##0.00">
                  <c:v>1009.12</c:v>
                </c:pt>
              </c:numCache>
            </c:numRef>
          </c:val>
        </c:ser>
        <c:ser>
          <c:idx val="2"/>
          <c:order val="2"/>
          <c:tx>
            <c:strRef>
              <c:f>'[新建 XLS 工作表.xls]Sheet1'!$G$1</c:f>
              <c:strCache>
                <c:ptCount val="1"/>
                <c:pt idx="0">
                  <c:v>2024年</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'[新建 XLS 工作表.xls]Sheet1'!$G$2:$G$3</c:f>
              <c:numCache>
                <c:formatCode>General</c:formatCode>
                <c:ptCount val="2"/>
                <c:pt idx="0">
                  <c:v>966.98</c:v>
                </c:pt>
                <c:pt idx="1">
                  <c:v>976.98</c:v>
                </c:pt>
              </c:numCache>
            </c:numRef>
          </c:val>
        </c:ser>
        <c:dLbls>
          <c:showLegendKey val="0"/>
          <c:showVal val="0"/>
          <c:showCatName val="0"/>
          <c:showSerName val="0"/>
          <c:showPercent val="0"/>
          <c:showBubbleSize val="0"/>
        </c:dLbls>
        <c:gapWidth val="246"/>
        <c:overlap val="-28"/>
        <c:axId val="410443642"/>
        <c:axId val="424619870"/>
      </c:barChart>
      <c:catAx>
        <c:axId val="410443642"/>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595959">
                    <a:alpha val="100000"/>
                  </a:srgbClr>
                </a:solidFill>
                <a:latin typeface="+mn-lt"/>
                <a:ea typeface="+mn-ea"/>
                <a:cs typeface="+mn-cs"/>
              </a:defRPr>
            </a:pPr>
          </a:p>
        </c:txPr>
        <c:crossAx val="424619870"/>
        <c:crosses val="autoZero"/>
        <c:auto val="1"/>
        <c:lblAlgn val="ctr"/>
        <c:lblOffset val="100"/>
        <c:noMultiLvlLbl val="0"/>
      </c:catAx>
      <c:valAx>
        <c:axId val="42461987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443642"/>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eae20e-6b4d-4973-b1c7-237a5fd69bf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工作表.xls]Sheet4'!$F$1:$G$1</c:f>
              <c:strCache>
                <c:ptCount val="2"/>
                <c:pt idx="0">
                  <c:v>2024年</c:v>
                </c:pt>
                <c:pt idx="1">
                  <c:v>2023年</c:v>
                </c:pt>
              </c:strCache>
            </c:strRef>
          </c:cat>
          <c:val>
            <c:numRef>
              <c:f>'[新建 XLS 工作表.xls]Sheet4'!$F$2:$G$2</c:f>
              <c:numCache>
                <c:formatCode>General</c:formatCode>
                <c:ptCount val="2"/>
                <c:pt idx="0">
                  <c:v>976.98</c:v>
                </c:pt>
                <c:pt idx="1" c:formatCode="#,##0.00">
                  <c:v>1009.12</c:v>
                </c:pt>
              </c:numCache>
            </c:numRef>
          </c:val>
        </c:ser>
        <c:dLbls>
          <c:showLegendKey val="0"/>
          <c:showVal val="0"/>
          <c:showCatName val="0"/>
          <c:showSerName val="0"/>
          <c:showPercent val="0"/>
          <c:showBubbleSize val="0"/>
        </c:dLbls>
        <c:gapWidth val="246"/>
        <c:overlap val="-28"/>
        <c:axId val="413391743"/>
        <c:axId val="820193518"/>
      </c:barChart>
      <c:catAx>
        <c:axId val="41339174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0193518"/>
        <c:crosses val="autoZero"/>
        <c:auto val="1"/>
        <c:lblAlgn val="ctr"/>
        <c:lblOffset val="100"/>
        <c:noMultiLvlLbl val="0"/>
      </c:catAx>
      <c:valAx>
        <c:axId val="820193518"/>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391743"/>
        <c:crosses val="autoZero"/>
        <c:crossBetween val="between"/>
      </c:valAx>
      <c:spPr>
        <a:noFill/>
        <a:ln>
          <a:noFill/>
        </a:ln>
        <a:effectLst/>
      </c:spPr>
    </c:plotArea>
    <c:plotVisOnly val="1"/>
    <c:dispBlanksAs val="gap"/>
    <c:showDLblsOverMax val="0"/>
    <c:extLst>
      <c:ext uri="{0b15fc19-7d7d-44ad-8c2d-2c3a37ce22c3}">
        <chartProps xmlns="https://web.wps.cn/et/2018/main" chartId="{19ad1053-c94f-485e-9f3d-06cacaeb6e4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Pt>
            <c:idx val="4"/>
            <c:bubble3D val="0"/>
            <c:explosion val="0"/>
            <c:spPr>
              <a:solidFill>
                <a:schemeClr val="accent5"/>
              </a:solidFill>
              <a:ln>
                <a:solidFill>
                  <a:schemeClr val="bg1"/>
                </a:solidFill>
              </a:ln>
              <a:effectLst/>
            </c:spPr>
          </c:dPt>
          <c:dLbls>
            <c:dLbl>
              <c:idx val="0"/>
              <c:layout>
                <c:manualLayout>
                  <c:x val="0.0647188934379981"/>
                  <c:y val="-0.011548630326027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76005795137835"/>
                  <c:y val="-0.003319588543934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65825580667876"/>
                  <c:y val="0.028154833853279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835137061182305"/>
                  <c:y val="0.02259271950130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工作表.xls]Sheet5'!$A$1:$A$5</c:f>
              <c:strCache>
                <c:ptCount val="5"/>
                <c:pt idx="0">
                  <c:v>教育支出</c:v>
                </c:pt>
                <c:pt idx="1">
                  <c:v>社会保障和就业支出</c:v>
                </c:pt>
                <c:pt idx="2">
                  <c:v>卫生健康支出</c:v>
                </c:pt>
                <c:pt idx="3">
                  <c:v>住房保障支出</c:v>
                </c:pt>
              </c:strCache>
            </c:strRef>
          </c:cat>
          <c:val>
            <c:numRef>
              <c:f>'[新建 XLS 工作表.xls]Sheet5'!$B$1:$B$5</c:f>
              <c:numCache>
                <c:formatCode>0.00%</c:formatCode>
                <c:ptCount val="5"/>
                <c:pt idx="0">
                  <c:v>0.216667690229073</c:v>
                </c:pt>
                <c:pt idx="1">
                  <c:v>0.752697086941391</c:v>
                </c:pt>
                <c:pt idx="2">
                  <c:v>0.0130708919322811</c:v>
                </c:pt>
                <c:pt idx="3">
                  <c:v>0.0175643308972548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f3345e-cc93-46fb-8f6c-54ab1856f25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Lbls>
            <c:dLbl>
              <c:idx val="2"/>
              <c:layout>
                <c:manualLayout>
                  <c:x val="0.0970924878305486"/>
                  <c:y val="0.01412363973141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工作表.xls]Sheet6'!$A$1:$A$3</c:f>
              <c:strCache>
                <c:ptCount val="3"/>
                <c:pt idx="0">
                  <c:v>公务用车购置及运行维护费支出</c:v>
                </c:pt>
                <c:pt idx="1">
                  <c:v>公务接待费支出</c:v>
                </c:pt>
                <c:pt idx="2">
                  <c:v>因公出国（境）费支出</c:v>
                </c:pt>
              </c:strCache>
            </c:strRef>
          </c:cat>
          <c:val>
            <c:numRef>
              <c:f>'[新建 XLS 工作表.xls]Sheet6'!$B$1:$B$3</c:f>
              <c:numCache>
                <c:formatCode>0.00%</c:formatCode>
                <c:ptCount val="3"/>
                <c:pt idx="0">
                  <c:v>1</c:v>
                </c:pt>
                <c:pt idx="1">
                  <c:v>0</c:v>
                </c:pt>
                <c:pt idx="2"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d3b568-33fe-48b1-b5f2-97a9cec3e7c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5661</Words>
  <Characters>6251</Characters>
  <Lines>61</Lines>
  <Paragraphs>17</Paragraphs>
  <TotalTime>0</TotalTime>
  <ScaleCrop>false</ScaleCrop>
  <LinksUpToDate>false</LinksUpToDate>
  <CharactersWithSpaces>6356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2025-10-16T02:13:32Z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9518DA489C3A41078F5465B53F20D5AD_13</vt:lpwstr>
  </property>
  <property fmtid="{D5CDD505-2E9C-101B-9397-08002B2CF9AE}" pid="4" name="KSOTemplateDocerSaveRecord">
    <vt:lpwstr>eyJoZGlkIjoiNTU1MWNhN2ZmY2ZhZmY3ODhlYTg0MWU5OGMyY2QwZmUiLCJ1c2VySWQiOiI0MzQ2NTM0NzEifQ==</vt:lpwstr>
  </property>
</Properties>
</file>