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7E4EE">
      <w:pPr>
        <w:spacing w:line="600" w:lineRule="exact"/>
        <w:jc w:val="center"/>
        <w:outlineLvl w:val="0"/>
        <w:rPr>
          <w:rFonts w:ascii="方正小标宋简体" w:hAnsi="宋体" w:eastAsia="方正小标宋简体"/>
          <w:color w:val="000000"/>
          <w:sz w:val="72"/>
          <w:szCs w:val="72"/>
        </w:rPr>
      </w:pPr>
      <w:bookmarkStart w:id="0" w:name="_Toc15306267"/>
      <w:bookmarkStart w:id="150" w:name="_GoBack"/>
      <w:bookmarkEnd w:id="150"/>
    </w:p>
    <w:p w14:paraId="2AD67393">
      <w:pPr>
        <w:spacing w:line="600" w:lineRule="exact"/>
        <w:jc w:val="center"/>
        <w:outlineLvl w:val="0"/>
        <w:rPr>
          <w:rFonts w:ascii="方正小标宋简体" w:hAnsi="宋体" w:eastAsia="方正小标宋简体"/>
          <w:color w:val="000000"/>
          <w:sz w:val="72"/>
          <w:szCs w:val="72"/>
        </w:rPr>
      </w:pPr>
    </w:p>
    <w:p w14:paraId="001CA4A6">
      <w:pPr>
        <w:spacing w:line="600" w:lineRule="exact"/>
        <w:jc w:val="center"/>
        <w:outlineLvl w:val="0"/>
        <w:rPr>
          <w:rFonts w:ascii="方正小标宋简体" w:hAnsi="宋体" w:eastAsia="方正小标宋简体"/>
          <w:color w:val="000000"/>
          <w:sz w:val="72"/>
          <w:szCs w:val="72"/>
        </w:rPr>
      </w:pPr>
    </w:p>
    <w:p w14:paraId="65E52A67">
      <w:pPr>
        <w:jc w:val="center"/>
        <w:rPr>
          <w:rFonts w:ascii="黑体" w:hAnsi="黑体" w:eastAsia="黑体"/>
          <w:sz w:val="72"/>
          <w:szCs w:val="72"/>
        </w:rPr>
      </w:pPr>
      <w:bookmarkStart w:id="1" w:name="_Toc15396475"/>
      <w:bookmarkStart w:id="2" w:name="_Toc15396597"/>
      <w:bookmarkStart w:id="3" w:name="_Toc15377425"/>
      <w:bookmarkStart w:id="4" w:name="_Toc15377193"/>
      <w:bookmarkStart w:id="5" w:name="_Toc15378441"/>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14:paraId="239890CE">
      <w:pPr>
        <w:jc w:val="center"/>
        <w:rPr>
          <w:rFonts w:ascii="方正小标宋简体" w:eastAsia="方正小标宋简体"/>
          <w:sz w:val="72"/>
          <w:szCs w:val="72"/>
        </w:rPr>
      </w:pPr>
      <w:bookmarkStart w:id="6" w:name="_Toc15377194"/>
      <w:bookmarkStart w:id="7" w:name="_Toc15396598"/>
      <w:bookmarkStart w:id="8" w:name="_Toc15396476"/>
      <w:bookmarkStart w:id="9" w:name="_Toc15378442"/>
      <w:bookmarkStart w:id="10" w:name="_Toc15377426"/>
      <w:r>
        <w:rPr>
          <w:rFonts w:hint="eastAsia" w:ascii="方正小标宋简体" w:eastAsia="方正小标宋简体"/>
          <w:sz w:val="72"/>
          <w:szCs w:val="72"/>
        </w:rPr>
        <w:t>四川省阿坝州松潘县</w:t>
      </w:r>
      <w:bookmarkEnd w:id="0"/>
      <w:bookmarkStart w:id="11" w:name="_Toc15306268"/>
      <w:r>
        <w:rPr>
          <w:rFonts w:hint="eastAsia" w:ascii="方正小标宋简体" w:eastAsia="方正小标宋简体"/>
          <w:sz w:val="72"/>
          <w:szCs w:val="72"/>
        </w:rPr>
        <w:t>融媒体中心部门决算</w:t>
      </w:r>
      <w:bookmarkEnd w:id="6"/>
      <w:bookmarkEnd w:id="7"/>
      <w:bookmarkEnd w:id="8"/>
      <w:bookmarkEnd w:id="9"/>
      <w:bookmarkEnd w:id="10"/>
      <w:bookmarkEnd w:id="11"/>
    </w:p>
    <w:p w14:paraId="2EF7F977">
      <w:pPr>
        <w:widowControl/>
        <w:jc w:val="center"/>
        <w:rPr>
          <w:rFonts w:ascii="方正小标宋简体" w:hAnsi="宋体" w:eastAsia="方正小标宋简体"/>
          <w:color w:val="000000"/>
          <w:sz w:val="36"/>
          <w:szCs w:val="36"/>
        </w:rPr>
      </w:pPr>
    </w:p>
    <w:p w14:paraId="7A2A20C5">
      <w:pPr>
        <w:rPr>
          <w:rFonts w:ascii="方正小标宋简体" w:hAnsi="宋体" w:eastAsia="方正小标宋简体"/>
          <w:sz w:val="36"/>
          <w:szCs w:val="36"/>
        </w:rPr>
      </w:pPr>
    </w:p>
    <w:p w14:paraId="3D381DE7">
      <w:pPr>
        <w:rPr>
          <w:rFonts w:ascii="方正小标宋简体" w:hAnsi="宋体" w:eastAsia="方正小标宋简体"/>
          <w:sz w:val="36"/>
          <w:szCs w:val="36"/>
        </w:rPr>
      </w:pPr>
    </w:p>
    <w:p w14:paraId="2CDFF5F8">
      <w:pPr>
        <w:rPr>
          <w:rFonts w:ascii="方正小标宋简体" w:hAnsi="宋体" w:eastAsia="方正小标宋简体"/>
          <w:sz w:val="36"/>
          <w:szCs w:val="36"/>
        </w:rPr>
      </w:pPr>
    </w:p>
    <w:p w14:paraId="26EBF6C6">
      <w:pPr>
        <w:rPr>
          <w:rFonts w:ascii="方正小标宋简体" w:hAnsi="宋体" w:eastAsia="方正小标宋简体"/>
          <w:sz w:val="36"/>
          <w:szCs w:val="36"/>
        </w:rPr>
      </w:pPr>
    </w:p>
    <w:p w14:paraId="4566CEF0">
      <w:pPr>
        <w:rPr>
          <w:rFonts w:ascii="方正小标宋简体" w:hAnsi="宋体" w:eastAsia="方正小标宋简体"/>
          <w:sz w:val="36"/>
          <w:szCs w:val="36"/>
        </w:rPr>
      </w:pPr>
    </w:p>
    <w:p w14:paraId="141DB232">
      <w:pPr>
        <w:autoSpaceDE w:val="0"/>
        <w:autoSpaceDN w:val="0"/>
        <w:adjustRightInd w:val="0"/>
        <w:ind w:firstLine="960" w:firstLineChars="300"/>
        <w:rPr>
          <w:rFonts w:ascii="宋体" w:hAnsi="宋体"/>
          <w:sz w:val="32"/>
          <w:szCs w:val="32"/>
        </w:rPr>
      </w:pPr>
      <w:r>
        <w:rPr>
          <w:rFonts w:hint="eastAsia" w:ascii="宋体" w:hAnsi="宋体" w:cs="仿宋_GB2312"/>
          <w:sz w:val="32"/>
          <w:szCs w:val="32"/>
        </w:rPr>
        <w:t>保密审查情况：已审查，内容审定</w:t>
      </w:r>
    </w:p>
    <w:p w14:paraId="5249D5F2">
      <w:pPr>
        <w:autoSpaceDE w:val="0"/>
        <w:autoSpaceDN w:val="0"/>
        <w:adjustRightInd w:val="0"/>
        <w:ind w:firstLine="640" w:firstLineChars="200"/>
        <w:jc w:val="center"/>
        <w:rPr>
          <w:rFonts w:ascii="黑体" w:hAnsi="黑体" w:eastAsia="黑体"/>
          <w:color w:val="000000"/>
          <w:sz w:val="48"/>
          <w:szCs w:val="48"/>
        </w:rPr>
      </w:pPr>
      <w:r>
        <w:rPr>
          <w:rFonts w:hint="eastAsia" w:ascii="宋体" w:hAnsi="宋体" w:cs="仿宋_GB2312"/>
          <w:sz w:val="32"/>
          <w:szCs w:val="32"/>
        </w:rPr>
        <w:t>部门主要负责人审签情况：已审签，同意对外公开</w:t>
      </w: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75A17E13">
      <w:pPr>
        <w:pStyle w:val="14"/>
        <w:jc w:val="center"/>
        <w:rPr>
          <w:rFonts w:hAnsiTheme="minorHAnsi"/>
          <w:b w:val="0"/>
          <w:bCs w:val="0"/>
          <w:sz w:val="24"/>
          <w:szCs w:val="24"/>
        </w:rPr>
      </w:pPr>
      <w:r>
        <w:rPr>
          <w:rFonts w:hint="eastAsia" w:hAnsiTheme="minorHAnsi"/>
          <w:b w:val="0"/>
          <w:bCs w:val="0"/>
          <w:sz w:val="24"/>
          <w:szCs w:val="24"/>
        </w:rPr>
        <w:t>公开时间：2021年 9月24日</w:t>
      </w:r>
    </w:p>
    <w:p w14:paraId="4F6EA4F3">
      <w:pPr>
        <w:pStyle w:val="14"/>
        <w:tabs>
          <w:tab w:val="right" w:leader="dot" w:pos="8296"/>
        </w:tabs>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5</w:t>
      </w:r>
      <w:r>
        <w:fldChar w:fldCharType="end"/>
      </w:r>
    </w:p>
    <w:p w14:paraId="62BAD677">
      <w:pPr>
        <w:pStyle w:val="17"/>
        <w:tabs>
          <w:tab w:val="right" w:leader="dot" w:pos="8296"/>
        </w:tabs>
        <w:rPr>
          <w:rFonts w:hAnsiTheme="minorHAnsi" w:eastAsiaTheme="minorEastAsia" w:cstheme="minorBidi"/>
          <w:smallCaps w:val="0"/>
          <w:sz w:val="21"/>
          <w:szCs w:val="22"/>
        </w:rPr>
      </w:pPr>
      <w:r>
        <w:rPr>
          <w:rFonts w:ascii="黑体" w:hAnsi="黑体" w:eastAsia="黑体"/>
          <w:color w:val="000000"/>
        </w:rPr>
        <w:t>一、基</w:t>
      </w:r>
      <w:r>
        <w:rPr>
          <w:rFonts w:ascii="黑体" w:hAnsi="黑体" w:eastAsia="黑体"/>
        </w:rPr>
        <w:t>本职能及主要工作</w:t>
      </w:r>
      <w:r>
        <w:tab/>
      </w:r>
      <w:r>
        <w:fldChar w:fldCharType="begin"/>
      </w:r>
      <w:r>
        <w:instrText xml:space="preserve"> PAGEREF _Toc79163852 \h </w:instrText>
      </w:r>
      <w:r>
        <w:fldChar w:fldCharType="separate"/>
      </w:r>
      <w:r>
        <w:t>5</w:t>
      </w:r>
      <w:r>
        <w:fldChar w:fldCharType="end"/>
      </w:r>
    </w:p>
    <w:p w14:paraId="34C28B6B">
      <w:pPr>
        <w:pStyle w:val="9"/>
        <w:tabs>
          <w:tab w:val="right" w:leader="dot" w:pos="8296"/>
        </w:tabs>
        <w:rPr>
          <w:rFonts w:hAnsiTheme="minorHAnsi" w:eastAsiaTheme="minorEastAsia" w:cstheme="minorBidi"/>
          <w:i w:val="0"/>
          <w:iCs w:val="0"/>
          <w:sz w:val="21"/>
          <w:szCs w:val="22"/>
        </w:rPr>
      </w:pPr>
      <w:r>
        <w:rPr>
          <w:rFonts w:ascii="仿宋" w:hAnsi="仿宋" w:eastAsia="仿宋"/>
          <w:bCs/>
          <w:color w:val="000000"/>
        </w:rPr>
        <w:t>（一）主要职能。</w:t>
      </w:r>
      <w:r>
        <w:tab/>
      </w:r>
    </w:p>
    <w:p w14:paraId="266B48D6">
      <w:pPr>
        <w:pStyle w:val="9"/>
        <w:tabs>
          <w:tab w:val="right" w:leader="dot" w:pos="8296"/>
        </w:tabs>
        <w:rPr>
          <w:rFonts w:hAnsiTheme="minorHAnsi" w:eastAsiaTheme="minorEastAsia" w:cstheme="minorBidi"/>
          <w:i w:val="0"/>
          <w:iCs w:val="0"/>
          <w:sz w:val="21"/>
          <w:szCs w:val="22"/>
        </w:rPr>
      </w:pPr>
      <w:r>
        <w:rPr>
          <w:rFonts w:ascii="仿宋" w:hAnsi="仿宋" w:eastAsia="仿宋"/>
          <w:bCs/>
          <w:color w:val="000000"/>
        </w:rPr>
        <w:t>（二）2020年重点工作完成情况。</w:t>
      </w:r>
      <w:r>
        <w:tab/>
      </w:r>
      <w:r>
        <w:fldChar w:fldCharType="begin"/>
      </w:r>
      <w:r>
        <w:instrText xml:space="preserve"> PAGEREF _Toc79163854 \h </w:instrText>
      </w:r>
      <w:r>
        <w:fldChar w:fldCharType="separate"/>
      </w:r>
      <w:r>
        <w:t>5</w:t>
      </w:r>
      <w:r>
        <w:fldChar w:fldCharType="end"/>
      </w:r>
    </w:p>
    <w:p w14:paraId="7CD5FFB9">
      <w:pPr>
        <w:pStyle w:val="17"/>
        <w:tabs>
          <w:tab w:val="right" w:leader="dot" w:pos="8296"/>
        </w:tabs>
        <w:rPr>
          <w:rFonts w:hAnsiTheme="minorHAnsi" w:eastAsiaTheme="minorEastAsia" w:cstheme="minorBidi"/>
          <w:smallCaps w:val="0"/>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r>
        <w:fldChar w:fldCharType="begin"/>
      </w:r>
      <w:r>
        <w:instrText xml:space="preserve"> PAGEREF _Toc79163855 \h </w:instrText>
      </w:r>
      <w:r>
        <w:fldChar w:fldCharType="separate"/>
      </w:r>
      <w:r>
        <w:t>13</w:t>
      </w:r>
      <w:r>
        <w:fldChar w:fldCharType="end"/>
      </w:r>
    </w:p>
    <w:p w14:paraId="38C04F13">
      <w:pPr>
        <w:pStyle w:val="14"/>
        <w:tabs>
          <w:tab w:val="right" w:leader="dot" w:pos="8296"/>
        </w:tabs>
        <w:rPr>
          <w:rFonts w:hAnsiTheme="minorHAnsi" w:eastAsiaTheme="minorEastAsia" w:cstheme="minorBidi"/>
          <w:b w:val="0"/>
          <w:bCs w:val="0"/>
          <w:caps w:val="0"/>
          <w:sz w:val="21"/>
          <w:szCs w:val="22"/>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2020年度部门决算情况说明</w:t>
      </w:r>
      <w:r>
        <w:tab/>
      </w:r>
      <w:r>
        <w:fldChar w:fldCharType="begin"/>
      </w:r>
      <w:r>
        <w:instrText xml:space="preserve"> PAGEREF _Toc79163859 \h </w:instrText>
      </w:r>
      <w:r>
        <w:fldChar w:fldCharType="separate"/>
      </w:r>
      <w:r>
        <w:t>14</w:t>
      </w:r>
      <w:r>
        <w:fldChar w:fldCharType="end"/>
      </w:r>
    </w:p>
    <w:p w14:paraId="44A650E9">
      <w:pPr>
        <w:pStyle w:val="17"/>
        <w:tabs>
          <w:tab w:val="left" w:pos="840"/>
          <w:tab w:val="right" w:leader="dot" w:pos="8296"/>
        </w:tabs>
        <w:rPr>
          <w:rFonts w:hAnsiTheme="minorHAnsi" w:eastAsiaTheme="minorEastAsia" w:cstheme="minorBidi"/>
          <w:smallCaps w:val="0"/>
          <w:sz w:val="21"/>
          <w:szCs w:val="22"/>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fldChar w:fldCharType="begin"/>
      </w:r>
      <w:r>
        <w:instrText xml:space="preserve"> PAGEREF _Toc79163860 \h </w:instrText>
      </w:r>
      <w:r>
        <w:fldChar w:fldCharType="separate"/>
      </w:r>
      <w:r>
        <w:t>14</w:t>
      </w:r>
      <w:r>
        <w:fldChar w:fldCharType="end"/>
      </w:r>
    </w:p>
    <w:p w14:paraId="3B7ADFA6">
      <w:pPr>
        <w:pStyle w:val="17"/>
        <w:tabs>
          <w:tab w:val="left" w:pos="840"/>
          <w:tab w:val="right" w:leader="dot" w:pos="8296"/>
        </w:tabs>
        <w:rPr>
          <w:rFonts w:hAnsiTheme="minorHAnsi" w:eastAsiaTheme="minorEastAsia"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fldChar w:fldCharType="begin"/>
      </w:r>
      <w:r>
        <w:instrText xml:space="preserve"> PAGEREF _Toc79163861 \h </w:instrText>
      </w:r>
      <w:r>
        <w:fldChar w:fldCharType="separate"/>
      </w:r>
      <w:r>
        <w:t>14</w:t>
      </w:r>
      <w:r>
        <w:fldChar w:fldCharType="end"/>
      </w:r>
    </w:p>
    <w:p w14:paraId="73E2B772">
      <w:pPr>
        <w:pStyle w:val="17"/>
        <w:tabs>
          <w:tab w:val="left" w:pos="840"/>
          <w:tab w:val="right" w:leader="dot" w:pos="8296"/>
        </w:tabs>
        <w:rPr>
          <w:rFonts w:hAnsiTheme="minorHAnsi" w:eastAsiaTheme="minorEastAsia"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fldChar w:fldCharType="begin"/>
      </w:r>
      <w:r>
        <w:instrText xml:space="preserve"> PAGEREF _Toc79163862 \h </w:instrText>
      </w:r>
      <w:r>
        <w:fldChar w:fldCharType="separate"/>
      </w:r>
      <w:r>
        <w:t>14</w:t>
      </w:r>
      <w:r>
        <w:fldChar w:fldCharType="end"/>
      </w:r>
    </w:p>
    <w:p w14:paraId="5BA48FF1">
      <w:pPr>
        <w:pStyle w:val="17"/>
        <w:tabs>
          <w:tab w:val="right" w:leader="dot" w:pos="8296"/>
        </w:tabs>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14</w:t>
      </w:r>
      <w:r>
        <w:fldChar w:fldCharType="end"/>
      </w:r>
    </w:p>
    <w:p w14:paraId="5332F062">
      <w:pPr>
        <w:pStyle w:val="17"/>
        <w:tabs>
          <w:tab w:val="right" w:leader="dot" w:pos="8296"/>
        </w:tabs>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14</w:t>
      </w:r>
      <w:r>
        <w:fldChar w:fldCharType="end"/>
      </w:r>
    </w:p>
    <w:p w14:paraId="643CC5A7">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（一）一般公共预算财政拨款支出决算总体情况</w:t>
      </w:r>
      <w:r>
        <w:tab/>
      </w:r>
      <w:r>
        <w:fldChar w:fldCharType="begin"/>
      </w:r>
      <w:r>
        <w:instrText xml:space="preserve"> PAGEREF _Toc79163865 \h </w:instrText>
      </w:r>
      <w:r>
        <w:fldChar w:fldCharType="separate"/>
      </w:r>
      <w:r>
        <w:t>15</w:t>
      </w:r>
      <w:r>
        <w:fldChar w:fldCharType="end"/>
      </w:r>
    </w:p>
    <w:p w14:paraId="0A7780A5">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（二）一般公共预算财政拨款支出决算结构情况</w:t>
      </w:r>
      <w:r>
        <w:tab/>
      </w:r>
      <w:r>
        <w:fldChar w:fldCharType="begin"/>
      </w:r>
      <w:r>
        <w:instrText xml:space="preserve"> PAGEREF _Toc79163866 \h </w:instrText>
      </w:r>
      <w:r>
        <w:fldChar w:fldCharType="separate"/>
      </w:r>
      <w:r>
        <w:t>15</w:t>
      </w:r>
      <w:r>
        <w:fldChar w:fldCharType="end"/>
      </w:r>
    </w:p>
    <w:p w14:paraId="258EFFC7">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（三）一般公共预算财政拨款支出决算具体情况</w:t>
      </w:r>
      <w:r>
        <w:tab/>
      </w:r>
      <w:r>
        <w:fldChar w:fldCharType="begin"/>
      </w:r>
      <w:r>
        <w:instrText xml:space="preserve"> PAGEREF _Toc79163867 \h </w:instrText>
      </w:r>
      <w:r>
        <w:fldChar w:fldCharType="separate"/>
      </w:r>
      <w:r>
        <w:t>15</w:t>
      </w:r>
      <w:r>
        <w:fldChar w:fldCharType="end"/>
      </w:r>
    </w:p>
    <w:p w14:paraId="79F733DB">
      <w:pPr>
        <w:pStyle w:val="17"/>
        <w:tabs>
          <w:tab w:val="right" w:leader="dot" w:pos="8296"/>
        </w:tabs>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16</w:t>
      </w:r>
      <w:r>
        <w:fldChar w:fldCharType="end"/>
      </w:r>
    </w:p>
    <w:p w14:paraId="1B8D4C1A">
      <w:pPr>
        <w:pStyle w:val="17"/>
        <w:tabs>
          <w:tab w:val="right" w:leader="dot" w:pos="8296"/>
        </w:tabs>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16</w:t>
      </w:r>
      <w:r>
        <w:fldChar w:fldCharType="end"/>
      </w:r>
    </w:p>
    <w:p w14:paraId="16AD3885">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（一）“三公”经费财政拨款支出决算总体情况说明</w:t>
      </w:r>
      <w:r>
        <w:tab/>
      </w:r>
      <w:r>
        <w:fldChar w:fldCharType="begin"/>
      </w:r>
      <w:r>
        <w:instrText xml:space="preserve"> PAGEREF _Toc79163870 \h </w:instrText>
      </w:r>
      <w:r>
        <w:fldChar w:fldCharType="separate"/>
      </w:r>
      <w:r>
        <w:t>16</w:t>
      </w:r>
      <w:r>
        <w:fldChar w:fldCharType="end"/>
      </w:r>
    </w:p>
    <w:p w14:paraId="0E5E0D34">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（二）“三公”经费财政拨款支出决算具体情况说明</w:t>
      </w:r>
      <w:r>
        <w:tab/>
      </w:r>
      <w:r>
        <w:fldChar w:fldCharType="begin"/>
      </w:r>
      <w:r>
        <w:instrText xml:space="preserve"> PAGEREF _Toc79163871 \h </w:instrText>
      </w:r>
      <w:r>
        <w:fldChar w:fldCharType="separate"/>
      </w:r>
      <w:r>
        <w:t>17</w:t>
      </w:r>
      <w:r>
        <w:fldChar w:fldCharType="end"/>
      </w:r>
    </w:p>
    <w:p w14:paraId="492D30EC">
      <w:pPr>
        <w:pStyle w:val="17"/>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17</w:t>
      </w:r>
      <w:r>
        <w:fldChar w:fldCharType="end"/>
      </w:r>
    </w:p>
    <w:p w14:paraId="65BAADF1">
      <w:pPr>
        <w:pStyle w:val="17"/>
        <w:tabs>
          <w:tab w:val="right" w:leader="dot" w:pos="8296"/>
        </w:tabs>
        <w:rPr>
          <w:rFonts w:hAnsiTheme="minorHAnsi" w:eastAsiaTheme="minorEastAsia" w:cstheme="minorBidi"/>
          <w:smallCaps w:val="0"/>
          <w:sz w:val="21"/>
          <w:szCs w:val="22"/>
        </w:rPr>
      </w:pPr>
      <w:r>
        <w:rPr>
          <w:rFonts w:ascii="黑体" w:hAnsi="黑体" w:eastAsia="黑体"/>
          <w:bCs/>
        </w:rPr>
        <w:t>九、 国有资本经营预算支出决算情况说明</w:t>
      </w:r>
      <w:r>
        <w:tab/>
      </w:r>
      <w:r>
        <w:fldChar w:fldCharType="begin"/>
      </w:r>
      <w:r>
        <w:instrText xml:space="preserve"> PAGEREF _Toc79163873 \h </w:instrText>
      </w:r>
      <w:r>
        <w:fldChar w:fldCharType="separate"/>
      </w:r>
      <w:r>
        <w:t>17</w:t>
      </w:r>
      <w:r>
        <w:fldChar w:fldCharType="end"/>
      </w:r>
    </w:p>
    <w:p w14:paraId="45AFD915">
      <w:pPr>
        <w:pStyle w:val="17"/>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18</w:t>
      </w:r>
      <w:r>
        <w:fldChar w:fldCharType="end"/>
      </w:r>
    </w:p>
    <w:p w14:paraId="0627CF01">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（一）机关运行经费支出情况</w:t>
      </w:r>
      <w:r>
        <w:tab/>
      </w:r>
      <w:r>
        <w:fldChar w:fldCharType="begin"/>
      </w:r>
      <w:r>
        <w:instrText xml:space="preserve"> PAGEREF _Toc79163875 \h </w:instrText>
      </w:r>
      <w:r>
        <w:fldChar w:fldCharType="separate"/>
      </w:r>
      <w:r>
        <w:t>18</w:t>
      </w:r>
      <w:r>
        <w:fldChar w:fldCharType="end"/>
      </w:r>
    </w:p>
    <w:p w14:paraId="403CFAB5">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（二）政府采购支出情况</w:t>
      </w:r>
      <w:r>
        <w:tab/>
      </w:r>
      <w:r>
        <w:fldChar w:fldCharType="begin"/>
      </w:r>
      <w:r>
        <w:instrText xml:space="preserve"> PAGEREF _Toc79163876 \h </w:instrText>
      </w:r>
      <w:r>
        <w:fldChar w:fldCharType="separate"/>
      </w:r>
      <w:r>
        <w:t>18</w:t>
      </w:r>
      <w:r>
        <w:fldChar w:fldCharType="end"/>
      </w:r>
    </w:p>
    <w:p w14:paraId="7E6AC512">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（三）国有资产占有使用情况</w:t>
      </w:r>
      <w:r>
        <w:tab/>
      </w:r>
      <w:r>
        <w:fldChar w:fldCharType="begin"/>
      </w:r>
      <w:r>
        <w:instrText xml:space="preserve"> PAGEREF _Toc79163877 \h </w:instrText>
      </w:r>
      <w:r>
        <w:fldChar w:fldCharType="separate"/>
      </w:r>
      <w:r>
        <w:t>18</w:t>
      </w:r>
      <w:r>
        <w:fldChar w:fldCharType="end"/>
      </w:r>
    </w:p>
    <w:p w14:paraId="61174324">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（四）预算绩效管理情况。</w:t>
      </w:r>
      <w:r>
        <w:tab/>
      </w:r>
      <w:r>
        <w:fldChar w:fldCharType="begin"/>
      </w:r>
      <w:r>
        <w:instrText xml:space="preserve"> PAGEREF _Toc79163878 \h </w:instrText>
      </w:r>
      <w:r>
        <w:fldChar w:fldCharType="separate"/>
      </w:r>
      <w:r>
        <w:t>18</w:t>
      </w:r>
      <w:r>
        <w:fldChar w:fldCharType="end"/>
      </w:r>
    </w:p>
    <w:p w14:paraId="5477A2CE">
      <w:pPr>
        <w:pStyle w:val="14"/>
        <w:tabs>
          <w:tab w:val="right" w:leader="dot" w:pos="8296"/>
        </w:tabs>
        <w:rPr>
          <w:rFonts w:hAnsiTheme="minorHAnsi" w:eastAsiaTheme="minorEastAsia" w:cstheme="minorBidi"/>
          <w:b w:val="0"/>
          <w:bCs w:val="0"/>
          <w:caps w:val="0"/>
          <w:sz w:val="21"/>
          <w:szCs w:val="22"/>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23</w:t>
      </w:r>
      <w:r>
        <w:fldChar w:fldCharType="end"/>
      </w:r>
    </w:p>
    <w:p w14:paraId="0CAD93CD">
      <w:pPr>
        <w:pStyle w:val="14"/>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四部分 附件</w:t>
      </w:r>
      <w:r>
        <w:tab/>
      </w:r>
    </w:p>
    <w:p w14:paraId="7A0BE694">
      <w:pPr>
        <w:pStyle w:val="14"/>
        <w:tabs>
          <w:tab w:val="right" w:leader="dot" w:pos="8296"/>
        </w:tabs>
        <w:rPr>
          <w:rFonts w:hAnsiTheme="minorHAnsi" w:eastAsiaTheme="minorEastAsia" w:cstheme="minorBidi"/>
          <w:b w:val="0"/>
          <w:bCs w:val="0"/>
          <w:caps w:val="0"/>
          <w:sz w:val="21"/>
          <w:szCs w:val="22"/>
        </w:rPr>
      </w:pPr>
      <w:r>
        <w:rPr>
          <w:rFonts w:ascii="黑体" w:hAnsi="黑体" w:eastAsia="黑体" w:cs="黑体"/>
        </w:rPr>
        <w:t>附件1</w:t>
      </w:r>
      <w:r>
        <w:tab/>
      </w:r>
    </w:p>
    <w:p w14:paraId="3599A411">
      <w:pPr>
        <w:pStyle w:val="14"/>
        <w:tabs>
          <w:tab w:val="right" w:leader="dot" w:pos="8296"/>
        </w:tabs>
        <w:rPr>
          <w:rFonts w:hAnsiTheme="minorHAnsi" w:eastAsiaTheme="minorEastAsia" w:cstheme="minorBidi"/>
          <w:b w:val="0"/>
          <w:bCs w:val="0"/>
          <w:caps w:val="0"/>
          <w:sz w:val="21"/>
          <w:szCs w:val="22"/>
        </w:rPr>
      </w:pPr>
      <w:r>
        <w:rPr>
          <w:rFonts w:ascii="方正小标宋简体" w:hAnsi="黑体" w:eastAsia="方正小标宋简体" w:cs="黑体"/>
        </w:rPr>
        <w:t>2020年部门整体支出绩效评价报告</w:t>
      </w:r>
      <w:r>
        <w:tab/>
      </w:r>
    </w:p>
    <w:p w14:paraId="6237F405">
      <w:pPr>
        <w:pStyle w:val="14"/>
        <w:tabs>
          <w:tab w:val="right" w:leader="dot" w:pos="8296"/>
        </w:tabs>
        <w:rPr>
          <w:rFonts w:hAnsiTheme="minorHAnsi" w:eastAsiaTheme="minorEastAsia" w:cstheme="minorBidi"/>
          <w:b w:val="0"/>
          <w:bCs w:val="0"/>
          <w:caps w:val="0"/>
          <w:sz w:val="21"/>
          <w:szCs w:val="22"/>
        </w:rPr>
      </w:pPr>
      <w:r>
        <w:rPr>
          <w:rFonts w:ascii="黑体" w:hAnsi="黑体" w:eastAsia="黑体" w:cs="黑体"/>
        </w:rPr>
        <w:t>附件2</w:t>
      </w:r>
      <w:r>
        <w:tab/>
      </w:r>
    </w:p>
    <w:p w14:paraId="17994779">
      <w:pPr>
        <w:pStyle w:val="14"/>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五部分 附表</w:t>
      </w:r>
      <w:r>
        <w:tab/>
      </w:r>
      <w:r>
        <w:fldChar w:fldCharType="begin"/>
      </w:r>
      <w:r>
        <w:instrText xml:space="preserve"> PAGEREF _Toc79163885 \h </w:instrText>
      </w:r>
      <w:r>
        <w:fldChar w:fldCharType="separate"/>
      </w:r>
      <w:r>
        <w:t>32</w:t>
      </w:r>
      <w:r>
        <w:fldChar w:fldCharType="end"/>
      </w:r>
    </w:p>
    <w:p w14:paraId="6E57B6C2">
      <w:pPr>
        <w:pStyle w:val="17"/>
        <w:tabs>
          <w:tab w:val="right" w:leader="dot" w:pos="8296"/>
        </w:tabs>
        <w:rPr>
          <w:rFonts w:hAnsiTheme="minorHAnsi" w:eastAsiaTheme="minorEastAsia" w:cstheme="minorBidi"/>
          <w:smallCaps w:val="0"/>
          <w:sz w:val="21"/>
          <w:szCs w:val="22"/>
        </w:rPr>
      </w:pPr>
      <w:r>
        <w:rPr>
          <w:rFonts w:ascii="仿宋" w:hAnsi="仿宋" w:eastAsia="仿宋"/>
          <w:color w:val="000000"/>
        </w:rPr>
        <w:t>一、收</w:t>
      </w:r>
      <w:r>
        <w:rPr>
          <w:rFonts w:ascii="仿宋" w:hAnsi="仿宋" w:eastAsia="仿宋"/>
        </w:rPr>
        <w:t>入支出决算总表</w:t>
      </w:r>
      <w:r>
        <w:tab/>
      </w:r>
      <w:r>
        <w:fldChar w:fldCharType="begin"/>
      </w:r>
      <w:r>
        <w:instrText xml:space="preserve"> PAGEREF _Toc79163886 \h </w:instrText>
      </w:r>
      <w:r>
        <w:fldChar w:fldCharType="separate"/>
      </w:r>
      <w:r>
        <w:t>32</w:t>
      </w:r>
      <w:r>
        <w:fldChar w:fldCharType="end"/>
      </w:r>
    </w:p>
    <w:p w14:paraId="360B2D75">
      <w:pPr>
        <w:pStyle w:val="17"/>
        <w:tabs>
          <w:tab w:val="right" w:leader="dot" w:pos="8296"/>
        </w:tabs>
        <w:rPr>
          <w:rFonts w:hAnsiTheme="minorHAnsi" w:eastAsiaTheme="minorEastAsia" w:cstheme="minorBidi"/>
          <w:smallCaps w:val="0"/>
          <w:sz w:val="21"/>
          <w:szCs w:val="22"/>
        </w:rPr>
      </w:pPr>
      <w:r>
        <w:rPr>
          <w:rFonts w:ascii="仿宋" w:hAnsi="仿宋" w:eastAsia="仿宋"/>
          <w:color w:val="000000"/>
        </w:rPr>
        <w:t>二、收</w:t>
      </w:r>
      <w:r>
        <w:rPr>
          <w:rFonts w:ascii="仿宋" w:hAnsi="仿宋" w:eastAsia="仿宋"/>
        </w:rPr>
        <w:t>入决算表</w:t>
      </w:r>
      <w:r>
        <w:tab/>
      </w:r>
      <w:r>
        <w:fldChar w:fldCharType="begin"/>
      </w:r>
      <w:r>
        <w:instrText xml:space="preserve"> PAGEREF _Toc79163887 \h </w:instrText>
      </w:r>
      <w:r>
        <w:fldChar w:fldCharType="separate"/>
      </w:r>
      <w:r>
        <w:t>32</w:t>
      </w:r>
      <w:r>
        <w:fldChar w:fldCharType="end"/>
      </w:r>
    </w:p>
    <w:p w14:paraId="65DBBA71">
      <w:pPr>
        <w:pStyle w:val="17"/>
        <w:tabs>
          <w:tab w:val="right" w:leader="dot" w:pos="8296"/>
        </w:tabs>
        <w:rPr>
          <w:rFonts w:hAnsiTheme="minorHAnsi" w:eastAsiaTheme="minorEastAsia"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fldChar w:fldCharType="begin"/>
      </w:r>
      <w:r>
        <w:instrText xml:space="preserve"> PAGEREF _Toc79163888 \h </w:instrText>
      </w:r>
      <w:r>
        <w:fldChar w:fldCharType="separate"/>
      </w:r>
      <w:r>
        <w:t>32</w:t>
      </w:r>
      <w:r>
        <w:fldChar w:fldCharType="end"/>
      </w:r>
    </w:p>
    <w:p w14:paraId="398C7231">
      <w:pPr>
        <w:pStyle w:val="17"/>
        <w:tabs>
          <w:tab w:val="right" w:leader="dot" w:pos="8296"/>
        </w:tabs>
        <w:rPr>
          <w:rFonts w:hAnsiTheme="minorHAnsi" w:eastAsiaTheme="minorEastAsia"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fldChar w:fldCharType="begin"/>
      </w:r>
      <w:r>
        <w:instrText xml:space="preserve"> PAGEREF _Toc79163889 \h </w:instrText>
      </w:r>
      <w:r>
        <w:fldChar w:fldCharType="separate"/>
      </w:r>
      <w:r>
        <w:t>32</w:t>
      </w:r>
      <w:r>
        <w:fldChar w:fldCharType="end"/>
      </w:r>
    </w:p>
    <w:p w14:paraId="5C05A647">
      <w:pPr>
        <w:pStyle w:val="17"/>
        <w:tabs>
          <w:tab w:val="right" w:leader="dot" w:pos="8296"/>
        </w:tabs>
        <w:rPr>
          <w:rFonts w:hAnsiTheme="minorHAnsi" w:eastAsiaTheme="minorEastAsia" w:cstheme="minorBidi"/>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fldChar w:fldCharType="begin"/>
      </w:r>
      <w:r>
        <w:instrText xml:space="preserve"> PAGEREF _Toc79163890 \h </w:instrText>
      </w:r>
      <w:r>
        <w:fldChar w:fldCharType="separate"/>
      </w:r>
      <w:r>
        <w:t>32</w:t>
      </w:r>
      <w:r>
        <w:fldChar w:fldCharType="end"/>
      </w:r>
    </w:p>
    <w:p w14:paraId="5FC8E1E2">
      <w:pPr>
        <w:pStyle w:val="17"/>
        <w:tabs>
          <w:tab w:val="right" w:leader="dot" w:pos="8296"/>
        </w:tabs>
        <w:rPr>
          <w:rFonts w:hAnsiTheme="minorHAnsi" w:eastAsiaTheme="minorEastAsia" w:cstheme="minorBidi"/>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fldChar w:fldCharType="begin"/>
      </w:r>
      <w:r>
        <w:instrText xml:space="preserve"> PAGEREF _Toc79163891 \h </w:instrText>
      </w:r>
      <w:r>
        <w:fldChar w:fldCharType="separate"/>
      </w:r>
      <w:r>
        <w:t>32</w:t>
      </w:r>
      <w:r>
        <w:fldChar w:fldCharType="end"/>
      </w:r>
    </w:p>
    <w:p w14:paraId="388E911D">
      <w:pPr>
        <w:pStyle w:val="17"/>
        <w:tabs>
          <w:tab w:val="right" w:leader="dot" w:pos="8296"/>
        </w:tabs>
        <w:rPr>
          <w:rFonts w:hAnsiTheme="minorHAnsi" w:eastAsiaTheme="minorEastAsia"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fldChar w:fldCharType="begin"/>
      </w:r>
      <w:r>
        <w:instrText xml:space="preserve"> PAGEREF _Toc79163892 \h </w:instrText>
      </w:r>
      <w:r>
        <w:fldChar w:fldCharType="separate"/>
      </w:r>
      <w:r>
        <w:t>32</w:t>
      </w:r>
      <w:r>
        <w:fldChar w:fldCharType="end"/>
      </w:r>
    </w:p>
    <w:p w14:paraId="5061E298">
      <w:pPr>
        <w:pStyle w:val="17"/>
        <w:tabs>
          <w:tab w:val="right" w:leader="dot" w:pos="8296"/>
        </w:tabs>
        <w:rPr>
          <w:rFonts w:hAnsiTheme="minorHAnsi" w:eastAsiaTheme="minorEastAsia" w:cstheme="minorBidi"/>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fldChar w:fldCharType="begin"/>
      </w:r>
      <w:r>
        <w:instrText xml:space="preserve"> PAGEREF _Toc79163893 \h </w:instrText>
      </w:r>
      <w:r>
        <w:fldChar w:fldCharType="separate"/>
      </w:r>
      <w:r>
        <w:t>32</w:t>
      </w:r>
      <w:r>
        <w:fldChar w:fldCharType="end"/>
      </w:r>
    </w:p>
    <w:p w14:paraId="563ED1FC">
      <w:pPr>
        <w:pStyle w:val="17"/>
        <w:tabs>
          <w:tab w:val="right" w:leader="dot" w:pos="8296"/>
        </w:tabs>
        <w:rPr>
          <w:rFonts w:hAnsiTheme="minorHAnsi" w:eastAsiaTheme="minorEastAsia" w:cstheme="minorBidi"/>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fldChar w:fldCharType="begin"/>
      </w:r>
      <w:r>
        <w:instrText xml:space="preserve"> PAGEREF _Toc79163894 \h </w:instrText>
      </w:r>
      <w:r>
        <w:fldChar w:fldCharType="separate"/>
      </w:r>
      <w:r>
        <w:t>32</w:t>
      </w:r>
      <w:r>
        <w:fldChar w:fldCharType="end"/>
      </w:r>
    </w:p>
    <w:p w14:paraId="430A988C">
      <w:pPr>
        <w:pStyle w:val="17"/>
        <w:tabs>
          <w:tab w:val="right" w:leader="dot" w:pos="8296"/>
        </w:tabs>
        <w:rPr>
          <w:rFonts w:hAnsiTheme="minorHAnsi" w:eastAsiaTheme="minorEastAsia" w:cstheme="minorBidi"/>
          <w:smallCaps w:val="0"/>
          <w:sz w:val="21"/>
          <w:szCs w:val="22"/>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fldChar w:fldCharType="begin"/>
      </w:r>
      <w:r>
        <w:instrText xml:space="preserve"> PAGEREF _Toc79163895 \h </w:instrText>
      </w:r>
      <w:r>
        <w:fldChar w:fldCharType="separate"/>
      </w:r>
      <w:r>
        <w:t>32</w:t>
      </w:r>
      <w:r>
        <w:fldChar w:fldCharType="end"/>
      </w:r>
    </w:p>
    <w:p w14:paraId="088B1133">
      <w:pPr>
        <w:pStyle w:val="17"/>
        <w:tabs>
          <w:tab w:val="right" w:leader="dot" w:pos="8296"/>
        </w:tabs>
        <w:rPr>
          <w:rFonts w:hAnsiTheme="minorHAnsi" w:eastAsiaTheme="minorEastAsia" w:cstheme="minorBidi"/>
          <w:smallCaps w:val="0"/>
          <w:sz w:val="21"/>
          <w:szCs w:val="22"/>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fldChar w:fldCharType="begin"/>
      </w:r>
      <w:r>
        <w:instrText xml:space="preserve"> PAGEREF _Toc79163896 \h </w:instrText>
      </w:r>
      <w:r>
        <w:fldChar w:fldCharType="separate"/>
      </w:r>
      <w:r>
        <w:t>32</w:t>
      </w:r>
      <w:r>
        <w:fldChar w:fldCharType="end"/>
      </w:r>
    </w:p>
    <w:p w14:paraId="5A1F78F0">
      <w:pPr>
        <w:pStyle w:val="17"/>
        <w:tabs>
          <w:tab w:val="right" w:leader="dot" w:pos="8296"/>
        </w:tabs>
        <w:rPr>
          <w:rFonts w:hAnsiTheme="minorHAnsi" w:eastAsiaTheme="minorEastAsia" w:cstheme="minorBidi"/>
          <w:smallCaps w:val="0"/>
          <w:sz w:val="21"/>
          <w:szCs w:val="22"/>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fldChar w:fldCharType="begin"/>
      </w:r>
      <w:r>
        <w:instrText xml:space="preserve"> PAGEREF _Toc79163897 \h </w:instrText>
      </w:r>
      <w:r>
        <w:fldChar w:fldCharType="separate"/>
      </w:r>
      <w:r>
        <w:t>32</w:t>
      </w:r>
      <w:r>
        <w:fldChar w:fldCharType="end"/>
      </w:r>
    </w:p>
    <w:p w14:paraId="046F7DDC">
      <w:pPr>
        <w:pStyle w:val="17"/>
        <w:tabs>
          <w:tab w:val="right" w:leader="dot" w:pos="8296"/>
        </w:tabs>
        <w:rPr>
          <w:rFonts w:hAnsiTheme="minorHAnsi" w:eastAsiaTheme="minorEastAsia" w:cstheme="minorBidi"/>
          <w:smallCaps w:val="0"/>
          <w:sz w:val="21"/>
          <w:szCs w:val="22"/>
        </w:rPr>
      </w:pPr>
      <w:r>
        <w:rPr>
          <w:rFonts w:ascii="仿宋" w:hAnsi="仿宋" w:eastAsia="仿宋"/>
        </w:rPr>
        <w:t>十三、</w:t>
      </w:r>
      <w:r>
        <w:rPr>
          <w:rFonts w:ascii="仿宋" w:hAnsi="仿宋" w:eastAsia="仿宋"/>
          <w:color w:val="000000"/>
        </w:rPr>
        <w:t>国</w:t>
      </w:r>
      <w:r>
        <w:rPr>
          <w:rFonts w:ascii="仿宋" w:hAnsi="仿宋" w:eastAsia="仿宋"/>
        </w:rPr>
        <w:t>有资本经营预算财政拨款</w:t>
      </w:r>
      <w:r>
        <w:rPr>
          <w:rFonts w:hint="eastAsia" w:ascii="仿宋" w:hAnsi="仿宋" w:eastAsia="仿宋"/>
        </w:rPr>
        <w:t>收入</w:t>
      </w:r>
      <w:r>
        <w:rPr>
          <w:rFonts w:ascii="仿宋" w:hAnsi="仿宋" w:eastAsia="仿宋"/>
        </w:rPr>
        <w:t>支出决算表</w:t>
      </w:r>
      <w:r>
        <w:tab/>
      </w:r>
      <w:r>
        <w:fldChar w:fldCharType="begin"/>
      </w:r>
      <w:r>
        <w:instrText xml:space="preserve"> PAGEREF _Toc79163898 \h </w:instrText>
      </w:r>
      <w:r>
        <w:fldChar w:fldCharType="separate"/>
      </w:r>
      <w:r>
        <w:t>32</w:t>
      </w:r>
      <w:r>
        <w:fldChar w:fldCharType="end"/>
      </w:r>
    </w:p>
    <w:p w14:paraId="443C1F43">
      <w:pPr>
        <w:pStyle w:val="17"/>
        <w:tabs>
          <w:tab w:val="right" w:leader="dot" w:pos="8296"/>
        </w:tabs>
        <w:rPr>
          <w:rFonts w:hAnsiTheme="minorHAnsi" w:eastAsiaTheme="minorEastAsia" w:cstheme="minorBidi"/>
          <w:smallCaps w:val="0"/>
          <w:sz w:val="21"/>
          <w:szCs w:val="22"/>
        </w:rPr>
      </w:pPr>
      <w:r>
        <w:rPr>
          <w:rFonts w:ascii="仿宋" w:hAnsi="仿宋" w:eastAsia="仿宋"/>
        </w:rPr>
        <w:t>十四、国有资本经营预算财政拨款支出决算表</w:t>
      </w:r>
      <w:r>
        <w:tab/>
      </w:r>
      <w:r>
        <w:fldChar w:fldCharType="begin"/>
      </w:r>
      <w:r>
        <w:instrText xml:space="preserve"> PAGEREF _Toc79163899 \h </w:instrText>
      </w:r>
      <w:r>
        <w:fldChar w:fldCharType="separate"/>
      </w:r>
      <w:r>
        <w:t>32</w:t>
      </w:r>
      <w:r>
        <w:fldChar w:fldCharType="end"/>
      </w:r>
    </w:p>
    <w:p w14:paraId="51882BF9">
      <w:r>
        <w:rPr>
          <w:rFonts w:asciiTheme="minorHAnsi" w:eastAsiaTheme="minorHAnsi"/>
          <w:b/>
          <w:bCs/>
          <w:caps/>
          <w:sz w:val="20"/>
          <w:szCs w:val="20"/>
        </w:rPr>
        <w:fldChar w:fldCharType="end"/>
      </w:r>
    </w:p>
    <w:p w14:paraId="700BD91A">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1194BEFF">
      <w:pPr>
        <w:pStyle w:val="4"/>
        <w:jc w:val="center"/>
        <w:rPr>
          <w:rStyle w:val="24"/>
          <w:rFonts w:ascii="黑体" w:hAnsi="黑体" w:eastAsia="黑体"/>
          <w:b/>
          <w:bCs w:val="0"/>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4"/>
          <w:rFonts w:hint="eastAsia" w:ascii="黑体" w:hAnsi="黑体" w:eastAsia="黑体"/>
          <w:b w:val="0"/>
          <w:bCs w:val="0"/>
        </w:rPr>
        <w:t>部门概况</w:t>
      </w:r>
      <w:bookmarkEnd w:id="12"/>
      <w:bookmarkEnd w:id="13"/>
      <w:bookmarkEnd w:id="14"/>
      <w:bookmarkEnd w:id="15"/>
    </w:p>
    <w:p w14:paraId="126FFC8E">
      <w:pPr>
        <w:widowControl/>
        <w:jc w:val="left"/>
        <w:rPr>
          <w:rFonts w:ascii="黑体" w:eastAsia="黑体"/>
          <w:color w:val="000000"/>
          <w:sz w:val="32"/>
          <w:szCs w:val="32"/>
        </w:rPr>
      </w:pPr>
    </w:p>
    <w:p w14:paraId="6D3884BD">
      <w:pPr>
        <w:pStyle w:val="5"/>
        <w:rPr>
          <w:rStyle w:val="25"/>
          <w:rFonts w:ascii="仿宋" w:hAnsi="仿宋" w:eastAsia="仿宋"/>
          <w:b w:val="0"/>
          <w:bCs w:val="0"/>
        </w:rPr>
      </w:pPr>
      <w:bookmarkStart w:id="16" w:name="_Toc79163602"/>
      <w:bookmarkStart w:id="17" w:name="_Toc15396600"/>
      <w:bookmarkStart w:id="18" w:name="_Toc79163852"/>
      <w:bookmarkStart w:id="19"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6"/>
      <w:bookmarkEnd w:id="17"/>
      <w:bookmarkEnd w:id="18"/>
      <w:bookmarkEnd w:id="19"/>
    </w:p>
    <w:p w14:paraId="2C49267F">
      <w:pPr>
        <w:ind w:firstLine="739" w:firstLineChars="230"/>
        <w:rPr>
          <w:rFonts w:ascii="仿宋" w:hAnsi="仿宋" w:eastAsia="仿宋" w:cs="仿宋"/>
          <w:sz w:val="32"/>
          <w:szCs w:val="32"/>
        </w:rPr>
      </w:pPr>
      <w:bookmarkStart w:id="20" w:name="_Toc79163604"/>
      <w:bookmarkStart w:id="21" w:name="_Toc15377199"/>
      <w:bookmarkStart w:id="22" w:name="_Toc15378446"/>
      <w:bookmarkStart w:id="23" w:name="_Toc79163854"/>
      <w:r>
        <w:rPr>
          <w:rFonts w:hint="eastAsia" w:ascii="仿宋" w:hAnsi="仿宋" w:eastAsia="仿宋" w:cs="仿宋"/>
          <w:b/>
          <w:sz w:val="32"/>
          <w:szCs w:val="32"/>
        </w:rPr>
        <w:t>1、机构组成。</w:t>
      </w:r>
      <w:r>
        <w:rPr>
          <w:rFonts w:hint="eastAsia" w:ascii="仿宋" w:hAnsi="仿宋" w:eastAsia="仿宋" w:cs="仿宋"/>
          <w:bCs/>
          <w:sz w:val="32"/>
          <w:szCs w:val="32"/>
        </w:rPr>
        <w:t>松潘</w:t>
      </w:r>
      <w:r>
        <w:rPr>
          <w:rFonts w:hint="eastAsia" w:ascii="仿宋" w:hAnsi="仿宋" w:eastAsia="仿宋" w:cs="仿宋"/>
          <w:sz w:val="32"/>
          <w:szCs w:val="32"/>
        </w:rPr>
        <w:t>县融媒体中心为县委直属公益一类正科级事业单位，归口县委宣传部领导和管理。县融媒体中心下设10个内设机构：（办公室、财务室、总编室、新闻专题部、编辑部、通联译制部、新媒体部、技术部、播控部、运营部）</w:t>
      </w:r>
    </w:p>
    <w:p w14:paraId="0D5695E7">
      <w:pPr>
        <w:spacing w:line="576" w:lineRule="exact"/>
        <w:ind w:firstLine="643" w:firstLineChars="200"/>
        <w:rPr>
          <w:rFonts w:ascii="仿宋" w:hAnsi="仿宋" w:eastAsia="仿宋" w:cs="仿宋"/>
          <w:color w:val="000000"/>
          <w:kern w:val="0"/>
          <w:sz w:val="32"/>
          <w:szCs w:val="32"/>
        </w:rPr>
      </w:pPr>
      <w:r>
        <w:rPr>
          <w:rFonts w:hint="eastAsia" w:ascii="仿宋" w:hAnsi="仿宋" w:eastAsia="仿宋" w:cs="仿宋"/>
          <w:b/>
          <w:bCs/>
          <w:color w:val="000000"/>
          <w:kern w:val="0"/>
          <w:sz w:val="32"/>
          <w:szCs w:val="32"/>
        </w:rPr>
        <w:t>2、县融媒体中心主要工作职能</w:t>
      </w:r>
      <w:r>
        <w:rPr>
          <w:rFonts w:hint="eastAsia" w:ascii="仿宋" w:hAnsi="仿宋" w:eastAsia="仿宋" w:cs="仿宋"/>
          <w:color w:val="000000"/>
          <w:kern w:val="0"/>
          <w:sz w:val="32"/>
          <w:szCs w:val="32"/>
        </w:rPr>
        <w:t>。</w:t>
      </w:r>
    </w:p>
    <w:p w14:paraId="4DC1887F">
      <w:pPr>
        <w:spacing w:line="576" w:lineRule="exact"/>
        <w:ind w:firstLine="640" w:firstLineChars="200"/>
        <w:rPr>
          <w:rFonts w:ascii="仿宋" w:hAnsi="仿宋" w:eastAsia="仿宋" w:cs="仿宋"/>
          <w:sz w:val="32"/>
        </w:rPr>
      </w:pPr>
      <w:r>
        <w:rPr>
          <w:rFonts w:hint="eastAsia" w:ascii="仿宋" w:hAnsi="仿宋" w:eastAsia="仿宋" w:cs="仿宋"/>
          <w:color w:val="000000"/>
          <w:kern w:val="0"/>
          <w:sz w:val="32"/>
          <w:szCs w:val="32"/>
        </w:rPr>
        <w:t>（1）</w:t>
      </w:r>
      <w:r>
        <w:rPr>
          <w:rFonts w:hint="eastAsia" w:ascii="仿宋" w:hAnsi="仿宋" w:eastAsia="仿宋" w:cs="仿宋"/>
          <w:sz w:val="32"/>
        </w:rPr>
        <w:t>建成主流舆论阵地。以本土视角宣传党中央大政方针，宣传党的创新理论和社会主义核心价值观，宣传省委省政府和州委州政府决策部署，宣传县委、县政府工作安排，传播本地权威政经资讯，对中央、省、州媒体形成有益补充。</w:t>
      </w:r>
    </w:p>
    <w:p w14:paraId="149E5837">
      <w:pPr>
        <w:shd w:val="solid" w:color="FFFFFF" w:fill="auto"/>
        <w:autoSpaceDN w:val="0"/>
        <w:spacing w:line="576" w:lineRule="exact"/>
        <w:ind w:firstLine="640" w:firstLineChars="200"/>
        <w:rPr>
          <w:rFonts w:ascii="仿宋" w:hAnsi="仿宋" w:eastAsia="仿宋" w:cs="仿宋"/>
          <w:bCs/>
          <w:sz w:val="32"/>
          <w:szCs w:val="28"/>
        </w:rPr>
      </w:pPr>
      <w:r>
        <w:rPr>
          <w:rFonts w:hint="eastAsia" w:ascii="仿宋" w:hAnsi="仿宋" w:eastAsia="仿宋" w:cs="仿宋"/>
          <w:bCs/>
          <w:sz w:val="32"/>
          <w:szCs w:val="28"/>
        </w:rPr>
        <w:t>（2）建成综合信息服务平台。大力开拓互联网综合信息服务能力，有效对接县级各类服务平台，创新基层社区化沟通服务模式，建立网民互动中心，畅通信息渠道，增加用户黏性。</w:t>
      </w:r>
    </w:p>
    <w:p w14:paraId="19AAF4EC">
      <w:pPr>
        <w:shd w:val="solid" w:color="FFFFFF" w:fill="auto"/>
        <w:autoSpaceDN w:val="0"/>
        <w:spacing w:line="576" w:lineRule="exact"/>
        <w:ind w:firstLine="640" w:firstLineChars="200"/>
        <w:rPr>
          <w:rFonts w:ascii="仿宋" w:hAnsi="仿宋" w:eastAsia="仿宋" w:cs="仿宋"/>
          <w:bCs/>
          <w:sz w:val="32"/>
          <w:szCs w:val="28"/>
        </w:rPr>
      </w:pPr>
      <w:r>
        <w:rPr>
          <w:rFonts w:hint="eastAsia" w:ascii="仿宋" w:hAnsi="仿宋" w:eastAsia="仿宋" w:cs="仿宋"/>
          <w:bCs/>
          <w:sz w:val="32"/>
          <w:szCs w:val="28"/>
        </w:rPr>
        <w:t>（3）建成基层舆情聚合平台。突出本地化、社区化、互动化，搭建线上线下结合的互动交流平台，为群众反映诉求、建言献策提供通道，为党委和政府了解社情民意提供窗口，分析研判本地舆情动态，把问题解决在当地，把民意汇聚在当地，把舆情留在当地，及时沉淀用户。</w:t>
      </w:r>
    </w:p>
    <w:p w14:paraId="4E82CB63">
      <w:pPr>
        <w:shd w:val="solid" w:color="FFFFFF" w:fill="auto"/>
        <w:autoSpaceDN w:val="0"/>
        <w:spacing w:line="576" w:lineRule="exact"/>
        <w:ind w:firstLine="640" w:firstLineChars="200"/>
        <w:rPr>
          <w:rFonts w:ascii="仿宋" w:hAnsi="仿宋" w:eastAsia="仿宋" w:cs="仿宋"/>
          <w:bCs/>
          <w:sz w:val="32"/>
          <w:szCs w:val="28"/>
        </w:rPr>
      </w:pPr>
      <w:r>
        <w:rPr>
          <w:rFonts w:hint="eastAsia" w:ascii="仿宋" w:hAnsi="仿宋" w:eastAsia="仿宋" w:cs="仿宋"/>
          <w:bCs/>
          <w:sz w:val="32"/>
          <w:szCs w:val="28"/>
        </w:rPr>
        <w:t>（4）负责安全优质转播中央、省、州各级广播电视节目，严密防范破坏，确保安全播出。制定落实各项规章制度和防范措施，及时处置各类突发事故，确保自办节目安全播出。</w:t>
      </w:r>
    </w:p>
    <w:p w14:paraId="0AC18403">
      <w:pPr>
        <w:shd w:val="solid" w:color="FFFFFF" w:fill="auto"/>
        <w:autoSpaceDN w:val="0"/>
        <w:spacing w:line="576" w:lineRule="exact"/>
        <w:ind w:firstLine="640" w:firstLineChars="200"/>
        <w:rPr>
          <w:rFonts w:ascii="仿宋" w:hAnsi="仿宋" w:eastAsia="仿宋" w:cs="仿宋"/>
          <w:bCs/>
          <w:sz w:val="32"/>
          <w:szCs w:val="28"/>
        </w:rPr>
      </w:pPr>
      <w:r>
        <w:rPr>
          <w:rFonts w:hint="eastAsia" w:ascii="仿宋" w:hAnsi="仿宋" w:eastAsia="仿宋" w:cs="仿宋"/>
          <w:bCs/>
          <w:sz w:val="32"/>
          <w:szCs w:val="28"/>
        </w:rPr>
        <w:t>（5）负责职责范围内的安全生产和职业健康生态环境保护、便民化服务工作。</w:t>
      </w:r>
    </w:p>
    <w:p w14:paraId="3CF221E9">
      <w:pPr>
        <w:shd w:val="solid" w:color="FFFFFF" w:fill="auto"/>
        <w:autoSpaceDN w:val="0"/>
        <w:spacing w:line="576"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bCs/>
          <w:sz w:val="32"/>
          <w:szCs w:val="28"/>
        </w:rPr>
        <w:t>（6）完成县委、县政府及上级部门交办的其他任务。</w:t>
      </w:r>
    </w:p>
    <w:p w14:paraId="300BB1AD">
      <w:pPr>
        <w:shd w:val="solid" w:color="FFFFFF" w:fill="auto"/>
        <w:autoSpaceDN w:val="0"/>
        <w:spacing w:line="570" w:lineRule="exact"/>
        <w:ind w:firstLine="643" w:firstLineChars="200"/>
        <w:rPr>
          <w:rFonts w:ascii="仿宋" w:hAnsi="仿宋" w:eastAsia="仿宋"/>
          <w:color w:val="4E4342"/>
          <w:sz w:val="32"/>
          <w:szCs w:val="32"/>
        </w:rPr>
      </w:pPr>
      <w:r>
        <w:rPr>
          <w:rFonts w:hint="eastAsia" w:ascii="仿宋" w:hAnsi="仿宋" w:eastAsia="仿宋" w:cs="仿宋"/>
          <w:b/>
          <w:bCs/>
          <w:color w:val="000000"/>
          <w:sz w:val="32"/>
          <w:szCs w:val="32"/>
          <w:shd w:val="clear" w:color="auto" w:fill="FFFFFF"/>
        </w:rPr>
        <w:t>3、人员概况。</w:t>
      </w:r>
      <w:r>
        <w:rPr>
          <w:rFonts w:hint="eastAsia" w:ascii="仿宋_GB2312" w:hAnsi="仿宋_GB2312" w:eastAsia="仿宋_GB2312" w:cs="仿宋_GB2312"/>
          <w:sz w:val="32"/>
          <w:szCs w:val="32"/>
        </w:rPr>
        <w:t>松潘县融媒体中心核定编制30人。其中主任1名、副主任2名；股级领导职数10名。现单位共有职工33人。其中在编人数22人。</w:t>
      </w:r>
    </w:p>
    <w:p w14:paraId="4BABFF02">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20"/>
      <w:bookmarkEnd w:id="21"/>
      <w:bookmarkEnd w:id="22"/>
      <w:bookmarkEnd w:id="23"/>
    </w:p>
    <w:p w14:paraId="2062BC4E">
      <w:pPr>
        <w:pStyle w:val="19"/>
        <w:spacing w:beforeAutospacing="0" w:afterAutospacing="0" w:line="54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一、把握正确的舆论导向，服务于发展大局</w:t>
      </w:r>
    </w:p>
    <w:p w14:paraId="06DEC83E">
      <w:pPr>
        <w:pStyle w:val="19"/>
        <w:spacing w:beforeAutospacing="0" w:afterAutospacing="0"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（一）围绕中心抓宣传，牢牢把握舆论导向</w:t>
      </w:r>
    </w:p>
    <w:p w14:paraId="2BB4A613">
      <w:pPr>
        <w:pStyle w:val="19"/>
        <w:shd w:val="clear" w:color="auto" w:fill="FFFFFF"/>
        <w:spacing w:beforeAutospacing="0" w:afterAutospacing="0" w:line="566"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1.为了更好地宣传贯彻学习党的十九届四中、五中全会、</w:t>
      </w:r>
      <w:r>
        <w:rPr>
          <w:rFonts w:hint="eastAsia" w:ascii="仿宋_GB2312" w:hAnsi="仿宋_GB2312" w:eastAsia="仿宋_GB2312" w:cs="仿宋_GB2312"/>
          <w:sz w:val="32"/>
          <w:szCs w:val="32"/>
        </w:rPr>
        <w:t>中央第七次西藏工作座谈会和省委十一届八次全会、州委十一届九次全会、县委十三届十次全会精神</w:t>
      </w:r>
      <w:r>
        <w:rPr>
          <w:rFonts w:hint="eastAsia" w:ascii="仿宋" w:hAnsi="仿宋" w:eastAsia="仿宋" w:cs="仿宋"/>
          <w:kern w:val="2"/>
          <w:sz w:val="32"/>
          <w:szCs w:val="32"/>
        </w:rPr>
        <w:t>，我中心开办了《会议精神》解读栏目，全方位、多角度深入解读会议精神，帮助广大干部群众准确理解会议精神；开设专栏全面报道我县各级各部门深入学习贯彻情况，以及提出的新要求、新举措，营造了良好的舆论氛围。　　</w:t>
      </w:r>
    </w:p>
    <w:p w14:paraId="4C53FF8B">
      <w:pPr>
        <w:pStyle w:val="19"/>
        <w:shd w:val="clear" w:color="auto" w:fill="FFFFFF"/>
        <w:spacing w:beforeAutospacing="0" w:afterAutospacing="0" w:line="540"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2.两会报道有深度。我中心对县“两会”的各项会议议程内容进行全面、深入报道，对“两会”开幕、闭幕式采用现场直播；围绕《政府工作报告》的主要精神，以《松潘新闻》为主阵地进行全面解读。</w:t>
      </w:r>
    </w:p>
    <w:p w14:paraId="4D7F4CC4">
      <w:pPr>
        <w:pStyle w:val="19"/>
        <w:shd w:val="clear" w:color="auto" w:fill="FFFFFF"/>
        <w:spacing w:beforeAutospacing="0" w:afterAutospacing="0" w:line="540" w:lineRule="exact"/>
        <w:ind w:firstLine="640" w:firstLineChars="200"/>
        <w:jc w:val="both"/>
        <w:rPr>
          <w:rFonts w:ascii="仿宋" w:hAnsi="仿宋" w:eastAsia="仿宋" w:cs="仿宋"/>
          <w:kern w:val="2"/>
          <w:sz w:val="32"/>
          <w:szCs w:val="32"/>
        </w:rPr>
      </w:pPr>
      <w:r>
        <w:rPr>
          <w:rFonts w:hint="eastAsia" w:ascii="仿宋" w:hAnsi="仿宋" w:eastAsia="仿宋" w:cs="仿宋"/>
          <w:kern w:val="2"/>
          <w:sz w:val="32"/>
          <w:szCs w:val="32"/>
        </w:rPr>
        <w:t>3.以关注民生项目为切入点，积极发挥媒体的舆论监督作用。将镜头对准群众普遍关心、关注的民生项目，让广大群众知晓项目建设的重要意义、建设进度。通过正确的舆论引导，赢得了群众的理解和支持，为项目建设创造了良好的社会环境。</w:t>
      </w:r>
    </w:p>
    <w:p w14:paraId="27B0C9CE">
      <w:pPr>
        <w:pStyle w:val="19"/>
        <w:shd w:val="clear" w:color="auto" w:fill="FFFFFF"/>
        <w:spacing w:beforeAutospacing="0" w:afterAutospacing="0" w:line="540"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4.紧紧围绕全县各阶段中心工作开展宣传报道。一是对我县抗击新冠肺炎疫情进行全程报道。二是对重大节庆活动如“七一”“国庆”“第四届古城花灯会”“松潘县2020年孝、善、和、诚、俭、美传统美德评选”“群众工作月”等系列活动进行大量的宣传报道。</w:t>
      </w:r>
    </w:p>
    <w:p w14:paraId="443AAC11">
      <w:pPr>
        <w:pStyle w:val="19"/>
        <w:shd w:val="clear" w:color="auto" w:fill="FFFFFF"/>
        <w:spacing w:beforeAutospacing="0" w:afterAutospacing="0" w:line="540"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5.对我县确定的惠民工程进行了深入报道。以不同视角和不同形式报道各部门承担的惠民工程进展情况，让群众及时了解和享受公共文化、卫生医疗、民生保障等惠民工程带来的社会成果，进一步密切了党群关系。 </w:t>
      </w:r>
    </w:p>
    <w:p w14:paraId="19E7E5EA">
      <w:pPr>
        <w:pStyle w:val="19"/>
        <w:spacing w:beforeAutospacing="0" w:afterAutospacing="0"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（二）精心策划，不断丰富节目内容</w:t>
      </w:r>
    </w:p>
    <w:p w14:paraId="706BFE66">
      <w:pPr>
        <w:pStyle w:val="19"/>
        <w:shd w:val="clear" w:color="auto" w:fill="FFFFFF"/>
        <w:spacing w:beforeAutospacing="0" w:afterAutospacing="0" w:line="540"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1.每周一上午组织全体采编人员召开新闻宣传策划会，及时总结上周宣传工作，对当周的宣传重点工作进行策划和安排部署，把每项宣传内容落实到每个采编人员，实行精细化管理，保证了每周的宣传重点紧紧围绕县委、县政府的中心工作。</w:t>
      </w:r>
    </w:p>
    <w:p w14:paraId="7A0B7853">
      <w:pPr>
        <w:spacing w:line="558" w:lineRule="exact"/>
        <w:ind w:firstLine="640" w:firstLineChars="200"/>
        <w:rPr>
          <w:rFonts w:ascii="黑体" w:hAnsi="黑体" w:eastAsia="黑体" w:cs="黑体"/>
          <w:bCs/>
          <w:sz w:val="32"/>
          <w:szCs w:val="32"/>
        </w:rPr>
      </w:pPr>
      <w:r>
        <w:rPr>
          <w:rFonts w:hint="eastAsia" w:ascii="仿宋" w:hAnsi="仿宋" w:eastAsia="仿宋" w:cs="仿宋"/>
          <w:sz w:val="32"/>
          <w:szCs w:val="32"/>
        </w:rPr>
        <w:t>2.认真贯彻 “三贴近”原则，巩固拓展“走、转、改”活动，建立常态化走基层、转作风、改文风的长效机制，不断创新宣传内容形式、方法和手段，提高舆论引导的针对性和实效性；确保了广播电视宣传舆论引导的公信力和影响力，切实加强对社会热点、难点问题的舆论引导和监督工作。</w:t>
      </w:r>
      <w:r>
        <w:rPr>
          <w:rFonts w:hint="eastAsia" w:ascii="仿宋_GB2312" w:hAnsi="仿宋_GB2312" w:eastAsia="仿宋_GB2312" w:cs="仿宋_GB2312"/>
          <w:sz w:val="32"/>
          <w:szCs w:val="32"/>
          <w:lang w:bidi="ar"/>
        </w:rPr>
        <w:t>《松潘新闻》先后开辟了</w:t>
      </w:r>
      <w:r>
        <w:rPr>
          <w:rFonts w:hint="eastAsia" w:ascii="仿宋_GB2312" w:hAnsi="仿宋_GB2312" w:eastAsia="仿宋_GB2312" w:cs="仿宋_GB2312"/>
          <w:kern w:val="0"/>
          <w:sz w:val="32"/>
          <w:szCs w:val="32"/>
          <w:lang w:bidi="ar"/>
        </w:rPr>
        <w:t>《众志成诚战“疫”情》《决战脱贫攻坚》《三域一居共治共享》《政策解读》《和谐社会》《</w:t>
      </w:r>
      <w:r>
        <w:rPr>
          <w:rFonts w:hint="eastAsia" w:ascii="仿宋_GB2312" w:hAnsi="仿宋_GB2312" w:eastAsia="仿宋_GB2312" w:cs="仿宋_GB2312"/>
          <w:kern w:val="0"/>
          <w:sz w:val="32"/>
          <w:szCs w:val="32"/>
          <w:lang w:eastAsia="zh-CN" w:bidi="ar"/>
        </w:rPr>
        <w:t>党的十九届四中全会</w:t>
      </w:r>
      <w:r>
        <w:rPr>
          <w:rFonts w:hint="eastAsia" w:ascii="仿宋_GB2312" w:hAnsi="仿宋_GB2312" w:eastAsia="仿宋_GB2312" w:cs="仿宋_GB2312"/>
          <w:kern w:val="0"/>
          <w:sz w:val="32"/>
          <w:szCs w:val="32"/>
          <w:lang w:bidi="ar"/>
        </w:rPr>
        <w:t>、五中全会精神解读》</w:t>
      </w:r>
      <w:r>
        <w:rPr>
          <w:rFonts w:hint="eastAsia" w:ascii="仿宋" w:hAnsi="仿宋" w:eastAsia="仿宋" w:cs="仿宋"/>
          <w:sz w:val="32"/>
          <w:szCs w:val="32"/>
        </w:rPr>
        <w:t>《和谐社会》等专栏，开设了《关注》《法纪》《文化旅游》等专题栏目；</w:t>
      </w:r>
      <w:r>
        <w:rPr>
          <w:rFonts w:hint="eastAsia" w:ascii="仿宋_GB2312" w:hAnsi="仿宋_GB2312" w:eastAsia="仿宋_GB2312" w:cs="仿宋_GB2312"/>
          <w:kern w:val="0"/>
          <w:sz w:val="32"/>
          <w:szCs w:val="32"/>
          <w:lang w:bidi="ar"/>
        </w:rPr>
        <w:t>2020年截至11月底县台共采用新闻1686条，上级媒体采用399条（其中州台305、康巴卫视68、四川电视台14条、央视12条）。在每日新闻节目后播出抗疫、护林防火、天府旅游名县创建、精神文明建设、依法治县、践行社会主义核心价值观、廉洁自律、扫黑除恶、生态环境保护等相关公益广告，为区域媒体进档升位打下坚实基础。</w:t>
      </w:r>
    </w:p>
    <w:p w14:paraId="2514104D">
      <w:pPr>
        <w:spacing w:line="576" w:lineRule="exact"/>
        <w:ind w:firstLine="640" w:firstLineChars="200"/>
        <w:rPr>
          <w:rFonts w:ascii="黑体" w:hAnsi="黑体" w:eastAsia="黑体" w:cs="黑体"/>
          <w:bCs/>
          <w:sz w:val="32"/>
          <w:szCs w:val="32"/>
        </w:rPr>
      </w:pPr>
      <w:r>
        <w:rPr>
          <w:rFonts w:hint="eastAsia" w:ascii="黑体" w:hAnsi="黑体" w:eastAsia="黑体" w:cs="黑体"/>
          <w:sz w:val="32"/>
          <w:szCs w:val="32"/>
        </w:rPr>
        <w:t>二、</w:t>
      </w:r>
      <w:r>
        <w:rPr>
          <w:rFonts w:hint="eastAsia" w:ascii="黑体" w:hAnsi="黑体" w:eastAsia="黑体" w:cs="黑体"/>
          <w:bCs/>
          <w:sz w:val="32"/>
          <w:szCs w:val="32"/>
        </w:rPr>
        <w:t>创新方式，积极发挥服务群众效能</w:t>
      </w:r>
    </w:p>
    <w:p w14:paraId="0DC20F1A">
      <w:pPr>
        <w:spacing w:line="558"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（一）积极开展短视频创作、传播</w:t>
      </w:r>
    </w:p>
    <w:p w14:paraId="68CA039A">
      <w:pPr>
        <w:spacing w:line="558" w:lineRule="exact"/>
        <w:ind w:firstLine="640" w:firstLineChars="200"/>
        <w:rPr>
          <w:rFonts w:ascii="仿宋" w:hAnsi="仿宋" w:eastAsia="仿宋" w:cs="仿宋"/>
          <w:sz w:val="32"/>
          <w:szCs w:val="32"/>
        </w:rPr>
      </w:pPr>
      <w:r>
        <w:rPr>
          <w:rFonts w:hint="eastAsia" w:ascii="仿宋" w:hAnsi="仿宋" w:eastAsia="仿宋" w:cs="仿宋"/>
          <w:sz w:val="32"/>
          <w:szCs w:val="32"/>
        </w:rPr>
        <w:t>今年，我中心将短视频创作工作纳入重点宣传工作中来。</w:t>
      </w:r>
      <w:r>
        <w:rPr>
          <w:rFonts w:hint="eastAsia" w:ascii="仿宋" w:hAnsi="仿宋" w:eastAsia="仿宋" w:cs="仿宋"/>
          <w:b/>
          <w:bCs/>
          <w:sz w:val="32"/>
          <w:szCs w:val="32"/>
        </w:rPr>
        <w:t>一是</w:t>
      </w:r>
      <w:r>
        <w:rPr>
          <w:rFonts w:hint="eastAsia" w:ascii="仿宋" w:hAnsi="仿宋" w:eastAsia="仿宋" w:cs="仿宋"/>
          <w:sz w:val="32"/>
          <w:szCs w:val="32"/>
        </w:rPr>
        <w:t>松潘县融媒体中心通过智慧松潘、美丽阿坝、官方快手等平台向观众直播了《花开天府 云游四川——我在松潘等你》，27.6万观众在线观看了直播，4.2万点赞。</w:t>
      </w:r>
      <w:r>
        <w:rPr>
          <w:rFonts w:hint="eastAsia" w:ascii="仿宋" w:hAnsi="仿宋" w:eastAsia="仿宋" w:cs="仿宋"/>
          <w:b/>
          <w:sz w:val="32"/>
          <w:szCs w:val="32"/>
        </w:rPr>
        <w:t>二是</w:t>
      </w:r>
      <w:r>
        <w:rPr>
          <w:rFonts w:hint="eastAsia" w:ascii="仿宋" w:hAnsi="仿宋" w:eastAsia="仿宋" w:cs="仿宋"/>
          <w:sz w:val="32"/>
          <w:szCs w:val="32"/>
        </w:rPr>
        <w:t>完成了州局下达的第二、三、四季度短视频创作任务12条，同时正在创作《脱贫·行动》《脱贫·故事》《脱贫·亲历》《脱贫·答卷》等短视频14条，预计12月底完成。</w:t>
      </w:r>
      <w:r>
        <w:rPr>
          <w:rFonts w:hint="eastAsia" w:ascii="仿宋" w:hAnsi="仿宋" w:eastAsia="仿宋" w:cs="仿宋"/>
          <w:b/>
          <w:bCs/>
          <w:sz w:val="32"/>
          <w:szCs w:val="32"/>
        </w:rPr>
        <w:t>三是</w:t>
      </w:r>
      <w:r>
        <w:rPr>
          <w:rFonts w:hint="eastAsia" w:ascii="仿宋" w:hAnsi="仿宋" w:eastAsia="仿宋" w:cs="仿宋"/>
          <w:sz w:val="32"/>
          <w:szCs w:val="32"/>
        </w:rPr>
        <w:t xml:space="preserve">制作四川电视台播出的“主播看四川，乡村振兴松潘篇”9分钟短视频，在四川电视台、四川观察等多家省级平台播放。 </w:t>
      </w:r>
    </w:p>
    <w:p w14:paraId="28F91CC3">
      <w:pPr>
        <w:spacing w:line="558"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（二）创新模式，丰富传播载体</w:t>
      </w:r>
    </w:p>
    <w:p w14:paraId="77D13B4E">
      <w:pPr>
        <w:spacing w:line="540" w:lineRule="exact"/>
        <w:ind w:firstLine="640" w:firstLineChars="200"/>
        <w:rPr>
          <w:rFonts w:ascii="仿宋" w:hAnsi="仿宋" w:eastAsia="仿宋" w:cs="仿宋"/>
          <w:sz w:val="32"/>
          <w:szCs w:val="32"/>
        </w:rPr>
      </w:pPr>
      <w:r>
        <w:rPr>
          <w:rFonts w:hint="eastAsia" w:ascii="仿宋" w:hAnsi="仿宋" w:eastAsia="仿宋"/>
          <w:sz w:val="32"/>
          <w:szCs w:val="32"/>
        </w:rPr>
        <w:t>松潘县融媒体中心积极响应党中央关于推动传统媒体和新兴媒体融合发展的战略部署，认真落实习近平总书记关于新闻宣传工作重要指示精神，建成了松潘县主流舆论阵地，综合信息服务平台，基层舆情聚合平台，建成了集硬件和软件相结合的“中央厨房”，更好引导群众、服务群众；</w:t>
      </w:r>
      <w:r>
        <w:rPr>
          <w:rFonts w:hint="eastAsia" w:ascii="仿宋" w:hAnsi="仿宋" w:eastAsia="仿宋" w:cs="楷体"/>
          <w:bCs/>
          <w:sz w:val="32"/>
          <w:szCs w:val="32"/>
        </w:rPr>
        <w:t>县融媒体中心改革创新，建立了充满活力的生产运营和聚才用才机制，“一微一屏一端”成为展现美丽松潘的主窗口。智慧广电服务政务、旅游、电商等多个领域。上半年，协助完成县长、副县长进行网络直播带货，有力助推松潘县特色农户产品在线销售，增加群众收入。今年8月“智慧松潘”APP全程直播“第三届黄龙庙会”欢乐盛宴，共有2万+人数观看了网络直播，9月第四届古城花灯会网络直播开闭幕式，共有在线收看观众达到10万+，标志着松潘智慧广电平台也进入了经济社会发展主战场。</w:t>
      </w:r>
      <w:r>
        <w:rPr>
          <w:rFonts w:hint="eastAsia" w:ascii="仿宋" w:hAnsi="仿宋" w:eastAsia="仿宋" w:cs="仿宋"/>
          <w:sz w:val="32"/>
          <w:szCs w:val="32"/>
        </w:rPr>
        <w:t>截止目前“微松潘”微信公众号实现粉丝量1万7432，平均点击量为2000余/条，发布量：1346条；“智慧松潘”APP下载量达到2.7万+，浏览量突破100万+，发布量：1680条。</w:t>
      </w:r>
    </w:p>
    <w:p w14:paraId="30DD10B4">
      <w:pPr>
        <w:spacing w:line="540" w:lineRule="exact"/>
        <w:ind w:firstLine="640" w:firstLineChars="200"/>
        <w:rPr>
          <w:rFonts w:ascii="仿宋" w:hAnsi="仿宋" w:eastAsia="仿宋"/>
          <w:b/>
          <w:sz w:val="32"/>
          <w:szCs w:val="32"/>
        </w:rPr>
      </w:pPr>
      <w:r>
        <w:rPr>
          <w:rFonts w:hint="eastAsia" w:eastAsia="黑体"/>
          <w:sz w:val="32"/>
          <w:szCs w:val="32"/>
        </w:rPr>
        <w:t>三、</w:t>
      </w:r>
      <w:r>
        <w:rPr>
          <w:rFonts w:eastAsia="黑体"/>
          <w:sz w:val="32"/>
          <w:szCs w:val="32"/>
        </w:rPr>
        <w:t>立足长远，推进事业建设见成效</w:t>
      </w:r>
    </w:p>
    <w:p w14:paraId="2BD69C7D">
      <w:pPr>
        <w:spacing w:line="540" w:lineRule="exact"/>
        <w:ind w:firstLine="643" w:firstLineChars="200"/>
        <w:rPr>
          <w:rFonts w:ascii="楷体" w:hAnsi="楷体" w:eastAsia="楷体" w:cs="楷体"/>
          <w:b/>
          <w:sz w:val="32"/>
          <w:szCs w:val="32"/>
        </w:rPr>
      </w:pPr>
      <w:r>
        <w:rPr>
          <w:rFonts w:hint="eastAsia" w:ascii="楷体" w:hAnsi="楷体" w:eastAsia="楷体" w:cs="楷体"/>
          <w:b/>
          <w:sz w:val="32"/>
          <w:szCs w:val="32"/>
        </w:rPr>
        <w:t>（一）坚持服务意识，惠及千家万户</w:t>
      </w:r>
    </w:p>
    <w:p w14:paraId="633E2BBE">
      <w:pPr>
        <w:spacing w:line="558" w:lineRule="exact"/>
        <w:ind w:firstLine="640" w:firstLineChars="200"/>
        <w:rPr>
          <w:rFonts w:ascii="仿宋" w:hAnsi="仿宋" w:eastAsia="仿宋" w:cs="仿宋"/>
          <w:sz w:val="32"/>
          <w:szCs w:val="32"/>
        </w:rPr>
      </w:pPr>
      <w:r>
        <w:rPr>
          <w:rFonts w:hint="eastAsia" w:ascii="仿宋" w:hAnsi="仿宋" w:eastAsia="仿宋" w:cs="仿宋"/>
          <w:sz w:val="32"/>
          <w:szCs w:val="32"/>
        </w:rPr>
        <w:t>为真正实现“有线进村、数字入户”目标，广电网络维护人员常年奔走于田间地头、高山草场，保证了我县的闹市街头、藏寨羌乡处处能听到党的声音、能看到优质的数字电视。目前数字电视已覆盖全县17个乡镇，收视节目可达130套高、标清数字广播电视节目（其中100套标清、20套高清、10套广播），数字电视覆盖率达到100%，网内用户达28000余户，其中有线电视用户20000余户，地面数字电视用户8000余户。</w:t>
      </w:r>
    </w:p>
    <w:p w14:paraId="63210B09">
      <w:pPr>
        <w:pStyle w:val="19"/>
        <w:shd w:val="clear" w:color="auto" w:fill="FFFFFF"/>
        <w:spacing w:beforeAutospacing="0" w:afterAutospacing="0" w:line="540" w:lineRule="exact"/>
        <w:ind w:firstLine="643" w:firstLineChars="200"/>
        <w:jc w:val="both"/>
        <w:rPr>
          <w:rFonts w:ascii="仿宋" w:hAnsi="仿宋" w:eastAsia="仿宋" w:cs="楷体"/>
          <w:bCs/>
          <w:sz w:val="32"/>
          <w:szCs w:val="32"/>
        </w:rPr>
      </w:pPr>
      <w:r>
        <w:rPr>
          <w:rFonts w:hint="eastAsia" w:ascii="楷体" w:hAnsi="楷体" w:eastAsia="楷体" w:cs="楷体"/>
          <w:b/>
          <w:sz w:val="32"/>
          <w:szCs w:val="32"/>
        </w:rPr>
        <w:t>（二）</w:t>
      </w:r>
      <w:r>
        <w:rPr>
          <w:rFonts w:hint="eastAsia" w:ascii="楷体" w:hAnsi="楷体" w:eastAsia="楷体" w:cs="楷体"/>
          <w:b/>
          <w:sz w:val="32"/>
          <w:szCs w:val="32"/>
          <w:shd w:val="clear" w:color="auto" w:fill="FFFFFF"/>
        </w:rPr>
        <w:t>坚持创新探索，不断完善公共文化服务体系</w:t>
      </w:r>
    </w:p>
    <w:p w14:paraId="05B15182">
      <w:pPr>
        <w:pStyle w:val="19"/>
        <w:shd w:val="clear" w:color="auto" w:fill="FFFFFF"/>
        <w:spacing w:beforeAutospacing="0" w:afterAutospacing="0" w:line="540" w:lineRule="exact"/>
        <w:ind w:firstLine="640" w:firstLineChars="200"/>
        <w:jc w:val="both"/>
        <w:rPr>
          <w:rFonts w:ascii="仿宋" w:hAnsi="仿宋" w:eastAsia="仿宋" w:cs="仿宋"/>
          <w:sz w:val="32"/>
          <w:szCs w:val="32"/>
        </w:rPr>
      </w:pPr>
      <w:r>
        <w:rPr>
          <w:rFonts w:hint="eastAsia" w:ascii="仿宋" w:hAnsi="仿宋" w:eastAsia="仿宋" w:cs="楷体"/>
          <w:bCs/>
          <w:sz w:val="32"/>
          <w:szCs w:val="32"/>
        </w:rPr>
        <w:t>松潘县广电坚持“群众需要什么，我们就提供什么”的指导思想，不断提升能力、锤炼作风，围绕中心工作服务群众，积极融入全县新发展格局，以敢为人先的责任感探索民族地区“少花钱、办大事”的发展道路，以分秒必争的紧迫感推进广播电视各项惠民工程，以舍我其谁的使命感全心全意为群众办好事办实事。今年全省涉藏地区广播电视工作会在松潘召开，省局领导在会议上肯定松潘县实现了“三个第一”。</w:t>
      </w:r>
    </w:p>
    <w:p w14:paraId="7E9097A7">
      <w:pPr>
        <w:spacing w:line="558" w:lineRule="exact"/>
        <w:ind w:firstLine="643" w:firstLineChars="200"/>
        <w:rPr>
          <w:rFonts w:ascii="仿宋" w:hAnsi="仿宋" w:eastAsia="仿宋" w:cs="楷体"/>
          <w:bCs/>
          <w:sz w:val="32"/>
          <w:szCs w:val="32"/>
        </w:rPr>
      </w:pPr>
      <w:r>
        <w:rPr>
          <w:rFonts w:hint="eastAsia" w:ascii="仿宋" w:hAnsi="仿宋" w:eastAsia="仿宋" w:cs="楷体"/>
          <w:b/>
          <w:sz w:val="32"/>
          <w:szCs w:val="32"/>
        </w:rPr>
        <w:t>一是</w:t>
      </w:r>
      <w:r>
        <w:rPr>
          <w:rFonts w:hint="eastAsia" w:ascii="仿宋" w:hAnsi="仿宋" w:eastAsia="仿宋" w:cs="楷体"/>
          <w:bCs/>
          <w:sz w:val="32"/>
          <w:szCs w:val="32"/>
        </w:rPr>
        <w:t>建成了四川省第一个符合国家标准的“覆盖城乡、高效便捷、互联互通、可管可控”的县级应急广播体系。实现了从热闹城区到遥远牧点的全域覆盖，群众可通过户外喇叭“听”，也可通过手机小屏“看”应急信息，村支部书记专人管理、广播电视台定期养护，确保了系统建成能用、管用、好用。疫情期间，松潘县疫情防控工作会议通过应急广播系统召开，藏村羌寨每个角落都听到了县委书记的声音，成为疫情防控新武器。松潘应急广播关键时刻显身手，充分凸显了党委政府的喉舌职能。</w:t>
      </w:r>
      <w:r>
        <w:rPr>
          <w:rFonts w:hint="eastAsia" w:ascii="仿宋" w:hAnsi="仿宋" w:eastAsia="仿宋" w:cs="仿宋"/>
          <w:sz w:val="32"/>
          <w:szCs w:val="32"/>
        </w:rPr>
        <w:t>同时，通过电视、微信公众号、智慧松潘、应急广播等平台将我中心制作的具有浓郁地方特色的三句半，顺口溜，土琵琶弹唱，藏羌山歌、森林草原防灭火内容传到了松州大地的每个角落。</w:t>
      </w:r>
    </w:p>
    <w:p w14:paraId="0C16E10D">
      <w:pPr>
        <w:pStyle w:val="19"/>
        <w:shd w:val="clear" w:color="auto" w:fill="FFFFFF"/>
        <w:spacing w:beforeAutospacing="0" w:afterAutospacing="0" w:line="540" w:lineRule="exact"/>
        <w:ind w:firstLine="643" w:firstLineChars="200"/>
        <w:jc w:val="both"/>
        <w:rPr>
          <w:rFonts w:ascii="仿宋" w:hAnsi="仿宋" w:eastAsia="仿宋" w:cs="楷体"/>
          <w:bCs/>
          <w:sz w:val="32"/>
          <w:szCs w:val="32"/>
        </w:rPr>
      </w:pPr>
      <w:r>
        <w:rPr>
          <w:rFonts w:hint="eastAsia" w:ascii="仿宋" w:hAnsi="仿宋" w:eastAsia="仿宋" w:cs="楷体"/>
          <w:b/>
          <w:sz w:val="32"/>
          <w:szCs w:val="32"/>
        </w:rPr>
        <w:t>二是</w:t>
      </w:r>
      <w:r>
        <w:rPr>
          <w:rFonts w:hint="eastAsia" w:ascii="仿宋" w:hAnsi="仿宋" w:eastAsia="仿宋" w:cs="楷体"/>
          <w:bCs/>
          <w:sz w:val="32"/>
          <w:szCs w:val="32"/>
        </w:rPr>
        <w:t>建成了四川省第一批以“全流程高清、全媒体传播、全业态应用”为标志的智慧广电实验区。松潘县实现了制作、播出、传输到接收终端的全高清化，群众可通过有线电视接收50套以上高清节目，“高清松潘”名副其实。</w:t>
      </w:r>
    </w:p>
    <w:p w14:paraId="64C45B1B">
      <w:pPr>
        <w:pStyle w:val="19"/>
        <w:shd w:val="clear" w:color="auto" w:fill="FFFFFF"/>
        <w:spacing w:beforeAutospacing="0" w:afterAutospacing="0" w:line="540" w:lineRule="exact"/>
        <w:ind w:firstLine="643" w:firstLineChars="200"/>
        <w:jc w:val="both"/>
        <w:rPr>
          <w:rFonts w:ascii="仿宋" w:hAnsi="仿宋" w:eastAsia="仿宋" w:cs="楷体"/>
          <w:bCs/>
          <w:sz w:val="32"/>
          <w:szCs w:val="32"/>
        </w:rPr>
      </w:pPr>
      <w:r>
        <w:rPr>
          <w:rFonts w:hint="eastAsia" w:ascii="仿宋" w:hAnsi="仿宋" w:eastAsia="仿宋" w:cs="楷体"/>
          <w:b/>
          <w:sz w:val="32"/>
          <w:szCs w:val="32"/>
        </w:rPr>
        <w:t>三是</w:t>
      </w:r>
      <w:r>
        <w:rPr>
          <w:rFonts w:hint="eastAsia" w:ascii="仿宋" w:hAnsi="仿宋" w:eastAsia="仿宋" w:cs="楷体"/>
          <w:bCs/>
          <w:sz w:val="32"/>
          <w:szCs w:val="32"/>
        </w:rPr>
        <w:t>探索出四川省第一个“局台网配合”“流动服务+网点坐诊”保障民族地区广播电视户户通、长期通的公共服务长效机制。</w:t>
      </w:r>
    </w:p>
    <w:p w14:paraId="5BE7FB2A">
      <w:pPr>
        <w:pStyle w:val="19"/>
        <w:shd w:val="clear" w:color="auto" w:fill="FFFFFF"/>
        <w:spacing w:beforeAutospacing="0" w:afterAutospacing="0" w:line="540" w:lineRule="exact"/>
        <w:ind w:firstLine="640" w:firstLineChars="200"/>
        <w:jc w:val="both"/>
        <w:rPr>
          <w:rFonts w:ascii="仿宋" w:hAnsi="仿宋" w:eastAsia="仿宋" w:cs="楷体"/>
          <w:bCs/>
          <w:sz w:val="32"/>
          <w:szCs w:val="32"/>
        </w:rPr>
      </w:pPr>
      <w:r>
        <w:rPr>
          <w:rFonts w:hint="eastAsia" w:ascii="仿宋" w:hAnsi="仿宋" w:eastAsia="仿宋"/>
          <w:sz w:val="32"/>
          <w:szCs w:val="32"/>
        </w:rPr>
        <w:t>今年9月，省广播电视局</w:t>
      </w:r>
      <w:r>
        <w:rPr>
          <w:rFonts w:hint="eastAsia" w:ascii="仿宋" w:hAnsi="仿宋" w:eastAsia="仿宋" w:cs="楷体"/>
          <w:bCs/>
          <w:sz w:val="32"/>
          <w:szCs w:val="32"/>
        </w:rPr>
        <w:t>要求在全省范围内进行推广“松潘经验”，</w:t>
      </w:r>
      <w:r>
        <w:rPr>
          <w:rFonts w:hint="eastAsia" w:ascii="仿宋" w:hAnsi="仿宋" w:eastAsia="仿宋"/>
          <w:sz w:val="32"/>
          <w:szCs w:val="32"/>
        </w:rPr>
        <w:t>就是对我们工作的肯定和褒奖，我们将以此次会议为契机，百尺竿头更进一步。</w:t>
      </w:r>
    </w:p>
    <w:p w14:paraId="6D9B6AB9">
      <w:pPr>
        <w:pStyle w:val="19"/>
        <w:shd w:val="clear" w:color="auto" w:fill="FFFFFF"/>
        <w:spacing w:beforeAutospacing="0" w:afterAutospacing="0" w:line="540" w:lineRule="exact"/>
        <w:ind w:firstLine="643" w:firstLineChars="200"/>
        <w:jc w:val="both"/>
        <w:rPr>
          <w:rFonts w:ascii="楷体" w:hAnsi="楷体" w:eastAsia="楷体" w:cs="楷体"/>
          <w:b/>
          <w:sz w:val="32"/>
          <w:szCs w:val="32"/>
        </w:rPr>
      </w:pPr>
      <w:r>
        <w:rPr>
          <w:rFonts w:hint="eastAsia" w:ascii="楷体" w:hAnsi="楷体" w:eastAsia="楷体" w:cs="楷体"/>
          <w:b/>
          <w:sz w:val="32"/>
          <w:szCs w:val="32"/>
        </w:rPr>
        <w:t>（三）强化措施，全力抓好安全优质播出工作</w:t>
      </w:r>
    </w:p>
    <w:p w14:paraId="7E5A2DB2">
      <w:pPr>
        <w:pStyle w:val="19"/>
        <w:shd w:val="clear" w:color="auto" w:fill="FFFFFF"/>
        <w:spacing w:beforeAutospacing="0" w:afterAutospacing="0" w:line="576"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我中心始终坚持将广播电视安全播出作为一项重要政治任务来抓，</w:t>
      </w:r>
      <w:r>
        <w:rPr>
          <w:rFonts w:hint="eastAsia" w:ascii="仿宋" w:hAnsi="仿宋" w:eastAsia="仿宋" w:cs="仿宋"/>
          <w:kern w:val="2"/>
          <w:sz w:val="32"/>
          <w:szCs w:val="32"/>
        </w:rPr>
        <w:t>坚持“高质量、不间断、既经济、又安全”的十二字方针，全力做好播控中心、有线传输、无线发射、采编播设备管理等环节的技术维护和安全保障工作。明确各部门岗位职责，</w:t>
      </w:r>
      <w:r>
        <w:rPr>
          <w:rFonts w:hint="eastAsia" w:ascii="仿宋" w:hAnsi="仿宋" w:eastAsia="仿宋" w:cs="仿宋"/>
          <w:sz w:val="32"/>
          <w:szCs w:val="32"/>
        </w:rPr>
        <w:t>健全各项规章制度，全天候专人24小时值守，增设智能门禁系统，</w:t>
      </w:r>
      <w:r>
        <w:rPr>
          <w:rFonts w:hint="eastAsia" w:ascii="仿宋" w:hAnsi="仿宋" w:eastAsia="仿宋" w:cs="仿宋"/>
          <w:kern w:val="2"/>
          <w:sz w:val="32"/>
          <w:szCs w:val="32"/>
        </w:rPr>
        <w:t>完善维护检修制度，严格执行节目采编及三审制度，制定年度安全播出应急预案，成立安全播出领导小组。认真做好周检、月检工作，确保了我中心广播电视节目在元旦、春节、全国两会、五一、国庆等重大节日、重要时段、重要保障期的安全播出任务；2008年以来至今实现了零停播、零插播、零事故。</w:t>
      </w:r>
    </w:p>
    <w:p w14:paraId="6497F47B">
      <w:pPr>
        <w:spacing w:line="540" w:lineRule="exact"/>
        <w:ind w:firstLine="643" w:firstLineChars="200"/>
        <w:jc w:val="left"/>
        <w:rPr>
          <w:rFonts w:ascii="楷体" w:hAnsi="楷体" w:eastAsia="楷体" w:cs="楷体"/>
          <w:b/>
          <w:sz w:val="32"/>
          <w:szCs w:val="32"/>
        </w:rPr>
      </w:pPr>
      <w:r>
        <w:rPr>
          <w:rFonts w:hint="eastAsia" w:ascii="楷体" w:hAnsi="楷体" w:eastAsia="楷体" w:cs="楷体"/>
          <w:b/>
          <w:sz w:val="32"/>
          <w:szCs w:val="32"/>
        </w:rPr>
        <w:t>（四）多措并举，助推全县扶贫攻坚</w:t>
      </w:r>
    </w:p>
    <w:p w14:paraId="348B0566">
      <w:pPr>
        <w:shd w:val="solid" w:color="FFFFFF" w:fill="auto"/>
        <w:autoSpaceDN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结合脱贫攻坚年度计划，为助推精准脱贫，根据脱贫办要求我中心开展了广播电视“回头看”大排查工作。主要采取有线数字电视、地面数字电视、户户通直播卫星三种覆盖方式，解决“回头看”大排查中11户贫困户不能正常收听、收看广播电视情况；今年继续为全县所有贫困户免除收视维护费，为贫困户免费发放安装调试户户通设备8套，赠送电视机2台。履行社会责任，积极开展联乡包村活动，“挂包帮”工作取得明显成效。今年我中心积极与东裕村两委联系，参与村集体经济发展、精准扶贫；投入2000余元开展“走基层，送温暖”活动，慰问贫困户4户。</w:t>
      </w:r>
    </w:p>
    <w:p w14:paraId="545AF76A">
      <w:pPr>
        <w:spacing w:line="558"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（五）强化领导，有序推进项目建设</w:t>
      </w:r>
    </w:p>
    <w:p w14:paraId="40D283C9">
      <w:pPr>
        <w:spacing w:line="558" w:lineRule="exact"/>
        <w:ind w:firstLine="643" w:firstLineChars="200"/>
        <w:rPr>
          <w:rFonts w:ascii="仿宋" w:hAnsi="仿宋" w:eastAsia="仿宋" w:cs="仿宋"/>
          <w:sz w:val="32"/>
          <w:szCs w:val="32"/>
        </w:rPr>
      </w:pPr>
      <w:r>
        <w:rPr>
          <w:rFonts w:hint="eastAsia" w:eastAsia="仿宋_GB2312"/>
          <w:b/>
          <w:bCs/>
          <w:sz w:val="32"/>
          <w:szCs w:val="32"/>
        </w:rPr>
        <w:t>一是</w:t>
      </w:r>
      <w:r>
        <w:rPr>
          <w:rFonts w:hint="eastAsia" w:ascii="仿宋" w:hAnsi="仿宋" w:eastAsia="仿宋" w:cs="仿宋"/>
          <w:sz w:val="32"/>
          <w:szCs w:val="32"/>
        </w:rPr>
        <w:t>由于受疫情影响，</w:t>
      </w:r>
      <w:r>
        <w:rPr>
          <w:rFonts w:hint="eastAsia" w:ascii="仿宋" w:hAnsi="仿宋" w:eastAsia="仿宋"/>
          <w:bCs/>
          <w:sz w:val="32"/>
          <w:szCs w:val="32"/>
        </w:rPr>
        <w:t>州县广播电视节目覆盖工程</w:t>
      </w:r>
      <w:r>
        <w:rPr>
          <w:rFonts w:hint="eastAsia" w:ascii="仿宋" w:hAnsi="仿宋" w:eastAsia="仿宋" w:cs="仿宋"/>
          <w:sz w:val="32"/>
          <w:szCs w:val="32"/>
        </w:rPr>
        <w:t>正在实施有线网络双向化改造和宽带入户。项目实施后，将达到宽带接入、点播、回看等交互式电视功能；实现“电视户户通、广播村村响、制播全高清、网屏皆互动，户户看高清、家家可互动”的广播电视新格局。真正实现州县广播电视节目在我县覆盖率达到100%。</w:t>
      </w:r>
      <w:r>
        <w:rPr>
          <w:rFonts w:hint="eastAsia" w:ascii="仿宋" w:hAnsi="仿宋" w:eastAsia="仿宋" w:cs="仿宋"/>
          <w:b/>
          <w:bCs/>
          <w:sz w:val="32"/>
          <w:szCs w:val="32"/>
        </w:rPr>
        <w:t>二是</w:t>
      </w:r>
      <w:r>
        <w:rPr>
          <w:rFonts w:hint="eastAsia" w:ascii="仿宋" w:hAnsi="仿宋" w:eastAsia="仿宋" w:cs="仿宋"/>
          <w:sz w:val="32"/>
          <w:szCs w:val="32"/>
        </w:rPr>
        <w:t>完成了高山无线发射台站基础设施建设，进一步优化了松潘广电传输网络，提升了广播电视公共服务水平。</w:t>
      </w:r>
      <w:r>
        <w:rPr>
          <w:rFonts w:hint="eastAsia" w:ascii="仿宋" w:hAnsi="仿宋" w:eastAsia="仿宋" w:cs="仿宋"/>
          <w:b/>
          <w:bCs/>
          <w:sz w:val="32"/>
          <w:szCs w:val="32"/>
        </w:rPr>
        <w:t>三是</w:t>
      </w:r>
      <w:r>
        <w:rPr>
          <w:rFonts w:hint="eastAsia" w:ascii="仿宋" w:hAnsi="仿宋" w:eastAsia="仿宋" w:cs="仿宋"/>
          <w:sz w:val="32"/>
          <w:szCs w:val="32"/>
        </w:rPr>
        <w:t>完成了融媒体中心系统升级改造。</w:t>
      </w:r>
    </w:p>
    <w:p w14:paraId="67168D89">
      <w:pPr>
        <w:spacing w:line="540" w:lineRule="exact"/>
        <w:ind w:firstLine="640" w:firstLineChars="200"/>
        <w:rPr>
          <w:rFonts w:eastAsia="黑体"/>
          <w:sz w:val="32"/>
          <w:szCs w:val="32"/>
        </w:rPr>
      </w:pPr>
      <w:r>
        <w:rPr>
          <w:rFonts w:hint="eastAsia" w:eastAsia="黑体"/>
          <w:sz w:val="32"/>
          <w:szCs w:val="32"/>
        </w:rPr>
        <w:t>四</w:t>
      </w:r>
      <w:r>
        <w:rPr>
          <w:rFonts w:eastAsia="黑体"/>
          <w:sz w:val="32"/>
          <w:szCs w:val="32"/>
        </w:rPr>
        <w:t>、</w:t>
      </w:r>
      <w:r>
        <w:rPr>
          <w:rFonts w:hint="eastAsia" w:eastAsia="黑体"/>
          <w:sz w:val="32"/>
          <w:szCs w:val="32"/>
        </w:rPr>
        <w:t>狠</w:t>
      </w:r>
      <w:r>
        <w:rPr>
          <w:rFonts w:eastAsia="黑体"/>
          <w:sz w:val="32"/>
          <w:szCs w:val="32"/>
        </w:rPr>
        <w:t>抓党</w:t>
      </w:r>
      <w:r>
        <w:rPr>
          <w:rFonts w:hint="eastAsia" w:eastAsia="黑体"/>
          <w:sz w:val="32"/>
          <w:szCs w:val="32"/>
        </w:rPr>
        <w:t>的</w:t>
      </w:r>
      <w:r>
        <w:rPr>
          <w:rFonts w:eastAsia="黑体"/>
          <w:sz w:val="32"/>
          <w:szCs w:val="32"/>
        </w:rPr>
        <w:t>建</w:t>
      </w:r>
      <w:r>
        <w:rPr>
          <w:rFonts w:hint="eastAsia" w:eastAsia="黑体"/>
          <w:sz w:val="32"/>
          <w:szCs w:val="32"/>
        </w:rPr>
        <w:t>设，坚定理想信念</w:t>
      </w:r>
    </w:p>
    <w:p w14:paraId="6740A09A">
      <w:pPr>
        <w:spacing w:line="540" w:lineRule="exact"/>
        <w:ind w:firstLine="640" w:firstLineChars="200"/>
        <w:rPr>
          <w:rFonts w:ascii="黑体" w:hAnsi="黑体" w:eastAsia="黑体" w:cs="黑体"/>
          <w:sz w:val="32"/>
          <w:szCs w:val="32"/>
        </w:rPr>
      </w:pPr>
      <w:r>
        <w:rPr>
          <w:rFonts w:hint="eastAsia" w:eastAsia="仿宋_GB2312"/>
          <w:sz w:val="32"/>
          <w:szCs w:val="32"/>
        </w:rPr>
        <w:t>我中心始终把社会主义核心价值体系教育，把思想政治工作贯穿于新闻宣传、事业建设工作之中，把学习践行社会主义核心价值观同加强党性修养结合起来，做到坚持理想信念不动摇、奋斗精神不懈怠；把抓好党性教育作为坚定党员干部理想信念的核心。</w:t>
      </w:r>
      <w:r>
        <w:rPr>
          <w:rFonts w:hint="eastAsia" w:eastAsia="仿宋_GB2312"/>
          <w:b/>
          <w:bCs/>
          <w:sz w:val="32"/>
          <w:szCs w:val="32"/>
        </w:rPr>
        <w:t>一是</w:t>
      </w:r>
      <w:r>
        <w:rPr>
          <w:rFonts w:hint="eastAsia" w:eastAsia="仿宋_GB2312"/>
          <w:sz w:val="32"/>
          <w:szCs w:val="32"/>
        </w:rPr>
        <w:t>通过主题党日、七一等加强党员干部理想信念和宗旨意识教育，强化党性锤炼。</w:t>
      </w:r>
      <w:r>
        <w:rPr>
          <w:rFonts w:hint="eastAsia" w:eastAsia="仿宋_GB2312"/>
          <w:b/>
          <w:bCs/>
          <w:sz w:val="32"/>
          <w:szCs w:val="32"/>
        </w:rPr>
        <w:t>二是</w:t>
      </w:r>
      <w:r>
        <w:rPr>
          <w:rFonts w:hint="eastAsia" w:eastAsia="仿宋_GB2312"/>
          <w:sz w:val="32"/>
          <w:szCs w:val="32"/>
        </w:rPr>
        <w:t>持续开展“户户访、人人忙”活动，架起干群连心桥。</w:t>
      </w:r>
    </w:p>
    <w:p w14:paraId="355E1A00">
      <w:pPr>
        <w:spacing w:line="540" w:lineRule="exact"/>
        <w:ind w:firstLine="640" w:firstLineChars="200"/>
        <w:rPr>
          <w:rFonts w:ascii="仿宋" w:hAnsi="仿宋" w:eastAsia="仿宋" w:cs="仿宋"/>
          <w:b/>
          <w:bCs/>
          <w:sz w:val="32"/>
          <w:szCs w:val="32"/>
        </w:rPr>
      </w:pPr>
      <w:r>
        <w:rPr>
          <w:rFonts w:hint="eastAsia" w:ascii="黑体" w:hAnsi="黑体" w:eastAsia="黑体" w:cs="黑体"/>
          <w:sz w:val="32"/>
          <w:szCs w:val="32"/>
        </w:rPr>
        <w:t>五、扎实开展党风廉政建设工作</w:t>
      </w:r>
    </w:p>
    <w:p w14:paraId="7618349C">
      <w:pPr>
        <w:spacing w:line="540" w:lineRule="exact"/>
        <w:ind w:firstLine="643" w:firstLineChars="200"/>
        <w:rPr>
          <w:rFonts w:hAnsi="仿宋_GB2312" w:eastAsia="仿宋_GB2312"/>
          <w:sz w:val="32"/>
          <w:szCs w:val="32"/>
          <w:shd w:val="clear" w:color="auto" w:fill="FFFFFF"/>
        </w:rPr>
      </w:pPr>
      <w:r>
        <w:rPr>
          <w:rFonts w:hint="eastAsia" w:ascii="仿宋" w:hAnsi="仿宋" w:eastAsia="仿宋" w:cs="仿宋"/>
          <w:b/>
          <w:sz w:val="32"/>
          <w:szCs w:val="32"/>
        </w:rPr>
        <w:t>一是</w:t>
      </w:r>
      <w:r>
        <w:rPr>
          <w:rFonts w:hAnsi="仿宋_GB2312" w:eastAsia="仿宋_GB2312"/>
          <w:sz w:val="32"/>
          <w:szCs w:val="32"/>
          <w:shd w:val="clear" w:color="auto" w:fill="FFFFFF"/>
        </w:rPr>
        <w:t>经常性</w:t>
      </w:r>
      <w:r>
        <w:rPr>
          <w:rFonts w:hint="eastAsia" w:hAnsi="仿宋_GB2312" w:eastAsia="仿宋_GB2312"/>
          <w:sz w:val="32"/>
          <w:szCs w:val="32"/>
          <w:shd w:val="clear" w:color="auto" w:fill="FFFFFF"/>
        </w:rPr>
        <w:t>地</w:t>
      </w:r>
      <w:r>
        <w:rPr>
          <w:rFonts w:hAnsi="仿宋_GB2312" w:eastAsia="仿宋_GB2312"/>
          <w:sz w:val="32"/>
          <w:szCs w:val="32"/>
          <w:shd w:val="clear" w:color="auto" w:fill="FFFFFF"/>
        </w:rPr>
        <w:t>开展党风廉政教育，从思想上筑起第一道防腐屏障。把制度建设</w:t>
      </w:r>
      <w:r>
        <w:rPr>
          <w:rFonts w:hint="eastAsia" w:hAnsi="仿宋_GB2312" w:eastAsia="仿宋_GB2312"/>
          <w:sz w:val="32"/>
          <w:szCs w:val="32"/>
          <w:shd w:val="clear" w:color="auto" w:fill="FFFFFF"/>
        </w:rPr>
        <w:t>贯穿</w:t>
      </w:r>
      <w:r>
        <w:rPr>
          <w:rFonts w:hAnsi="仿宋_GB2312" w:eastAsia="仿宋_GB2312"/>
          <w:sz w:val="32"/>
          <w:szCs w:val="32"/>
          <w:shd w:val="clear" w:color="auto" w:fill="FFFFFF"/>
        </w:rPr>
        <w:t>于反腐倡廉和党风廉政建设工作的各个环节上，先后完善了各项规章制度，</w:t>
      </w:r>
      <w:r>
        <w:rPr>
          <w:rFonts w:hint="eastAsia" w:hAnsi="仿宋_GB2312" w:eastAsia="仿宋_GB2312"/>
          <w:sz w:val="32"/>
          <w:szCs w:val="32"/>
          <w:shd w:val="clear" w:color="auto" w:fill="FFFFFF"/>
        </w:rPr>
        <w:t>建立</w:t>
      </w:r>
      <w:r>
        <w:rPr>
          <w:rFonts w:hAnsi="仿宋_GB2312" w:eastAsia="仿宋_GB2312"/>
          <w:sz w:val="32"/>
          <w:szCs w:val="32"/>
          <w:shd w:val="clear" w:color="auto" w:fill="FFFFFF"/>
        </w:rPr>
        <w:t>按制度办事，靠制度管人的长效机制</w:t>
      </w:r>
      <w:r>
        <w:rPr>
          <w:rFonts w:hint="eastAsia" w:hAnsi="仿宋_GB2312" w:eastAsia="仿宋_GB2312"/>
          <w:sz w:val="32"/>
          <w:szCs w:val="32"/>
          <w:shd w:val="clear" w:color="auto" w:fill="FFFFFF"/>
        </w:rPr>
        <w:t>；</w:t>
      </w:r>
      <w:r>
        <w:rPr>
          <w:rFonts w:hint="eastAsia" w:hAnsi="仿宋_GB2312" w:eastAsia="仿宋_GB2312"/>
          <w:b/>
          <w:bCs/>
          <w:sz w:val="32"/>
          <w:szCs w:val="32"/>
          <w:shd w:val="clear" w:color="auto" w:fill="FFFFFF"/>
        </w:rPr>
        <w:t>二是</w:t>
      </w:r>
      <w:r>
        <w:rPr>
          <w:rFonts w:hint="eastAsia" w:hAnsi="仿宋_GB2312" w:eastAsia="仿宋_GB2312"/>
          <w:sz w:val="32"/>
          <w:szCs w:val="32"/>
          <w:shd w:val="clear" w:color="auto" w:fill="FFFFFF"/>
        </w:rPr>
        <w:t>制定党风廉政责任清单、同各科室签订了党风廉政责任书等。</w:t>
      </w:r>
      <w:r>
        <w:rPr>
          <w:rFonts w:hint="eastAsia" w:hAnsi="仿宋_GB2312" w:eastAsia="仿宋_GB2312"/>
          <w:b/>
          <w:bCs/>
          <w:sz w:val="32"/>
          <w:szCs w:val="32"/>
          <w:shd w:val="clear" w:color="auto" w:fill="FFFFFF"/>
        </w:rPr>
        <w:t>三是</w:t>
      </w:r>
      <w:r>
        <w:rPr>
          <w:rFonts w:hint="eastAsia" w:hAnsi="仿宋_GB2312" w:eastAsia="仿宋_GB2312"/>
          <w:sz w:val="32"/>
          <w:szCs w:val="32"/>
          <w:shd w:val="clear" w:color="auto" w:fill="FFFFFF"/>
        </w:rPr>
        <w:t>坚持会前学纪学法。</w:t>
      </w:r>
    </w:p>
    <w:p w14:paraId="19A730DF">
      <w:pPr>
        <w:pStyle w:val="3"/>
        <w:spacing w:before="93"/>
        <w:ind w:firstLine="240"/>
      </w:pPr>
    </w:p>
    <w:p w14:paraId="3E0A9994">
      <w:pPr>
        <w:pStyle w:val="5"/>
        <w:rPr>
          <w:rStyle w:val="25"/>
          <w:b w:val="0"/>
          <w:bCs w:val="0"/>
        </w:rPr>
      </w:pPr>
      <w:bookmarkStart w:id="24" w:name="_Toc15396601"/>
      <w:bookmarkStart w:id="25" w:name="_Toc15377200"/>
      <w:bookmarkStart w:id="26" w:name="_Toc79163855"/>
      <w:bookmarkStart w:id="27" w:name="_Toc79163605"/>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4"/>
      <w:bookmarkEnd w:id="25"/>
      <w:bookmarkEnd w:id="26"/>
      <w:bookmarkEnd w:id="27"/>
    </w:p>
    <w:p w14:paraId="37B28FF1">
      <w:pPr>
        <w:ind w:firstLine="736" w:firstLineChars="230"/>
        <w:rPr>
          <w:rFonts w:ascii="仿宋" w:hAnsi="仿宋" w:eastAsia="仿宋" w:cs="仿宋"/>
          <w:sz w:val="32"/>
          <w:szCs w:val="32"/>
        </w:rPr>
      </w:pPr>
      <w:r>
        <w:rPr>
          <w:rFonts w:hint="eastAsia" w:ascii="仿宋" w:hAnsi="仿宋" w:eastAsia="仿宋" w:cs="仿宋"/>
          <w:bCs/>
          <w:sz w:val="32"/>
          <w:szCs w:val="32"/>
        </w:rPr>
        <w:t>松潘</w:t>
      </w:r>
      <w:r>
        <w:rPr>
          <w:rFonts w:hint="eastAsia" w:ascii="仿宋" w:hAnsi="仿宋" w:eastAsia="仿宋" w:cs="仿宋"/>
          <w:sz w:val="32"/>
          <w:szCs w:val="32"/>
        </w:rPr>
        <w:t>县融媒体中心为县委直属公益一类正科级事业单位，归口县委宣传部领导和管理。县融媒体中心下设10个内设机构：（办公室、财务室、总编室、新闻专题部、编辑部、通联译制部、新媒体部、技术部、播控部、运营部）</w:t>
      </w:r>
    </w:p>
    <w:p w14:paraId="5848EDD6">
      <w:pPr>
        <w:shd w:val="solid" w:color="FFFFFF" w:fill="auto"/>
        <w:autoSpaceDN w:val="0"/>
        <w:spacing w:line="57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松潘县融媒体中心核定编制30人。其中主任1名、副主任2名；股级领导职数10名。现单位共有职工33人。其中在编人数22人。</w:t>
      </w:r>
    </w:p>
    <w:p w14:paraId="00D90A0E">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2163705D">
      <w:pPr>
        <w:pStyle w:val="4"/>
        <w:ind w:right="440"/>
        <w:jc w:val="right"/>
        <w:rPr>
          <w:rStyle w:val="24"/>
          <w:rFonts w:ascii="黑体" w:hAnsi="黑体" w:eastAsia="黑体"/>
          <w:b w:val="0"/>
          <w:bCs w:val="0"/>
        </w:rPr>
      </w:pPr>
      <w:bookmarkStart w:id="28" w:name="_Toc15377204"/>
      <w:bookmarkStart w:id="29" w:name="_Toc15396602"/>
      <w:bookmarkStart w:id="30" w:name="_Toc79163609"/>
      <w:bookmarkStart w:id="31" w:name="_Toc79163859"/>
      <w:r>
        <w:rPr>
          <w:rFonts w:hint="eastAsia" w:ascii="黑体" w:hAnsi="黑体" w:eastAsia="黑体"/>
          <w:b w:val="0"/>
          <w:color w:val="000000"/>
        </w:rPr>
        <w:t>第二部分</w:t>
      </w:r>
      <w:r>
        <w:rPr>
          <w:rFonts w:ascii="黑体" w:hAnsi="黑体" w:eastAsia="黑体"/>
          <w:color w:val="000000"/>
        </w:rPr>
        <w:t xml:space="preserve"> </w:t>
      </w:r>
      <w:r>
        <w:rPr>
          <w:rStyle w:val="24"/>
          <w:rFonts w:ascii="黑体" w:hAnsi="黑体" w:eastAsia="黑体"/>
          <w:b w:val="0"/>
          <w:bCs w:val="0"/>
        </w:rPr>
        <w:t>2020</w:t>
      </w:r>
      <w:r>
        <w:rPr>
          <w:rStyle w:val="24"/>
          <w:rFonts w:hint="eastAsia" w:ascii="黑体" w:hAnsi="黑体" w:eastAsia="黑体"/>
          <w:b w:val="0"/>
          <w:bCs w:val="0"/>
        </w:rPr>
        <w:t>年度部门决算情况说明</w:t>
      </w:r>
      <w:bookmarkEnd w:id="28"/>
      <w:bookmarkEnd w:id="29"/>
      <w:bookmarkEnd w:id="30"/>
      <w:bookmarkEnd w:id="31"/>
    </w:p>
    <w:p w14:paraId="7EDA58E1"/>
    <w:p w14:paraId="1990A4D1">
      <w:pPr>
        <w:pStyle w:val="35"/>
        <w:numPr>
          <w:ilvl w:val="0"/>
          <w:numId w:val="1"/>
        </w:numPr>
        <w:spacing w:line="600" w:lineRule="exact"/>
        <w:ind w:firstLineChars="0"/>
        <w:outlineLvl w:val="1"/>
        <w:rPr>
          <w:rStyle w:val="25"/>
          <w:rFonts w:ascii="黑体" w:hAnsi="黑体" w:eastAsia="黑体"/>
          <w:b w:val="0"/>
        </w:rPr>
      </w:pPr>
      <w:bookmarkStart w:id="32" w:name="_Toc15396603"/>
      <w:bookmarkStart w:id="33" w:name="_Toc79163610"/>
      <w:bookmarkStart w:id="34" w:name="_Toc15377205"/>
      <w:bookmarkStart w:id="35" w:name="_Toc79163860"/>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32"/>
      <w:bookmarkEnd w:id="33"/>
      <w:bookmarkEnd w:id="34"/>
      <w:bookmarkEnd w:id="35"/>
    </w:p>
    <w:p w14:paraId="5D0FA58A">
      <w:pPr>
        <w:spacing w:line="600" w:lineRule="exact"/>
        <w:ind w:firstLine="640" w:firstLineChars="200"/>
        <w:rPr>
          <w:rFonts w:ascii="仿宋_GB2312" w:eastAsia="仿宋_GB2312"/>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年度收入合计1610.36万元、支出合计1106.49万元。与</w:t>
      </w:r>
      <w:r>
        <w:rPr>
          <w:rFonts w:ascii="仿宋" w:hAnsi="仿宋" w:eastAsia="仿宋"/>
          <w:color w:val="000000"/>
          <w:sz w:val="32"/>
          <w:szCs w:val="32"/>
        </w:rPr>
        <w:t>2019</w:t>
      </w:r>
      <w:r>
        <w:rPr>
          <w:rFonts w:hint="eastAsia" w:ascii="仿宋" w:hAnsi="仿宋" w:eastAsia="仿宋"/>
          <w:color w:val="000000"/>
          <w:sz w:val="32"/>
          <w:szCs w:val="32"/>
        </w:rPr>
        <w:t>年相比，收入合计增加262.07万元、增长19.4%支出合计增加180.01万元，增长19.4</w:t>
      </w:r>
      <w:r>
        <w:rPr>
          <w:rFonts w:ascii="仿宋" w:hAnsi="仿宋" w:eastAsia="仿宋"/>
          <w:color w:val="000000"/>
          <w:sz w:val="32"/>
          <w:szCs w:val="32"/>
        </w:rPr>
        <w:t>%</w:t>
      </w:r>
      <w:r>
        <w:rPr>
          <w:rFonts w:hint="eastAsia" w:ascii="仿宋" w:hAnsi="仿宋" w:eastAsia="仿宋"/>
          <w:color w:val="000000"/>
          <w:sz w:val="32"/>
          <w:szCs w:val="32"/>
        </w:rPr>
        <w:t>。主要变动原因是收入总计为年初结转资金较多、工资基数增加，支出合计为项目支出较多。</w:t>
      </w:r>
    </w:p>
    <w:p w14:paraId="3C4E8124">
      <w:pPr>
        <w:pStyle w:val="35"/>
        <w:numPr>
          <w:ilvl w:val="0"/>
          <w:numId w:val="1"/>
        </w:numPr>
        <w:spacing w:line="600" w:lineRule="exact"/>
        <w:ind w:firstLineChars="0"/>
        <w:outlineLvl w:val="1"/>
        <w:rPr>
          <w:rStyle w:val="25"/>
          <w:rFonts w:ascii="黑体" w:hAnsi="黑体" w:eastAsia="黑体"/>
          <w:b w:val="0"/>
        </w:rPr>
      </w:pPr>
      <w:bookmarkStart w:id="36" w:name="_Toc15396604"/>
      <w:bookmarkStart w:id="37" w:name="_Toc15377206"/>
      <w:bookmarkStart w:id="38" w:name="_Toc79163861"/>
      <w:bookmarkStart w:id="39" w:name="_Toc79163611"/>
      <w:r>
        <w:rPr>
          <w:rFonts w:hint="eastAsia" w:ascii="黑体" w:hAnsi="黑体" w:eastAsia="黑体"/>
          <w:color w:val="000000"/>
          <w:sz w:val="32"/>
          <w:szCs w:val="32"/>
        </w:rPr>
        <w:t>收</w:t>
      </w:r>
      <w:r>
        <w:rPr>
          <w:rStyle w:val="25"/>
          <w:rFonts w:hint="eastAsia" w:ascii="黑体" w:hAnsi="黑体" w:eastAsia="黑体"/>
          <w:b w:val="0"/>
        </w:rPr>
        <w:t>入决算情况说明</w:t>
      </w:r>
      <w:bookmarkEnd w:id="36"/>
      <w:bookmarkEnd w:id="37"/>
      <w:bookmarkEnd w:id="38"/>
      <w:bookmarkEnd w:id="39"/>
    </w:p>
    <w:p w14:paraId="2ABD0C09">
      <w:pPr>
        <w:spacing w:line="600" w:lineRule="exact"/>
        <w:ind w:firstLine="640" w:firstLineChars="200"/>
        <w:rPr>
          <w:rFonts w:ascii="仿宋_GB2312" w:eastAsia="仿宋_GB2312"/>
          <w:color w:val="FF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年本年收入合计1610.35万元，其中：一般公共预算财政拨款收入617.11万元，占38.3</w:t>
      </w:r>
      <w:r>
        <w:rPr>
          <w:rFonts w:ascii="仿宋" w:hAnsi="仿宋" w:eastAsia="仿宋"/>
          <w:color w:val="000000"/>
          <w:sz w:val="32"/>
          <w:szCs w:val="32"/>
        </w:rPr>
        <w:t>%</w:t>
      </w:r>
      <w:r>
        <w:rPr>
          <w:rFonts w:hint="eastAsia" w:ascii="仿宋" w:hAnsi="仿宋" w:eastAsia="仿宋"/>
          <w:color w:val="000000"/>
          <w:sz w:val="32"/>
          <w:szCs w:val="32"/>
        </w:rPr>
        <w:t>；年初结转和结余993.25万元，占61.7%。</w:t>
      </w:r>
    </w:p>
    <w:p w14:paraId="31837376">
      <w:pPr>
        <w:pStyle w:val="35"/>
        <w:numPr>
          <w:ilvl w:val="0"/>
          <w:numId w:val="1"/>
        </w:numPr>
        <w:spacing w:line="600" w:lineRule="exact"/>
        <w:ind w:firstLineChars="0"/>
        <w:outlineLvl w:val="1"/>
        <w:rPr>
          <w:rStyle w:val="25"/>
          <w:rFonts w:ascii="黑体" w:hAnsi="黑体" w:eastAsia="黑体"/>
          <w:b w:val="0"/>
        </w:rPr>
      </w:pPr>
      <w:bookmarkStart w:id="40" w:name="_Toc79163862"/>
      <w:bookmarkStart w:id="41" w:name="_Toc15377207"/>
      <w:bookmarkStart w:id="42" w:name="_Toc79163612"/>
      <w:bookmarkStart w:id="43"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40"/>
      <w:bookmarkEnd w:id="41"/>
      <w:bookmarkEnd w:id="42"/>
      <w:bookmarkEnd w:id="43"/>
    </w:p>
    <w:p w14:paraId="1AF14691">
      <w:pPr>
        <w:spacing w:line="600" w:lineRule="exact"/>
        <w:ind w:firstLine="640" w:firstLineChars="200"/>
        <w:rPr>
          <w:rFonts w:ascii="仿宋_GB2312" w:eastAsia="仿宋_GB2312"/>
          <w:color w:val="FF0000"/>
          <w:sz w:val="32"/>
          <w:szCs w:val="32"/>
        </w:rPr>
      </w:pPr>
      <w:r>
        <w:rPr>
          <w:rFonts w:ascii="仿宋_GB2312" w:eastAsia="仿宋_GB2312"/>
          <w:sz w:val="32"/>
          <w:szCs w:val="32"/>
        </w:rPr>
        <w:t>2020</w:t>
      </w:r>
      <w:r>
        <w:rPr>
          <w:rFonts w:hint="eastAsia" w:ascii="仿宋_GB2312" w:eastAsia="仿宋_GB2312"/>
          <w:sz w:val="32"/>
          <w:szCs w:val="32"/>
        </w:rPr>
        <w:t>年本年支出合计1106.49万元，其中：基本支出300.2万元，占27.1</w:t>
      </w:r>
      <w:r>
        <w:rPr>
          <w:rFonts w:ascii="仿宋_GB2312" w:eastAsia="仿宋_GB2312"/>
          <w:sz w:val="32"/>
          <w:szCs w:val="32"/>
        </w:rPr>
        <w:t>%</w:t>
      </w:r>
      <w:r>
        <w:rPr>
          <w:rFonts w:hint="eastAsia" w:ascii="仿宋_GB2312" w:eastAsia="仿宋_GB2312"/>
          <w:sz w:val="32"/>
          <w:szCs w:val="32"/>
        </w:rPr>
        <w:t>；项目支出806.29万元，占72.9</w:t>
      </w:r>
      <w:r>
        <w:rPr>
          <w:rFonts w:ascii="仿宋_GB2312" w:eastAsia="仿宋_GB2312"/>
          <w:sz w:val="32"/>
          <w:szCs w:val="32"/>
        </w:rPr>
        <w:t>%</w:t>
      </w:r>
      <w:r>
        <w:rPr>
          <w:rFonts w:hint="eastAsia" w:ascii="仿宋_GB2312" w:eastAsia="仿宋_GB2312"/>
          <w:sz w:val="32"/>
          <w:szCs w:val="32"/>
        </w:rPr>
        <w:t>；</w:t>
      </w:r>
    </w:p>
    <w:p w14:paraId="352CF434">
      <w:pPr>
        <w:spacing w:line="600" w:lineRule="exact"/>
        <w:ind w:firstLine="640" w:firstLineChars="200"/>
        <w:outlineLvl w:val="1"/>
        <w:rPr>
          <w:rStyle w:val="25"/>
          <w:rFonts w:ascii="黑体" w:hAnsi="黑体" w:eastAsia="黑体"/>
          <w:b w:val="0"/>
        </w:rPr>
      </w:pPr>
      <w:bookmarkStart w:id="44" w:name="_Toc79163863"/>
      <w:bookmarkStart w:id="45" w:name="_Toc79163613"/>
      <w:bookmarkStart w:id="46" w:name="_Toc15377208"/>
      <w:bookmarkStart w:id="47"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44"/>
      <w:bookmarkEnd w:id="45"/>
      <w:bookmarkEnd w:id="46"/>
      <w:bookmarkEnd w:id="47"/>
    </w:p>
    <w:p w14:paraId="18A14C54">
      <w:pPr>
        <w:spacing w:line="600" w:lineRule="exact"/>
        <w:ind w:firstLine="640" w:firstLineChars="200"/>
        <w:rPr>
          <w:rFonts w:ascii="仿宋" w:hAnsi="仿宋" w:eastAsia="仿宋"/>
          <w:b/>
          <w:color w:val="00B050"/>
          <w:sz w:val="32"/>
          <w:szCs w:val="32"/>
        </w:rPr>
      </w:pPr>
      <w:r>
        <w:rPr>
          <w:rFonts w:ascii="仿宋" w:hAnsi="仿宋" w:eastAsia="仿宋"/>
          <w:color w:val="000000"/>
          <w:sz w:val="32"/>
          <w:szCs w:val="32"/>
        </w:rPr>
        <w:t>2020</w:t>
      </w:r>
      <w:r>
        <w:rPr>
          <w:rFonts w:hint="eastAsia" w:ascii="仿宋" w:hAnsi="仿宋" w:eastAsia="仿宋"/>
          <w:color w:val="000000"/>
          <w:sz w:val="32"/>
          <w:szCs w:val="32"/>
        </w:rPr>
        <w:t>年度收入合计1610.36万元、支出合计1106.49万元。与</w:t>
      </w:r>
      <w:r>
        <w:rPr>
          <w:rFonts w:ascii="仿宋" w:hAnsi="仿宋" w:eastAsia="仿宋"/>
          <w:color w:val="000000"/>
          <w:sz w:val="32"/>
          <w:szCs w:val="32"/>
        </w:rPr>
        <w:t>2019</w:t>
      </w:r>
      <w:r>
        <w:rPr>
          <w:rFonts w:hint="eastAsia" w:ascii="仿宋" w:hAnsi="仿宋" w:eastAsia="仿宋"/>
          <w:color w:val="000000"/>
          <w:sz w:val="32"/>
          <w:szCs w:val="32"/>
        </w:rPr>
        <w:t>年相比，收入合计增加262.07万元、增长19.4%支出合计增加180.01万元，增长19.4</w:t>
      </w:r>
      <w:r>
        <w:rPr>
          <w:rFonts w:ascii="仿宋" w:hAnsi="仿宋" w:eastAsia="仿宋"/>
          <w:color w:val="000000"/>
          <w:sz w:val="32"/>
          <w:szCs w:val="32"/>
        </w:rPr>
        <w:t>%</w:t>
      </w:r>
      <w:r>
        <w:rPr>
          <w:rFonts w:hint="eastAsia" w:ascii="仿宋" w:hAnsi="仿宋" w:eastAsia="仿宋"/>
          <w:color w:val="000000"/>
          <w:sz w:val="32"/>
          <w:szCs w:val="32"/>
        </w:rPr>
        <w:t>。主要变动原因是收入总计为年初结转资金较多、工资基数增加，支出合计为项目支出较多。</w:t>
      </w:r>
    </w:p>
    <w:p w14:paraId="7EF9F965">
      <w:pPr>
        <w:spacing w:line="600" w:lineRule="exact"/>
        <w:ind w:firstLine="640" w:firstLineChars="200"/>
        <w:outlineLvl w:val="1"/>
        <w:rPr>
          <w:rStyle w:val="25"/>
          <w:rFonts w:ascii="黑体" w:hAnsi="黑体" w:eastAsia="黑体"/>
          <w:b w:val="0"/>
        </w:rPr>
      </w:pPr>
      <w:bookmarkStart w:id="48" w:name="_Toc15377209"/>
      <w:bookmarkStart w:id="49" w:name="_Toc79163864"/>
      <w:bookmarkStart w:id="50" w:name="_Toc79163614"/>
      <w:bookmarkStart w:id="51"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48"/>
      <w:bookmarkEnd w:id="49"/>
      <w:bookmarkEnd w:id="50"/>
      <w:bookmarkEnd w:id="51"/>
    </w:p>
    <w:p w14:paraId="56E19173">
      <w:pPr>
        <w:spacing w:line="600" w:lineRule="exact"/>
        <w:ind w:firstLine="643" w:firstLineChars="200"/>
        <w:outlineLvl w:val="2"/>
        <w:rPr>
          <w:rFonts w:ascii="仿宋" w:hAnsi="仿宋" w:eastAsia="仿宋"/>
          <w:b/>
          <w:color w:val="000000"/>
          <w:sz w:val="32"/>
          <w:szCs w:val="32"/>
        </w:rPr>
      </w:pPr>
      <w:bookmarkStart w:id="52" w:name="_Toc79163865"/>
      <w:bookmarkStart w:id="53" w:name="_Toc79163615"/>
      <w:bookmarkStart w:id="54" w:name="_Toc15377210"/>
      <w:r>
        <w:rPr>
          <w:rFonts w:hint="eastAsia" w:ascii="仿宋" w:hAnsi="仿宋" w:eastAsia="仿宋"/>
          <w:b/>
          <w:color w:val="000000"/>
          <w:sz w:val="32"/>
          <w:szCs w:val="32"/>
        </w:rPr>
        <w:t>（一）一般公共预算财政拨款支出决算总体情况</w:t>
      </w:r>
      <w:bookmarkEnd w:id="52"/>
      <w:bookmarkEnd w:id="53"/>
      <w:bookmarkEnd w:id="54"/>
    </w:p>
    <w:p w14:paraId="2695C910">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年一般公共预算财政拨款支出1106.48万元，占本年支出合计的100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年相比，一般公共预算财政拨款增加180.01万元，增长19.4</w:t>
      </w:r>
      <w:r>
        <w:rPr>
          <w:rFonts w:ascii="仿宋" w:hAnsi="仿宋" w:eastAsia="仿宋"/>
          <w:color w:val="000000"/>
          <w:sz w:val="32"/>
          <w:szCs w:val="32"/>
        </w:rPr>
        <w:t>%</w:t>
      </w:r>
      <w:r>
        <w:rPr>
          <w:rFonts w:hint="eastAsia" w:ascii="仿宋" w:hAnsi="仿宋" w:eastAsia="仿宋"/>
          <w:color w:val="000000"/>
          <w:sz w:val="32"/>
          <w:szCs w:val="32"/>
        </w:rPr>
        <w:t>。主要变动原因是项目支出较多。</w:t>
      </w:r>
    </w:p>
    <w:p w14:paraId="5B4F2DF2">
      <w:pPr>
        <w:spacing w:line="600" w:lineRule="exact"/>
        <w:ind w:firstLine="643" w:firstLineChars="200"/>
        <w:outlineLvl w:val="2"/>
        <w:rPr>
          <w:rFonts w:ascii="仿宋" w:hAnsi="仿宋" w:eastAsia="仿宋"/>
          <w:b/>
          <w:color w:val="000000"/>
          <w:sz w:val="32"/>
          <w:szCs w:val="32"/>
        </w:rPr>
      </w:pPr>
      <w:bookmarkStart w:id="55" w:name="_Toc79163866"/>
      <w:bookmarkStart w:id="56" w:name="_Toc79163616"/>
      <w:bookmarkStart w:id="57" w:name="_Toc15377211"/>
      <w:r>
        <w:rPr>
          <w:rFonts w:hint="eastAsia" w:ascii="仿宋" w:hAnsi="仿宋" w:eastAsia="仿宋"/>
          <w:b/>
          <w:color w:val="000000"/>
          <w:sz w:val="32"/>
          <w:szCs w:val="32"/>
        </w:rPr>
        <w:t>（二）一般公共预算财政拨款支出决算结构情况</w:t>
      </w:r>
      <w:bookmarkEnd w:id="55"/>
      <w:bookmarkEnd w:id="56"/>
      <w:bookmarkEnd w:id="57"/>
    </w:p>
    <w:p w14:paraId="07A29388">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年一般公共预算财政拨款支出1106.48万元，主要用于以下方面：</w:t>
      </w:r>
      <w:r>
        <w:rPr>
          <w:rFonts w:hint="eastAsia" w:ascii="仿宋" w:hAnsi="仿宋" w:eastAsia="仿宋"/>
          <w:b/>
          <w:bCs/>
          <w:color w:val="000000"/>
          <w:sz w:val="32"/>
          <w:szCs w:val="32"/>
        </w:rPr>
        <w:t>文化旅游体育与传媒（类）支出1040.38万元，占94</w:t>
      </w:r>
      <w:r>
        <w:rPr>
          <w:rFonts w:ascii="仿宋" w:hAnsi="仿宋" w:eastAsia="仿宋"/>
          <w:b/>
          <w:bCs/>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支出29.4万元，占2.7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13.77万元，占1.2</w:t>
      </w:r>
      <w:r>
        <w:rPr>
          <w:rFonts w:ascii="仿宋" w:hAnsi="仿宋" w:eastAsia="仿宋"/>
          <w:color w:val="000000"/>
          <w:sz w:val="32"/>
          <w:szCs w:val="32"/>
        </w:rPr>
        <w:t>%</w:t>
      </w:r>
      <w:r>
        <w:rPr>
          <w:rFonts w:hint="eastAsia" w:ascii="仿宋" w:hAnsi="仿宋" w:eastAsia="仿宋"/>
          <w:color w:val="000000"/>
          <w:sz w:val="32"/>
          <w:szCs w:val="32"/>
        </w:rPr>
        <w:t>；住房保障支出23万元，占2.1</w:t>
      </w:r>
      <w:r>
        <w:rPr>
          <w:rFonts w:ascii="仿宋" w:hAnsi="仿宋" w:eastAsia="仿宋"/>
          <w:color w:val="000000"/>
          <w:sz w:val="32"/>
          <w:szCs w:val="32"/>
        </w:rPr>
        <w:t>%</w:t>
      </w:r>
      <w:r>
        <w:rPr>
          <w:rFonts w:hint="eastAsia" w:ascii="仿宋" w:hAnsi="仿宋" w:eastAsia="仿宋"/>
          <w:color w:val="000000"/>
          <w:sz w:val="32"/>
          <w:szCs w:val="32"/>
        </w:rPr>
        <w:t>；</w:t>
      </w:r>
    </w:p>
    <w:p w14:paraId="03026A21">
      <w:pPr>
        <w:spacing w:line="600" w:lineRule="exact"/>
        <w:ind w:firstLine="643" w:firstLineChars="200"/>
        <w:outlineLvl w:val="2"/>
        <w:rPr>
          <w:rFonts w:ascii="仿宋" w:hAnsi="仿宋" w:eastAsia="仿宋"/>
          <w:b/>
          <w:color w:val="000000"/>
          <w:sz w:val="32"/>
          <w:szCs w:val="32"/>
        </w:rPr>
      </w:pPr>
      <w:bookmarkStart w:id="58" w:name="_Toc15377212"/>
      <w:bookmarkStart w:id="59" w:name="_Toc79163867"/>
      <w:bookmarkStart w:id="60" w:name="_Toc79163617"/>
      <w:r>
        <w:rPr>
          <w:rFonts w:hint="eastAsia" w:ascii="仿宋" w:hAnsi="仿宋" w:eastAsia="仿宋"/>
          <w:b/>
          <w:color w:val="000000"/>
          <w:sz w:val="32"/>
          <w:szCs w:val="32"/>
        </w:rPr>
        <w:t>（三）一般公共预算财政拨款支出决算具体情况</w:t>
      </w:r>
      <w:bookmarkEnd w:id="58"/>
      <w:bookmarkEnd w:id="59"/>
      <w:bookmarkEnd w:id="60"/>
    </w:p>
    <w:p w14:paraId="0EAE1D6D">
      <w:pPr>
        <w:spacing w:line="600" w:lineRule="exact"/>
        <w:ind w:firstLine="643" w:firstLineChars="200"/>
        <w:rPr>
          <w:rFonts w:ascii="仿宋_GB2312" w:eastAsia="仿宋_GB2312"/>
          <w:b/>
          <w:bCs/>
          <w:sz w:val="32"/>
          <w:szCs w:val="32"/>
        </w:rPr>
      </w:pPr>
      <w:bookmarkStart w:id="61" w:name="_Toc15377213"/>
      <w:bookmarkStart w:id="62" w:name="_Toc15377444"/>
      <w:bookmarkStart w:id="63" w:name="_Toc15378460"/>
      <w:r>
        <w:rPr>
          <w:rFonts w:ascii="仿宋_GB2312" w:eastAsia="仿宋_GB2312"/>
          <w:b/>
          <w:bCs/>
          <w:sz w:val="32"/>
          <w:szCs w:val="32"/>
        </w:rPr>
        <w:t>2020</w:t>
      </w:r>
      <w:r>
        <w:rPr>
          <w:rFonts w:hint="eastAsia" w:ascii="仿宋_GB2312" w:eastAsia="仿宋_GB2312"/>
          <w:b/>
          <w:bCs/>
          <w:sz w:val="32"/>
          <w:szCs w:val="32"/>
        </w:rPr>
        <w:t>年一般公共预算支出决算数为1106.49万元，完成预算100</w:t>
      </w:r>
      <w:r>
        <w:rPr>
          <w:rFonts w:ascii="仿宋_GB2312" w:eastAsia="仿宋_GB2312"/>
          <w:b/>
          <w:bCs/>
          <w:sz w:val="32"/>
          <w:szCs w:val="32"/>
        </w:rPr>
        <w:t>%</w:t>
      </w:r>
      <w:r>
        <w:rPr>
          <w:rFonts w:hint="eastAsia" w:ascii="仿宋_GB2312" w:eastAsia="仿宋_GB2312"/>
          <w:b/>
          <w:bCs/>
          <w:sz w:val="32"/>
          <w:szCs w:val="32"/>
        </w:rPr>
        <w:t>。其中：</w:t>
      </w:r>
      <w:bookmarkEnd w:id="61"/>
      <w:bookmarkEnd w:id="62"/>
      <w:bookmarkEnd w:id="63"/>
    </w:p>
    <w:p w14:paraId="48ABA33C">
      <w:pPr>
        <w:spacing w:line="600" w:lineRule="exact"/>
        <w:ind w:firstLine="643" w:firstLineChars="200"/>
        <w:rPr>
          <w:rFonts w:ascii="仿宋" w:hAnsi="仿宋" w:eastAsia="仿宋"/>
          <w:b/>
          <w:color w:val="000000"/>
          <w:sz w:val="32"/>
          <w:szCs w:val="32"/>
        </w:rPr>
      </w:pPr>
      <w:r>
        <w:rPr>
          <w:rStyle w:val="22"/>
          <w:rFonts w:hint="eastAsia" w:ascii="仿宋" w:hAnsi="仿宋" w:eastAsia="仿宋"/>
          <w:bCs/>
          <w:color w:val="000000"/>
          <w:sz w:val="32"/>
          <w:szCs w:val="32"/>
        </w:rPr>
        <w:t>1.文化旅游体育与传媒（类）</w:t>
      </w:r>
      <w:r>
        <w:rPr>
          <w:rStyle w:val="22"/>
          <w:rFonts w:hint="eastAsia" w:ascii="仿宋" w:hAnsi="仿宋" w:eastAsia="仿宋"/>
          <w:b w:val="0"/>
          <w:bCs/>
          <w:color w:val="000000"/>
          <w:sz w:val="32"/>
          <w:szCs w:val="32"/>
        </w:rPr>
        <w:t>，2070199其他文化和旅游支出</w:t>
      </w:r>
      <w:r>
        <w:rPr>
          <w:rStyle w:val="22"/>
          <w:rFonts w:hint="eastAsia" w:ascii="仿宋" w:hAnsi="仿宋" w:eastAsia="仿宋"/>
          <w:b w:val="0"/>
          <w:color w:val="000000"/>
          <w:sz w:val="32"/>
          <w:szCs w:val="32"/>
        </w:rPr>
        <w:t>决算数为162.63万元，</w:t>
      </w:r>
      <w:r>
        <w:rPr>
          <w:rStyle w:val="22"/>
          <w:rFonts w:hint="eastAsia" w:ascii="仿宋" w:hAnsi="仿宋" w:eastAsia="仿宋"/>
          <w:b w:val="0"/>
          <w:bCs/>
          <w:color w:val="000000"/>
          <w:sz w:val="32"/>
          <w:szCs w:val="32"/>
        </w:rPr>
        <w:t>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；2070805电视支出</w:t>
      </w:r>
      <w:r>
        <w:rPr>
          <w:rStyle w:val="22"/>
          <w:rFonts w:hint="eastAsia" w:ascii="仿宋" w:hAnsi="仿宋" w:eastAsia="仿宋"/>
          <w:b w:val="0"/>
          <w:color w:val="000000"/>
          <w:sz w:val="32"/>
          <w:szCs w:val="32"/>
        </w:rPr>
        <w:t>决算数为234.03万元，</w:t>
      </w:r>
      <w:r>
        <w:rPr>
          <w:rStyle w:val="22"/>
          <w:rFonts w:hint="eastAsia" w:ascii="仿宋" w:hAnsi="仿宋" w:eastAsia="仿宋"/>
          <w:b w:val="0"/>
          <w:bCs/>
          <w:color w:val="000000"/>
          <w:sz w:val="32"/>
          <w:szCs w:val="32"/>
        </w:rPr>
        <w:t>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；2070899其他广播电视支出</w:t>
      </w:r>
      <w:r>
        <w:rPr>
          <w:rStyle w:val="22"/>
          <w:rFonts w:hint="eastAsia" w:ascii="仿宋" w:hAnsi="仿宋" w:eastAsia="仿宋"/>
          <w:b w:val="0"/>
          <w:color w:val="000000"/>
          <w:sz w:val="32"/>
          <w:szCs w:val="32"/>
        </w:rPr>
        <w:t>决算数为340.12万元，</w:t>
      </w:r>
      <w:r>
        <w:rPr>
          <w:rStyle w:val="22"/>
          <w:rFonts w:hint="eastAsia" w:ascii="仿宋" w:hAnsi="仿宋" w:eastAsia="仿宋"/>
          <w:b w:val="0"/>
          <w:bCs/>
          <w:color w:val="000000"/>
          <w:sz w:val="32"/>
          <w:szCs w:val="32"/>
        </w:rPr>
        <w:t>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；2079999其他文化旅游体育与传媒支出决算数为303.54万元，完成预算100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p>
    <w:p w14:paraId="7BA20DF5">
      <w:pPr>
        <w:ind w:firstLine="643" w:firstLineChars="200"/>
        <w:rPr>
          <w:rStyle w:val="22"/>
          <w:rFonts w:ascii="仿宋" w:hAnsi="仿宋" w:eastAsia="仿宋"/>
          <w:b w:val="0"/>
          <w:bCs/>
          <w:color w:val="000000"/>
          <w:sz w:val="32"/>
          <w:szCs w:val="32"/>
        </w:rPr>
      </w:pPr>
      <w:r>
        <w:rPr>
          <w:rStyle w:val="22"/>
          <w:rFonts w:hint="eastAsia" w:ascii="仿宋" w:hAnsi="仿宋" w:eastAsia="仿宋"/>
          <w:bCs/>
          <w:color w:val="000000"/>
          <w:sz w:val="32"/>
          <w:szCs w:val="32"/>
        </w:rPr>
        <w:t>2.社会保障和就业（类）</w:t>
      </w:r>
      <w:r>
        <w:rPr>
          <w:rFonts w:hint="eastAsia" w:ascii="仿宋" w:hAnsi="仿宋" w:eastAsia="仿宋"/>
          <w:color w:val="4E4342"/>
          <w:sz w:val="32"/>
          <w:szCs w:val="32"/>
        </w:rPr>
        <w:t xml:space="preserve"> </w:t>
      </w:r>
      <w:r>
        <w:rPr>
          <w:rStyle w:val="22"/>
          <w:rFonts w:hint="eastAsia" w:ascii="仿宋" w:hAnsi="仿宋" w:eastAsia="仿宋"/>
          <w:b w:val="0"/>
          <w:bCs/>
          <w:color w:val="000000"/>
          <w:sz w:val="32"/>
          <w:szCs w:val="32"/>
        </w:rPr>
        <w:t>2080505机关事业单位基本养老保险缴费支出决算数为23.29万元</w:t>
      </w:r>
      <w:r>
        <w:rPr>
          <w:rStyle w:val="22"/>
          <w:rFonts w:hint="eastAsia" w:ascii="仿宋" w:hAnsi="仿宋" w:eastAsia="仿宋"/>
          <w:bCs/>
          <w:color w:val="000000"/>
          <w:sz w:val="32"/>
          <w:szCs w:val="32"/>
        </w:rPr>
        <w:t>，</w:t>
      </w:r>
      <w:r>
        <w:rPr>
          <w:rStyle w:val="22"/>
          <w:rFonts w:hint="eastAsia" w:ascii="仿宋" w:hAnsi="仿宋" w:eastAsia="仿宋"/>
          <w:b w:val="0"/>
          <w:bCs/>
          <w:color w:val="000000"/>
          <w:sz w:val="32"/>
          <w:szCs w:val="32"/>
        </w:rPr>
        <w:t>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，2080506  机关事业单位职业年金缴费支出决算数为6.11万元，完成预算100%。</w:t>
      </w:r>
    </w:p>
    <w:p w14:paraId="12FE760E">
      <w:pPr>
        <w:spacing w:line="600" w:lineRule="exact"/>
        <w:ind w:firstLine="643" w:firstLineChars="200"/>
        <w:rPr>
          <w:rStyle w:val="22"/>
          <w:rFonts w:ascii="仿宋" w:hAnsi="仿宋" w:eastAsia="仿宋"/>
          <w:b w:val="0"/>
          <w:bCs/>
          <w:color w:val="000000"/>
          <w:sz w:val="32"/>
          <w:szCs w:val="32"/>
        </w:rPr>
      </w:pPr>
      <w:r>
        <w:rPr>
          <w:rStyle w:val="22"/>
          <w:rFonts w:hint="eastAsia" w:ascii="仿宋" w:hAnsi="仿宋" w:eastAsia="仿宋"/>
          <w:bCs/>
          <w:color w:val="000000"/>
          <w:sz w:val="32"/>
          <w:szCs w:val="32"/>
        </w:rPr>
        <w:t>3</w:t>
      </w:r>
      <w:r>
        <w:rPr>
          <w:rStyle w:val="22"/>
          <w:rFonts w:ascii="仿宋" w:hAnsi="仿宋" w:eastAsia="仿宋"/>
          <w:bCs/>
          <w:color w:val="000000"/>
          <w:sz w:val="32"/>
          <w:szCs w:val="32"/>
        </w:rPr>
        <w:t>.</w:t>
      </w:r>
      <w:r>
        <w:rPr>
          <w:rFonts w:hint="eastAsia" w:ascii="仿宋" w:hAnsi="仿宋" w:eastAsia="仿宋"/>
          <w:b/>
          <w:bCs/>
          <w:color w:val="000000"/>
          <w:sz w:val="32"/>
          <w:szCs w:val="32"/>
        </w:rPr>
        <w:t>卫生健康</w:t>
      </w:r>
      <w:r>
        <w:rPr>
          <w:rStyle w:val="22"/>
          <w:rFonts w:hint="eastAsia" w:ascii="仿宋" w:hAnsi="仿宋" w:eastAsia="仿宋"/>
          <w:bCs/>
          <w:color w:val="000000"/>
          <w:sz w:val="32"/>
          <w:szCs w:val="32"/>
        </w:rPr>
        <w:t>（类）</w:t>
      </w:r>
      <w:r>
        <w:rPr>
          <w:rStyle w:val="22"/>
          <w:rFonts w:hint="eastAsia" w:ascii="仿宋" w:hAnsi="仿宋" w:eastAsia="仿宋"/>
          <w:b w:val="0"/>
          <w:color w:val="000000"/>
          <w:sz w:val="32"/>
          <w:szCs w:val="32"/>
        </w:rPr>
        <w:t>2101102事业单位医疗</w:t>
      </w:r>
      <w:r>
        <w:rPr>
          <w:rStyle w:val="22"/>
          <w:rFonts w:hint="eastAsia" w:ascii="仿宋" w:hAnsi="仿宋" w:eastAsia="仿宋"/>
          <w:b w:val="0"/>
          <w:bCs/>
          <w:color w:val="000000"/>
          <w:sz w:val="32"/>
          <w:szCs w:val="32"/>
        </w:rPr>
        <w:t>支出决算为13.77万元，完成预算100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p>
    <w:p w14:paraId="4703A8EA">
      <w:pPr>
        <w:pStyle w:val="2"/>
        <w:spacing w:before="93"/>
        <w:ind w:firstLine="643" w:firstLineChars="200"/>
        <w:rPr>
          <w:rFonts w:ascii="仿宋" w:hAnsi="仿宋" w:eastAsia="仿宋"/>
          <w:b/>
          <w:color w:val="000000"/>
          <w:sz w:val="32"/>
          <w:szCs w:val="32"/>
        </w:rPr>
      </w:pPr>
      <w:r>
        <w:rPr>
          <w:rStyle w:val="22"/>
          <w:rFonts w:hint="eastAsia" w:ascii="仿宋" w:hAnsi="仿宋" w:eastAsia="仿宋"/>
          <w:color w:val="000000"/>
          <w:sz w:val="32"/>
          <w:szCs w:val="32"/>
        </w:rPr>
        <w:t>4.住房保障支出</w:t>
      </w:r>
      <w:r>
        <w:rPr>
          <w:rStyle w:val="22"/>
          <w:rFonts w:hint="eastAsia" w:ascii="仿宋" w:hAnsi="仿宋" w:eastAsia="仿宋"/>
          <w:b w:val="0"/>
          <w:bCs/>
          <w:color w:val="000000"/>
          <w:sz w:val="32"/>
          <w:szCs w:val="32"/>
        </w:rPr>
        <w:t>2210201住房公积金支出决算数为23万元，完成预算100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p>
    <w:p w14:paraId="7273EAD4">
      <w:pPr>
        <w:tabs>
          <w:tab w:val="right" w:pos="8306"/>
        </w:tabs>
        <w:spacing w:line="600" w:lineRule="exact"/>
        <w:ind w:firstLine="640"/>
        <w:outlineLvl w:val="1"/>
        <w:rPr>
          <w:rStyle w:val="25"/>
        </w:rPr>
      </w:pPr>
      <w:bookmarkStart w:id="64" w:name="_Toc15377214"/>
      <w:bookmarkStart w:id="65" w:name="_Toc15396608"/>
      <w:bookmarkStart w:id="66" w:name="_Toc79163618"/>
      <w:bookmarkStart w:id="67" w:name="_Toc7916386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64"/>
      <w:bookmarkEnd w:id="65"/>
      <w:bookmarkEnd w:id="66"/>
      <w:bookmarkEnd w:id="67"/>
      <w:r>
        <w:rPr>
          <w:rStyle w:val="25"/>
          <w:rFonts w:ascii="黑体" w:hAnsi="黑体" w:eastAsia="黑体"/>
          <w:b w:val="0"/>
        </w:rPr>
        <w:tab/>
      </w:r>
    </w:p>
    <w:p w14:paraId="6404AE57">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年一般公共预算财政拨款基本支出300.2万元，其中：</w:t>
      </w:r>
    </w:p>
    <w:p w14:paraId="22A12C07">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265.42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1C22DC04">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　　日常公用经费34.78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05F4645">
      <w:pPr>
        <w:spacing w:line="600" w:lineRule="exact"/>
        <w:ind w:firstLine="640"/>
        <w:outlineLvl w:val="1"/>
        <w:rPr>
          <w:rStyle w:val="25"/>
          <w:rFonts w:ascii="黑体" w:hAnsi="黑体" w:eastAsia="黑体"/>
          <w:b w:val="0"/>
        </w:rPr>
      </w:pPr>
      <w:bookmarkStart w:id="68" w:name="_Toc15377215"/>
      <w:bookmarkStart w:id="69" w:name="_Toc15396609"/>
      <w:bookmarkStart w:id="70" w:name="_Toc79163869"/>
      <w:bookmarkStart w:id="71" w:name="_Toc7916361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68"/>
      <w:bookmarkEnd w:id="69"/>
      <w:bookmarkEnd w:id="70"/>
      <w:bookmarkEnd w:id="71"/>
    </w:p>
    <w:p w14:paraId="62177D1C">
      <w:pPr>
        <w:spacing w:line="600" w:lineRule="exact"/>
        <w:ind w:firstLine="640"/>
        <w:outlineLvl w:val="2"/>
        <w:rPr>
          <w:rFonts w:ascii="仿宋" w:hAnsi="仿宋" w:eastAsia="仿宋"/>
          <w:b/>
          <w:color w:val="000000"/>
          <w:sz w:val="32"/>
          <w:szCs w:val="32"/>
        </w:rPr>
      </w:pPr>
      <w:bookmarkStart w:id="72" w:name="_Toc79163870"/>
      <w:bookmarkStart w:id="73" w:name="_Toc79163620"/>
      <w:bookmarkStart w:id="74" w:name="_Toc15377216"/>
      <w:r>
        <w:rPr>
          <w:rFonts w:hint="eastAsia" w:ascii="仿宋" w:hAnsi="仿宋" w:eastAsia="仿宋"/>
          <w:b/>
          <w:color w:val="000000"/>
          <w:sz w:val="32"/>
          <w:szCs w:val="32"/>
        </w:rPr>
        <w:t>（一）“三公”经费财政拨款支出决算总体情况说明</w:t>
      </w:r>
      <w:bookmarkEnd w:id="72"/>
      <w:bookmarkEnd w:id="73"/>
      <w:bookmarkEnd w:id="74"/>
    </w:p>
    <w:p w14:paraId="3A279648">
      <w:pPr>
        <w:spacing w:line="600" w:lineRule="exact"/>
        <w:ind w:firstLine="640"/>
        <w:rPr>
          <w:rFonts w:ascii="仿宋" w:hAnsi="仿宋" w:eastAsia="仿宋"/>
          <w:b/>
          <w:color w:val="FF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年“三公”经费财政拨款支出决算为5.86万元，完成预算100</w:t>
      </w:r>
      <w:r>
        <w:rPr>
          <w:rFonts w:ascii="仿宋" w:hAnsi="仿宋" w:eastAsia="仿宋"/>
          <w:color w:val="000000"/>
          <w:sz w:val="32"/>
          <w:szCs w:val="32"/>
        </w:rPr>
        <w:t>%</w:t>
      </w:r>
      <w:r>
        <w:rPr>
          <w:rFonts w:hint="eastAsia" w:ascii="仿宋" w:hAnsi="仿宋" w:eastAsia="仿宋"/>
          <w:color w:val="000000"/>
          <w:sz w:val="32"/>
          <w:szCs w:val="32"/>
        </w:rPr>
        <w:t>，</w:t>
      </w:r>
    </w:p>
    <w:p w14:paraId="1BBD1ABB">
      <w:pPr>
        <w:spacing w:line="600" w:lineRule="exact"/>
        <w:ind w:firstLine="640"/>
        <w:outlineLvl w:val="2"/>
        <w:rPr>
          <w:rFonts w:ascii="仿宋" w:hAnsi="仿宋" w:eastAsia="仿宋"/>
          <w:b/>
          <w:color w:val="000000"/>
          <w:sz w:val="32"/>
          <w:szCs w:val="32"/>
        </w:rPr>
      </w:pPr>
      <w:bookmarkStart w:id="75" w:name="_Toc79163871"/>
      <w:bookmarkStart w:id="76" w:name="_Toc79163621"/>
      <w:bookmarkStart w:id="77" w:name="_Toc15377217"/>
      <w:r>
        <w:rPr>
          <w:rFonts w:hint="eastAsia" w:ascii="仿宋" w:hAnsi="仿宋" w:eastAsia="仿宋"/>
          <w:b/>
          <w:color w:val="000000"/>
          <w:sz w:val="32"/>
          <w:szCs w:val="32"/>
        </w:rPr>
        <w:t>（二）“三公”经费财政拨款支出决算具体情况说明</w:t>
      </w:r>
      <w:bookmarkEnd w:id="75"/>
      <w:bookmarkEnd w:id="76"/>
      <w:bookmarkEnd w:id="77"/>
    </w:p>
    <w:p w14:paraId="40B731DA">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；公务用车购置及运行维护费支出决算5.86万元，占100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4F0061B2">
      <w:pPr>
        <w:spacing w:line="600" w:lineRule="exact"/>
        <w:ind w:firstLine="640"/>
        <w:rPr>
          <w:rFonts w:ascii="仿宋_GB2312" w:eastAsia="仿宋"/>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22"/>
          <w:rFonts w:hint="eastAsia" w:ascii="仿宋" w:hAnsi="仿宋" w:eastAsia="仿宋"/>
          <w:b w:val="0"/>
          <w:bCs/>
          <w:color w:val="000000"/>
          <w:sz w:val="32"/>
          <w:szCs w:val="32"/>
        </w:rPr>
        <w:t>完成预算0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。无开支内容。</w:t>
      </w:r>
    </w:p>
    <w:p w14:paraId="5CB0B9E9">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5.86万元，</w:t>
      </w:r>
      <w:r>
        <w:rPr>
          <w:rStyle w:val="22"/>
          <w:rFonts w:hint="eastAsia" w:ascii="仿宋" w:hAnsi="仿宋" w:eastAsia="仿宋"/>
          <w:b w:val="0"/>
          <w:bCs/>
          <w:color w:val="000000"/>
          <w:sz w:val="32"/>
          <w:szCs w:val="32"/>
        </w:rPr>
        <w:t>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9年减少2.29万元，下降28.1</w:t>
      </w:r>
      <w:r>
        <w:rPr>
          <w:rFonts w:ascii="仿宋_GB2312" w:eastAsia="仿宋_GB2312"/>
          <w:color w:val="000000"/>
          <w:sz w:val="32"/>
          <w:szCs w:val="32"/>
        </w:rPr>
        <w:t>%</w:t>
      </w:r>
      <w:r>
        <w:rPr>
          <w:rFonts w:hint="eastAsia" w:ascii="仿宋_GB2312" w:eastAsia="仿宋_GB2312"/>
          <w:color w:val="000000"/>
          <w:sz w:val="32"/>
          <w:szCs w:val="32"/>
        </w:rPr>
        <w:t>。主要原因是节约开支。</w:t>
      </w:r>
    </w:p>
    <w:p w14:paraId="02D90E18">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w:t>
      </w:r>
    </w:p>
    <w:p w14:paraId="5BFE5827">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5.86万元。主要用于广播、电视维护，记者采访所需的公务用车燃料费、维修费、过路过桥费、保险费等支出。</w:t>
      </w:r>
    </w:p>
    <w:p w14:paraId="4788BB2B">
      <w:pPr>
        <w:numPr>
          <w:ilvl w:val="0"/>
          <w:numId w:val="2"/>
        </w:numPr>
        <w:spacing w:line="600" w:lineRule="exact"/>
        <w:ind w:firstLine="640"/>
        <w:rPr>
          <w:rStyle w:val="22"/>
          <w:rFonts w:ascii="仿宋" w:hAnsi="仿宋" w:eastAsia="仿宋"/>
          <w:b w:val="0"/>
          <w:bCs/>
          <w:color w:val="000000"/>
          <w:sz w:val="32"/>
          <w:szCs w:val="32"/>
        </w:rPr>
      </w:pP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22"/>
          <w:rFonts w:hint="eastAsia" w:ascii="仿宋" w:hAnsi="仿宋" w:eastAsia="仿宋"/>
          <w:b w:val="0"/>
          <w:bCs/>
          <w:color w:val="000000"/>
          <w:sz w:val="32"/>
          <w:szCs w:val="32"/>
        </w:rPr>
        <w:t>完成预算0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p>
    <w:p w14:paraId="638139C9">
      <w:pPr>
        <w:numPr>
          <w:ilvl w:val="0"/>
          <w:numId w:val="2"/>
        </w:num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p>
    <w:p w14:paraId="6F92B3B3">
      <w:pPr>
        <w:spacing w:line="600" w:lineRule="exact"/>
        <w:ind w:firstLine="640"/>
        <w:outlineLvl w:val="1"/>
        <w:rPr>
          <w:rStyle w:val="25"/>
          <w:rFonts w:ascii="黑体" w:hAnsi="黑体" w:eastAsia="黑体"/>
        </w:rPr>
      </w:pPr>
      <w:bookmarkStart w:id="78" w:name="_Toc79163872"/>
      <w:bookmarkStart w:id="79" w:name="_Toc15396610"/>
      <w:bookmarkStart w:id="80" w:name="_Toc79163622"/>
      <w:bookmarkStart w:id="81" w:name="_Toc15377218"/>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78"/>
      <w:bookmarkEnd w:id="79"/>
      <w:bookmarkEnd w:id="80"/>
      <w:bookmarkEnd w:id="81"/>
    </w:p>
    <w:p w14:paraId="6A04D881">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年政府性基金预算拨款支出0万元。</w:t>
      </w:r>
    </w:p>
    <w:p w14:paraId="56F2BE14">
      <w:pPr>
        <w:numPr>
          <w:ilvl w:val="0"/>
          <w:numId w:val="3"/>
        </w:numPr>
        <w:spacing w:line="600" w:lineRule="exact"/>
        <w:ind w:firstLine="640"/>
        <w:outlineLvl w:val="1"/>
        <w:rPr>
          <w:rStyle w:val="25"/>
          <w:rFonts w:ascii="黑体" w:hAnsi="黑体" w:eastAsia="黑体"/>
          <w:b w:val="0"/>
        </w:rPr>
      </w:pPr>
      <w:bookmarkStart w:id="82" w:name="_Toc79163623"/>
      <w:bookmarkStart w:id="83" w:name="_Toc79163873"/>
      <w:bookmarkStart w:id="84" w:name="_Toc15396611"/>
      <w:bookmarkStart w:id="85" w:name="_Toc15377219"/>
      <w:r>
        <w:rPr>
          <w:rStyle w:val="25"/>
          <w:rFonts w:hint="eastAsia" w:ascii="黑体" w:hAnsi="黑体" w:eastAsia="黑体"/>
          <w:b w:val="0"/>
        </w:rPr>
        <w:t>国有资本经营预算支出决算情况说明</w:t>
      </w:r>
      <w:bookmarkEnd w:id="82"/>
      <w:bookmarkEnd w:id="83"/>
      <w:bookmarkEnd w:id="84"/>
      <w:bookmarkEnd w:id="85"/>
    </w:p>
    <w:p w14:paraId="3972F0B7">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年国有资本经营预算拨款支出0万元。</w:t>
      </w:r>
    </w:p>
    <w:p w14:paraId="09896218">
      <w:pPr>
        <w:spacing w:line="580" w:lineRule="exact"/>
        <w:jc w:val="center"/>
        <w:rPr>
          <w:rFonts w:ascii="方正小标宋简体" w:hAnsi="方正小标宋简体" w:eastAsia="方正小标宋简体" w:cs="方正小标宋简体"/>
          <w:sz w:val="44"/>
          <w:szCs w:val="44"/>
        </w:rPr>
      </w:pPr>
    </w:p>
    <w:p w14:paraId="7684DC60">
      <w:pPr>
        <w:spacing w:line="600" w:lineRule="exact"/>
        <w:ind w:firstLine="800" w:firstLineChars="250"/>
        <w:outlineLvl w:val="1"/>
        <w:rPr>
          <w:rStyle w:val="25"/>
          <w:rFonts w:ascii="黑体" w:hAnsi="黑体" w:eastAsia="黑体"/>
        </w:rPr>
      </w:pPr>
      <w:bookmarkStart w:id="86" w:name="_Toc15377221"/>
      <w:bookmarkStart w:id="87" w:name="_Toc15396612"/>
      <w:bookmarkStart w:id="88" w:name="_Toc79163874"/>
      <w:bookmarkStart w:id="89" w:name="_Toc79163624"/>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86"/>
      <w:bookmarkEnd w:id="87"/>
      <w:bookmarkEnd w:id="88"/>
      <w:bookmarkEnd w:id="89"/>
    </w:p>
    <w:p w14:paraId="62074EC7">
      <w:pPr>
        <w:spacing w:line="600" w:lineRule="exact"/>
        <w:ind w:firstLine="643" w:firstLineChars="200"/>
        <w:outlineLvl w:val="2"/>
        <w:rPr>
          <w:rFonts w:ascii="仿宋" w:hAnsi="仿宋" w:eastAsia="仿宋"/>
          <w:color w:val="000000"/>
          <w:sz w:val="32"/>
          <w:szCs w:val="32"/>
        </w:rPr>
      </w:pPr>
      <w:bookmarkStart w:id="90" w:name="_Toc79163625"/>
      <w:bookmarkStart w:id="91" w:name="_Toc15377222"/>
      <w:bookmarkStart w:id="92" w:name="_Toc79163875"/>
      <w:r>
        <w:rPr>
          <w:rFonts w:hint="eastAsia" w:ascii="仿宋" w:hAnsi="仿宋" w:eastAsia="仿宋"/>
          <w:b/>
          <w:color w:val="000000"/>
          <w:sz w:val="32"/>
          <w:szCs w:val="32"/>
        </w:rPr>
        <w:t>（一）机关运行经费支出情况</w:t>
      </w:r>
      <w:bookmarkEnd w:id="90"/>
      <w:bookmarkEnd w:id="91"/>
      <w:bookmarkEnd w:id="92"/>
    </w:p>
    <w:p w14:paraId="4D660487">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年，机关运行经费支出300.2万元，比</w:t>
      </w:r>
      <w:r>
        <w:rPr>
          <w:rFonts w:ascii="仿宋_GB2312" w:eastAsia="仿宋_GB2312"/>
          <w:color w:val="000000"/>
          <w:sz w:val="32"/>
          <w:szCs w:val="32"/>
        </w:rPr>
        <w:t>2019</w:t>
      </w:r>
      <w:r>
        <w:rPr>
          <w:rFonts w:hint="eastAsia" w:ascii="仿宋_GB2312" w:eastAsia="仿宋_GB2312"/>
          <w:color w:val="000000"/>
          <w:sz w:val="32"/>
          <w:szCs w:val="32"/>
        </w:rPr>
        <w:t>年增加13.42万元，增长4.7</w:t>
      </w:r>
      <w:r>
        <w:rPr>
          <w:rFonts w:ascii="仿宋_GB2312" w:eastAsia="仿宋_GB2312"/>
          <w:color w:val="000000"/>
          <w:sz w:val="32"/>
          <w:szCs w:val="32"/>
        </w:rPr>
        <w:t>%</w:t>
      </w:r>
      <w:r>
        <w:rPr>
          <w:rFonts w:hint="eastAsia" w:ascii="仿宋_GB2312" w:eastAsia="仿宋_GB2312"/>
          <w:color w:val="000000"/>
          <w:sz w:val="32"/>
          <w:szCs w:val="32"/>
        </w:rPr>
        <w:t>。主要原因是工资基数增加。</w:t>
      </w:r>
    </w:p>
    <w:p w14:paraId="5DC89FE2">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3" w:name="_Toc79163626"/>
      <w:bookmarkStart w:id="94" w:name="_Toc79163876"/>
      <w:bookmarkStart w:id="95" w:name="_Toc15377223"/>
      <w:r>
        <w:rPr>
          <w:rFonts w:hint="eastAsia" w:ascii="仿宋" w:hAnsi="仿宋" w:eastAsia="仿宋"/>
          <w:b/>
          <w:color w:val="000000"/>
          <w:sz w:val="32"/>
          <w:szCs w:val="32"/>
        </w:rPr>
        <w:t>（二）政府采购支出情况</w:t>
      </w:r>
      <w:bookmarkEnd w:id="93"/>
      <w:bookmarkEnd w:id="94"/>
      <w:bookmarkEnd w:id="95"/>
    </w:p>
    <w:p w14:paraId="74AA9011">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年，政府采购支出总额806.29万元。其中：政府采购货物支出643.66万元、政府采购工程支出162.63万元，主要用于县级融媒体中心建设需要。其中：授予小微企业合同金额806.29万元，占政府采购支出总额的100</w:t>
      </w:r>
      <w:r>
        <w:rPr>
          <w:rFonts w:ascii="仿宋_GB2312" w:eastAsia="仿宋_GB2312"/>
          <w:color w:val="000000"/>
          <w:sz w:val="32"/>
          <w:szCs w:val="32"/>
        </w:rPr>
        <w:t>%</w:t>
      </w:r>
      <w:r>
        <w:rPr>
          <w:rFonts w:hint="eastAsia" w:ascii="仿宋_GB2312" w:eastAsia="仿宋_GB2312"/>
          <w:color w:val="000000"/>
          <w:sz w:val="32"/>
          <w:szCs w:val="32"/>
        </w:rPr>
        <w:t>。</w:t>
      </w:r>
    </w:p>
    <w:p w14:paraId="4E65DCC1">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6" w:name="_Toc79163627"/>
      <w:bookmarkStart w:id="97" w:name="_Toc79163877"/>
      <w:bookmarkStart w:id="98" w:name="_Toc15377224"/>
      <w:r>
        <w:rPr>
          <w:rFonts w:hint="eastAsia" w:ascii="仿宋" w:hAnsi="仿宋" w:eastAsia="仿宋"/>
          <w:b/>
          <w:color w:val="000000"/>
          <w:sz w:val="32"/>
          <w:szCs w:val="32"/>
        </w:rPr>
        <w:t>（三）国有资产占有使用情况</w:t>
      </w:r>
      <w:bookmarkEnd w:id="96"/>
      <w:bookmarkEnd w:id="97"/>
      <w:bookmarkEnd w:id="98"/>
    </w:p>
    <w:p w14:paraId="34D2A644">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日，共有车辆2辆，其中：主要领导干部用车0辆、机要通信用车0辆、应急保障用车0辆、其他用车2辆，其他用车主要是用于广播电视维护及记者采访等工作需要；单价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14:paraId="1041437E">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9" w:name="_Toc79163628"/>
      <w:bookmarkStart w:id="100" w:name="_Toc79163878"/>
      <w:r>
        <w:rPr>
          <w:rFonts w:hint="eastAsia" w:ascii="仿宋" w:hAnsi="仿宋" w:eastAsia="仿宋"/>
          <w:b/>
          <w:color w:val="000000"/>
          <w:sz w:val="32"/>
          <w:szCs w:val="32"/>
        </w:rPr>
        <w:t>（四）预算绩效管理情况。</w:t>
      </w:r>
      <w:bookmarkEnd w:id="99"/>
      <w:bookmarkEnd w:id="100"/>
    </w:p>
    <w:p w14:paraId="32C6E282">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按照预算绩效管理要求，本部门对年初一般公共预算项目支出开展了绩效目标管理，共编制绩效目标2个，涉及财政资金22万元。 </w:t>
      </w:r>
    </w:p>
    <w:p w14:paraId="12EC75BD">
      <w:pPr>
        <w:ind w:firstLine="640" w:firstLineChars="200"/>
        <w:rPr>
          <w:rFonts w:ascii="楷体_GB2312" w:hAnsi="楷体_GB2312" w:eastAsia="楷体_GB2312" w:cs="楷体_GB2312"/>
          <w:sz w:val="32"/>
          <w:szCs w:val="32"/>
        </w:rPr>
      </w:pPr>
      <w:r>
        <w:rPr>
          <w:rFonts w:hint="eastAsia" w:ascii="仿宋" w:hAnsi="仿宋" w:eastAsia="仿宋"/>
          <w:color w:val="4E4342"/>
          <w:sz w:val="32"/>
          <w:szCs w:val="32"/>
        </w:rPr>
        <w:t>　　</w:t>
      </w:r>
      <w:r>
        <w:rPr>
          <w:rFonts w:hint="eastAsia" w:ascii="楷体_GB2312" w:hAnsi="楷体_GB2312" w:eastAsia="楷体_GB2312" w:cs="楷体_GB2312"/>
          <w:sz w:val="32"/>
          <w:szCs w:val="32"/>
        </w:rPr>
        <w:t>1.项目绩效目标完成情况。</w:t>
      </w:r>
    </w:p>
    <w:p w14:paraId="146D8557">
      <w:pPr>
        <w:pStyle w:val="2"/>
        <w:spacing w:before="93"/>
        <w:ind w:firstLine="640" w:firstLineChars="200"/>
        <w:rPr>
          <w:rFonts w:hAnsi="仿宋_GB2312" w:cs="仿宋_GB2312"/>
          <w:sz w:val="32"/>
          <w:szCs w:val="32"/>
        </w:rPr>
      </w:pPr>
      <w:r>
        <w:rPr>
          <w:rFonts w:hint="eastAsia" w:hAnsi="仿宋_GB2312" w:cs="仿宋_GB2312"/>
          <w:sz w:val="32"/>
          <w:szCs w:val="32"/>
        </w:rPr>
        <w:t>本部门在2020年度部门决算中反映“临聘人员差额补贴”专题栏目经费等2个项目绩效目标实际完成情况。</w:t>
      </w:r>
    </w:p>
    <w:p w14:paraId="48A11E7E">
      <w:pPr>
        <w:widowControl/>
        <w:numPr>
          <w:ilvl w:val="0"/>
          <w:numId w:val="4"/>
        </w:numPr>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临聘人员差额补贴”项目绩效目标完成情况综述。项目全年预算数12万元，执行数为12万元，完成预算的100%。通过项目实施，保障我中心临聘人员工资、养老保险、医疗保险等经费。按时支付临聘人员工资，保障临聘人员合法工资福利，提高临聘人员工作积极性。</w:t>
      </w:r>
    </w:p>
    <w:p w14:paraId="681B90FA">
      <w:pPr>
        <w:widowControl/>
        <w:ind w:firstLine="640" w:firstLineChars="200"/>
        <w:jc w:val="left"/>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专题栏目经费”项目绩效目标完成情况综述。项目全年预算数10万元，执行数为10万元，完成预算的100%。通过项目实施，加强了舆论引导，提升新闻报道和传播能力。保障宣传人员（临聘人员）工资、绩效发放。</w:t>
      </w:r>
    </w:p>
    <w:p w14:paraId="0495B26C">
      <w:pPr>
        <w:spacing w:line="580" w:lineRule="exact"/>
        <w:ind w:firstLine="640" w:firstLineChars="200"/>
        <w:rPr>
          <w:rFonts w:ascii="仿宋_GB2312" w:hAnsi="仿宋_GB2312" w:eastAsia="仿宋_GB2312" w:cs="仿宋_GB2312"/>
          <w:sz w:val="32"/>
          <w:szCs w:val="32"/>
        </w:rPr>
      </w:pPr>
    </w:p>
    <w:p w14:paraId="7DEA866A">
      <w:pPr>
        <w:spacing w:line="580" w:lineRule="exact"/>
        <w:ind w:firstLine="640" w:firstLineChars="200"/>
        <w:rPr>
          <w:rFonts w:ascii="仿宋_GB2312" w:hAnsi="仿宋_GB2312" w:eastAsia="仿宋_GB2312" w:cs="仿宋_GB2312"/>
          <w:sz w:val="32"/>
          <w:szCs w:val="32"/>
        </w:rPr>
      </w:pPr>
    </w:p>
    <w:p w14:paraId="29337EA7">
      <w:pPr>
        <w:spacing w:line="580" w:lineRule="exact"/>
        <w:ind w:firstLine="640" w:firstLineChars="200"/>
        <w:rPr>
          <w:rFonts w:ascii="仿宋_GB2312" w:hAnsi="仿宋_GB2312" w:eastAsia="仿宋_GB2312" w:cs="仿宋_GB2312"/>
          <w:sz w:val="32"/>
          <w:szCs w:val="32"/>
        </w:rPr>
      </w:pPr>
    </w:p>
    <w:p w14:paraId="378EA71B">
      <w:pPr>
        <w:spacing w:line="580" w:lineRule="exact"/>
        <w:ind w:firstLine="640" w:firstLineChars="200"/>
        <w:rPr>
          <w:rFonts w:ascii="仿宋_GB2312" w:hAnsi="仿宋_GB2312" w:eastAsia="仿宋_GB2312" w:cs="仿宋_GB2312"/>
          <w:sz w:val="32"/>
          <w:szCs w:val="32"/>
        </w:rPr>
      </w:pPr>
    </w:p>
    <w:tbl>
      <w:tblPr>
        <w:tblStyle w:val="20"/>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6E8AF45E">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76AD99DC">
            <w:pPr>
              <w:widowControl/>
              <w:jc w:val="center"/>
              <w:textAlignment w:val="center"/>
              <w:rPr>
                <w:rFonts w:ascii="宋体" w:hAnsi="宋体" w:cs="宋体"/>
                <w:b/>
                <w:bCs/>
                <w:color w:val="000000"/>
                <w:kern w:val="0"/>
                <w:sz w:val="36"/>
                <w:szCs w:val="36"/>
              </w:rPr>
            </w:pPr>
          </w:p>
          <w:p w14:paraId="7CF49211">
            <w:pPr>
              <w:widowControl/>
              <w:jc w:val="center"/>
              <w:textAlignment w:val="center"/>
              <w:rPr>
                <w:rFonts w:ascii="宋体" w:hAnsi="宋体" w:cs="宋体"/>
                <w:b/>
                <w:bCs/>
                <w:color w:val="000000"/>
                <w:kern w:val="0"/>
                <w:sz w:val="36"/>
                <w:szCs w:val="36"/>
              </w:rPr>
            </w:pPr>
          </w:p>
          <w:p w14:paraId="4D948DD6">
            <w:pPr>
              <w:widowControl/>
              <w:jc w:val="center"/>
              <w:textAlignment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项目绩效目标完成情况表</w:t>
            </w:r>
          </w:p>
          <w:p w14:paraId="571227BA">
            <w:pPr>
              <w:widowControl/>
              <w:jc w:val="center"/>
              <w:textAlignment w:val="center"/>
              <w:rPr>
                <w:rFonts w:ascii="宋体" w:cs="宋体"/>
                <w:color w:val="000000"/>
                <w:sz w:val="36"/>
                <w:szCs w:val="36"/>
              </w:rPr>
            </w:pPr>
            <w:r>
              <w:rPr>
                <w:rFonts w:hint="eastAsia" w:ascii="宋体" w:hAnsi="宋体" w:cs="宋体"/>
                <w:color w:val="000000"/>
                <w:kern w:val="0"/>
                <w:sz w:val="36"/>
                <w:szCs w:val="36"/>
              </w:rPr>
              <w:t>(2020年度）</w:t>
            </w:r>
          </w:p>
        </w:tc>
      </w:tr>
      <w:tr w14:paraId="6E6254B5">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DA645">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08319">
            <w:pPr>
              <w:widowControl/>
              <w:jc w:val="center"/>
              <w:textAlignment w:val="center"/>
              <w:rPr>
                <w:rFonts w:ascii="宋体" w:cs="宋体"/>
                <w:color w:val="000000"/>
                <w:sz w:val="24"/>
              </w:rPr>
            </w:pPr>
            <w:r>
              <w:rPr>
                <w:rFonts w:hint="eastAsia" w:ascii="宋体" w:hAnsi="宋体" w:cs="宋体"/>
                <w:color w:val="000000"/>
                <w:sz w:val="24"/>
              </w:rPr>
              <w:t>临聘人员差额补贴</w:t>
            </w:r>
          </w:p>
        </w:tc>
      </w:tr>
      <w:tr w14:paraId="166D3EA4">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8A2E8">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6E818F">
            <w:pPr>
              <w:widowControl/>
              <w:jc w:val="center"/>
              <w:textAlignment w:val="center"/>
              <w:rPr>
                <w:rFonts w:ascii="宋体" w:cs="宋体"/>
                <w:color w:val="000000"/>
                <w:sz w:val="24"/>
              </w:rPr>
            </w:pPr>
            <w:r>
              <w:rPr>
                <w:rFonts w:hint="eastAsia" w:ascii="宋体" w:hAnsi="宋体" w:cs="宋体"/>
                <w:color w:val="000000"/>
                <w:sz w:val="24"/>
              </w:rPr>
              <w:t>松潘县融媒体中心</w:t>
            </w:r>
          </w:p>
        </w:tc>
      </w:tr>
      <w:tr w14:paraId="04E155AB">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8DE6F">
            <w:pPr>
              <w:widowControl/>
              <w:jc w:val="center"/>
              <w:textAlignment w:val="center"/>
              <w:rPr>
                <w:rFonts w:asci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A45C2">
            <w:pPr>
              <w:widowControl/>
              <w:jc w:val="center"/>
              <w:textAlignment w:val="center"/>
              <w:rPr>
                <w:rFonts w:asci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2D9A6">
            <w:pPr>
              <w:widowControl/>
              <w:jc w:val="center"/>
              <w:textAlignment w:val="center"/>
              <w:rPr>
                <w:rFonts w:ascii="宋体" w:cs="宋体"/>
                <w:color w:val="000000"/>
                <w:sz w:val="24"/>
              </w:rPr>
            </w:pPr>
            <w:r>
              <w:rPr>
                <w:rFonts w:hint="eastAsia" w:ascii="宋体" w:hAnsi="宋体" w:cs="宋体"/>
                <w:color w:val="000000"/>
                <w:sz w:val="24"/>
              </w:rPr>
              <w:t>12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49BA8">
            <w:pPr>
              <w:widowControl/>
              <w:jc w:val="center"/>
              <w:textAlignment w:val="center"/>
              <w:rPr>
                <w:rFonts w:asci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145A85">
            <w:pPr>
              <w:widowControl/>
              <w:jc w:val="center"/>
              <w:textAlignment w:val="center"/>
              <w:rPr>
                <w:rFonts w:ascii="宋体" w:cs="宋体"/>
                <w:color w:val="000000"/>
                <w:sz w:val="24"/>
              </w:rPr>
            </w:pPr>
            <w:r>
              <w:rPr>
                <w:rFonts w:hint="eastAsia" w:ascii="宋体" w:hAnsi="宋体" w:cs="宋体"/>
                <w:color w:val="000000"/>
                <w:sz w:val="24"/>
              </w:rPr>
              <w:t>12</w:t>
            </w:r>
          </w:p>
        </w:tc>
      </w:tr>
      <w:tr w14:paraId="5D75D9AC">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0412F">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19906">
            <w:pPr>
              <w:widowControl/>
              <w:jc w:val="center"/>
              <w:textAlignment w:val="center"/>
              <w:rPr>
                <w:rFonts w:asci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859D0">
            <w:pPr>
              <w:widowControl/>
              <w:jc w:val="center"/>
              <w:textAlignment w:val="center"/>
              <w:rPr>
                <w:rFonts w:ascii="宋体" w:cs="宋体"/>
                <w:color w:val="000000"/>
                <w:sz w:val="24"/>
              </w:rPr>
            </w:pPr>
            <w:r>
              <w:rPr>
                <w:rFonts w:hint="eastAsia" w:ascii="宋体" w:hAnsi="宋体" w:cs="宋体"/>
                <w:color w:val="000000"/>
                <w:sz w:val="24"/>
              </w:rPr>
              <w:t>12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A6A36">
            <w:pPr>
              <w:widowControl/>
              <w:jc w:val="center"/>
              <w:textAlignment w:val="center"/>
              <w:rPr>
                <w:rFonts w:asci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F977CD">
            <w:pPr>
              <w:widowControl/>
              <w:jc w:val="center"/>
              <w:textAlignment w:val="center"/>
              <w:rPr>
                <w:rFonts w:ascii="宋体" w:cs="宋体"/>
                <w:color w:val="000000"/>
                <w:sz w:val="24"/>
              </w:rPr>
            </w:pPr>
            <w:r>
              <w:rPr>
                <w:rFonts w:hint="eastAsia" w:ascii="宋体" w:hAnsi="宋体" w:cs="宋体"/>
                <w:color w:val="000000"/>
                <w:sz w:val="24"/>
              </w:rPr>
              <w:t>12</w:t>
            </w:r>
          </w:p>
        </w:tc>
      </w:tr>
      <w:tr w14:paraId="458766FE">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2C9266">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910A6">
            <w:pPr>
              <w:widowControl/>
              <w:jc w:val="center"/>
              <w:textAlignment w:val="center"/>
              <w:rPr>
                <w:rFonts w:ascii="宋体" w:cs="宋体"/>
                <w:color w:val="000000"/>
                <w:sz w:val="24"/>
              </w:rPr>
            </w:pPr>
            <w:r>
              <w:rPr>
                <w:rFonts w:hint="eastAsia" w:ascii="宋体" w:hAnsi="宋体" w:cs="宋体"/>
                <w:color w:val="000000"/>
                <w:kern w:val="0"/>
                <w:sz w:val="24"/>
              </w:rPr>
              <w:t>其他资金：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06F9E">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6ECE5">
            <w:pPr>
              <w:widowControl/>
              <w:jc w:val="center"/>
              <w:textAlignment w:val="center"/>
              <w:rPr>
                <w:rFonts w:ascii="宋体" w:cs="宋体"/>
                <w:color w:val="000000"/>
                <w:sz w:val="24"/>
              </w:rPr>
            </w:pPr>
            <w:r>
              <w:rPr>
                <w:rFonts w:hint="eastAsia" w:ascii="宋体" w:hAnsi="宋体" w:cs="宋体"/>
                <w:color w:val="000000"/>
                <w:kern w:val="0"/>
                <w:sz w:val="24"/>
              </w:rPr>
              <w:t>其他资金：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7AFEA1">
            <w:pPr>
              <w:jc w:val="center"/>
              <w:rPr>
                <w:rFonts w:ascii="宋体" w:cs="宋体"/>
                <w:color w:val="000000"/>
                <w:sz w:val="24"/>
              </w:rPr>
            </w:pPr>
          </w:p>
        </w:tc>
      </w:tr>
      <w:tr w14:paraId="42A5C99F">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6E587">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06248">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72FE8">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7B85291B">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4B9A4">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2C377">
            <w:pPr>
              <w:widowControl/>
              <w:jc w:val="center"/>
              <w:textAlignment w:val="center"/>
              <w:rPr>
                <w:rFonts w:ascii="宋体" w:hAnsi="宋体" w:cs="宋体"/>
                <w:color w:val="000000"/>
                <w:sz w:val="24"/>
              </w:rPr>
            </w:pPr>
          </w:p>
          <w:p w14:paraId="3CD15B83">
            <w:pPr>
              <w:widowControl/>
              <w:jc w:val="center"/>
              <w:textAlignment w:val="center"/>
              <w:rPr>
                <w:rFonts w:ascii="宋体" w:cs="宋体"/>
                <w:color w:val="000000"/>
                <w:sz w:val="24"/>
              </w:rPr>
            </w:pPr>
            <w:r>
              <w:rPr>
                <w:rFonts w:hint="eastAsia" w:ascii="宋体" w:hAnsi="宋体" w:cs="宋体"/>
                <w:color w:val="000000"/>
                <w:sz w:val="24"/>
              </w:rPr>
              <w:t>目标1：保障我中心临聘人员工资、养老保险、医疗保险等经费。                           目标2：按时支付临聘人员工资，保障临聘人员合法工资福利。</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07BAB">
            <w:pPr>
              <w:widowControl/>
              <w:jc w:val="center"/>
              <w:textAlignment w:val="center"/>
              <w:rPr>
                <w:rFonts w:ascii="宋体" w:cs="宋体"/>
                <w:color w:val="000000"/>
                <w:sz w:val="24"/>
              </w:rPr>
            </w:pPr>
            <w:r>
              <w:rPr>
                <w:rFonts w:hint="eastAsia" w:ascii="宋体" w:hAnsi="宋体" w:cs="宋体"/>
                <w:color w:val="000000"/>
                <w:sz w:val="24"/>
              </w:rPr>
              <w:t>已完成</w:t>
            </w:r>
          </w:p>
        </w:tc>
      </w:tr>
      <w:tr w14:paraId="0A9FCD6F">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E86F6C8">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627CD">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1D8D0">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876846">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B80E8F">
            <w:pPr>
              <w:widowControl/>
              <w:jc w:val="center"/>
              <w:textAlignment w:val="center"/>
              <w:rPr>
                <w:rFonts w:asci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36894">
            <w:pPr>
              <w:widowControl/>
              <w:jc w:val="center"/>
              <w:textAlignment w:val="center"/>
              <w:rPr>
                <w:rFonts w:ascii="宋体" w:cs="宋体"/>
                <w:color w:val="000000"/>
                <w:sz w:val="24"/>
              </w:rPr>
            </w:pPr>
            <w:r>
              <w:rPr>
                <w:rFonts w:hint="eastAsia" w:ascii="宋体" w:hAnsi="宋体" w:cs="宋体"/>
                <w:color w:val="000000"/>
                <w:kern w:val="0"/>
                <w:sz w:val="24"/>
              </w:rPr>
              <w:t>实际完成指标值（包含数字及文字描述）</w:t>
            </w:r>
          </w:p>
        </w:tc>
      </w:tr>
      <w:tr w14:paraId="29D6735A">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F98E2BB">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EFDBF">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94BBF">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FBC38B">
            <w:pPr>
              <w:widowControl/>
              <w:jc w:val="center"/>
              <w:textAlignment w:val="center"/>
              <w:rPr>
                <w:rFonts w:ascii="宋体" w:cs="宋体"/>
                <w:color w:val="000000"/>
                <w:sz w:val="24"/>
              </w:rPr>
            </w:pPr>
            <w:r>
              <w:rPr>
                <w:rFonts w:hint="eastAsia" w:ascii="宋体" w:hAnsi="宋体" w:cs="宋体"/>
                <w:color w:val="000000"/>
                <w:sz w:val="24"/>
              </w:rPr>
              <w:t>指标1：保障我中心临聘人员工资、养老保险、医疗保险等经费。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96737">
            <w:pPr>
              <w:widowControl/>
              <w:jc w:val="center"/>
              <w:textAlignment w:val="center"/>
              <w:rPr>
                <w:rFonts w:asci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4979E6">
            <w:pPr>
              <w:widowControl/>
              <w:jc w:val="center"/>
              <w:textAlignment w:val="center"/>
              <w:rPr>
                <w:rFonts w:ascii="宋体" w:cs="宋体"/>
                <w:color w:val="000000"/>
                <w:sz w:val="24"/>
              </w:rPr>
            </w:pPr>
            <w:r>
              <w:rPr>
                <w:rFonts w:hint="eastAsia" w:ascii="宋体" w:hAnsi="宋体" w:cs="宋体"/>
                <w:color w:val="000000"/>
                <w:sz w:val="24"/>
              </w:rPr>
              <w:t>99%</w:t>
            </w:r>
          </w:p>
        </w:tc>
      </w:tr>
      <w:tr w14:paraId="2F8F3FB6">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31414D8">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07171">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CE71F">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B7FC2">
            <w:pPr>
              <w:widowControl/>
              <w:jc w:val="center"/>
              <w:textAlignment w:val="center"/>
              <w:rPr>
                <w:rFonts w:ascii="宋体" w:cs="宋体"/>
                <w:color w:val="000000"/>
                <w:sz w:val="24"/>
              </w:rPr>
            </w:pPr>
            <w:r>
              <w:rPr>
                <w:rFonts w:hint="eastAsia" w:ascii="宋体" w:hAnsi="宋体" w:cs="宋体"/>
                <w:color w:val="000000"/>
                <w:sz w:val="24"/>
              </w:rPr>
              <w:t>指标1：保证我中心日常事业运行经费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0F3BE">
            <w:pPr>
              <w:widowControl/>
              <w:jc w:val="center"/>
              <w:textAlignment w:val="center"/>
              <w:rPr>
                <w:rFonts w:asci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397B2">
            <w:pPr>
              <w:widowControl/>
              <w:jc w:val="center"/>
              <w:textAlignment w:val="center"/>
              <w:rPr>
                <w:rFonts w:ascii="宋体" w:cs="宋体"/>
                <w:color w:val="000000"/>
                <w:sz w:val="24"/>
              </w:rPr>
            </w:pPr>
            <w:r>
              <w:rPr>
                <w:rFonts w:hint="eastAsia" w:ascii="宋体" w:hAnsi="宋体" w:cs="宋体"/>
                <w:color w:val="000000"/>
                <w:sz w:val="24"/>
              </w:rPr>
              <w:t>99%</w:t>
            </w:r>
          </w:p>
        </w:tc>
      </w:tr>
      <w:tr w14:paraId="2CAF378A">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58BFDDD">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96CB79">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089FAC">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E26498">
            <w:pPr>
              <w:widowControl/>
              <w:jc w:val="center"/>
              <w:textAlignment w:val="center"/>
              <w:rPr>
                <w:rFonts w:ascii="宋体" w:cs="宋体"/>
                <w:color w:val="000000"/>
                <w:sz w:val="24"/>
              </w:rPr>
            </w:pPr>
            <w:r>
              <w:rPr>
                <w:rFonts w:hint="eastAsia" w:ascii="宋体" w:hAnsi="宋体" w:cs="宋体"/>
                <w:color w:val="000000"/>
                <w:sz w:val="24"/>
              </w:rPr>
              <w:t>指标1：人员经费按月支付、保障临聘人员基本生活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A16A1">
            <w:pPr>
              <w:widowControl/>
              <w:jc w:val="center"/>
              <w:textAlignment w:val="center"/>
              <w:rPr>
                <w:rFonts w:asci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2D841">
            <w:pPr>
              <w:widowControl/>
              <w:jc w:val="center"/>
              <w:textAlignment w:val="center"/>
              <w:rPr>
                <w:rFonts w:ascii="宋体" w:cs="宋体"/>
                <w:color w:val="000000"/>
                <w:sz w:val="24"/>
              </w:rPr>
            </w:pPr>
            <w:r>
              <w:rPr>
                <w:rFonts w:hint="eastAsia" w:ascii="宋体" w:hAnsi="宋体" w:cs="宋体"/>
                <w:color w:val="000000"/>
                <w:sz w:val="24"/>
              </w:rPr>
              <w:t>99%</w:t>
            </w:r>
          </w:p>
        </w:tc>
      </w:tr>
      <w:tr w14:paraId="2BFFFFF6">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8F281C6">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95E32">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F9920">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B24F37">
            <w:pPr>
              <w:widowControl/>
              <w:jc w:val="center"/>
              <w:textAlignment w:val="center"/>
              <w:rPr>
                <w:rFonts w:ascii="宋体" w:cs="宋体"/>
                <w:color w:val="000000"/>
                <w:sz w:val="24"/>
              </w:rPr>
            </w:pPr>
            <w:r>
              <w:rPr>
                <w:rFonts w:hint="eastAsia" w:ascii="宋体" w:hAnsi="宋体" w:cs="宋体"/>
                <w:color w:val="000000"/>
                <w:sz w:val="24"/>
              </w:rPr>
              <w:t>指标1：总成本控制在预算金额内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95F515">
            <w:pPr>
              <w:widowControl/>
              <w:jc w:val="center"/>
              <w:textAlignment w:val="center"/>
              <w:rPr>
                <w:rFonts w:asci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7E31A">
            <w:pPr>
              <w:widowControl/>
              <w:jc w:val="center"/>
              <w:textAlignment w:val="center"/>
              <w:rPr>
                <w:rFonts w:ascii="宋体" w:cs="宋体"/>
                <w:color w:val="000000"/>
                <w:sz w:val="24"/>
              </w:rPr>
            </w:pPr>
            <w:r>
              <w:rPr>
                <w:rFonts w:hint="eastAsia" w:ascii="宋体" w:hAnsi="宋体" w:cs="宋体"/>
                <w:color w:val="000000"/>
                <w:sz w:val="24"/>
              </w:rPr>
              <w:t>99%</w:t>
            </w:r>
          </w:p>
        </w:tc>
      </w:tr>
      <w:tr w14:paraId="48D06F25">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70B5DF5">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202E76">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33006">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7610C7">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6E576B">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C7564">
            <w:pPr>
              <w:widowControl/>
              <w:jc w:val="center"/>
              <w:textAlignment w:val="center"/>
              <w:rPr>
                <w:rFonts w:ascii="宋体" w:cs="宋体"/>
                <w:color w:val="000000"/>
                <w:sz w:val="24"/>
              </w:rPr>
            </w:pPr>
          </w:p>
        </w:tc>
      </w:tr>
      <w:tr w14:paraId="4EE90300">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F44B4FB">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FF986">
            <w:pPr>
              <w:widowControl/>
              <w:jc w:val="center"/>
              <w:textAlignment w:val="center"/>
              <w:rPr>
                <w:rFonts w:asci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74325D">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D0BD4">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7B892C">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A4FED">
            <w:pPr>
              <w:widowControl/>
              <w:jc w:val="center"/>
              <w:textAlignment w:val="center"/>
              <w:rPr>
                <w:rFonts w:ascii="宋体" w:cs="宋体"/>
                <w:color w:val="000000"/>
                <w:sz w:val="24"/>
              </w:rPr>
            </w:pPr>
          </w:p>
        </w:tc>
      </w:tr>
      <w:tr w14:paraId="1DE4FD79">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C24F0EA">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3B19A7">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53CA93">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8F3801">
            <w:pPr>
              <w:widowControl/>
              <w:jc w:val="center"/>
              <w:textAlignment w:val="center"/>
              <w:rPr>
                <w:rFonts w:ascii="宋体" w:cs="宋体"/>
                <w:color w:val="000000"/>
                <w:sz w:val="24"/>
              </w:rPr>
            </w:pPr>
            <w:r>
              <w:rPr>
                <w:rFonts w:hint="eastAsia" w:ascii="宋体" w:hAnsi="宋体" w:cs="宋体"/>
                <w:color w:val="000000"/>
                <w:sz w:val="24"/>
              </w:rPr>
              <w:t>指标1：加强舆论引导，提升新闻报道和传播能力，做好网络、外线维护，确保群众正常收听收看广播电视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44697">
            <w:pPr>
              <w:widowControl/>
              <w:jc w:val="center"/>
              <w:textAlignment w:val="center"/>
              <w:rPr>
                <w:rFonts w:asci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512F4">
            <w:pPr>
              <w:widowControl/>
              <w:jc w:val="center"/>
              <w:textAlignment w:val="center"/>
              <w:rPr>
                <w:rFonts w:ascii="宋体" w:cs="宋体"/>
                <w:color w:val="000000"/>
                <w:sz w:val="24"/>
              </w:rPr>
            </w:pPr>
            <w:r>
              <w:rPr>
                <w:rFonts w:hint="eastAsia" w:ascii="宋体" w:hAnsi="宋体" w:cs="宋体"/>
                <w:color w:val="000000"/>
                <w:sz w:val="24"/>
              </w:rPr>
              <w:t>99%</w:t>
            </w:r>
          </w:p>
        </w:tc>
      </w:tr>
      <w:tr w14:paraId="1BA416CA">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4DCD4D5">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DDF354">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CCB269">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53845">
            <w:pPr>
              <w:widowControl/>
              <w:jc w:val="center"/>
              <w:textAlignment w:val="center"/>
              <w:rPr>
                <w:rFonts w:ascii="宋体" w:cs="宋体"/>
                <w:color w:val="000000"/>
                <w:sz w:val="24"/>
              </w:rPr>
            </w:pPr>
            <w:r>
              <w:rPr>
                <w:rFonts w:hint="eastAsia" w:ascii="宋体" w:hAnsi="宋体" w:cs="宋体"/>
                <w:color w:val="000000"/>
                <w:sz w:val="24"/>
              </w:rPr>
              <w:t>指标1：注重宣传环境保护内容，提升民众保护意识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C6589">
            <w:pPr>
              <w:widowControl/>
              <w:jc w:val="center"/>
              <w:textAlignment w:val="center"/>
              <w:rPr>
                <w:rFonts w:asci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C03AFE">
            <w:pPr>
              <w:widowControl/>
              <w:jc w:val="center"/>
              <w:textAlignment w:val="center"/>
              <w:rPr>
                <w:rFonts w:ascii="宋体" w:cs="宋体"/>
                <w:color w:val="000000"/>
                <w:sz w:val="24"/>
              </w:rPr>
            </w:pPr>
            <w:r>
              <w:rPr>
                <w:rFonts w:hint="eastAsia" w:ascii="宋体" w:hAnsi="宋体" w:cs="宋体"/>
                <w:color w:val="000000"/>
                <w:sz w:val="24"/>
              </w:rPr>
              <w:t>99%</w:t>
            </w:r>
          </w:p>
        </w:tc>
      </w:tr>
      <w:tr w14:paraId="3FE2937B">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10B082C">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529B9">
            <w:pPr>
              <w:widowControl/>
              <w:jc w:val="center"/>
              <w:textAlignment w:val="center"/>
              <w:rPr>
                <w:rFonts w:asci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E585A">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0583D">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5EEBB">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45C37">
            <w:pPr>
              <w:widowControl/>
              <w:jc w:val="center"/>
              <w:textAlignment w:val="center"/>
              <w:rPr>
                <w:rFonts w:ascii="宋体" w:cs="宋体"/>
                <w:color w:val="000000"/>
                <w:sz w:val="24"/>
              </w:rPr>
            </w:pPr>
          </w:p>
        </w:tc>
      </w:tr>
      <w:tr w14:paraId="5E40A74C">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240A5EE">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A89E8">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9593B">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0FF01">
            <w:pPr>
              <w:widowControl/>
              <w:jc w:val="center"/>
              <w:textAlignment w:val="center"/>
              <w:rPr>
                <w:rFonts w:ascii="宋体" w:cs="宋体"/>
                <w:color w:val="000000"/>
                <w:sz w:val="24"/>
              </w:rPr>
            </w:pPr>
            <w:r>
              <w:rPr>
                <w:rFonts w:hint="eastAsia" w:ascii="宋体" w:hAnsi="宋体" w:cs="宋体"/>
                <w:color w:val="000000"/>
                <w:sz w:val="24"/>
              </w:rPr>
              <w:t>指标1：丰富群众生活，提高群众满意度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A3A9A6">
            <w:pPr>
              <w:widowControl/>
              <w:jc w:val="center"/>
              <w:textAlignment w:val="center"/>
              <w:rPr>
                <w:rFonts w:asci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B00871">
            <w:pPr>
              <w:widowControl/>
              <w:jc w:val="center"/>
              <w:textAlignment w:val="center"/>
              <w:rPr>
                <w:rFonts w:ascii="宋体" w:cs="宋体"/>
                <w:color w:val="000000"/>
                <w:sz w:val="24"/>
              </w:rPr>
            </w:pPr>
            <w:r>
              <w:rPr>
                <w:rFonts w:hint="eastAsia" w:ascii="宋体" w:hAnsi="宋体" w:cs="宋体"/>
                <w:color w:val="000000"/>
                <w:sz w:val="24"/>
              </w:rPr>
              <w:t>99%</w:t>
            </w:r>
          </w:p>
        </w:tc>
      </w:tr>
    </w:tbl>
    <w:p w14:paraId="715EFD0D">
      <w:pPr>
        <w:spacing w:line="580" w:lineRule="exact"/>
        <w:ind w:left="630"/>
        <w:rPr>
          <w:rFonts w:ascii="仿宋_GB2312" w:hAnsi="仿宋_GB2312" w:eastAsia="仿宋_GB2312" w:cs="仿宋_GB2312"/>
          <w:sz w:val="32"/>
          <w:szCs w:val="32"/>
        </w:rPr>
      </w:pPr>
    </w:p>
    <w:tbl>
      <w:tblPr>
        <w:tblStyle w:val="20"/>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4386E4AF">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641ED1E2">
            <w:pPr>
              <w:widowControl/>
              <w:textAlignment w:val="center"/>
              <w:rPr>
                <w:rFonts w:ascii="宋体" w:hAnsi="宋体" w:cs="宋体"/>
                <w:b/>
                <w:bCs/>
                <w:color w:val="000000"/>
                <w:kern w:val="0"/>
                <w:sz w:val="36"/>
                <w:szCs w:val="36"/>
              </w:rPr>
            </w:pPr>
          </w:p>
          <w:p w14:paraId="0D66B62D">
            <w:pPr>
              <w:widowControl/>
              <w:jc w:val="center"/>
              <w:textAlignment w:val="center"/>
              <w:rPr>
                <w:rFonts w:ascii="宋体" w:hAnsi="宋体" w:cs="宋体"/>
                <w:b/>
                <w:bCs/>
                <w:color w:val="000000"/>
                <w:kern w:val="0"/>
                <w:sz w:val="36"/>
                <w:szCs w:val="36"/>
              </w:rPr>
            </w:pPr>
          </w:p>
          <w:p w14:paraId="3867A57A">
            <w:pPr>
              <w:widowControl/>
              <w:jc w:val="center"/>
              <w:textAlignment w:val="center"/>
              <w:rPr>
                <w:rFonts w:ascii="宋体" w:hAnsi="宋体" w:cs="宋体"/>
                <w:b/>
                <w:bCs/>
                <w:color w:val="000000"/>
                <w:kern w:val="0"/>
                <w:sz w:val="36"/>
                <w:szCs w:val="36"/>
              </w:rPr>
            </w:pPr>
          </w:p>
          <w:p w14:paraId="7B441DF2">
            <w:pPr>
              <w:widowControl/>
              <w:jc w:val="center"/>
              <w:textAlignment w:val="center"/>
              <w:rPr>
                <w:rFonts w:ascii="宋体" w:hAnsi="宋体" w:cs="宋体"/>
                <w:b/>
                <w:bCs/>
                <w:color w:val="000000"/>
                <w:kern w:val="0"/>
                <w:sz w:val="36"/>
                <w:szCs w:val="36"/>
              </w:rPr>
            </w:pPr>
          </w:p>
          <w:p w14:paraId="7F3DCAF1">
            <w:pPr>
              <w:widowControl/>
              <w:jc w:val="center"/>
              <w:textAlignment w:val="center"/>
              <w:rPr>
                <w:rFonts w:ascii="宋体" w:hAnsi="宋体" w:cs="宋体"/>
                <w:b/>
                <w:bCs/>
                <w:color w:val="000000"/>
                <w:kern w:val="0"/>
                <w:sz w:val="36"/>
                <w:szCs w:val="36"/>
              </w:rPr>
            </w:pPr>
          </w:p>
          <w:p w14:paraId="009F6D7A">
            <w:pPr>
              <w:widowControl/>
              <w:jc w:val="center"/>
              <w:textAlignment w:val="center"/>
              <w:rPr>
                <w:rFonts w:ascii="宋体" w:hAnsi="宋体" w:cs="宋体"/>
                <w:b/>
                <w:bCs/>
                <w:color w:val="000000"/>
                <w:kern w:val="0"/>
                <w:sz w:val="36"/>
                <w:szCs w:val="36"/>
              </w:rPr>
            </w:pPr>
          </w:p>
          <w:p w14:paraId="7F378069">
            <w:pPr>
              <w:widowControl/>
              <w:jc w:val="center"/>
              <w:textAlignment w:val="center"/>
              <w:rPr>
                <w:rFonts w:ascii="宋体" w:hAnsi="宋体" w:cs="宋体"/>
                <w:b/>
                <w:bCs/>
                <w:color w:val="000000"/>
                <w:kern w:val="0"/>
                <w:sz w:val="36"/>
                <w:szCs w:val="36"/>
              </w:rPr>
            </w:pPr>
          </w:p>
          <w:p w14:paraId="0F464AF6">
            <w:pPr>
              <w:widowControl/>
              <w:jc w:val="center"/>
              <w:textAlignment w:val="center"/>
              <w:rPr>
                <w:rFonts w:ascii="宋体" w:hAnsi="宋体" w:cs="宋体"/>
                <w:b/>
                <w:bCs/>
                <w:color w:val="000000"/>
                <w:kern w:val="0"/>
                <w:sz w:val="36"/>
                <w:szCs w:val="36"/>
              </w:rPr>
            </w:pPr>
          </w:p>
          <w:p w14:paraId="16B68654">
            <w:pPr>
              <w:widowControl/>
              <w:textAlignment w:val="center"/>
              <w:rPr>
                <w:rFonts w:ascii="宋体" w:hAnsi="宋体" w:cs="宋体"/>
                <w:b/>
                <w:bCs/>
                <w:color w:val="000000"/>
                <w:kern w:val="0"/>
                <w:sz w:val="36"/>
                <w:szCs w:val="36"/>
              </w:rPr>
            </w:pPr>
          </w:p>
          <w:p w14:paraId="734BF883">
            <w:pPr>
              <w:pStyle w:val="2"/>
              <w:spacing w:before="93"/>
              <w:rPr>
                <w:rFonts w:ascii="宋体" w:hAnsi="宋体" w:cs="宋体"/>
                <w:b/>
                <w:bCs/>
                <w:color w:val="000000"/>
                <w:sz w:val="36"/>
                <w:szCs w:val="36"/>
              </w:rPr>
            </w:pPr>
          </w:p>
          <w:p w14:paraId="4489BC0A">
            <w:pPr>
              <w:pStyle w:val="3"/>
              <w:spacing w:before="93"/>
              <w:ind w:firstLine="361"/>
              <w:rPr>
                <w:rFonts w:ascii="宋体" w:hAnsi="宋体" w:cs="宋体"/>
                <w:b/>
                <w:bCs/>
                <w:color w:val="000000"/>
                <w:sz w:val="36"/>
                <w:szCs w:val="36"/>
              </w:rPr>
            </w:pPr>
          </w:p>
          <w:p w14:paraId="72FFAE9C">
            <w:pPr>
              <w:pStyle w:val="3"/>
              <w:spacing w:before="93"/>
              <w:ind w:firstLine="361"/>
              <w:rPr>
                <w:rFonts w:ascii="宋体" w:hAnsi="宋体" w:cs="宋体"/>
                <w:b/>
                <w:bCs/>
                <w:color w:val="000000"/>
                <w:sz w:val="36"/>
                <w:szCs w:val="36"/>
              </w:rPr>
            </w:pPr>
          </w:p>
          <w:p w14:paraId="55DA94DA">
            <w:pPr>
              <w:pStyle w:val="3"/>
              <w:spacing w:before="93"/>
              <w:ind w:firstLine="361"/>
              <w:rPr>
                <w:rFonts w:ascii="宋体" w:hAnsi="宋体" w:cs="宋体"/>
                <w:b/>
                <w:bCs/>
                <w:color w:val="000000"/>
                <w:sz w:val="36"/>
                <w:szCs w:val="36"/>
              </w:rPr>
            </w:pPr>
          </w:p>
          <w:p w14:paraId="3D8D448A">
            <w:pPr>
              <w:pStyle w:val="3"/>
              <w:spacing w:before="93"/>
              <w:ind w:firstLine="361"/>
              <w:rPr>
                <w:rFonts w:ascii="宋体" w:hAnsi="宋体" w:cs="宋体"/>
                <w:b/>
                <w:bCs/>
                <w:color w:val="000000"/>
                <w:sz w:val="36"/>
                <w:szCs w:val="36"/>
              </w:rPr>
            </w:pPr>
          </w:p>
          <w:p w14:paraId="6F8B37B3">
            <w:pPr>
              <w:widowControl/>
              <w:jc w:val="center"/>
              <w:textAlignment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项目绩效目标完成情况表</w:t>
            </w:r>
          </w:p>
          <w:p w14:paraId="4AE4B880">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(2020年度）</w:t>
            </w:r>
          </w:p>
        </w:tc>
      </w:tr>
      <w:tr w14:paraId="4212C10F">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FFF3C7">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7E9D6">
            <w:pPr>
              <w:widowControl/>
              <w:jc w:val="center"/>
              <w:textAlignment w:val="center"/>
              <w:rPr>
                <w:rFonts w:ascii="宋体" w:hAnsi="宋体" w:cs="宋体"/>
                <w:color w:val="000000"/>
                <w:sz w:val="24"/>
              </w:rPr>
            </w:pPr>
            <w:r>
              <w:rPr>
                <w:rFonts w:hint="eastAsia" w:ascii="宋体" w:hAnsi="宋体" w:cs="宋体"/>
                <w:color w:val="000000"/>
                <w:sz w:val="24"/>
              </w:rPr>
              <w:t>专题栏目经费</w:t>
            </w:r>
          </w:p>
        </w:tc>
      </w:tr>
      <w:tr w14:paraId="7AB8FD7A">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854246">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C71DC">
            <w:pPr>
              <w:widowControl/>
              <w:jc w:val="center"/>
              <w:textAlignment w:val="center"/>
              <w:rPr>
                <w:rFonts w:ascii="宋体" w:hAnsi="宋体" w:cs="宋体"/>
                <w:color w:val="000000"/>
                <w:sz w:val="24"/>
              </w:rPr>
            </w:pPr>
            <w:r>
              <w:rPr>
                <w:rFonts w:hint="eastAsia" w:ascii="宋体" w:hAnsi="宋体" w:cs="宋体"/>
                <w:color w:val="000000"/>
                <w:sz w:val="24"/>
              </w:rPr>
              <w:t>松潘县融媒体中心</w:t>
            </w:r>
          </w:p>
        </w:tc>
      </w:tr>
      <w:tr w14:paraId="1B69F89E">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13B7D">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40227">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3608B">
            <w:pPr>
              <w:widowControl/>
              <w:jc w:val="center"/>
              <w:textAlignment w:val="center"/>
              <w:rPr>
                <w:rFonts w:ascii="宋体" w:hAnsi="宋体" w:cs="宋体"/>
                <w:color w:val="000000"/>
                <w:sz w:val="24"/>
              </w:rPr>
            </w:pPr>
            <w:r>
              <w:rPr>
                <w:rFonts w:hint="eastAsia" w:ascii="宋体" w:hAnsi="宋体" w:cs="宋体"/>
                <w:color w:val="000000"/>
                <w:sz w:val="24"/>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B8E2F">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A8B2D">
            <w:pPr>
              <w:widowControl/>
              <w:jc w:val="center"/>
              <w:textAlignment w:val="center"/>
              <w:rPr>
                <w:rFonts w:ascii="宋体" w:hAnsi="宋体" w:cs="宋体"/>
                <w:color w:val="000000"/>
                <w:sz w:val="24"/>
              </w:rPr>
            </w:pPr>
            <w:r>
              <w:rPr>
                <w:rFonts w:hint="eastAsia" w:ascii="宋体" w:hAnsi="宋体" w:cs="宋体"/>
                <w:color w:val="000000"/>
                <w:sz w:val="24"/>
              </w:rPr>
              <w:t>10</w:t>
            </w:r>
          </w:p>
        </w:tc>
      </w:tr>
      <w:tr w14:paraId="2EE40CEA">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392E0">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66E2C">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D5CCF">
            <w:pPr>
              <w:widowControl/>
              <w:jc w:val="center"/>
              <w:textAlignment w:val="center"/>
              <w:rPr>
                <w:rFonts w:ascii="宋体" w:hAnsi="宋体" w:cs="宋体"/>
                <w:color w:val="000000"/>
                <w:sz w:val="24"/>
              </w:rPr>
            </w:pPr>
            <w:r>
              <w:rPr>
                <w:rFonts w:hint="eastAsia" w:ascii="宋体" w:hAnsi="宋体" w:cs="宋体"/>
                <w:color w:val="000000"/>
                <w:sz w:val="24"/>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EE4E56">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00A9D">
            <w:pPr>
              <w:widowControl/>
              <w:jc w:val="center"/>
              <w:textAlignment w:val="center"/>
              <w:rPr>
                <w:rFonts w:ascii="宋体" w:hAnsi="宋体" w:cs="宋体"/>
                <w:color w:val="000000"/>
                <w:sz w:val="24"/>
              </w:rPr>
            </w:pPr>
            <w:r>
              <w:rPr>
                <w:rFonts w:hint="eastAsia" w:ascii="宋体" w:hAnsi="宋体" w:cs="宋体"/>
                <w:color w:val="000000"/>
                <w:sz w:val="24"/>
              </w:rPr>
              <w:t>10</w:t>
            </w:r>
          </w:p>
        </w:tc>
      </w:tr>
      <w:tr w14:paraId="70FBF4C2">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04BB7">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59C19">
            <w:pPr>
              <w:widowControl/>
              <w:jc w:val="center"/>
              <w:textAlignment w:val="center"/>
              <w:rPr>
                <w:rFonts w:ascii="宋体" w:hAnsi="宋体" w:cs="宋体"/>
                <w:color w:val="000000"/>
                <w:sz w:val="24"/>
              </w:rPr>
            </w:pPr>
            <w:r>
              <w:rPr>
                <w:rFonts w:hint="eastAsia" w:ascii="宋体" w:hAnsi="宋体" w:cs="宋体"/>
                <w:color w:val="000000"/>
                <w:kern w:val="0"/>
                <w:sz w:val="24"/>
              </w:rPr>
              <w:t>其他资金：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24538">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662E3">
            <w:pPr>
              <w:widowControl/>
              <w:jc w:val="center"/>
              <w:textAlignment w:val="center"/>
              <w:rPr>
                <w:rFonts w:ascii="宋体" w:hAnsi="宋体" w:cs="宋体"/>
                <w:color w:val="000000"/>
                <w:sz w:val="24"/>
              </w:rPr>
            </w:pPr>
            <w:r>
              <w:rPr>
                <w:rFonts w:hint="eastAsia" w:ascii="宋体" w:hAnsi="宋体" w:cs="宋体"/>
                <w:color w:val="000000"/>
                <w:kern w:val="0"/>
                <w:sz w:val="24"/>
              </w:rPr>
              <w:t>其他资金：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C8DE2">
            <w:pPr>
              <w:jc w:val="center"/>
              <w:rPr>
                <w:rFonts w:ascii="宋体" w:hAnsi="宋体" w:cs="宋体"/>
                <w:color w:val="000000"/>
                <w:sz w:val="24"/>
              </w:rPr>
            </w:pPr>
          </w:p>
        </w:tc>
      </w:tr>
      <w:tr w14:paraId="2AE64C2A">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9B8A1">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CBF98">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F1284">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175D81CC">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4A48C">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97F07">
            <w:pPr>
              <w:widowControl/>
              <w:jc w:val="center"/>
              <w:textAlignment w:val="center"/>
              <w:rPr>
                <w:rFonts w:ascii="宋体" w:hAnsi="宋体" w:cs="宋体"/>
                <w:color w:val="000000"/>
                <w:sz w:val="24"/>
              </w:rPr>
            </w:pPr>
          </w:p>
          <w:p w14:paraId="2BFB0629">
            <w:pPr>
              <w:widowControl/>
              <w:jc w:val="center"/>
              <w:textAlignment w:val="center"/>
              <w:rPr>
                <w:rFonts w:ascii="宋体" w:hAnsi="宋体" w:cs="宋体"/>
                <w:color w:val="000000"/>
                <w:sz w:val="24"/>
              </w:rPr>
            </w:pPr>
            <w:r>
              <w:rPr>
                <w:rFonts w:hint="eastAsia" w:ascii="宋体" w:hAnsi="宋体" w:cs="宋体"/>
                <w:color w:val="000000"/>
                <w:sz w:val="24"/>
              </w:rPr>
              <w:t xml:space="preserve">目标1：加强舆论引导，提升新闻报道和传播能力。                               </w:t>
            </w:r>
          </w:p>
          <w:p w14:paraId="58282BD5">
            <w:pPr>
              <w:widowControl/>
              <w:jc w:val="center"/>
              <w:textAlignment w:val="center"/>
              <w:rPr>
                <w:rFonts w:ascii="宋体" w:hAnsi="宋体" w:cs="宋体"/>
                <w:color w:val="000000"/>
                <w:sz w:val="24"/>
              </w:rPr>
            </w:pPr>
            <w:r>
              <w:rPr>
                <w:rFonts w:hint="eastAsia" w:ascii="宋体" w:hAnsi="宋体" w:cs="宋体"/>
                <w:color w:val="000000"/>
                <w:sz w:val="24"/>
              </w:rPr>
              <w:t xml:space="preserve"> 目标2：保障宣传人员（临聘人员）工资、绩效发放。</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67B86">
            <w:pPr>
              <w:widowControl/>
              <w:jc w:val="center"/>
              <w:textAlignment w:val="center"/>
              <w:rPr>
                <w:rFonts w:ascii="宋体" w:hAnsi="宋体" w:cs="宋体"/>
                <w:color w:val="000000"/>
                <w:sz w:val="24"/>
              </w:rPr>
            </w:pPr>
            <w:r>
              <w:rPr>
                <w:rFonts w:hint="eastAsia" w:ascii="宋体" w:hAnsi="宋体" w:cs="宋体"/>
                <w:color w:val="000000"/>
                <w:sz w:val="24"/>
              </w:rPr>
              <w:t>已完成</w:t>
            </w:r>
          </w:p>
        </w:tc>
      </w:tr>
      <w:tr w14:paraId="41B30E23">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94938D6">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165FC2">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44C40">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E04A0">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42BA4">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B1149">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7FA5F4BA">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D322ED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C4EBD">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597ED">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2552F">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指标1：保障宣传人员（临聘人员）工资、绩效发放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AD01B">
            <w:pPr>
              <w:widowControl/>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1E6217">
            <w:pPr>
              <w:widowControl/>
              <w:jc w:val="center"/>
              <w:textAlignment w:val="center"/>
              <w:rPr>
                <w:rFonts w:ascii="宋体" w:hAnsi="宋体" w:cs="宋体"/>
                <w:color w:val="000000"/>
                <w:sz w:val="24"/>
              </w:rPr>
            </w:pPr>
            <w:r>
              <w:rPr>
                <w:rFonts w:hint="eastAsia" w:ascii="宋体" w:hAnsi="宋体" w:cs="宋体"/>
                <w:color w:val="000000"/>
                <w:sz w:val="24"/>
              </w:rPr>
              <w:t>99%</w:t>
            </w:r>
          </w:p>
        </w:tc>
      </w:tr>
      <w:tr w14:paraId="04E900E4">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CAA84C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372EB">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C91EB">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6911B">
            <w:pPr>
              <w:widowControl/>
              <w:jc w:val="center"/>
              <w:textAlignment w:val="center"/>
              <w:rPr>
                <w:rFonts w:ascii="宋体" w:hAnsi="宋体" w:cs="宋体"/>
                <w:color w:val="000000"/>
                <w:sz w:val="24"/>
              </w:rPr>
            </w:pPr>
            <w:r>
              <w:rPr>
                <w:rFonts w:hint="eastAsia" w:ascii="宋体" w:hAnsi="宋体" w:cs="宋体"/>
                <w:color w:val="000000"/>
                <w:sz w:val="24"/>
              </w:rPr>
              <w:t>指标1：保证我中心日常事业运行经费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97D25">
            <w:pPr>
              <w:widowControl/>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2D819">
            <w:pPr>
              <w:widowControl/>
              <w:jc w:val="center"/>
              <w:textAlignment w:val="center"/>
              <w:rPr>
                <w:rFonts w:ascii="宋体" w:hAnsi="宋体" w:cs="宋体"/>
                <w:color w:val="000000"/>
                <w:sz w:val="24"/>
              </w:rPr>
            </w:pPr>
            <w:r>
              <w:rPr>
                <w:rFonts w:hint="eastAsia" w:ascii="宋体" w:hAnsi="宋体" w:cs="宋体"/>
                <w:color w:val="000000"/>
                <w:sz w:val="24"/>
              </w:rPr>
              <w:t>99%</w:t>
            </w:r>
          </w:p>
        </w:tc>
      </w:tr>
      <w:tr w14:paraId="36CDAE97">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9D3DB1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88D91">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BE4E4">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8EA47">
            <w:pPr>
              <w:widowControl/>
              <w:jc w:val="center"/>
              <w:textAlignment w:val="center"/>
              <w:rPr>
                <w:rFonts w:ascii="宋体" w:hAnsi="宋体" w:cs="宋体"/>
                <w:color w:val="000000"/>
                <w:sz w:val="24"/>
              </w:rPr>
            </w:pPr>
            <w:r>
              <w:rPr>
                <w:rFonts w:hint="eastAsia" w:ascii="宋体" w:hAnsi="宋体" w:cs="宋体"/>
                <w:color w:val="000000"/>
                <w:sz w:val="24"/>
              </w:rPr>
              <w:t>指标1：人员经费按月支付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06B66">
            <w:pPr>
              <w:widowControl/>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E51E70">
            <w:pPr>
              <w:widowControl/>
              <w:jc w:val="center"/>
              <w:textAlignment w:val="center"/>
              <w:rPr>
                <w:rFonts w:ascii="宋体" w:hAnsi="宋体" w:cs="宋体"/>
                <w:color w:val="000000"/>
                <w:sz w:val="24"/>
              </w:rPr>
            </w:pPr>
            <w:r>
              <w:rPr>
                <w:rFonts w:hint="eastAsia" w:ascii="宋体" w:hAnsi="宋体" w:cs="宋体"/>
                <w:color w:val="000000"/>
                <w:sz w:val="24"/>
              </w:rPr>
              <w:t>99%</w:t>
            </w:r>
          </w:p>
        </w:tc>
      </w:tr>
      <w:tr w14:paraId="19EA3EC7">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BAFB31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66A32">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4EF22">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6C5A4">
            <w:pPr>
              <w:widowControl/>
              <w:jc w:val="center"/>
              <w:textAlignment w:val="center"/>
              <w:rPr>
                <w:rFonts w:ascii="宋体" w:hAnsi="宋体" w:cs="宋体"/>
                <w:color w:val="000000"/>
                <w:sz w:val="24"/>
              </w:rPr>
            </w:pPr>
            <w:r>
              <w:rPr>
                <w:rFonts w:hint="eastAsia" w:ascii="宋体" w:hAnsi="宋体" w:cs="宋体"/>
                <w:color w:val="000000"/>
                <w:sz w:val="24"/>
              </w:rPr>
              <w:t>指标1：总成本控制在预算金额内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8F9B2">
            <w:pPr>
              <w:widowControl/>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008B0">
            <w:pPr>
              <w:widowControl/>
              <w:jc w:val="center"/>
              <w:textAlignment w:val="center"/>
              <w:rPr>
                <w:rFonts w:ascii="宋体" w:hAnsi="宋体" w:cs="宋体"/>
                <w:color w:val="000000"/>
                <w:sz w:val="24"/>
              </w:rPr>
            </w:pPr>
            <w:r>
              <w:rPr>
                <w:rFonts w:hint="eastAsia" w:ascii="宋体" w:hAnsi="宋体" w:cs="宋体"/>
                <w:color w:val="000000"/>
                <w:sz w:val="24"/>
              </w:rPr>
              <w:t>99%</w:t>
            </w:r>
          </w:p>
        </w:tc>
      </w:tr>
      <w:tr w14:paraId="6BED4547">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A770F1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9D08C">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126EBD">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2F275E">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631C4">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00645">
            <w:pPr>
              <w:widowControl/>
              <w:jc w:val="center"/>
              <w:textAlignment w:val="center"/>
              <w:rPr>
                <w:rFonts w:ascii="宋体" w:hAnsi="宋体" w:cs="宋体"/>
                <w:color w:val="000000"/>
                <w:sz w:val="24"/>
              </w:rPr>
            </w:pPr>
          </w:p>
        </w:tc>
      </w:tr>
      <w:tr w14:paraId="49C18AB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887A83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BE26C">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A30CA">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6E69E8">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1CFC8">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D1814">
            <w:pPr>
              <w:widowControl/>
              <w:jc w:val="center"/>
              <w:textAlignment w:val="center"/>
              <w:rPr>
                <w:rFonts w:ascii="宋体" w:hAnsi="宋体" w:cs="宋体"/>
                <w:color w:val="000000"/>
                <w:sz w:val="24"/>
              </w:rPr>
            </w:pPr>
          </w:p>
        </w:tc>
      </w:tr>
      <w:tr w14:paraId="16E3FF29">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0F4357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4415E">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C87E4">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62060">
            <w:pPr>
              <w:widowControl/>
              <w:jc w:val="center"/>
              <w:textAlignment w:val="center"/>
              <w:rPr>
                <w:rFonts w:ascii="宋体" w:hAnsi="宋体" w:cs="宋体"/>
                <w:color w:val="000000"/>
                <w:sz w:val="24"/>
              </w:rPr>
            </w:pPr>
            <w:r>
              <w:rPr>
                <w:rFonts w:hint="eastAsia" w:ascii="宋体" w:hAnsi="宋体" w:cs="宋体"/>
                <w:color w:val="000000"/>
                <w:sz w:val="24"/>
              </w:rPr>
              <w:t>指标1：加强舆论引导，提升新闻报道和传播能力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4E7F4">
            <w:pPr>
              <w:widowControl/>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356C1">
            <w:pPr>
              <w:widowControl/>
              <w:jc w:val="center"/>
              <w:textAlignment w:val="center"/>
              <w:rPr>
                <w:rFonts w:ascii="宋体" w:hAnsi="宋体" w:cs="宋体"/>
                <w:color w:val="000000"/>
                <w:sz w:val="24"/>
              </w:rPr>
            </w:pPr>
            <w:r>
              <w:rPr>
                <w:rFonts w:hint="eastAsia" w:ascii="宋体" w:hAnsi="宋体" w:cs="宋体"/>
                <w:color w:val="000000"/>
                <w:sz w:val="24"/>
              </w:rPr>
              <w:t>99%</w:t>
            </w:r>
          </w:p>
        </w:tc>
      </w:tr>
      <w:tr w14:paraId="61F19157">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3C08197">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385273">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BFE263">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5CDD49">
            <w:pPr>
              <w:widowControl/>
              <w:jc w:val="center"/>
              <w:textAlignment w:val="center"/>
              <w:rPr>
                <w:rFonts w:ascii="宋体" w:hAnsi="宋体" w:cs="宋体"/>
                <w:color w:val="000000"/>
                <w:sz w:val="24"/>
              </w:rPr>
            </w:pPr>
            <w:r>
              <w:rPr>
                <w:rFonts w:hint="eastAsia" w:ascii="宋体" w:hAnsi="宋体" w:cs="宋体"/>
                <w:color w:val="000000"/>
                <w:sz w:val="24"/>
              </w:rPr>
              <w:t>指标1：注重宣传环境保护内容，提升民众保护意识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213E3">
            <w:pPr>
              <w:widowControl/>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1A130">
            <w:pPr>
              <w:widowControl/>
              <w:jc w:val="center"/>
              <w:textAlignment w:val="center"/>
              <w:rPr>
                <w:rFonts w:ascii="宋体" w:hAnsi="宋体" w:cs="宋体"/>
                <w:color w:val="000000"/>
                <w:sz w:val="24"/>
              </w:rPr>
            </w:pPr>
            <w:r>
              <w:rPr>
                <w:rFonts w:hint="eastAsia" w:ascii="宋体" w:hAnsi="宋体" w:cs="宋体"/>
                <w:color w:val="000000"/>
                <w:sz w:val="24"/>
              </w:rPr>
              <w:t>99%</w:t>
            </w:r>
          </w:p>
        </w:tc>
      </w:tr>
      <w:tr w14:paraId="68B6FFEC">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B61ADD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560464">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34586">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EED50">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A2E26A">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4D9DF">
            <w:pPr>
              <w:widowControl/>
              <w:jc w:val="center"/>
              <w:textAlignment w:val="center"/>
              <w:rPr>
                <w:rFonts w:ascii="宋体" w:hAnsi="宋体" w:cs="宋体"/>
                <w:color w:val="000000"/>
                <w:sz w:val="24"/>
              </w:rPr>
            </w:pPr>
          </w:p>
        </w:tc>
      </w:tr>
      <w:tr w14:paraId="440924A8">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F84FE9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28ACDE">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CA6B2">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140A00">
            <w:pPr>
              <w:widowControl/>
              <w:jc w:val="center"/>
              <w:textAlignment w:val="center"/>
              <w:rPr>
                <w:rFonts w:ascii="宋体" w:hAnsi="宋体" w:cs="宋体"/>
                <w:color w:val="000000"/>
                <w:sz w:val="24"/>
              </w:rPr>
            </w:pPr>
            <w:r>
              <w:rPr>
                <w:rFonts w:hint="eastAsia" w:ascii="宋体" w:hAnsi="宋体" w:cs="宋体"/>
                <w:color w:val="000000"/>
                <w:sz w:val="24"/>
              </w:rPr>
              <w:t>指标1：丰富群众生活，提高群众满意度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08E45">
            <w:pPr>
              <w:widowControl/>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ED909">
            <w:pPr>
              <w:widowControl/>
              <w:jc w:val="center"/>
              <w:textAlignment w:val="center"/>
              <w:rPr>
                <w:rFonts w:ascii="宋体" w:hAnsi="宋体" w:cs="宋体"/>
                <w:color w:val="000000"/>
                <w:sz w:val="24"/>
              </w:rPr>
            </w:pPr>
            <w:r>
              <w:rPr>
                <w:rFonts w:hint="eastAsia" w:ascii="宋体" w:hAnsi="宋体" w:cs="宋体"/>
                <w:color w:val="000000"/>
                <w:sz w:val="24"/>
              </w:rPr>
              <w:t>99%</w:t>
            </w:r>
          </w:p>
        </w:tc>
      </w:tr>
    </w:tbl>
    <w:p w14:paraId="2DD01A92">
      <w:pPr>
        <w:spacing w:line="580" w:lineRule="exact"/>
        <w:ind w:left="630"/>
        <w:rPr>
          <w:rFonts w:ascii="仿宋_GB2312" w:hAnsi="仿宋_GB2312" w:eastAsia="仿宋_GB2312" w:cs="仿宋_GB2312"/>
          <w:sz w:val="32"/>
          <w:szCs w:val="32"/>
        </w:rPr>
      </w:pPr>
    </w:p>
    <w:p w14:paraId="23982F34">
      <w:pPr>
        <w:numPr>
          <w:ilvl w:val="0"/>
          <w:numId w:val="5"/>
        </w:numPr>
        <w:spacing w:line="600" w:lineRule="exact"/>
        <w:ind w:firstLine="660" w:firstLineChars="150"/>
        <w:jc w:val="center"/>
        <w:outlineLvl w:val="0"/>
        <w:rPr>
          <w:rStyle w:val="24"/>
          <w:rFonts w:ascii="黑体" w:hAnsi="黑体" w:eastAsia="黑体"/>
          <w:b w:val="0"/>
        </w:rPr>
      </w:pPr>
      <w:bookmarkStart w:id="101" w:name="_Toc15377225"/>
      <w:bookmarkStart w:id="102" w:name="_Toc79163879"/>
      <w:bookmarkStart w:id="103" w:name="_Toc15396613"/>
      <w:bookmarkStart w:id="104" w:name="_Toc79163629"/>
      <w:r>
        <w:rPr>
          <w:rFonts w:hint="eastAsia" w:ascii="黑体" w:hAnsi="黑体" w:eastAsia="黑体"/>
          <w:color w:val="000000"/>
          <w:sz w:val="44"/>
          <w:szCs w:val="44"/>
        </w:rPr>
        <w:t>名</w:t>
      </w:r>
      <w:r>
        <w:rPr>
          <w:rStyle w:val="24"/>
          <w:rFonts w:hint="eastAsia" w:ascii="黑体" w:hAnsi="黑体" w:eastAsia="黑体"/>
          <w:b w:val="0"/>
        </w:rPr>
        <w:t>词解释</w:t>
      </w:r>
      <w:bookmarkEnd w:id="101"/>
      <w:bookmarkEnd w:id="102"/>
      <w:bookmarkEnd w:id="103"/>
      <w:bookmarkEnd w:id="104"/>
    </w:p>
    <w:p w14:paraId="2057A167">
      <w:pPr>
        <w:spacing w:line="600" w:lineRule="exact"/>
        <w:jc w:val="left"/>
        <w:rPr>
          <w:rFonts w:ascii="宋体"/>
          <w:b/>
          <w:color w:val="000000"/>
          <w:sz w:val="44"/>
          <w:szCs w:val="44"/>
        </w:rPr>
      </w:pPr>
    </w:p>
    <w:p w14:paraId="5CD7B925">
      <w:pPr>
        <w:pStyle w:val="3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5AE69A47">
      <w:pPr>
        <w:pStyle w:val="34"/>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5BB98DD4">
      <w:pPr>
        <w:pStyle w:val="34"/>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7882D767">
      <w:pPr>
        <w:pStyle w:val="34"/>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4E8E7F01">
      <w:pPr>
        <w:pStyle w:val="3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4BAB3B7B">
      <w:pPr>
        <w:pStyle w:val="3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0315A9AA">
      <w:pPr>
        <w:pStyle w:val="3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711A9946">
      <w:pPr>
        <w:pStyle w:val="34"/>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24770D51">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14:paraId="0646A2CA">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14:paraId="5EDFC200">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14:paraId="492250B1">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14:paraId="447E7636">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14:paraId="4289BC46">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14:paraId="3908AE49">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14:paraId="1D12ECBB">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14:paraId="7A107CF9">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14:paraId="659761C1">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14:paraId="7B8E0858">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14:paraId="12E31301">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14:paraId="2C5CCABB">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14:paraId="7EDA38B4">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14:paraId="14BE4A41">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14:paraId="633352A3">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14:paraId="42F62BCE">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14:paraId="78FB4996">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14:paraId="5B42F1D5">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3244596A">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0326F39B">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085C285A">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2020</w:t>
      </w:r>
      <w:r>
        <w:rPr>
          <w:rFonts w:hint="eastAsia" w:ascii="仿宋" w:hAnsi="仿宋" w:eastAsia="仿宋"/>
          <w:b/>
          <w:color w:val="000000"/>
          <w:sz w:val="32"/>
          <w:szCs w:val="32"/>
        </w:rPr>
        <w:t>年政府收支分类科目》增减内容。）</w:t>
      </w:r>
    </w:p>
    <w:p w14:paraId="5284AA29">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14:paraId="4680D0D5">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56D86627">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14:paraId="46D3B9CA">
      <w:pPr>
        <w:pStyle w:val="34"/>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38B4922">
      <w:pPr>
        <w:pStyle w:val="34"/>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1817385">
      <w:pPr>
        <w:pStyle w:val="34"/>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14:paraId="6E398ACF">
      <w:pPr>
        <w:pStyle w:val="34"/>
        <w:spacing w:line="560" w:lineRule="exact"/>
        <w:ind w:firstLine="640" w:firstLineChars="200"/>
        <w:rPr>
          <w:rFonts w:ascii="仿宋_GB2312" w:eastAsia="仿宋_GB2312" w:cs="黑体"/>
          <w:sz w:val="32"/>
          <w:szCs w:val="32"/>
        </w:rPr>
      </w:pPr>
    </w:p>
    <w:p w14:paraId="308F0AB5">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14:paraId="7A9A7D9E">
      <w:pPr>
        <w:jc w:val="center"/>
        <w:rPr>
          <w:rFonts w:ascii="方正小标宋简体" w:hAnsi="方正小标宋简体" w:eastAsia="方正小标宋简体" w:cs="方正小标宋简体"/>
          <w:b/>
          <w:sz w:val="44"/>
          <w:szCs w:val="44"/>
        </w:rPr>
      </w:pPr>
      <w:bookmarkStart w:id="105" w:name="_Toc15377226"/>
      <w:r>
        <w:rPr>
          <w:rFonts w:ascii="宋体"/>
          <w:b/>
          <w:color w:val="000000"/>
          <w:sz w:val="44"/>
          <w:szCs w:val="44"/>
        </w:rPr>
        <w:br w:type="page"/>
      </w:r>
      <w:r>
        <w:rPr>
          <w:rFonts w:hint="eastAsia" w:ascii="方正小标宋简体" w:hAnsi="方正小标宋简体" w:eastAsia="方正小标宋简体" w:cs="方正小标宋简体"/>
          <w:b/>
          <w:sz w:val="44"/>
          <w:szCs w:val="44"/>
        </w:rPr>
        <w:t>松潘县融媒体中心</w:t>
      </w:r>
    </w:p>
    <w:p w14:paraId="13D21BA0">
      <w:pPr>
        <w:jc w:val="center"/>
        <w:rPr>
          <w:rFonts w:ascii="仿宋_GB2312" w:hAnsi="宋体" w:eastAsia="仿宋_GB2312"/>
          <w:b/>
          <w:sz w:val="32"/>
          <w:szCs w:val="32"/>
        </w:rPr>
      </w:pPr>
      <w:r>
        <w:rPr>
          <w:rFonts w:hint="eastAsia" w:ascii="方正小标宋简体" w:hAnsi="方正小标宋简体" w:eastAsia="方正小标宋简体" w:cs="方正小标宋简体"/>
          <w:b/>
          <w:sz w:val="44"/>
          <w:szCs w:val="44"/>
        </w:rPr>
        <w:t>2020年整体支出绩效评价报告</w:t>
      </w:r>
    </w:p>
    <w:p w14:paraId="7E7A7B19">
      <w:pPr>
        <w:numPr>
          <w:ilvl w:val="0"/>
          <w:numId w:val="6"/>
        </w:numPr>
        <w:ind w:firstLine="421" w:firstLineChars="131"/>
        <w:rPr>
          <w:rFonts w:ascii="仿宋" w:hAnsi="仿宋" w:eastAsia="仿宋" w:cs="仿宋"/>
          <w:b/>
          <w:sz w:val="32"/>
          <w:szCs w:val="32"/>
        </w:rPr>
      </w:pPr>
      <w:r>
        <w:rPr>
          <w:rFonts w:hint="eastAsia" w:ascii="黑体" w:hAnsi="黑体" w:eastAsia="黑体" w:cs="黑体"/>
          <w:b/>
          <w:sz w:val="32"/>
          <w:szCs w:val="32"/>
        </w:rPr>
        <w:t>部门（单位）概况</w:t>
      </w:r>
    </w:p>
    <w:p w14:paraId="3BD17434">
      <w:pPr>
        <w:ind w:firstLine="421" w:firstLineChars="131"/>
        <w:rPr>
          <w:rFonts w:ascii="仿宋" w:hAnsi="仿宋" w:eastAsia="仿宋" w:cs="仿宋"/>
          <w:sz w:val="32"/>
          <w:szCs w:val="32"/>
        </w:rPr>
      </w:pPr>
      <w:r>
        <w:rPr>
          <w:rFonts w:hint="eastAsia" w:ascii="仿宋" w:hAnsi="仿宋" w:eastAsia="仿宋" w:cs="仿宋"/>
          <w:b/>
          <w:sz w:val="32"/>
          <w:szCs w:val="32"/>
        </w:rPr>
        <w:t>（一）机构组成。</w:t>
      </w:r>
      <w:r>
        <w:rPr>
          <w:rFonts w:hint="eastAsia" w:ascii="仿宋" w:hAnsi="仿宋" w:eastAsia="仿宋" w:cs="仿宋"/>
          <w:bCs/>
          <w:sz w:val="32"/>
          <w:szCs w:val="32"/>
        </w:rPr>
        <w:t>松潘</w:t>
      </w:r>
      <w:r>
        <w:rPr>
          <w:rFonts w:hint="eastAsia" w:ascii="仿宋" w:hAnsi="仿宋" w:eastAsia="仿宋" w:cs="仿宋"/>
          <w:sz w:val="32"/>
          <w:szCs w:val="32"/>
        </w:rPr>
        <w:t>县融媒体中心为县委直属公益一类正科级事业单位，归口县委宣传部领导和管理。县融媒体中心下设10个内设机构：（办公室、财务室、总编室、新闻专题部、编辑部、通联译制部、新媒体部、技术部、播控部、运营部）</w:t>
      </w:r>
    </w:p>
    <w:p w14:paraId="6D63CE1F">
      <w:pPr>
        <w:spacing w:line="576" w:lineRule="exact"/>
        <w:ind w:firstLine="643" w:firstLineChars="200"/>
        <w:rPr>
          <w:rFonts w:ascii="仿宋" w:hAnsi="仿宋" w:eastAsia="仿宋" w:cs="仿宋"/>
          <w:color w:val="000000"/>
          <w:kern w:val="0"/>
          <w:sz w:val="32"/>
          <w:szCs w:val="32"/>
        </w:rPr>
      </w:pPr>
      <w:r>
        <w:rPr>
          <w:rFonts w:hint="eastAsia" w:ascii="仿宋" w:hAnsi="仿宋" w:eastAsia="仿宋" w:cs="仿宋"/>
          <w:b/>
          <w:bCs/>
          <w:color w:val="000000"/>
          <w:kern w:val="0"/>
          <w:sz w:val="32"/>
          <w:szCs w:val="32"/>
        </w:rPr>
        <w:t>（二）县融媒体中心主要工作职能</w:t>
      </w:r>
      <w:r>
        <w:rPr>
          <w:rFonts w:hint="eastAsia" w:ascii="仿宋" w:hAnsi="仿宋" w:eastAsia="仿宋" w:cs="仿宋"/>
          <w:color w:val="000000"/>
          <w:kern w:val="0"/>
          <w:sz w:val="32"/>
          <w:szCs w:val="32"/>
        </w:rPr>
        <w:t>。</w:t>
      </w:r>
    </w:p>
    <w:p w14:paraId="28E7764C">
      <w:pPr>
        <w:spacing w:line="576" w:lineRule="exact"/>
        <w:ind w:firstLine="640" w:firstLineChars="200"/>
        <w:rPr>
          <w:rFonts w:ascii="仿宋" w:hAnsi="仿宋" w:eastAsia="仿宋" w:cs="仿宋"/>
          <w:sz w:val="32"/>
        </w:rPr>
      </w:pPr>
      <w:r>
        <w:rPr>
          <w:rFonts w:hint="eastAsia" w:ascii="仿宋" w:hAnsi="仿宋" w:eastAsia="仿宋" w:cs="仿宋"/>
          <w:color w:val="000000"/>
          <w:kern w:val="0"/>
          <w:sz w:val="32"/>
          <w:szCs w:val="32"/>
        </w:rPr>
        <w:t>1、</w:t>
      </w:r>
      <w:r>
        <w:rPr>
          <w:rFonts w:hint="eastAsia" w:ascii="仿宋" w:hAnsi="仿宋" w:eastAsia="仿宋" w:cs="仿宋"/>
          <w:sz w:val="32"/>
        </w:rPr>
        <w:t>建成主流舆论阵地。以本土视角宣传党中央大政方针，宣传党的创新理论和社会主义核心价值观，宣传省委省政府和州委州政府决策部署，宣传县委、县政府工作安排，传播本地权威政经资讯，对中央、省、州媒体形成有益补充。</w:t>
      </w:r>
    </w:p>
    <w:p w14:paraId="52B1FEFA">
      <w:pPr>
        <w:shd w:val="solid" w:color="FFFFFF" w:fill="auto"/>
        <w:autoSpaceDN w:val="0"/>
        <w:spacing w:line="576" w:lineRule="exact"/>
        <w:ind w:firstLine="640" w:firstLineChars="200"/>
        <w:rPr>
          <w:rFonts w:ascii="仿宋" w:hAnsi="仿宋" w:eastAsia="仿宋" w:cs="仿宋"/>
          <w:bCs/>
          <w:sz w:val="32"/>
          <w:szCs w:val="28"/>
        </w:rPr>
      </w:pPr>
      <w:r>
        <w:rPr>
          <w:rFonts w:hint="eastAsia" w:ascii="仿宋" w:hAnsi="仿宋" w:eastAsia="仿宋" w:cs="仿宋"/>
          <w:bCs/>
          <w:sz w:val="32"/>
          <w:szCs w:val="28"/>
        </w:rPr>
        <w:t>2、建成综合信息服务平台。大力开拓互联网综合信息服务能力，有效对接县级各类服务平台，创新基层社区化沟通服务模式，建立网民互动中心，畅通信息渠道，增加用户黏性。</w:t>
      </w:r>
    </w:p>
    <w:p w14:paraId="118F8D99">
      <w:pPr>
        <w:shd w:val="solid" w:color="FFFFFF" w:fill="auto"/>
        <w:autoSpaceDN w:val="0"/>
        <w:spacing w:line="576" w:lineRule="exact"/>
        <w:ind w:firstLine="640" w:firstLineChars="200"/>
        <w:rPr>
          <w:rFonts w:ascii="仿宋" w:hAnsi="仿宋" w:eastAsia="仿宋" w:cs="仿宋"/>
          <w:bCs/>
          <w:sz w:val="32"/>
          <w:szCs w:val="28"/>
        </w:rPr>
      </w:pPr>
      <w:r>
        <w:rPr>
          <w:rFonts w:hint="eastAsia" w:ascii="仿宋" w:hAnsi="仿宋" w:eastAsia="仿宋" w:cs="仿宋"/>
          <w:bCs/>
          <w:sz w:val="32"/>
          <w:szCs w:val="28"/>
        </w:rPr>
        <w:t>3、建成基层舆情聚合平台。突出本地化、社区化、互动化，搭建线上线下结合的互动交流平台，为群众反映诉求、建言献策提供通道，为党委和政府了解社情民意提供窗口，分析研判本地舆情动态，把问题解决在当地，把民意汇聚在当地，把舆情留在当地，及时沉淀用户。</w:t>
      </w:r>
    </w:p>
    <w:p w14:paraId="4B37D2B7">
      <w:pPr>
        <w:shd w:val="solid" w:color="FFFFFF" w:fill="auto"/>
        <w:autoSpaceDN w:val="0"/>
        <w:spacing w:line="576" w:lineRule="exact"/>
        <w:ind w:firstLine="640" w:firstLineChars="200"/>
        <w:rPr>
          <w:rFonts w:ascii="仿宋" w:hAnsi="仿宋" w:eastAsia="仿宋" w:cs="仿宋"/>
          <w:bCs/>
          <w:sz w:val="32"/>
          <w:szCs w:val="28"/>
        </w:rPr>
      </w:pPr>
      <w:r>
        <w:rPr>
          <w:rFonts w:hint="eastAsia" w:ascii="仿宋" w:hAnsi="仿宋" w:eastAsia="仿宋" w:cs="仿宋"/>
          <w:bCs/>
          <w:sz w:val="32"/>
          <w:szCs w:val="28"/>
        </w:rPr>
        <w:t>4、负责安全优质转播中央、省、州各级广播电视节目，严密防范破坏，确保安全播出。制定落实各项规章制度和防范措施，及时处置各类突发事故，确保自办节目安全播出。</w:t>
      </w:r>
    </w:p>
    <w:p w14:paraId="379B8FCC">
      <w:pPr>
        <w:shd w:val="solid" w:color="FFFFFF" w:fill="auto"/>
        <w:autoSpaceDN w:val="0"/>
        <w:spacing w:line="576" w:lineRule="exact"/>
        <w:ind w:firstLine="640" w:firstLineChars="200"/>
        <w:rPr>
          <w:rFonts w:ascii="仿宋" w:hAnsi="仿宋" w:eastAsia="仿宋" w:cs="仿宋"/>
          <w:bCs/>
          <w:sz w:val="32"/>
          <w:szCs w:val="28"/>
        </w:rPr>
      </w:pPr>
      <w:r>
        <w:rPr>
          <w:rFonts w:hint="eastAsia" w:ascii="仿宋" w:hAnsi="仿宋" w:eastAsia="仿宋" w:cs="仿宋"/>
          <w:bCs/>
          <w:sz w:val="32"/>
          <w:szCs w:val="28"/>
        </w:rPr>
        <w:t>5、负责职责范围内的安全生产和职业健康生态环境保护、便民化服务工作。</w:t>
      </w:r>
    </w:p>
    <w:p w14:paraId="65E84C5D">
      <w:pPr>
        <w:shd w:val="solid" w:color="FFFFFF" w:fill="auto"/>
        <w:autoSpaceDN w:val="0"/>
        <w:spacing w:line="576"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bCs/>
          <w:sz w:val="32"/>
          <w:szCs w:val="28"/>
        </w:rPr>
        <w:t>6、完成县委、县政府及上级部门交办的其他任务。</w:t>
      </w:r>
    </w:p>
    <w:p w14:paraId="1BC68206">
      <w:pPr>
        <w:shd w:val="solid" w:color="FFFFFF" w:fill="auto"/>
        <w:autoSpaceDN w:val="0"/>
        <w:spacing w:line="570" w:lineRule="exact"/>
        <w:ind w:firstLine="643" w:firstLineChars="200"/>
        <w:rPr>
          <w:rFonts w:ascii="仿宋" w:hAnsi="仿宋" w:eastAsia="仿宋" w:cs="仿宋"/>
          <w:sz w:val="32"/>
          <w:szCs w:val="32"/>
        </w:rPr>
      </w:pPr>
      <w:r>
        <w:rPr>
          <w:rFonts w:hint="eastAsia" w:ascii="仿宋" w:hAnsi="仿宋" w:eastAsia="仿宋" w:cs="仿宋"/>
          <w:b/>
          <w:bCs/>
          <w:color w:val="000000"/>
          <w:sz w:val="32"/>
          <w:szCs w:val="32"/>
          <w:shd w:val="clear" w:color="auto" w:fill="FFFFFF"/>
        </w:rPr>
        <w:t>（三）人员概况。</w:t>
      </w:r>
      <w:r>
        <w:rPr>
          <w:rFonts w:hint="eastAsia" w:ascii="仿宋_GB2312" w:hAnsi="仿宋_GB2312" w:eastAsia="仿宋_GB2312" w:cs="仿宋_GB2312"/>
          <w:sz w:val="32"/>
          <w:szCs w:val="32"/>
        </w:rPr>
        <w:t>松潘县融媒体中心核定编制30人。其中主任1名、副主任2名；股级领导职数10名。现单位共有职工33人。其中在编人数22人。</w:t>
      </w:r>
    </w:p>
    <w:p w14:paraId="2976EBC9">
      <w:pPr>
        <w:ind w:firstLine="482" w:firstLineChars="150"/>
        <w:rPr>
          <w:rFonts w:ascii="黑体" w:hAnsi="黑体" w:eastAsia="黑体" w:cs="黑体"/>
          <w:b/>
          <w:sz w:val="32"/>
          <w:szCs w:val="32"/>
        </w:rPr>
      </w:pPr>
      <w:r>
        <w:rPr>
          <w:rFonts w:hint="eastAsia" w:ascii="黑体" w:hAnsi="黑体" w:eastAsia="黑体" w:cs="黑体"/>
          <w:b/>
          <w:sz w:val="32"/>
          <w:szCs w:val="32"/>
        </w:rPr>
        <w:t>二、单位财政资金收支情况。</w:t>
      </w:r>
    </w:p>
    <w:p w14:paraId="52403C0F">
      <w:pPr>
        <w:ind w:firstLine="480" w:firstLineChars="150"/>
        <w:rPr>
          <w:rFonts w:ascii="仿宋" w:hAnsi="仿宋" w:eastAsia="仿宋" w:cs="仿宋"/>
          <w:bCs/>
          <w:sz w:val="32"/>
          <w:szCs w:val="32"/>
        </w:rPr>
      </w:pPr>
      <w:r>
        <w:rPr>
          <w:rFonts w:hint="eastAsia" w:ascii="仿宋" w:hAnsi="仿宋" w:eastAsia="仿宋" w:cs="仿宋"/>
          <w:bCs/>
          <w:sz w:val="32"/>
          <w:szCs w:val="32"/>
        </w:rPr>
        <w:t>（一）松潘县融媒体中心2020年度一般公共预算财政拨款收入1610.36万元。其中207文化旅游体育与媒体支出收入为550.93万元，208社会保障和就业支出收入29.4万元，210卫生健康支出收入13.77万元，221住房保障支出收入23万元。年初结转结余993.25万元。</w:t>
      </w:r>
    </w:p>
    <w:p w14:paraId="054CF494">
      <w:pPr>
        <w:ind w:firstLine="480" w:firstLineChars="150"/>
        <w:rPr>
          <w:rFonts w:ascii="仿宋" w:hAnsi="仿宋" w:eastAsia="仿宋_GB2312" w:cs="仿宋"/>
          <w:bCs/>
          <w:sz w:val="32"/>
          <w:szCs w:val="32"/>
        </w:rPr>
      </w:pPr>
      <w:r>
        <w:rPr>
          <w:rFonts w:hint="eastAsia" w:ascii="仿宋" w:hAnsi="仿宋" w:eastAsia="仿宋" w:cs="仿宋"/>
          <w:bCs/>
          <w:sz w:val="32"/>
          <w:szCs w:val="32"/>
        </w:rPr>
        <w:t>（二）2019年度一般公共预算财政拨款支出1106.49万元</w:t>
      </w:r>
      <w:r>
        <w:rPr>
          <w:rFonts w:hint="eastAsia" w:ascii="仿宋_GB2312" w:hAnsi="仿宋_GB2312" w:eastAsia="仿宋_GB2312" w:cs="仿宋_GB2312"/>
          <w:color w:val="000000"/>
          <w:sz w:val="32"/>
          <w:szCs w:val="32"/>
        </w:rPr>
        <w:t>，其中：基本支出300.2万元，主要包括：基本工资、津贴补贴、奖金、绩效工资、机关事业单位基本养老保险缴费、职工基本医疗保险缴费、公务员医疗补助缴费、其他社会保障缴费、住房公积金等。</w:t>
      </w:r>
      <w:r>
        <w:rPr>
          <w:rFonts w:hint="eastAsia" w:ascii="仿宋" w:hAnsi="仿宋" w:eastAsia="仿宋" w:cs="仿宋"/>
          <w:bCs/>
          <w:sz w:val="32"/>
          <w:szCs w:val="32"/>
        </w:rPr>
        <w:t>207文化旅游体育与媒体支出1040.32万元。208社会保障和就业支出29.4万元，</w:t>
      </w:r>
      <w:r>
        <w:rPr>
          <w:rFonts w:hint="eastAsia" w:ascii="仿宋_GB2312" w:hAnsi="仿宋_GB2312" w:eastAsia="仿宋_GB2312" w:cs="仿宋_GB2312"/>
          <w:color w:val="000000"/>
          <w:sz w:val="32"/>
          <w:szCs w:val="32"/>
        </w:rPr>
        <w:t>完成预算100%。</w:t>
      </w:r>
      <w:r>
        <w:rPr>
          <w:rFonts w:hint="eastAsia" w:ascii="仿宋" w:hAnsi="仿宋" w:eastAsia="仿宋" w:cs="仿宋"/>
          <w:bCs/>
          <w:sz w:val="32"/>
          <w:szCs w:val="32"/>
        </w:rPr>
        <w:t>210卫生健康支出13.77万元，</w:t>
      </w:r>
      <w:r>
        <w:rPr>
          <w:rFonts w:hint="eastAsia" w:ascii="仿宋_GB2312" w:hAnsi="仿宋_GB2312" w:eastAsia="仿宋_GB2312" w:cs="仿宋_GB2312"/>
          <w:color w:val="000000"/>
          <w:sz w:val="32"/>
          <w:szCs w:val="32"/>
        </w:rPr>
        <w:t>完成预算100%。</w:t>
      </w:r>
      <w:r>
        <w:rPr>
          <w:rFonts w:hint="eastAsia" w:ascii="仿宋" w:hAnsi="仿宋" w:eastAsia="仿宋" w:cs="仿宋"/>
          <w:bCs/>
          <w:sz w:val="32"/>
          <w:szCs w:val="32"/>
        </w:rPr>
        <w:t>221住房保障支出23万元，</w:t>
      </w:r>
      <w:r>
        <w:rPr>
          <w:rFonts w:hint="eastAsia" w:ascii="仿宋_GB2312" w:hAnsi="仿宋_GB2312" w:eastAsia="仿宋_GB2312" w:cs="仿宋_GB2312"/>
          <w:color w:val="000000"/>
          <w:sz w:val="32"/>
          <w:szCs w:val="32"/>
        </w:rPr>
        <w:t>完成预算100%。项目支出806.29万元。</w:t>
      </w:r>
    </w:p>
    <w:p w14:paraId="744F7F2B">
      <w:pPr>
        <w:numPr>
          <w:ilvl w:val="0"/>
          <w:numId w:val="7"/>
        </w:numPr>
        <w:spacing w:line="566" w:lineRule="exact"/>
        <w:ind w:firstLine="419" w:firstLineChars="131"/>
        <w:rPr>
          <w:rFonts w:ascii="黑体" w:hAnsi="黑体" w:eastAsia="黑体" w:cs="黑体"/>
          <w:sz w:val="32"/>
          <w:szCs w:val="32"/>
        </w:rPr>
      </w:pPr>
      <w:r>
        <w:rPr>
          <w:rFonts w:hint="eastAsia" w:ascii="黑体" w:hAnsi="黑体" w:eastAsia="黑体" w:cs="黑体"/>
          <w:sz w:val="32"/>
          <w:szCs w:val="32"/>
        </w:rPr>
        <w:t>部门财政支出管理情况</w:t>
      </w:r>
    </w:p>
    <w:p w14:paraId="28CE97AC">
      <w:pPr>
        <w:numPr>
          <w:ilvl w:val="0"/>
          <w:numId w:val="8"/>
        </w:numPr>
        <w:spacing w:line="566" w:lineRule="exact"/>
        <w:ind w:left="15" w:leftChars="7" w:firstLine="405" w:firstLineChars="126"/>
        <w:rPr>
          <w:rFonts w:ascii="仿宋" w:hAnsi="仿宋" w:eastAsia="仿宋" w:cs="仿宋"/>
          <w:sz w:val="32"/>
          <w:szCs w:val="32"/>
        </w:rPr>
      </w:pPr>
      <w:r>
        <w:rPr>
          <w:rFonts w:hint="eastAsia" w:ascii="仿宋" w:hAnsi="仿宋" w:eastAsia="仿宋" w:cs="仿宋"/>
          <w:b/>
          <w:bCs/>
          <w:sz w:val="32"/>
          <w:szCs w:val="32"/>
        </w:rPr>
        <w:t>预算编制情况</w:t>
      </w:r>
    </w:p>
    <w:p w14:paraId="189D6F7D">
      <w:pPr>
        <w:spacing w:line="566" w:lineRule="exact"/>
        <w:ind w:firstLine="419" w:firstLineChars="131"/>
        <w:rPr>
          <w:rFonts w:ascii="仿宋" w:hAnsi="仿宋" w:eastAsia="仿宋" w:cs="仿宋"/>
          <w:sz w:val="32"/>
          <w:szCs w:val="32"/>
        </w:rPr>
      </w:pPr>
      <w:r>
        <w:rPr>
          <w:rFonts w:hint="eastAsia" w:ascii="仿宋" w:hAnsi="仿宋" w:eastAsia="仿宋" w:cs="仿宋"/>
          <w:sz w:val="32"/>
          <w:szCs w:val="32"/>
        </w:rPr>
        <w:t>每年根据目标任务编制预算，按科学方法编制预算，确保预算合理有效、可执行。</w:t>
      </w:r>
    </w:p>
    <w:p w14:paraId="6ACAC541">
      <w:pPr>
        <w:numPr>
          <w:ilvl w:val="0"/>
          <w:numId w:val="8"/>
        </w:numPr>
        <w:spacing w:line="566" w:lineRule="exact"/>
        <w:ind w:left="735" w:leftChars="350"/>
        <w:rPr>
          <w:rFonts w:ascii="仿宋" w:hAnsi="仿宋" w:eastAsia="仿宋" w:cs="仿宋"/>
          <w:sz w:val="32"/>
          <w:szCs w:val="32"/>
        </w:rPr>
      </w:pPr>
      <w:r>
        <w:rPr>
          <w:rFonts w:hint="eastAsia" w:ascii="仿宋" w:hAnsi="仿宋" w:eastAsia="仿宋" w:cs="仿宋"/>
          <w:b/>
          <w:bCs/>
          <w:sz w:val="32"/>
          <w:szCs w:val="32"/>
        </w:rPr>
        <w:t>执行管理情况</w:t>
      </w:r>
    </w:p>
    <w:p w14:paraId="7FFE4D50">
      <w:pPr>
        <w:numPr>
          <w:ilvl w:val="0"/>
          <w:numId w:val="9"/>
        </w:numPr>
        <w:spacing w:line="566" w:lineRule="exact"/>
        <w:ind w:left="0" w:firstLine="419" w:firstLineChars="131"/>
        <w:rPr>
          <w:rFonts w:ascii="仿宋" w:hAnsi="仿宋" w:eastAsia="仿宋" w:cs="仿宋"/>
          <w:sz w:val="32"/>
          <w:szCs w:val="32"/>
        </w:rPr>
      </w:pPr>
      <w:r>
        <w:rPr>
          <w:rFonts w:hint="eastAsia" w:ascii="仿宋" w:hAnsi="仿宋" w:eastAsia="仿宋" w:cs="仿宋"/>
          <w:sz w:val="32"/>
          <w:szCs w:val="32"/>
        </w:rPr>
        <w:t>中心领导高度重视预算执行情况。每个季度召开预算执行推进会，领导要求各职能股室要切实担当，高度重视预算执行工作，采取切实有效措施加快预算执行进度。把握时间节点，各职能部门加强联系协调，相互配合，确保年底各项目预算执行进度达到90%以上。</w:t>
      </w:r>
    </w:p>
    <w:p w14:paraId="59E8FC42">
      <w:pPr>
        <w:numPr>
          <w:ilvl w:val="0"/>
          <w:numId w:val="9"/>
        </w:numPr>
        <w:spacing w:line="566" w:lineRule="exact"/>
        <w:ind w:left="0" w:firstLine="419" w:firstLineChars="131"/>
        <w:rPr>
          <w:rFonts w:ascii="仿宋" w:hAnsi="仿宋" w:eastAsia="仿宋" w:cs="仿宋"/>
          <w:sz w:val="32"/>
          <w:szCs w:val="32"/>
        </w:rPr>
      </w:pPr>
      <w:r>
        <w:rPr>
          <w:rFonts w:hint="eastAsia" w:ascii="仿宋" w:hAnsi="仿宋" w:eastAsia="仿宋" w:cs="仿宋"/>
          <w:sz w:val="32"/>
          <w:szCs w:val="32"/>
        </w:rPr>
        <w:t>通过财政一体化平台，定期向县政府和相关上级部门上报执行进度。对于执行进度较慢的项目，各部门密切加强沟通和协调，查找影响政府采购进度的症结，及时采取相应对策，进一步加快政府采购预算执行力度和进度。</w:t>
      </w:r>
    </w:p>
    <w:p w14:paraId="5A22561A">
      <w:pPr>
        <w:numPr>
          <w:ilvl w:val="0"/>
          <w:numId w:val="9"/>
        </w:numPr>
        <w:spacing w:line="566" w:lineRule="exact"/>
        <w:ind w:left="0" w:firstLine="419" w:firstLineChars="131"/>
        <w:rPr>
          <w:rFonts w:ascii="仿宋" w:hAnsi="仿宋" w:eastAsia="仿宋" w:cs="仿宋"/>
          <w:sz w:val="32"/>
          <w:szCs w:val="32"/>
        </w:rPr>
      </w:pPr>
      <w:r>
        <w:rPr>
          <w:rFonts w:hint="eastAsia" w:ascii="仿宋" w:hAnsi="仿宋" w:eastAsia="仿宋" w:cs="仿宋"/>
          <w:sz w:val="32"/>
          <w:szCs w:val="32"/>
        </w:rPr>
        <w:t>相关职能部门主动对接，充分发挥多部门协调机制作用，积极推进免开资金、采购项目资金拨付进展。</w:t>
      </w:r>
    </w:p>
    <w:p w14:paraId="724E1363">
      <w:pPr>
        <w:numPr>
          <w:ilvl w:val="0"/>
          <w:numId w:val="8"/>
        </w:numPr>
        <w:spacing w:line="566" w:lineRule="exact"/>
        <w:ind w:firstLine="421" w:firstLineChars="131"/>
        <w:rPr>
          <w:rFonts w:ascii="仿宋" w:hAnsi="仿宋" w:eastAsia="仿宋" w:cs="仿宋"/>
          <w:b/>
          <w:bCs/>
          <w:sz w:val="32"/>
          <w:szCs w:val="32"/>
        </w:rPr>
      </w:pPr>
      <w:r>
        <w:rPr>
          <w:rFonts w:hint="eastAsia" w:ascii="仿宋" w:hAnsi="仿宋" w:eastAsia="仿宋" w:cs="仿宋"/>
          <w:b/>
          <w:bCs/>
          <w:sz w:val="32"/>
          <w:szCs w:val="32"/>
        </w:rPr>
        <w:t>综合管理情况</w:t>
      </w:r>
    </w:p>
    <w:p w14:paraId="384AA50B">
      <w:pPr>
        <w:spacing w:line="566" w:lineRule="exact"/>
        <w:ind w:left="15" w:leftChars="7" w:firstLine="403" w:firstLineChars="126"/>
        <w:rPr>
          <w:rFonts w:ascii="仿宋" w:hAnsi="仿宋" w:eastAsia="仿宋" w:cs="仿宋"/>
          <w:sz w:val="32"/>
          <w:szCs w:val="32"/>
        </w:rPr>
      </w:pPr>
      <w:r>
        <w:rPr>
          <w:rFonts w:hint="eastAsia" w:ascii="仿宋" w:hAnsi="仿宋" w:eastAsia="仿宋" w:cs="仿宋"/>
          <w:sz w:val="32"/>
          <w:szCs w:val="32"/>
        </w:rPr>
        <w:t>进一步加强财务管理，降低财务费用，控制各项开支，实行全面预算管理，合理安排，压缩不必要的或不急需的开支，做到全年工作开展、开支有预算，有计划，使资金得到有效合理的发挥效益。同时财务工作计划中对于机关和各股室的费用，实行科学预算，包干使用，并纳入年底对各股室的考核，有效控制各项费用的不合理开支。</w:t>
      </w:r>
    </w:p>
    <w:p w14:paraId="22AA5603">
      <w:pPr>
        <w:numPr>
          <w:ilvl w:val="0"/>
          <w:numId w:val="10"/>
        </w:numPr>
        <w:spacing w:line="566" w:lineRule="exact"/>
        <w:ind w:firstLine="419" w:firstLineChars="131"/>
        <w:rPr>
          <w:rFonts w:ascii="仿宋" w:hAnsi="仿宋" w:eastAsia="仿宋" w:cs="仿宋"/>
          <w:sz w:val="32"/>
          <w:szCs w:val="32"/>
        </w:rPr>
      </w:pPr>
      <w:r>
        <w:rPr>
          <w:rFonts w:hint="eastAsia" w:ascii="仿宋" w:hAnsi="仿宋" w:eastAsia="仿宋" w:cs="仿宋"/>
          <w:sz w:val="32"/>
          <w:szCs w:val="32"/>
        </w:rPr>
        <w:t>差旅费管理。严格规范差旅费报销程序做到坚持原则，一视同仁，杜绝虚假冒领等现象发生。</w:t>
      </w:r>
    </w:p>
    <w:p w14:paraId="7BB281B6">
      <w:pPr>
        <w:numPr>
          <w:ilvl w:val="0"/>
          <w:numId w:val="10"/>
        </w:numPr>
        <w:spacing w:line="566" w:lineRule="exact"/>
        <w:ind w:firstLine="419" w:firstLineChars="131"/>
        <w:rPr>
          <w:rFonts w:ascii="仿宋" w:hAnsi="仿宋" w:eastAsia="仿宋" w:cs="仿宋"/>
          <w:sz w:val="32"/>
          <w:szCs w:val="32"/>
        </w:rPr>
      </w:pPr>
      <w:r>
        <w:rPr>
          <w:rFonts w:hint="eastAsia" w:ascii="仿宋" w:hAnsi="仿宋" w:eastAsia="仿宋" w:cs="仿宋"/>
          <w:sz w:val="32"/>
          <w:szCs w:val="32"/>
        </w:rPr>
        <w:t>办公费管理。办公费管理要按照年初各股室列出计划，经领导审批后，局同意采购、保管，按计划领用的原则执行。</w:t>
      </w:r>
    </w:p>
    <w:p w14:paraId="0A270E0B">
      <w:pPr>
        <w:numPr>
          <w:ilvl w:val="0"/>
          <w:numId w:val="10"/>
        </w:numPr>
        <w:spacing w:line="566" w:lineRule="exact"/>
        <w:ind w:firstLine="419" w:firstLineChars="131"/>
        <w:rPr>
          <w:rFonts w:ascii="仿宋" w:hAnsi="仿宋" w:eastAsia="仿宋" w:cs="仿宋"/>
          <w:sz w:val="32"/>
          <w:szCs w:val="32"/>
        </w:rPr>
      </w:pPr>
      <w:r>
        <w:rPr>
          <w:rFonts w:hint="eastAsia" w:ascii="仿宋" w:hAnsi="仿宋" w:eastAsia="仿宋" w:cs="仿宋"/>
          <w:sz w:val="32"/>
          <w:szCs w:val="32"/>
        </w:rPr>
        <w:t>车辆费用管理。严格执行县委、县政府制定的相关车辆费用管理办法，从严从细加强管理。车辆维修必须先有计划，经分管领导审核批准后进行维修；车辆用油由财务股负责采购、结算，做好保管、登记、领用，杜绝乱购、无计划领用。</w:t>
      </w:r>
    </w:p>
    <w:p w14:paraId="17527744">
      <w:pPr>
        <w:numPr>
          <w:ilvl w:val="0"/>
          <w:numId w:val="10"/>
        </w:numPr>
        <w:spacing w:line="566" w:lineRule="exact"/>
        <w:ind w:firstLine="419" w:firstLineChars="131"/>
        <w:rPr>
          <w:rFonts w:ascii="仿宋" w:hAnsi="仿宋" w:eastAsia="仿宋" w:cs="仿宋"/>
          <w:sz w:val="32"/>
          <w:szCs w:val="32"/>
        </w:rPr>
      </w:pPr>
      <w:r>
        <w:rPr>
          <w:rFonts w:hint="eastAsia" w:ascii="仿宋" w:hAnsi="仿宋" w:eastAsia="仿宋" w:cs="仿宋"/>
          <w:sz w:val="32"/>
          <w:szCs w:val="32"/>
        </w:rPr>
        <w:t>做好项目管理工作。严格按照政府项目采购管理办法进行项目管理，资金按照合同约定进行拨付，做到手续齐全、证件齐备合法。</w:t>
      </w:r>
    </w:p>
    <w:p w14:paraId="51B6392E">
      <w:pPr>
        <w:numPr>
          <w:ilvl w:val="0"/>
          <w:numId w:val="10"/>
        </w:numPr>
        <w:spacing w:line="566" w:lineRule="exact"/>
        <w:ind w:firstLine="419" w:firstLineChars="131"/>
        <w:rPr>
          <w:rFonts w:ascii="仿宋" w:hAnsi="仿宋" w:eastAsia="仿宋" w:cs="仿宋"/>
          <w:sz w:val="32"/>
          <w:szCs w:val="32"/>
        </w:rPr>
      </w:pPr>
      <w:r>
        <w:rPr>
          <w:rFonts w:hint="eastAsia" w:ascii="仿宋" w:hAnsi="仿宋" w:eastAsia="仿宋" w:cs="仿宋"/>
          <w:sz w:val="32"/>
          <w:szCs w:val="32"/>
        </w:rPr>
        <w:t>继续开展会计规范化管理工作，防范和化解操作风险。在去年会计工作规范管理的基础上，继续开展会计规范化管理工作，提高会计核算管理水平，防范和化解操作风险。具体从8个方面抓起：会计基本规定；会计核算质量；会计报表质量；计算机管理；银行结算管理；会计档案管理；信用社网点管理及其他；会计经营管理。特别是会计档案管理历年来有所欠缺，每年的会计凭证虽然都归了档，但未按档案管理办法归类整理，需要进一步规范。</w:t>
      </w:r>
    </w:p>
    <w:p w14:paraId="56BC6C81">
      <w:pPr>
        <w:numPr>
          <w:ilvl w:val="0"/>
          <w:numId w:val="8"/>
        </w:numPr>
        <w:spacing w:line="566" w:lineRule="exact"/>
        <w:ind w:firstLine="419" w:firstLineChars="131"/>
        <w:rPr>
          <w:rFonts w:ascii="仿宋" w:hAnsi="仿宋" w:eastAsia="仿宋" w:cs="仿宋"/>
          <w:sz w:val="32"/>
          <w:szCs w:val="32"/>
        </w:rPr>
      </w:pPr>
      <w:r>
        <w:rPr>
          <w:rFonts w:hint="eastAsia" w:ascii="仿宋" w:hAnsi="仿宋" w:eastAsia="仿宋" w:cs="仿宋"/>
          <w:sz w:val="32"/>
          <w:szCs w:val="32"/>
        </w:rPr>
        <w:t>整体绩效</w:t>
      </w:r>
    </w:p>
    <w:p w14:paraId="159B860E">
      <w:pPr>
        <w:spacing w:line="540" w:lineRule="exact"/>
        <w:ind w:firstLine="640" w:firstLineChars="200"/>
      </w:pPr>
      <w:r>
        <w:rPr>
          <w:rFonts w:hint="eastAsia" w:ascii="仿宋" w:hAnsi="仿宋" w:eastAsia="仿宋" w:cs="仿宋"/>
          <w:color w:val="000000"/>
          <w:sz w:val="32"/>
          <w:szCs w:val="32"/>
        </w:rPr>
        <w:t>松潘县融媒体中心充分发挥主流媒体的舆论喉舌作用，大力宣传党的路线、方针、政策和国家法律法规及松潘县改革开放、经济发展、社会稳定等各方面取得的成就，为我县改革、发展、稳定提供了强有力的舆论保障和支持。</w:t>
      </w:r>
      <w:r>
        <w:rPr>
          <w:rFonts w:eastAsia="仿宋_GB2312"/>
          <w:color w:val="000000"/>
          <w:sz w:val="32"/>
          <w:szCs w:val="32"/>
        </w:rPr>
        <w:t>并根据有关单位、部门要求制作播出了大量专题和新闻稿件，充分发挥了新闻宣传的主</w:t>
      </w:r>
      <w:r>
        <w:rPr>
          <w:rFonts w:hint="eastAsia" w:eastAsia="仿宋_GB2312"/>
          <w:color w:val="000000"/>
          <w:sz w:val="32"/>
          <w:szCs w:val="32"/>
        </w:rPr>
        <w:t>阵地</w:t>
      </w:r>
      <w:r>
        <w:rPr>
          <w:rFonts w:eastAsia="仿宋_GB2312"/>
          <w:color w:val="000000"/>
          <w:sz w:val="32"/>
          <w:szCs w:val="32"/>
        </w:rPr>
        <w:t>作用，为把握导向、弘扬正气，营造了良好的舆论氛围。</w:t>
      </w:r>
    </w:p>
    <w:p w14:paraId="0A727DDD">
      <w:pPr>
        <w:spacing w:line="576" w:lineRule="exact"/>
        <w:ind w:firstLine="419" w:firstLineChars="131"/>
        <w:rPr>
          <w:rFonts w:ascii="仿宋" w:hAnsi="仿宋" w:eastAsia="仿宋" w:cs="仿宋"/>
          <w:sz w:val="32"/>
          <w:szCs w:val="32"/>
        </w:rPr>
      </w:pPr>
      <w:r>
        <w:rPr>
          <w:rFonts w:hint="eastAsia" w:ascii="黑体" w:hAnsi="黑体" w:eastAsia="黑体" w:cs="黑体"/>
          <w:sz w:val="32"/>
          <w:szCs w:val="32"/>
        </w:rPr>
        <w:t>四、评价结论及建议</w:t>
      </w:r>
    </w:p>
    <w:p w14:paraId="6553324B">
      <w:pPr>
        <w:spacing w:line="576" w:lineRule="exact"/>
        <w:ind w:firstLine="420"/>
        <w:rPr>
          <w:rFonts w:ascii="仿宋" w:hAnsi="仿宋" w:eastAsia="仿宋" w:cs="仿宋"/>
          <w:sz w:val="32"/>
          <w:szCs w:val="32"/>
        </w:rPr>
      </w:pPr>
      <w:r>
        <w:rPr>
          <w:rFonts w:hint="eastAsia" w:ascii="仿宋" w:hAnsi="仿宋" w:eastAsia="仿宋" w:cs="仿宋"/>
          <w:b/>
          <w:bCs/>
          <w:sz w:val="32"/>
          <w:szCs w:val="32"/>
        </w:rPr>
        <w:t>（一）评价结论。</w:t>
      </w:r>
      <w:r>
        <w:rPr>
          <w:rFonts w:hint="eastAsia" w:ascii="仿宋" w:hAnsi="仿宋" w:eastAsia="仿宋" w:cs="仿宋"/>
          <w:sz w:val="32"/>
          <w:szCs w:val="32"/>
        </w:rPr>
        <w:t>2020年我中心财政支出在预算范围内，做到资金使用范围合理，达到开源节流，注重效益的目标。</w:t>
      </w:r>
    </w:p>
    <w:p w14:paraId="43BD4B20">
      <w:pPr>
        <w:spacing w:line="576" w:lineRule="exact"/>
        <w:ind w:firstLine="420"/>
        <w:rPr>
          <w:rFonts w:ascii="仿宋" w:hAnsi="仿宋" w:eastAsia="仿宋" w:cs="仿宋"/>
          <w:sz w:val="32"/>
          <w:szCs w:val="32"/>
        </w:rPr>
      </w:pPr>
      <w:r>
        <w:rPr>
          <w:rFonts w:hint="eastAsia" w:ascii="仿宋" w:hAnsi="仿宋" w:eastAsia="仿宋" w:cs="仿宋"/>
          <w:b/>
          <w:bCs/>
          <w:sz w:val="32"/>
          <w:szCs w:val="32"/>
        </w:rPr>
        <w:t>（二）存在问题。</w:t>
      </w:r>
      <w:r>
        <w:rPr>
          <w:rFonts w:hint="eastAsia" w:ascii="仿宋" w:hAnsi="仿宋" w:eastAsia="仿宋" w:cs="仿宋"/>
          <w:sz w:val="32"/>
          <w:szCs w:val="32"/>
        </w:rPr>
        <w:t>目前监管机制较为完善，资金的申请、拨付、使用把关较严，但是事后监管乏力，后续配套措施有提升空间，绩效评价仍有较大的提升空间。</w:t>
      </w:r>
    </w:p>
    <w:p w14:paraId="4FF7E955">
      <w:pPr>
        <w:spacing w:line="576" w:lineRule="exact"/>
        <w:ind w:firstLine="420"/>
        <w:rPr>
          <w:rFonts w:ascii="仿宋" w:hAnsi="仿宋" w:eastAsia="仿宋" w:cs="仿宋"/>
          <w:sz w:val="32"/>
          <w:szCs w:val="32"/>
        </w:rPr>
      </w:pPr>
      <w:r>
        <w:rPr>
          <w:rFonts w:hint="eastAsia" w:ascii="仿宋" w:hAnsi="仿宋" w:eastAsia="仿宋" w:cs="仿宋"/>
          <w:b/>
          <w:bCs/>
          <w:sz w:val="32"/>
          <w:szCs w:val="32"/>
        </w:rPr>
        <w:t>（三）改进情况。</w:t>
      </w:r>
      <w:r>
        <w:rPr>
          <w:rFonts w:hint="eastAsia" w:ascii="仿宋" w:hAnsi="仿宋" w:eastAsia="仿宋" w:cs="仿宋"/>
          <w:sz w:val="32"/>
          <w:szCs w:val="32"/>
        </w:rPr>
        <w:t>做好资金拨付力度，做好项目的后续管理，保证使用的资金发挥出最大的社会效益。</w:t>
      </w:r>
    </w:p>
    <w:p w14:paraId="74BF527E">
      <w:pPr>
        <w:pStyle w:val="2"/>
        <w:spacing w:before="93"/>
        <w:rPr>
          <w:rFonts w:ascii="仿宋" w:hAnsi="仿宋" w:eastAsia="仿宋" w:cs="仿宋"/>
          <w:sz w:val="32"/>
          <w:szCs w:val="32"/>
        </w:rPr>
      </w:pPr>
    </w:p>
    <w:p w14:paraId="6ACCAC33">
      <w:pPr>
        <w:ind w:firstLine="160" w:firstLineChars="50"/>
        <w:rPr>
          <w:rFonts w:ascii="仿宋" w:hAnsi="仿宋" w:eastAsia="仿宋"/>
          <w:color w:val="4E4342"/>
          <w:sz w:val="32"/>
          <w:szCs w:val="32"/>
        </w:rPr>
      </w:pPr>
    </w:p>
    <w:p w14:paraId="48F70741">
      <w:pPr>
        <w:spacing w:line="580" w:lineRule="exact"/>
        <w:ind w:firstLine="640" w:firstLineChars="200"/>
        <w:rPr>
          <w:rFonts w:ascii="仿宋_GB2312" w:hAnsi="仿宋_GB2312" w:eastAsia="仿宋_GB2312" w:cs="仿宋_GB2312"/>
          <w:sz w:val="32"/>
          <w:szCs w:val="32"/>
        </w:rPr>
      </w:pPr>
    </w:p>
    <w:p w14:paraId="47DE23A7">
      <w:pPr>
        <w:spacing w:line="580" w:lineRule="exact"/>
        <w:ind w:firstLine="640"/>
        <w:rPr>
          <w:rFonts w:ascii="仿宋_GB2312" w:hAnsi="仿宋_GB2312" w:eastAsia="仿宋_GB2312" w:cs="仿宋_GB2312"/>
          <w:sz w:val="32"/>
          <w:szCs w:val="32"/>
        </w:rPr>
      </w:pPr>
    </w:p>
    <w:p w14:paraId="300A8BBF">
      <w:pPr>
        <w:widowControl/>
        <w:jc w:val="left"/>
        <w:rPr>
          <w:rStyle w:val="24"/>
          <w:rFonts w:ascii="黑体" w:hAnsi="黑体" w:eastAsia="黑体"/>
          <w:b w:val="0"/>
        </w:rPr>
      </w:pPr>
    </w:p>
    <w:p w14:paraId="1F9FDC34">
      <w:pPr>
        <w:widowControl/>
        <w:jc w:val="left"/>
        <w:rPr>
          <w:rStyle w:val="24"/>
          <w:rFonts w:ascii="黑体" w:hAnsi="黑体" w:eastAsia="黑体"/>
          <w:b w:val="0"/>
        </w:rPr>
      </w:pPr>
      <w:r>
        <w:rPr>
          <w:rStyle w:val="24"/>
          <w:rFonts w:ascii="黑体" w:hAnsi="黑体" w:eastAsia="黑体"/>
          <w:b w:val="0"/>
        </w:rPr>
        <w:br w:type="page"/>
      </w:r>
    </w:p>
    <w:p w14:paraId="52CF8B1C">
      <w:pPr>
        <w:spacing w:line="600" w:lineRule="exact"/>
        <w:jc w:val="center"/>
        <w:outlineLvl w:val="0"/>
        <w:rPr>
          <w:rStyle w:val="24"/>
          <w:rFonts w:ascii="黑体" w:hAnsi="黑体" w:eastAsia="黑体"/>
          <w:b w:val="0"/>
        </w:rPr>
      </w:pPr>
      <w:bookmarkStart w:id="106" w:name="_Toc79163885"/>
      <w:bookmarkStart w:id="107" w:name="_Toc15396618"/>
      <w:bookmarkStart w:id="108" w:name="_Toc79163635"/>
      <w:r>
        <w:rPr>
          <w:rFonts w:hint="eastAsia" w:ascii="黑体" w:hAnsi="黑体" w:eastAsia="黑体"/>
          <w:color w:val="000000"/>
          <w:sz w:val="44"/>
          <w:szCs w:val="44"/>
        </w:rPr>
        <w:t>第</w:t>
      </w:r>
      <w:r>
        <w:rPr>
          <w:rStyle w:val="24"/>
          <w:rFonts w:hint="eastAsia" w:ascii="黑体" w:hAnsi="黑体" w:eastAsia="黑体"/>
          <w:b w:val="0"/>
        </w:rPr>
        <w:t>五部分</w:t>
      </w:r>
      <w:r>
        <w:rPr>
          <w:rStyle w:val="24"/>
          <w:rFonts w:ascii="黑体" w:hAnsi="黑体" w:eastAsia="黑体"/>
          <w:b w:val="0"/>
        </w:rPr>
        <w:t xml:space="preserve"> </w:t>
      </w:r>
      <w:r>
        <w:rPr>
          <w:rStyle w:val="24"/>
          <w:rFonts w:hint="eastAsia" w:ascii="黑体" w:hAnsi="黑体" w:eastAsia="黑体"/>
          <w:b w:val="0"/>
        </w:rPr>
        <w:t>附表</w:t>
      </w:r>
      <w:bookmarkEnd w:id="105"/>
      <w:bookmarkEnd w:id="106"/>
      <w:bookmarkEnd w:id="107"/>
      <w:bookmarkEnd w:id="108"/>
    </w:p>
    <w:p w14:paraId="7F18914D">
      <w:pPr>
        <w:pStyle w:val="5"/>
        <w:rPr>
          <w:rFonts w:ascii="仿宋" w:hAnsi="仿宋" w:eastAsia="仿宋"/>
          <w:color w:val="000000"/>
        </w:rPr>
      </w:pPr>
      <w:bookmarkStart w:id="109" w:name="_Toc15396619"/>
      <w:bookmarkStart w:id="110" w:name="_Toc79163636"/>
      <w:bookmarkStart w:id="111" w:name="_Toc79163886"/>
      <w:r>
        <w:rPr>
          <w:rFonts w:hint="eastAsia" w:ascii="仿宋" w:hAnsi="仿宋" w:eastAsia="仿宋"/>
          <w:b w:val="0"/>
          <w:color w:val="000000"/>
        </w:rPr>
        <w:t>一、收</w:t>
      </w:r>
      <w:r>
        <w:rPr>
          <w:rStyle w:val="25"/>
          <w:rFonts w:hint="eastAsia" w:ascii="仿宋" w:hAnsi="仿宋" w:eastAsia="仿宋"/>
          <w:b w:val="0"/>
          <w:bCs w:val="0"/>
        </w:rPr>
        <w:t>入支出决算总表</w:t>
      </w:r>
      <w:bookmarkEnd w:id="109"/>
      <w:bookmarkEnd w:id="110"/>
      <w:bookmarkEnd w:id="111"/>
    </w:p>
    <w:p w14:paraId="6C8B38E5">
      <w:pPr>
        <w:pStyle w:val="5"/>
        <w:rPr>
          <w:rFonts w:ascii="仿宋" w:hAnsi="仿宋" w:eastAsia="仿宋"/>
          <w:color w:val="000000"/>
        </w:rPr>
      </w:pPr>
      <w:bookmarkStart w:id="112" w:name="_Toc79163887"/>
      <w:bookmarkStart w:id="113" w:name="_Toc79163637"/>
      <w:bookmarkStart w:id="114"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112"/>
      <w:bookmarkEnd w:id="113"/>
      <w:bookmarkEnd w:id="114"/>
    </w:p>
    <w:p w14:paraId="3412A832">
      <w:pPr>
        <w:pStyle w:val="5"/>
        <w:rPr>
          <w:rFonts w:ascii="仿宋" w:hAnsi="仿宋" w:eastAsia="仿宋"/>
          <w:color w:val="000000"/>
        </w:rPr>
      </w:pPr>
      <w:bookmarkStart w:id="115" w:name="_Toc79163888"/>
      <w:bookmarkStart w:id="116" w:name="_Toc15396621"/>
      <w:bookmarkStart w:id="117" w:name="_Toc79163638"/>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115"/>
      <w:bookmarkEnd w:id="116"/>
      <w:bookmarkEnd w:id="117"/>
    </w:p>
    <w:p w14:paraId="4ACB5B82">
      <w:pPr>
        <w:pStyle w:val="5"/>
        <w:rPr>
          <w:rFonts w:ascii="仿宋" w:hAnsi="仿宋" w:eastAsia="仿宋"/>
          <w:b w:val="0"/>
          <w:color w:val="000000"/>
        </w:rPr>
      </w:pPr>
      <w:bookmarkStart w:id="118" w:name="_Toc15396622"/>
      <w:bookmarkStart w:id="119" w:name="_Toc79163639"/>
      <w:bookmarkStart w:id="120" w:name="_Toc79163889"/>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118"/>
      <w:bookmarkEnd w:id="119"/>
      <w:bookmarkEnd w:id="120"/>
    </w:p>
    <w:p w14:paraId="76825FCB">
      <w:pPr>
        <w:pStyle w:val="5"/>
        <w:rPr>
          <w:rStyle w:val="25"/>
          <w:rFonts w:ascii="仿宋" w:hAnsi="仿宋" w:eastAsia="仿宋"/>
          <w:b w:val="0"/>
          <w:bCs w:val="0"/>
        </w:rPr>
      </w:pPr>
      <w:bookmarkStart w:id="121" w:name="_Toc15396623"/>
      <w:bookmarkStart w:id="122" w:name="_Toc79163640"/>
      <w:bookmarkStart w:id="123" w:name="_Toc79163890"/>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121"/>
      <w:bookmarkEnd w:id="122"/>
      <w:bookmarkEnd w:id="123"/>
      <w:bookmarkStart w:id="124" w:name="_Toc15396624"/>
    </w:p>
    <w:p w14:paraId="02A1D939">
      <w:pPr>
        <w:pStyle w:val="5"/>
        <w:rPr>
          <w:rFonts w:ascii="仿宋" w:hAnsi="仿宋" w:eastAsia="仿宋"/>
          <w:color w:val="000000"/>
        </w:rPr>
      </w:pPr>
      <w:bookmarkStart w:id="125" w:name="_Toc79163891"/>
      <w:bookmarkStart w:id="126" w:name="_Toc79163641"/>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124"/>
      <w:bookmarkEnd w:id="125"/>
      <w:bookmarkEnd w:id="126"/>
    </w:p>
    <w:p w14:paraId="16171788">
      <w:pPr>
        <w:pStyle w:val="5"/>
        <w:rPr>
          <w:rFonts w:ascii="仿宋" w:hAnsi="仿宋" w:eastAsia="仿宋"/>
          <w:color w:val="000000"/>
        </w:rPr>
      </w:pPr>
      <w:bookmarkStart w:id="127" w:name="_Toc15396625"/>
      <w:bookmarkStart w:id="128" w:name="_Toc79163642"/>
      <w:bookmarkStart w:id="129" w:name="_Toc79163892"/>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127"/>
      <w:bookmarkEnd w:id="128"/>
      <w:bookmarkEnd w:id="129"/>
    </w:p>
    <w:p w14:paraId="0EEE7C40">
      <w:pPr>
        <w:pStyle w:val="5"/>
        <w:rPr>
          <w:rFonts w:ascii="仿宋" w:hAnsi="仿宋" w:eastAsia="仿宋"/>
          <w:color w:val="000000"/>
        </w:rPr>
      </w:pPr>
      <w:bookmarkStart w:id="130" w:name="_Toc79163643"/>
      <w:bookmarkStart w:id="131" w:name="_Toc15396626"/>
      <w:bookmarkStart w:id="132" w:name="_Toc79163893"/>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130"/>
      <w:bookmarkEnd w:id="131"/>
      <w:bookmarkEnd w:id="132"/>
    </w:p>
    <w:p w14:paraId="6E21646F">
      <w:pPr>
        <w:pStyle w:val="5"/>
        <w:rPr>
          <w:rFonts w:ascii="仿宋" w:hAnsi="仿宋" w:eastAsia="仿宋"/>
          <w:color w:val="000000"/>
        </w:rPr>
      </w:pPr>
      <w:bookmarkStart w:id="133" w:name="_Toc15396627"/>
      <w:bookmarkStart w:id="134" w:name="_Toc79163894"/>
      <w:bookmarkStart w:id="135" w:name="_Toc79163644"/>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133"/>
      <w:bookmarkEnd w:id="134"/>
      <w:bookmarkEnd w:id="135"/>
    </w:p>
    <w:p w14:paraId="1216F794">
      <w:pPr>
        <w:pStyle w:val="5"/>
        <w:rPr>
          <w:rFonts w:ascii="仿宋" w:hAnsi="仿宋" w:eastAsia="仿宋"/>
          <w:color w:val="000000"/>
        </w:rPr>
      </w:pPr>
      <w:bookmarkStart w:id="136" w:name="_Toc79163645"/>
      <w:bookmarkStart w:id="137" w:name="_Toc15396628"/>
      <w:bookmarkStart w:id="138" w:name="_Toc79163895"/>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136"/>
      <w:bookmarkEnd w:id="137"/>
      <w:bookmarkEnd w:id="138"/>
    </w:p>
    <w:p w14:paraId="1624A8FB">
      <w:pPr>
        <w:pStyle w:val="5"/>
        <w:rPr>
          <w:rFonts w:ascii="仿宋" w:hAnsi="仿宋" w:eastAsia="仿宋"/>
          <w:color w:val="000000"/>
        </w:rPr>
      </w:pPr>
      <w:bookmarkStart w:id="139" w:name="_Toc15396629"/>
      <w:bookmarkStart w:id="140" w:name="_Toc79163896"/>
      <w:bookmarkStart w:id="141" w:name="_Toc79163646"/>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139"/>
      <w:bookmarkEnd w:id="140"/>
      <w:bookmarkEnd w:id="141"/>
    </w:p>
    <w:p w14:paraId="17737236">
      <w:pPr>
        <w:pStyle w:val="5"/>
        <w:rPr>
          <w:rFonts w:ascii="仿宋" w:hAnsi="仿宋" w:eastAsia="仿宋"/>
          <w:color w:val="000000"/>
        </w:rPr>
      </w:pPr>
      <w:bookmarkStart w:id="142" w:name="_Toc79163647"/>
      <w:bookmarkStart w:id="143" w:name="_Toc15396630"/>
      <w:bookmarkStart w:id="144" w:name="_Toc79163897"/>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142"/>
      <w:bookmarkEnd w:id="143"/>
      <w:bookmarkEnd w:id="144"/>
    </w:p>
    <w:p w14:paraId="42F150F7">
      <w:pPr>
        <w:pStyle w:val="5"/>
        <w:rPr>
          <w:rStyle w:val="25"/>
          <w:rFonts w:ascii="仿宋" w:hAnsi="仿宋" w:eastAsia="仿宋"/>
          <w:b w:val="0"/>
          <w:bCs w:val="0"/>
        </w:rPr>
      </w:pPr>
      <w:bookmarkStart w:id="145" w:name="_Toc79163648"/>
      <w:bookmarkStart w:id="146" w:name="_Toc79163898"/>
      <w:bookmarkStart w:id="147"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有资本经营预算财政拨款收入支出决算表</w:t>
      </w:r>
      <w:bookmarkEnd w:id="145"/>
      <w:bookmarkEnd w:id="146"/>
      <w:bookmarkEnd w:id="147"/>
    </w:p>
    <w:p w14:paraId="3EBBFB48">
      <w:pPr>
        <w:pStyle w:val="5"/>
        <w:rPr>
          <w:rStyle w:val="25"/>
          <w:rFonts w:ascii="仿宋" w:hAnsi="仿宋" w:eastAsia="仿宋"/>
          <w:b w:val="0"/>
          <w:bCs w:val="0"/>
        </w:rPr>
      </w:pPr>
      <w:bookmarkStart w:id="148" w:name="_Toc79163649"/>
      <w:bookmarkStart w:id="149" w:name="_Toc79163899"/>
      <w:r>
        <w:rPr>
          <w:rStyle w:val="25"/>
          <w:rFonts w:hint="eastAsia" w:ascii="仿宋" w:hAnsi="仿宋" w:eastAsia="仿宋"/>
          <w:b w:val="0"/>
          <w:bCs w:val="0"/>
        </w:rPr>
        <w:t>十四、国有资本经营预算财政拨款支出决算表</w:t>
      </w:r>
      <w:bookmarkEnd w:id="148"/>
      <w:bookmarkEnd w:id="14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3C084">
    <w:pPr>
      <w:pStyle w:val="12"/>
      <w:jc w:val="center"/>
    </w:pPr>
    <w:r>
      <w:fldChar w:fldCharType="begin"/>
    </w:r>
    <w:r>
      <w:instrText xml:space="preserve">PAGE   \* MERGEFORMAT</w:instrText>
    </w:r>
    <w:r>
      <w:fldChar w:fldCharType="separate"/>
    </w:r>
    <w:r>
      <w:rPr>
        <w:lang w:val="zh-CN"/>
      </w:rPr>
      <w:t>6</w:t>
    </w:r>
    <w:r>
      <w:fldChar w:fldCharType="end"/>
    </w:r>
  </w:p>
  <w:p w14:paraId="620D41B9">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52FF6">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0F8B443B"/>
    <w:multiLevelType w:val="singleLevel"/>
    <w:tmpl w:val="0F8B443B"/>
    <w:lvl w:ilvl="0" w:tentative="0">
      <w:start w:val="1"/>
      <w:numFmt w:val="decimal"/>
      <w:suff w:val="nothing"/>
      <w:lvlText w:val="%1、"/>
      <w:lvlJc w:val="left"/>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26EB4663"/>
    <w:multiLevelType w:val="singleLevel"/>
    <w:tmpl w:val="26EB4663"/>
    <w:lvl w:ilvl="0" w:tentative="0">
      <w:start w:val="1"/>
      <w:numFmt w:val="chineseCounting"/>
      <w:suff w:val="nothing"/>
      <w:lvlText w:val="%1、"/>
      <w:lvlJc w:val="left"/>
      <w:rPr>
        <w:rFonts w:hint="eastAsia"/>
      </w:rPr>
    </w:lvl>
  </w:abstractNum>
  <w:abstractNum w:abstractNumId="5">
    <w:nsid w:val="288298A4"/>
    <w:multiLevelType w:val="singleLevel"/>
    <w:tmpl w:val="288298A4"/>
    <w:lvl w:ilvl="0" w:tentative="0">
      <w:start w:val="3"/>
      <w:numFmt w:val="decimal"/>
      <w:lvlText w:val="%1."/>
      <w:lvlJc w:val="left"/>
      <w:pPr>
        <w:tabs>
          <w:tab w:val="left" w:pos="312"/>
        </w:tabs>
      </w:pPr>
    </w:lvl>
  </w:abstractNum>
  <w:abstractNum w:abstractNumId="6">
    <w:nsid w:val="294399B9"/>
    <w:multiLevelType w:val="singleLevel"/>
    <w:tmpl w:val="294399B9"/>
    <w:lvl w:ilvl="0" w:tentative="0">
      <w:start w:val="3"/>
      <w:numFmt w:val="chineseCounting"/>
      <w:suff w:val="nothing"/>
      <w:lvlText w:val="%1、"/>
      <w:lvlJc w:val="left"/>
      <w:rPr>
        <w:rFonts w:hint="eastAsia"/>
      </w:rPr>
    </w:lvl>
  </w:abstractNum>
  <w:abstractNum w:abstractNumId="7">
    <w:nsid w:val="33A86311"/>
    <w:multiLevelType w:val="singleLevel"/>
    <w:tmpl w:val="33A86311"/>
    <w:lvl w:ilvl="0" w:tentative="0">
      <w:start w:val="1"/>
      <w:numFmt w:val="decimal"/>
      <w:suff w:val="nothing"/>
      <w:lvlText w:val="%1、"/>
      <w:lvlJc w:val="left"/>
      <w:pPr>
        <w:ind w:left="895" w:firstLine="0"/>
      </w:pPr>
    </w:lvl>
  </w:abstractNum>
  <w:abstractNum w:abstractNumId="8">
    <w:nsid w:val="3CD2E828"/>
    <w:multiLevelType w:val="singleLevel"/>
    <w:tmpl w:val="3CD2E828"/>
    <w:lvl w:ilvl="0" w:tentative="0">
      <w:start w:val="1"/>
      <w:numFmt w:val="chineseCounting"/>
      <w:suff w:val="nothing"/>
      <w:lvlText w:val="（%1）"/>
      <w:lvlJc w:val="left"/>
      <w:rPr>
        <w:rFonts w:hint="eastAsia"/>
      </w:rPr>
    </w:lvl>
  </w:abstractNum>
  <w:abstractNum w:abstractNumId="9">
    <w:nsid w:val="63231A2A"/>
    <w:multiLevelType w:val="singleLevel"/>
    <w:tmpl w:val="63231A2A"/>
    <w:lvl w:ilvl="0" w:tentative="0">
      <w:start w:val="1"/>
      <w:numFmt w:val="decimal"/>
      <w:suff w:val="nothing"/>
      <w:lvlText w:val="（%1）"/>
      <w:lvlJc w:val="left"/>
    </w:lvl>
  </w:abstractNum>
  <w:num w:numId="1">
    <w:abstractNumId w:val="3"/>
  </w:num>
  <w:num w:numId="2">
    <w:abstractNumId w:val="5"/>
  </w:num>
  <w:num w:numId="3">
    <w:abstractNumId w:val="0"/>
  </w:num>
  <w:num w:numId="4">
    <w:abstractNumId w:val="9"/>
  </w:num>
  <w:num w:numId="5">
    <w:abstractNumId w:val="1"/>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M2Mzk4N2FiN2YzNTA5OGE3MWIzNmVhMTNmZDBiOT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46611"/>
    <w:rsid w:val="00471401"/>
    <w:rsid w:val="00473F31"/>
    <w:rsid w:val="0048263A"/>
    <w:rsid w:val="00487E5D"/>
    <w:rsid w:val="00491B00"/>
    <w:rsid w:val="004A711F"/>
    <w:rsid w:val="004B199D"/>
    <w:rsid w:val="004B4690"/>
    <w:rsid w:val="004D5479"/>
    <w:rsid w:val="004E0A2D"/>
    <w:rsid w:val="004E206B"/>
    <w:rsid w:val="004E6DF7"/>
    <w:rsid w:val="004F0FBD"/>
    <w:rsid w:val="004F57CF"/>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188C"/>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A2032A3"/>
    <w:rsid w:val="0BF97174"/>
    <w:rsid w:val="10C055FF"/>
    <w:rsid w:val="118107EC"/>
    <w:rsid w:val="1454205C"/>
    <w:rsid w:val="16BB723D"/>
    <w:rsid w:val="1D155CEE"/>
    <w:rsid w:val="1D6A2596"/>
    <w:rsid w:val="240371BF"/>
    <w:rsid w:val="29FD04D3"/>
    <w:rsid w:val="319F7F4E"/>
    <w:rsid w:val="37040240"/>
    <w:rsid w:val="3853575D"/>
    <w:rsid w:val="408619F4"/>
    <w:rsid w:val="42182DB7"/>
    <w:rsid w:val="4ECE2238"/>
    <w:rsid w:val="506465FA"/>
    <w:rsid w:val="59343F50"/>
    <w:rsid w:val="5EDA7BDE"/>
    <w:rsid w:val="624742D7"/>
    <w:rsid w:val="64D63613"/>
    <w:rsid w:val="64E40CF5"/>
    <w:rsid w:val="6C4A05C8"/>
    <w:rsid w:val="6F916706"/>
    <w:rsid w:val="72734D90"/>
    <w:rsid w:val="793A254B"/>
    <w:rsid w:val="7A521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5"/>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26"/>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33"/>
    <w:qFormat/>
    <w:uiPriority w:val="99"/>
    <w:pPr>
      <w:spacing w:beforeLines="30"/>
    </w:pPr>
    <w:rPr>
      <w:rFonts w:ascii="仿宋_GB2312" w:eastAsia="仿宋_GB2312"/>
      <w:kern w:val="0"/>
      <w:sz w:val="24"/>
      <w:szCs w:val="20"/>
    </w:rPr>
  </w:style>
  <w:style w:type="paragraph" w:styleId="3">
    <w:name w:val="Body Text First Indent"/>
    <w:basedOn w:val="2"/>
    <w:qFormat/>
    <w:uiPriority w:val="0"/>
    <w:pPr>
      <w:ind w:firstLine="420" w:firstLineChars="100"/>
    </w:p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toc 5"/>
    <w:basedOn w:val="1"/>
    <w:next w:val="1"/>
    <w:unhideWhenUsed/>
    <w:qFormat/>
    <w:uiPriority w:val="39"/>
    <w:pPr>
      <w:ind w:left="840"/>
      <w:jc w:val="left"/>
    </w:pPr>
    <w:rPr>
      <w:rFonts w:asciiTheme="minorHAnsi" w:eastAsiaTheme="minorHAnsi"/>
      <w:sz w:val="18"/>
      <w:szCs w:val="18"/>
    </w:rPr>
  </w:style>
  <w:style w:type="paragraph" w:styleId="9">
    <w:name w:val="toc 3"/>
    <w:basedOn w:val="1"/>
    <w:next w:val="1"/>
    <w:unhideWhenUsed/>
    <w:qFormat/>
    <w:uiPriority w:val="39"/>
    <w:pPr>
      <w:ind w:left="420"/>
      <w:jc w:val="left"/>
    </w:pPr>
    <w:rPr>
      <w:rFonts w:asciiTheme="minorHAnsi" w:eastAsiaTheme="minorHAnsi"/>
      <w:i/>
      <w:iCs/>
      <w:sz w:val="20"/>
      <w:szCs w:val="20"/>
    </w:rPr>
  </w:style>
  <w:style w:type="paragraph" w:styleId="10">
    <w:name w:val="toc 8"/>
    <w:basedOn w:val="1"/>
    <w:next w:val="1"/>
    <w:unhideWhenUsed/>
    <w:qFormat/>
    <w:uiPriority w:val="39"/>
    <w:pPr>
      <w:ind w:left="1470"/>
      <w:jc w:val="left"/>
    </w:pPr>
    <w:rPr>
      <w:rFonts w:asciiTheme="minorHAnsi" w:eastAsiaTheme="minorHAnsi"/>
      <w:sz w:val="18"/>
      <w:szCs w:val="18"/>
    </w:rPr>
  </w:style>
  <w:style w:type="paragraph" w:styleId="11">
    <w:name w:val="Balloon Text"/>
    <w:basedOn w:val="1"/>
    <w:link w:val="28"/>
    <w:unhideWhenUsed/>
    <w:qFormat/>
    <w:uiPriority w:val="99"/>
    <w:rPr>
      <w:sz w:val="18"/>
      <w:szCs w:val="18"/>
    </w:rPr>
  </w:style>
  <w:style w:type="paragraph" w:styleId="12">
    <w:name w:val="footer"/>
    <w:basedOn w:val="1"/>
    <w:link w:val="32"/>
    <w:qFormat/>
    <w:uiPriority w:val="99"/>
    <w:pPr>
      <w:tabs>
        <w:tab w:val="center" w:pos="4153"/>
        <w:tab w:val="right" w:pos="8306"/>
      </w:tabs>
      <w:snapToGrid w:val="0"/>
      <w:jc w:val="left"/>
    </w:pPr>
    <w:rPr>
      <w:rFonts w:ascii="Calibri" w:hAnsi="Calibri"/>
      <w:kern w:val="0"/>
      <w:sz w:val="18"/>
      <w:szCs w:val="20"/>
    </w:rPr>
  </w:style>
  <w:style w:type="paragraph" w:styleId="13">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4">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5">
    <w:name w:val="toc 4"/>
    <w:basedOn w:val="1"/>
    <w:next w:val="1"/>
    <w:unhideWhenUsed/>
    <w:qFormat/>
    <w:uiPriority w:val="39"/>
    <w:pPr>
      <w:ind w:left="630"/>
      <w:jc w:val="left"/>
    </w:pPr>
    <w:rPr>
      <w:rFonts w:asciiTheme="minorHAnsi" w:eastAsiaTheme="minorHAnsi"/>
      <w:sz w:val="18"/>
      <w:szCs w:val="18"/>
    </w:rPr>
  </w:style>
  <w:style w:type="paragraph" w:styleId="16">
    <w:name w:val="toc 6"/>
    <w:basedOn w:val="1"/>
    <w:next w:val="1"/>
    <w:unhideWhenUsed/>
    <w:qFormat/>
    <w:uiPriority w:val="39"/>
    <w:pPr>
      <w:ind w:left="1050"/>
      <w:jc w:val="left"/>
    </w:pPr>
    <w:rPr>
      <w:rFonts w:asciiTheme="minorHAnsi" w:eastAsiaTheme="minorHAnsi"/>
      <w:sz w:val="18"/>
      <w:szCs w:val="18"/>
    </w:rPr>
  </w:style>
  <w:style w:type="paragraph" w:styleId="17">
    <w:name w:val="toc 2"/>
    <w:basedOn w:val="1"/>
    <w:next w:val="1"/>
    <w:unhideWhenUsed/>
    <w:qFormat/>
    <w:uiPriority w:val="39"/>
    <w:pPr>
      <w:ind w:left="210"/>
      <w:jc w:val="left"/>
    </w:pPr>
    <w:rPr>
      <w:rFonts w:asciiTheme="minorHAnsi" w:eastAsiaTheme="minorHAnsi"/>
      <w:smallCaps/>
      <w:sz w:val="20"/>
      <w:szCs w:val="20"/>
    </w:rPr>
  </w:style>
  <w:style w:type="paragraph" w:styleId="18">
    <w:name w:val="toc 9"/>
    <w:basedOn w:val="1"/>
    <w:next w:val="1"/>
    <w:unhideWhenUsed/>
    <w:qFormat/>
    <w:uiPriority w:val="39"/>
    <w:pPr>
      <w:ind w:left="1680"/>
      <w:jc w:val="left"/>
    </w:pPr>
    <w:rPr>
      <w:rFonts w:asciiTheme="minorHAnsi" w:eastAsiaTheme="minorHAnsi"/>
      <w:sz w:val="18"/>
      <w:szCs w:val="18"/>
    </w:rPr>
  </w:style>
  <w:style w:type="paragraph" w:styleId="19">
    <w:name w:val="Normal (Web)"/>
    <w:basedOn w:val="1"/>
    <w:qFormat/>
    <w:uiPriority w:val="99"/>
    <w:pPr>
      <w:widowControl/>
      <w:spacing w:beforeAutospacing="1" w:afterAutospacing="1"/>
      <w:jc w:val="left"/>
    </w:pPr>
    <w:rPr>
      <w:rFonts w:ascii="宋体" w:hAnsi="宋体" w:cs="宋体"/>
      <w:kern w:val="0"/>
      <w:sz w:val="24"/>
      <w:szCs w:val="20"/>
    </w:rPr>
  </w:style>
  <w:style w:type="character" w:styleId="22">
    <w:name w:val="Strong"/>
    <w:basedOn w:val="21"/>
    <w:qFormat/>
    <w:uiPriority w:val="99"/>
    <w:rPr>
      <w:rFonts w:cs="Times New Roman"/>
      <w:b/>
    </w:rPr>
  </w:style>
  <w:style w:type="character" w:styleId="23">
    <w:name w:val="Hyperlink"/>
    <w:basedOn w:val="21"/>
    <w:unhideWhenUsed/>
    <w:qFormat/>
    <w:uiPriority w:val="99"/>
    <w:rPr>
      <w:rFonts w:cs="Times New Roman"/>
      <w:color w:val="0000FF"/>
      <w:u w:val="single"/>
    </w:rPr>
  </w:style>
  <w:style w:type="character" w:customStyle="1" w:styleId="24">
    <w:name w:val="标题 1 字符"/>
    <w:basedOn w:val="21"/>
    <w:link w:val="4"/>
    <w:qFormat/>
    <w:locked/>
    <w:uiPriority w:val="9"/>
    <w:rPr>
      <w:rFonts w:ascii="Times New Roman" w:hAnsi="Times New Roman" w:cs="Times New Roman"/>
      <w:b/>
      <w:bCs/>
      <w:kern w:val="44"/>
      <w:sz w:val="44"/>
      <w:szCs w:val="44"/>
    </w:rPr>
  </w:style>
  <w:style w:type="character" w:customStyle="1" w:styleId="25">
    <w:name w:val="标题 2 字符"/>
    <w:basedOn w:val="21"/>
    <w:link w:val="5"/>
    <w:qFormat/>
    <w:locked/>
    <w:uiPriority w:val="9"/>
    <w:rPr>
      <w:rFonts w:ascii="Cambria" w:hAnsi="Cambria" w:eastAsia="宋体" w:cs="Times New Roman"/>
      <w:b/>
      <w:bCs/>
      <w:kern w:val="2"/>
      <w:sz w:val="32"/>
      <w:szCs w:val="32"/>
    </w:rPr>
  </w:style>
  <w:style w:type="character" w:customStyle="1" w:styleId="26">
    <w:name w:val="标题 3 字符"/>
    <w:basedOn w:val="21"/>
    <w:link w:val="6"/>
    <w:qFormat/>
    <w:locked/>
    <w:uiPriority w:val="9"/>
    <w:rPr>
      <w:rFonts w:ascii="Times New Roman" w:hAnsi="Times New Roman" w:cs="Times New Roman"/>
      <w:b/>
      <w:bCs/>
      <w:kern w:val="2"/>
      <w:sz w:val="32"/>
      <w:szCs w:val="32"/>
    </w:rPr>
  </w:style>
  <w:style w:type="character" w:customStyle="1" w:styleId="27">
    <w:name w:val="Body Text Char"/>
    <w:basedOn w:val="21"/>
    <w:semiHidden/>
    <w:qFormat/>
    <w:uiPriority w:val="99"/>
    <w:rPr>
      <w:rFonts w:ascii="Times New Roman" w:hAnsi="Times New Roman" w:cs="Times New Roman"/>
      <w:sz w:val="24"/>
      <w:szCs w:val="24"/>
    </w:rPr>
  </w:style>
  <w:style w:type="character" w:customStyle="1" w:styleId="28">
    <w:name w:val="批注框文本 字符"/>
    <w:basedOn w:val="21"/>
    <w:link w:val="11"/>
    <w:semiHidden/>
    <w:qFormat/>
    <w:locked/>
    <w:uiPriority w:val="99"/>
    <w:rPr>
      <w:rFonts w:ascii="Times New Roman" w:hAnsi="Times New Roman" w:cs="Times New Roman"/>
      <w:kern w:val="2"/>
      <w:sz w:val="18"/>
      <w:szCs w:val="18"/>
    </w:rPr>
  </w:style>
  <w:style w:type="character" w:customStyle="1" w:styleId="29">
    <w:name w:val="Footer Char"/>
    <w:basedOn w:val="21"/>
    <w:semiHidden/>
    <w:qFormat/>
    <w:uiPriority w:val="99"/>
    <w:rPr>
      <w:rFonts w:ascii="Times New Roman" w:hAnsi="Times New Roman" w:cs="Times New Roman"/>
      <w:sz w:val="18"/>
      <w:szCs w:val="18"/>
    </w:rPr>
  </w:style>
  <w:style w:type="character" w:customStyle="1" w:styleId="30">
    <w:name w:val="Header Char"/>
    <w:basedOn w:val="21"/>
    <w:semiHidden/>
    <w:qFormat/>
    <w:uiPriority w:val="99"/>
    <w:rPr>
      <w:rFonts w:ascii="Times New Roman" w:hAnsi="Times New Roman" w:cs="Times New Roman"/>
      <w:sz w:val="18"/>
      <w:szCs w:val="18"/>
    </w:rPr>
  </w:style>
  <w:style w:type="character" w:customStyle="1" w:styleId="31">
    <w:name w:val="页眉 字符"/>
    <w:link w:val="13"/>
    <w:semiHidden/>
    <w:qFormat/>
    <w:locked/>
    <w:uiPriority w:val="99"/>
    <w:rPr>
      <w:sz w:val="18"/>
    </w:rPr>
  </w:style>
  <w:style w:type="character" w:customStyle="1" w:styleId="32">
    <w:name w:val="页脚 字符"/>
    <w:link w:val="12"/>
    <w:qFormat/>
    <w:locked/>
    <w:uiPriority w:val="99"/>
    <w:rPr>
      <w:sz w:val="18"/>
    </w:rPr>
  </w:style>
  <w:style w:type="character" w:customStyle="1" w:styleId="33">
    <w:name w:val="正文文本 字符"/>
    <w:link w:val="2"/>
    <w:qFormat/>
    <w:locked/>
    <w:uiPriority w:val="99"/>
    <w:rPr>
      <w:rFonts w:ascii="仿宋_GB2312" w:hAnsi="Times New Roman" w:eastAsia="仿宋_GB2312"/>
      <w:sz w:val="24"/>
    </w:rPr>
  </w:style>
  <w:style w:type="paragraph" w:customStyle="1" w:styleId="3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5">
    <w:name w:val="列表段落1"/>
    <w:basedOn w:val="1"/>
    <w:qFormat/>
    <w:uiPriority w:val="34"/>
    <w:pPr>
      <w:ind w:firstLine="420" w:firstLineChars="200"/>
    </w:pPr>
  </w:style>
  <w:style w:type="paragraph" w:customStyle="1" w:styleId="36">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TOC Heading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TOC 标题2"/>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89F9B-A1F1-412E-877B-8DD2A8A6A8C6}">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31</Pages>
  <Words>9846</Words>
  <Characters>10567</Characters>
  <Lines>105</Lines>
  <Paragraphs>29</Paragraphs>
  <TotalTime>4</TotalTime>
  <ScaleCrop>false</ScaleCrop>
  <LinksUpToDate>false</LinksUpToDate>
  <CharactersWithSpaces>10703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对影成三人</cp:lastModifiedBy>
  <cp:lastPrinted>2021-09-23T00:34:00Z</cp:lastPrinted>
  <dcterms:modified xsi:type="dcterms:W3CDTF">2026-03-24T08:19:22Z</dcterms:modified>
  <dc:title>阿坝州部门决算说明</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5DF8DDBD1FA8479EA38085D38244B788</vt:lpwstr>
  </property>
  <property fmtid="{D5CDD505-2E9C-101B-9397-08002B2CF9AE}" pid="4" name="KSOTemplateDocerSaveRecord">
    <vt:lpwstr>eyJoZGlkIjoiYjA1ZDg3Y2Y1MzJlNDVjZjA5NTk4YjViYTliYmM3NTYiLCJ1c2VySWQiOiIyNDIyNDYwNDUifQ==</vt:lpwstr>
  </property>
</Properties>
</file>