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193"/>
      <w:bookmarkStart w:id="2" w:name="_Toc15396597"/>
      <w:bookmarkStart w:id="3" w:name="_Toc15396475"/>
      <w:bookmarkStart w:id="4" w:name="_Toc15377425"/>
      <w:bookmarkStart w:id="5" w:name="_Toc15378441"/>
      <w:r>
        <w:rPr>
          <w:rFonts w:ascii="黑体" w:hAnsi="黑体" w:eastAsia="黑体"/>
          <w:sz w:val="72"/>
          <w:szCs w:val="72"/>
        </w:rPr>
        <w:t>202</w:t>
      </w:r>
      <w:r>
        <w:rPr>
          <w:rFonts w:hint="eastAsia" w:ascii="黑体" w:hAnsi="黑体" w:eastAsia="黑体"/>
          <w:sz w:val="72"/>
          <w:szCs w:val="72"/>
        </w:rPr>
        <w:t>1年度</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ind w:left="-2100" w:leftChars="-1000" w:right="-2100" w:rightChars="-1000"/>
        <w:jc w:val="center"/>
        <w:textAlignment w:val="auto"/>
        <w:rPr>
          <w:rFonts w:hint="eastAsia" w:ascii="方正小标宋简体" w:eastAsia="方正小标宋简体"/>
          <w:spacing w:val="-57"/>
          <w:sz w:val="72"/>
          <w:szCs w:val="72"/>
          <w:lang w:eastAsia="zh-CN"/>
        </w:rPr>
      </w:pPr>
      <w:bookmarkStart w:id="6" w:name="_Toc15396476"/>
      <w:bookmarkStart w:id="7" w:name="_Toc15377426"/>
      <w:bookmarkStart w:id="8" w:name="_Toc15396598"/>
      <w:bookmarkStart w:id="9" w:name="_Toc15378442"/>
      <w:bookmarkStart w:id="10" w:name="_Toc15377194"/>
      <w:r>
        <w:rPr>
          <w:rFonts w:hint="eastAsia" w:ascii="方正小标宋简体" w:eastAsia="方正小标宋简体"/>
          <w:spacing w:val="-57"/>
          <w:sz w:val="72"/>
          <w:szCs w:val="72"/>
        </w:rPr>
        <w:t>松潘县</w:t>
      </w:r>
      <w:bookmarkEnd w:id="0"/>
      <w:bookmarkStart w:id="11" w:name="_Toc15306268"/>
      <w:r>
        <w:rPr>
          <w:rFonts w:hint="eastAsia" w:ascii="方正小标宋简体" w:eastAsia="方正小标宋简体"/>
          <w:spacing w:val="-57"/>
          <w:sz w:val="72"/>
          <w:szCs w:val="72"/>
          <w:lang w:eastAsia="zh-CN"/>
        </w:rPr>
        <w:t>城乡居民养老保险事业管理局</w:t>
      </w:r>
    </w:p>
    <w:p>
      <w:pPr>
        <w:keepNext w:val="0"/>
        <w:keepLines w:val="0"/>
        <w:pageBreakBefore w:val="0"/>
        <w:widowControl w:val="0"/>
        <w:kinsoku/>
        <w:wordWrap/>
        <w:overflowPunct/>
        <w:topLinePunct w:val="0"/>
        <w:autoSpaceDE/>
        <w:autoSpaceDN/>
        <w:bidi w:val="0"/>
        <w:adjustRightInd/>
        <w:snapToGrid/>
        <w:ind w:left="-2100" w:leftChars="-1000" w:right="-2100" w:rightChars="-1000"/>
        <w:jc w:val="center"/>
        <w:textAlignment w:val="auto"/>
        <w:rPr>
          <w:rFonts w:hint="eastAsia" w:ascii="方正小标宋简体" w:eastAsia="方正小标宋简体"/>
          <w:sz w:val="72"/>
          <w:szCs w:val="72"/>
          <w:lang w:eastAsia="zh-CN"/>
        </w:rPr>
      </w:pPr>
      <w:r>
        <w:rPr>
          <w:rFonts w:hint="eastAsia" w:ascii="方正小标宋简体" w:eastAsia="方正小标宋简体"/>
          <w:sz w:val="72"/>
          <w:szCs w:val="72"/>
        </w:rPr>
        <w:t>部门决算</w:t>
      </w:r>
      <w:bookmarkEnd w:id="6"/>
      <w:bookmarkEnd w:id="7"/>
      <w:bookmarkEnd w:id="8"/>
      <w:bookmarkEnd w:id="9"/>
      <w:bookmarkEnd w:id="10"/>
      <w:bookmarkEnd w:id="11"/>
      <w:r>
        <w:rPr>
          <w:rFonts w:hint="eastAsia" w:ascii="方正小标宋简体" w:eastAsia="方正小标宋简体"/>
          <w:sz w:val="72"/>
          <w:szCs w:val="72"/>
          <w:lang w:eastAsia="zh-CN"/>
        </w:rPr>
        <w:t>编制说明</w:t>
      </w:r>
    </w:p>
    <w:p>
      <w:pPr>
        <w:jc w:val="center"/>
        <w:rPr>
          <w:rFonts w:ascii="方正小标宋简体" w:eastAsia="方正小标宋简体"/>
          <w:sz w:val="52"/>
          <w:szCs w:val="52"/>
        </w:rPr>
      </w:pP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AnsiTheme="minorHAnsi"/>
          <w:b w:val="0"/>
          <w:bCs w:val="0"/>
          <w:sz w:val="24"/>
          <w:szCs w:val="24"/>
        </w:rPr>
      </w:pPr>
      <w:r>
        <w:rPr>
          <w:rFonts w:hint="eastAsia" w:hAnsiTheme="minorHAnsi"/>
          <w:b w:val="0"/>
          <w:bCs w:val="0"/>
          <w:sz w:val="24"/>
          <w:szCs w:val="24"/>
        </w:rPr>
        <w:t xml:space="preserve">公开时间：2022年 </w:t>
      </w:r>
      <w:r>
        <w:rPr>
          <w:rFonts w:hint="eastAsia" w:hAnsiTheme="minorHAnsi"/>
          <w:b w:val="0"/>
          <w:bCs w:val="0"/>
          <w:sz w:val="24"/>
          <w:szCs w:val="24"/>
          <w:lang w:val="en-US" w:eastAsia="zh-CN"/>
        </w:rPr>
        <w:t>9</w:t>
      </w:r>
      <w:r>
        <w:rPr>
          <w:rFonts w:hint="eastAsia" w:hAnsiTheme="minorHAnsi"/>
          <w:b w:val="0"/>
          <w:bCs w:val="0"/>
          <w:sz w:val="24"/>
          <w:szCs w:val="24"/>
        </w:rPr>
        <w:t xml:space="preserve">月 </w:t>
      </w:r>
      <w:r>
        <w:rPr>
          <w:rFonts w:hint="eastAsia" w:hAnsiTheme="minorHAnsi"/>
          <w:b w:val="0"/>
          <w:bCs w:val="0"/>
          <w:sz w:val="24"/>
          <w:szCs w:val="24"/>
          <w:lang w:val="en-US" w:eastAsia="zh-CN"/>
        </w:rPr>
        <w:t>23</w:t>
      </w:r>
      <w:r>
        <w:rPr>
          <w:rFonts w:hint="eastAsia" w:hAnsiTheme="minorHAnsi"/>
          <w:b w:val="0"/>
          <w:bCs w:val="0"/>
          <w:sz w:val="24"/>
          <w:szCs w:val="24"/>
        </w:rPr>
        <w:t>日</w:t>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3</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3</w:t>
      </w:r>
      <w: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3</w:t>
      </w:r>
      <w: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i w:val="0"/>
          <w:iCs w:val="0"/>
          <w:sz w:val="21"/>
          <w:szCs w:val="22"/>
        </w:rPr>
      </w:pPr>
      <w:r>
        <w:rPr>
          <w:rFonts w:ascii="仿宋" w:hAnsi="仿宋" w:eastAsia="仿宋"/>
          <w:bCs/>
          <w:color w:val="000000"/>
        </w:rPr>
        <w:t>（二）202</w:t>
      </w:r>
      <w:r>
        <w:rPr>
          <w:rFonts w:hint="eastAsia" w:ascii="仿宋" w:hAnsi="仿宋" w:eastAsia="仿宋"/>
          <w:bCs/>
          <w:color w:val="000000"/>
          <w:lang w:val="en-US" w:eastAsia="zh-CN"/>
        </w:rPr>
        <w:t>1</w:t>
      </w:r>
      <w:r>
        <w:rPr>
          <w:rFonts w:ascii="仿宋" w:hAnsi="仿宋" w:eastAsia="仿宋"/>
          <w:bCs/>
          <w:color w:val="000000"/>
        </w:rPr>
        <w:t>年重点工作完成情况。</w:t>
      </w:r>
      <w:r>
        <w:tab/>
      </w:r>
      <w:r>
        <w:fldChar w:fldCharType="begin"/>
      </w:r>
      <w:r>
        <w:instrText xml:space="preserve"> PAGEREF _Toc79163854 \h </w:instrText>
      </w:r>
      <w:r>
        <w:fldChar w:fldCharType="separate"/>
      </w:r>
      <w:r>
        <w:t>3</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i w:val="0"/>
          <w:iC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3</w:t>
      </w:r>
      <w: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int="eastAsia" w:hAnsiTheme="minorHAnsi" w:eastAsiaTheme="minorHAnsi" w:cstheme="minorBidi"/>
          <w:b w:val="0"/>
          <w:bCs w:val="0"/>
          <w:caps w:val="0"/>
          <w:sz w:val="21"/>
          <w:szCs w:val="22"/>
          <w:lang w:val="en-US"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1</w:t>
      </w:r>
      <w:r>
        <w:rPr>
          <w:rFonts w:ascii="黑体" w:hAnsi="黑体" w:eastAsia="黑体"/>
          <w:b w:val="0"/>
          <w:bCs w:val="0"/>
        </w:rPr>
        <w:t>年度部门决算情况说明</w:t>
      </w:r>
      <w:r>
        <w:tab/>
      </w:r>
      <w:r>
        <w:rPr>
          <w:rFonts w:hint="eastAsia"/>
          <w:lang w:val="en-US" w:eastAsia="zh-CN"/>
        </w:rPr>
        <w:t>7</w:t>
      </w:r>
    </w:p>
    <w:p>
      <w:pPr>
        <w:pStyle w:val="18"/>
        <w:keepNext w:val="0"/>
        <w:keepLines w:val="0"/>
        <w:pageBreakBefore w:val="0"/>
        <w:widowControl w:val="0"/>
        <w:tabs>
          <w:tab w:val="left" w:pos="840"/>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4</w:t>
      </w:r>
      <w:r>
        <w:fldChar w:fldCharType="end"/>
      </w:r>
    </w:p>
    <w:p>
      <w:pPr>
        <w:pStyle w:val="18"/>
        <w:keepNext w:val="0"/>
        <w:keepLines w:val="0"/>
        <w:pageBreakBefore w:val="0"/>
        <w:widowControl w:val="0"/>
        <w:tabs>
          <w:tab w:val="left" w:pos="840"/>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4</w:t>
      </w:r>
      <w:r>
        <w:fldChar w:fldCharType="end"/>
      </w:r>
    </w:p>
    <w:p>
      <w:pPr>
        <w:pStyle w:val="18"/>
        <w:keepNext w:val="0"/>
        <w:keepLines w:val="0"/>
        <w:pageBreakBefore w:val="0"/>
        <w:widowControl w:val="0"/>
        <w:tabs>
          <w:tab w:val="left" w:pos="840"/>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bookmarkStart w:id="161" w:name="_GoBack"/>
      <w:bookmarkEnd w:id="161"/>
      <w:r>
        <w:tab/>
      </w:r>
      <w:r>
        <w:fldChar w:fldCharType="begin"/>
      </w:r>
      <w:r>
        <w:instrText xml:space="preserve"> PAGEREF _Toc79163862 \h </w:instrText>
      </w:r>
      <w:r>
        <w:fldChar w:fldCharType="separate"/>
      </w:r>
      <w:r>
        <w:t>4</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4</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4</w:t>
      </w:r>
      <w: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4</w:t>
      </w:r>
      <w: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5</w:t>
      </w:r>
      <w: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5</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5</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6</w:t>
      </w:r>
      <w: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6</w:t>
      </w:r>
      <w: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6</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7</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黑体" w:hAnsi="黑体" w:eastAsia="黑体"/>
          <w:bCs/>
        </w:rPr>
        <w:t>九、国有资本经营预算支出决算情况说明</w:t>
      </w:r>
      <w:r>
        <w:tab/>
      </w:r>
      <w:r>
        <w:fldChar w:fldCharType="begin"/>
      </w:r>
      <w:r>
        <w:instrText xml:space="preserve"> PAGEREF _Toc79163873 \h </w:instrText>
      </w:r>
      <w:r>
        <w:fldChar w:fldCharType="separate"/>
      </w:r>
      <w:r>
        <w:t>7</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7</w:t>
      </w:r>
      <w: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7</w:t>
      </w:r>
      <w: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7</w:t>
      </w:r>
      <w: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7</w:t>
      </w:r>
      <w: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7</w:t>
      </w:r>
      <w: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9</w:t>
      </w:r>
      <w: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11</w:t>
      </w:r>
      <w: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pPr>
      <w:r>
        <w:rPr>
          <w:rFonts w:ascii="黑体" w:hAnsi="黑体" w:eastAsia="黑体" w:cs="黑体"/>
        </w:rPr>
        <w:t>附件1</w:t>
      </w:r>
      <w:r>
        <w:tab/>
      </w:r>
      <w:r>
        <w:fldChar w:fldCharType="begin"/>
      </w:r>
      <w:r>
        <w:instrText xml:space="preserve"> PAGEREF _Toc79163881 \h </w:instrText>
      </w:r>
      <w:r>
        <w:fldChar w:fldCharType="separate"/>
      </w:r>
      <w:r>
        <w:t>11</w:t>
      </w:r>
      <w: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b w:val="0"/>
          <w:bCs w:val="0"/>
          <w:caps w:val="0"/>
          <w:sz w:val="21"/>
          <w:szCs w:val="22"/>
        </w:rPr>
      </w:pPr>
      <w:r>
        <w:rPr>
          <w:rFonts w:hint="eastAsia" w:eastAsia="方正小标宋简体"/>
          <w:lang w:eastAsia="zh-CN"/>
        </w:rPr>
        <w:t>松潘县城乡居民养老保险事业管理局</w:t>
      </w:r>
      <w:r>
        <w:rPr>
          <w:rFonts w:ascii="方正小标宋简体" w:hAnsi="黑体" w:eastAsia="方正小标宋简体" w:cs="黑体"/>
        </w:rPr>
        <w:t>202</w:t>
      </w:r>
      <w:r>
        <w:rPr>
          <w:rFonts w:hint="eastAsia" w:ascii="方正小标宋简体" w:hAnsi="黑体" w:eastAsia="方正小标宋简体" w:cs="黑体"/>
          <w:lang w:val="en-US" w:eastAsia="zh-CN"/>
        </w:rPr>
        <w:t>1</w:t>
      </w:r>
      <w:r>
        <w:rPr>
          <w:rFonts w:ascii="方正小标宋简体" w:hAnsi="黑体" w:eastAsia="方正小标宋简体" w:cs="黑体"/>
        </w:rPr>
        <w:t>年部门整体支出绩效评价报告</w:t>
      </w:r>
      <w:r>
        <w:tab/>
      </w:r>
      <w:r>
        <w:fldChar w:fldCharType="begin"/>
      </w:r>
      <w:r>
        <w:instrText xml:space="preserve"> PAGEREF _Toc79163882 \h </w:instrText>
      </w:r>
      <w:r>
        <w:fldChar w:fldCharType="separate"/>
      </w:r>
      <w:r>
        <w:t>11</w:t>
      </w:r>
      <w: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fldChar w:fldCharType="begin"/>
      </w:r>
      <w:r>
        <w:instrText xml:space="preserve"> PAGEREF _Toc79163898 \h </w:instrText>
      </w:r>
      <w:r>
        <w:fldChar w:fldCharType="separate"/>
      </w:r>
      <w:r>
        <w:t>18</w:t>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260" w:lineRule="exact"/>
        <w:textAlignment w:val="auto"/>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18</w:t>
      </w:r>
      <w:r>
        <w:fldChar w:fldCharType="end"/>
      </w:r>
    </w:p>
    <w:p>
      <w:pPr>
        <w:keepNext w:val="0"/>
        <w:keepLines w:val="0"/>
        <w:pageBreakBefore w:val="0"/>
        <w:widowControl w:val="0"/>
        <w:kinsoku/>
        <w:wordWrap/>
        <w:overflowPunct/>
        <w:topLinePunct w:val="0"/>
        <w:autoSpaceDE/>
        <w:autoSpaceDN/>
        <w:bidi w:val="0"/>
        <w:adjustRightInd/>
        <w:snapToGrid/>
        <w:spacing w:line="260" w:lineRule="exact"/>
        <w:textAlignment w:val="auto"/>
      </w:pPr>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5"/>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5"/>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rPr>
          <w:rStyle w:val="26"/>
          <w:rFonts w:ascii="仿宋" w:hAnsi="仿宋" w:eastAsia="仿宋"/>
          <w:b w:val="0"/>
          <w:bCs w:val="0"/>
        </w:rPr>
      </w:pPr>
      <w:bookmarkStart w:id="16" w:name="_Toc15377197"/>
      <w:bookmarkStart w:id="17" w:name="_Toc15396600"/>
      <w:bookmarkStart w:id="18" w:name="_Toc79163852"/>
      <w:bookmarkStart w:id="19" w:name="_Toc79163602"/>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6"/>
      <w:bookmarkEnd w:id="17"/>
      <w:bookmarkEnd w:id="18"/>
      <w:bookmarkEnd w:id="19"/>
    </w:p>
    <w:p>
      <w:pPr>
        <w:pStyle w:val="7"/>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603"/>
      <w:bookmarkStart w:id="21" w:name="_Toc79163853"/>
      <w:bookmarkStart w:id="22" w:name="_Toc15378445"/>
      <w:bookmarkStart w:id="23" w:name="_Toc15377198"/>
      <w:r>
        <w:rPr>
          <w:rFonts w:hint="eastAsia" w:ascii="仿宋" w:hAnsi="仿宋" w:eastAsia="仿宋"/>
          <w:bCs/>
          <w:color w:val="000000"/>
          <w:sz w:val="32"/>
          <w:szCs w:val="32"/>
        </w:rPr>
        <w:t>（一）主要职能。</w:t>
      </w:r>
      <w:bookmarkEnd w:id="20"/>
      <w:bookmarkEnd w:id="21"/>
    </w:p>
    <w:bookmarkEnd w:id="22"/>
    <w:bookmarkEnd w:id="23"/>
    <w:p>
      <w:pPr>
        <w:pStyle w:val="7"/>
        <w:adjustRightInd w:val="0"/>
        <w:snapToGrid w:val="0"/>
        <w:spacing w:before="93" w:line="600" w:lineRule="exact"/>
        <w:ind w:firstLine="672" w:firstLineChars="210"/>
        <w:outlineLvl w:val="2"/>
        <w:rPr>
          <w:rFonts w:hint="eastAsia" w:ascii="仿宋" w:hAnsi="仿宋" w:eastAsia="仿宋" w:cs="仿宋"/>
          <w:bCs/>
          <w:color w:val="000000"/>
          <w:sz w:val="32"/>
          <w:szCs w:val="32"/>
        </w:rPr>
      </w:pPr>
      <w:bookmarkStart w:id="24" w:name="_Toc15378446"/>
      <w:bookmarkStart w:id="25" w:name="_Toc15377199"/>
      <w:bookmarkStart w:id="26" w:name="_Toc79163604"/>
      <w:bookmarkStart w:id="27" w:name="_Toc79163854"/>
      <w:r>
        <w:rPr>
          <w:rFonts w:hint="eastAsia" w:ascii="仿宋" w:hAnsi="仿宋" w:eastAsia="仿宋" w:cs="仿宋"/>
          <w:sz w:val="32"/>
          <w:szCs w:val="32"/>
        </w:rPr>
        <w:t>彻执行国家、省、州社会保险法律法规和政策，组织实施城乡居民养老保险年度工作计划，负责经办城乡居民养老保险参保登记、</w:t>
      </w:r>
      <w:r>
        <w:rPr>
          <w:rFonts w:hint="eastAsia" w:ascii="仿宋" w:hAnsi="仿宋" w:eastAsia="仿宋" w:cs="仿宋"/>
          <w:sz w:val="32"/>
          <w:szCs w:val="32"/>
          <w:lang w:val="en-US" w:eastAsia="zh-CN"/>
        </w:rPr>
        <w:t>困难群体代缴、被征地农民“出口补贴”、</w:t>
      </w:r>
      <w:r>
        <w:rPr>
          <w:rFonts w:hint="eastAsia" w:ascii="仿宋" w:hAnsi="仿宋" w:eastAsia="仿宋" w:cs="仿宋"/>
          <w:sz w:val="32"/>
          <w:szCs w:val="32"/>
        </w:rPr>
        <w:t>基金划拨、待遇核定与支付、领取待遇资格认证、保险关系转移、档案管理、受理咨询等业务工作，</w:t>
      </w:r>
      <w:r>
        <w:rPr>
          <w:rFonts w:hint="eastAsia" w:ascii="仿宋" w:hAnsi="仿宋" w:eastAsia="仿宋" w:cs="仿宋"/>
          <w:bCs/>
          <w:color w:val="000000"/>
          <w:sz w:val="32"/>
          <w:szCs w:val="32"/>
        </w:rPr>
        <w:t>业务上受县人力资源和社会保障局的指导和监督。</w:t>
      </w:r>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rPr>
        <w:t>1年重点工作完成情况。</w:t>
      </w:r>
      <w:bookmarkEnd w:id="24"/>
      <w:bookmarkEnd w:id="25"/>
      <w:bookmarkEnd w:id="26"/>
      <w:bookmarkEnd w:id="27"/>
    </w:p>
    <w:p>
      <w:pPr>
        <w:pStyle w:val="7"/>
        <w:adjustRightInd w:val="0"/>
        <w:snapToGrid w:val="0"/>
        <w:spacing w:before="93" w:line="600" w:lineRule="exact"/>
        <w:ind w:firstLine="672" w:firstLineChars="210"/>
        <w:outlineLvl w:val="2"/>
        <w:rPr>
          <w:rFonts w:hint="eastAsia" w:ascii="仿宋" w:hAnsi="仿宋" w:eastAsia="仿宋_GB2312"/>
          <w:bCs/>
          <w:color w:val="000000"/>
          <w:sz w:val="32"/>
          <w:szCs w:val="32"/>
          <w:lang w:eastAsia="zh-CN"/>
        </w:rPr>
      </w:pPr>
      <w:r>
        <w:rPr>
          <w:rFonts w:hint="eastAsia"/>
          <w:bCs/>
          <w:color w:val="000000"/>
          <w:sz w:val="32"/>
          <w:szCs w:val="32"/>
        </w:rPr>
        <w:t>完成了城乡居民养老保险的年度</w:t>
      </w:r>
      <w:r>
        <w:rPr>
          <w:rFonts w:hint="eastAsia"/>
          <w:bCs/>
          <w:color w:val="000000"/>
          <w:sz w:val="32"/>
          <w:szCs w:val="32"/>
          <w:lang w:val="en-US" w:eastAsia="zh-CN"/>
        </w:rPr>
        <w:t>扩面覆盖</w:t>
      </w:r>
      <w:r>
        <w:rPr>
          <w:rFonts w:hint="eastAsia"/>
          <w:bCs/>
          <w:color w:val="000000"/>
          <w:sz w:val="32"/>
          <w:szCs w:val="32"/>
        </w:rPr>
        <w:t>工作；完成了</w:t>
      </w:r>
      <w:r>
        <w:rPr>
          <w:rFonts w:hint="eastAsia"/>
          <w:bCs/>
          <w:color w:val="000000"/>
          <w:sz w:val="32"/>
          <w:szCs w:val="32"/>
          <w:lang w:val="en-US" w:eastAsia="zh-CN"/>
        </w:rPr>
        <w:t>年度困难群体代缴工作；</w:t>
      </w:r>
      <w:r>
        <w:rPr>
          <w:rFonts w:hint="eastAsia"/>
          <w:bCs/>
          <w:color w:val="000000"/>
          <w:sz w:val="32"/>
          <w:szCs w:val="32"/>
        </w:rPr>
        <w:t>年度养老金领取人员待遇发放工作；完成待遇领取人员生存验证工作；完成了参保人员关系转移接续工作</w:t>
      </w:r>
      <w:r>
        <w:rPr>
          <w:rFonts w:hint="eastAsia"/>
          <w:bCs/>
          <w:color w:val="000000"/>
          <w:sz w:val="32"/>
          <w:szCs w:val="32"/>
          <w:lang w:eastAsia="zh-CN"/>
        </w:rPr>
        <w:t>。</w:t>
      </w:r>
    </w:p>
    <w:p>
      <w:pPr>
        <w:pStyle w:val="4"/>
        <w:rPr>
          <w:rStyle w:val="26"/>
          <w:b w:val="0"/>
          <w:bCs w:val="0"/>
        </w:rPr>
      </w:pPr>
      <w:bookmarkStart w:id="28" w:name="_Toc15396601"/>
      <w:bookmarkStart w:id="29" w:name="_Toc15377200"/>
      <w:bookmarkStart w:id="30" w:name="_Toc79163605"/>
      <w:bookmarkStart w:id="31" w:name="_Toc79163855"/>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8"/>
      <w:bookmarkEnd w:id="29"/>
      <w:bookmarkEnd w:id="30"/>
      <w:bookmarkEnd w:id="31"/>
    </w:p>
    <w:p>
      <w:pPr>
        <w:ind w:firstLine="800" w:firstLineChars="250"/>
        <w:rPr>
          <w:rFonts w:ascii="仿宋" w:hAnsi="仿宋" w:eastAsia="仿宋"/>
          <w:color w:val="000000"/>
          <w:sz w:val="32"/>
          <w:szCs w:val="32"/>
        </w:rPr>
      </w:pPr>
      <w:r>
        <w:rPr>
          <w:rFonts w:hint="eastAsia" w:ascii="仿宋_GB2312" w:eastAsia="仿宋_GB2312"/>
          <w:bCs/>
          <w:color w:val="000000"/>
          <w:kern w:val="0"/>
          <w:sz w:val="32"/>
          <w:szCs w:val="32"/>
        </w:rPr>
        <w:t>城乡居民养老保险事业管理局内设机构1室4股，即办公室、财务股、待遇审核股、统筹计划股、稽核股。单位核定行政编制14人，其中设局长1名，副局长2名，股长5名；办事员6名，合计14个编制，目前在职人员合计1</w:t>
      </w:r>
      <w:r>
        <w:rPr>
          <w:rFonts w:hint="eastAsia" w:ascii="仿宋_GB2312" w:eastAsia="仿宋_GB2312"/>
          <w:bCs/>
          <w:color w:val="000000"/>
          <w:kern w:val="0"/>
          <w:sz w:val="32"/>
          <w:szCs w:val="32"/>
          <w:lang w:val="en-US" w:eastAsia="zh-CN"/>
        </w:rPr>
        <w:t>4</w:t>
      </w:r>
      <w:r>
        <w:rPr>
          <w:rFonts w:hint="eastAsia" w:ascii="仿宋_GB2312" w:eastAsia="仿宋_GB2312"/>
          <w:bCs/>
          <w:color w:val="000000"/>
          <w:kern w:val="0"/>
          <w:sz w:val="32"/>
          <w:szCs w:val="32"/>
        </w:rPr>
        <w:t>人。</w:t>
      </w:r>
    </w:p>
    <w:p>
      <w:pPr>
        <w:widowControl/>
        <w:jc w:val="left"/>
        <w:rPr>
          <w:rStyle w:val="25"/>
          <w:rFonts w:ascii="黑体" w:hAnsi="黑体" w:eastAsia="黑体"/>
          <w:b w:val="0"/>
          <w:bCs w:val="0"/>
        </w:rPr>
      </w:pPr>
      <w:bookmarkStart w:id="32" w:name="_Toc79163859"/>
      <w:bookmarkStart w:id="33" w:name="_Toc15396602"/>
      <w:bookmarkStart w:id="34" w:name="_Toc79163609"/>
      <w:bookmarkStart w:id="35" w:name="_Toc15377204"/>
      <w:r>
        <w:rPr>
          <w:rFonts w:hint="eastAsia" w:ascii="黑体" w:hAnsi="黑体" w:eastAsia="黑体"/>
          <w:b w:val="0"/>
          <w:color w:val="000000"/>
          <w:sz w:val="44"/>
          <w:szCs w:val="44"/>
        </w:rPr>
        <w:t>第二部分</w:t>
      </w:r>
      <w:r>
        <w:rPr>
          <w:rFonts w:ascii="黑体" w:hAnsi="黑体" w:eastAsia="黑体"/>
          <w:color w:val="000000"/>
          <w:sz w:val="44"/>
          <w:szCs w:val="44"/>
        </w:rPr>
        <w:t xml:space="preserve"> </w:t>
      </w:r>
      <w:r>
        <w:rPr>
          <w:rStyle w:val="25"/>
          <w:rFonts w:ascii="黑体" w:hAnsi="黑体" w:eastAsia="黑体"/>
          <w:b w:val="0"/>
          <w:bCs w:val="0"/>
        </w:rPr>
        <w:t>202</w:t>
      </w:r>
      <w:r>
        <w:rPr>
          <w:rStyle w:val="25"/>
          <w:rFonts w:hint="eastAsia" w:ascii="黑体" w:hAnsi="黑体" w:eastAsia="黑体"/>
          <w:b w:val="0"/>
          <w:bCs w:val="0"/>
        </w:rPr>
        <w:t>1年度部门决算情况说明</w:t>
      </w:r>
      <w:bookmarkEnd w:id="32"/>
      <w:bookmarkEnd w:id="33"/>
      <w:bookmarkEnd w:id="34"/>
      <w:bookmarkEnd w:id="35"/>
    </w:p>
    <w:p/>
    <w:p>
      <w:pPr>
        <w:pStyle w:val="36"/>
        <w:numPr>
          <w:ilvl w:val="0"/>
          <w:numId w:val="1"/>
        </w:numPr>
        <w:spacing w:line="600" w:lineRule="exact"/>
        <w:ind w:left="1980" w:leftChars="0" w:firstLineChars="0"/>
        <w:outlineLvl w:val="1"/>
        <w:rPr>
          <w:rStyle w:val="26"/>
          <w:rFonts w:ascii="黑体" w:hAnsi="黑体" w:eastAsia="黑体"/>
          <w:b w:val="0"/>
        </w:rPr>
      </w:pPr>
      <w:bookmarkStart w:id="36" w:name="_Toc15377205"/>
      <w:bookmarkStart w:id="37" w:name="_Toc79163610"/>
      <w:bookmarkStart w:id="38" w:name="_Toc79163860"/>
      <w:bookmarkStart w:id="39"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ascii="仿宋_GB2312" w:eastAsia="仿宋_GB2312"/>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1年度收、支总</w:t>
      </w:r>
      <w:r>
        <w:rPr>
          <w:rFonts w:hint="eastAsia" w:ascii="仿宋" w:hAnsi="仿宋" w:eastAsia="仿宋"/>
          <w:color w:val="000000"/>
          <w:sz w:val="32"/>
          <w:szCs w:val="32"/>
          <w:lang w:eastAsia="zh-CN"/>
        </w:rPr>
        <w:t>计各</w:t>
      </w:r>
      <w:r>
        <w:rPr>
          <w:rFonts w:hint="eastAsia" w:ascii="仿宋" w:hAnsi="仿宋" w:eastAsia="仿宋"/>
          <w:color w:val="000000"/>
          <w:sz w:val="32"/>
          <w:szCs w:val="32"/>
          <w:lang w:val="en-US" w:eastAsia="zh-CN"/>
        </w:rPr>
        <w:t>215.15</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49.74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30.07</w:t>
      </w:r>
      <w:r>
        <w:rPr>
          <w:rFonts w:ascii="仿宋" w:hAnsi="仿宋" w:eastAsia="仿宋"/>
          <w:color w:val="000000"/>
          <w:sz w:val="32"/>
          <w:szCs w:val="32"/>
        </w:rPr>
        <w:t>%</w:t>
      </w:r>
      <w:r>
        <w:rPr>
          <w:rFonts w:hint="eastAsia" w:ascii="仿宋" w:hAnsi="仿宋" w:eastAsia="仿宋"/>
          <w:color w:val="000000"/>
          <w:sz w:val="32"/>
          <w:szCs w:val="32"/>
        </w:rPr>
        <w:t>。主要原因</w:t>
      </w:r>
      <w:r>
        <w:rPr>
          <w:rFonts w:hint="eastAsia" w:ascii="仿宋" w:hAnsi="仿宋" w:eastAsia="仿宋"/>
          <w:color w:val="000000"/>
          <w:sz w:val="32"/>
          <w:szCs w:val="32"/>
          <w:lang w:eastAsia="zh-CN"/>
        </w:rPr>
        <w:t>是人员变动</w:t>
      </w:r>
      <w:r>
        <w:rPr>
          <w:rFonts w:hint="eastAsia" w:ascii="仿宋_GB2312" w:hAnsi="仿宋" w:eastAsia="仿宋_GB2312" w:cs="仿宋"/>
          <w:sz w:val="32"/>
          <w:szCs w:val="32"/>
          <w:lang w:val="en-US" w:eastAsia="zh-CN"/>
        </w:rPr>
        <w:t>及基本工资增加</w:t>
      </w:r>
      <w:r>
        <w:rPr>
          <w:rFonts w:hint="eastAsia" w:ascii="仿宋" w:hAnsi="仿宋" w:eastAsia="仿宋"/>
          <w:color w:val="000000"/>
          <w:sz w:val="32"/>
          <w:szCs w:val="32"/>
          <w:lang w:val="en-US" w:eastAsia="zh-CN"/>
        </w:rPr>
        <w:t>。</w:t>
      </w:r>
    </w:p>
    <w:p>
      <w:pPr>
        <w:pStyle w:val="36"/>
        <w:numPr>
          <w:ilvl w:val="0"/>
          <w:numId w:val="0"/>
        </w:numPr>
        <w:spacing w:line="600" w:lineRule="exact"/>
        <w:ind w:firstLine="640" w:firstLineChars="200"/>
        <w:outlineLvl w:val="1"/>
        <w:rPr>
          <w:rStyle w:val="26"/>
          <w:rFonts w:ascii="黑体" w:hAnsi="黑体" w:eastAsia="黑体"/>
          <w:b w:val="0"/>
        </w:rPr>
      </w:pPr>
      <w:bookmarkStart w:id="40" w:name="_Toc15396604"/>
      <w:bookmarkStart w:id="41" w:name="_Toc15377206"/>
      <w:bookmarkStart w:id="42" w:name="_Toc79163861"/>
      <w:bookmarkStart w:id="43" w:name="_Toc79163611"/>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1年本年收入合计</w:t>
      </w:r>
      <w:r>
        <w:rPr>
          <w:rFonts w:hint="eastAsia" w:ascii="仿宋" w:hAnsi="仿宋" w:eastAsia="仿宋"/>
          <w:color w:val="000000"/>
          <w:sz w:val="32"/>
          <w:szCs w:val="32"/>
          <w:lang w:val="en-US" w:eastAsia="zh-CN"/>
        </w:rPr>
        <w:t>215.15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215.15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36"/>
        <w:numPr>
          <w:ilvl w:val="0"/>
          <w:numId w:val="0"/>
        </w:numPr>
        <w:spacing w:line="600" w:lineRule="exact"/>
        <w:ind w:firstLine="640" w:firstLineChars="200"/>
        <w:outlineLvl w:val="1"/>
        <w:rPr>
          <w:rStyle w:val="26"/>
          <w:rFonts w:ascii="黑体" w:hAnsi="黑体" w:eastAsia="黑体"/>
          <w:b w:val="0"/>
        </w:rPr>
      </w:pPr>
      <w:bookmarkStart w:id="44" w:name="_Toc79163862"/>
      <w:bookmarkStart w:id="45" w:name="_Toc15377207"/>
      <w:bookmarkStart w:id="46" w:name="_Toc15396605"/>
      <w:bookmarkStart w:id="47" w:name="_Toc79163612"/>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color w:val="FF0000"/>
          <w:sz w:val="32"/>
          <w:szCs w:val="32"/>
        </w:rPr>
      </w:pPr>
      <w:r>
        <w:rPr>
          <w:rFonts w:ascii="仿宋_GB2312" w:eastAsia="仿宋_GB2312"/>
          <w:sz w:val="32"/>
          <w:szCs w:val="32"/>
        </w:rPr>
        <w:t>202</w:t>
      </w:r>
      <w:r>
        <w:rPr>
          <w:rFonts w:hint="eastAsia" w:ascii="仿宋_GB2312" w:eastAsia="仿宋_GB2312"/>
          <w:sz w:val="32"/>
          <w:szCs w:val="32"/>
        </w:rPr>
        <w:t>1年本年支出合计</w:t>
      </w:r>
      <w:r>
        <w:rPr>
          <w:rFonts w:hint="eastAsia" w:ascii="仿宋_GB2312" w:eastAsia="仿宋_GB2312"/>
          <w:sz w:val="32"/>
          <w:szCs w:val="32"/>
          <w:lang w:val="en-US" w:eastAsia="zh-CN"/>
        </w:rPr>
        <w:t>215.15</w:t>
      </w:r>
      <w:r>
        <w:rPr>
          <w:rFonts w:hint="eastAsia" w:ascii="仿宋_GB2312" w:eastAsia="仿宋_GB2312"/>
          <w:sz w:val="32"/>
          <w:szCs w:val="32"/>
        </w:rPr>
        <w:t>万元，其中：基本支出</w:t>
      </w:r>
      <w:r>
        <w:rPr>
          <w:rFonts w:hint="eastAsia" w:ascii="仿宋_GB2312" w:eastAsia="仿宋_GB2312"/>
          <w:sz w:val="32"/>
          <w:szCs w:val="32"/>
          <w:lang w:val="en-US" w:eastAsia="zh-CN"/>
        </w:rPr>
        <w:t>215.15</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Style w:val="26"/>
          <w:rFonts w:ascii="黑体" w:hAnsi="黑体" w:eastAsia="黑体"/>
          <w:b w:val="0"/>
        </w:rPr>
      </w:pPr>
      <w:bookmarkStart w:id="48" w:name="_Toc15396606"/>
      <w:bookmarkStart w:id="49" w:name="_Toc79163863"/>
      <w:bookmarkStart w:id="50" w:name="_Toc15377208"/>
      <w:bookmarkStart w:id="51" w:name="_Toc79163613"/>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ascii="仿宋_GB2312" w:eastAsia="仿宋_GB2312"/>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1年财政拨款收、支总计</w:t>
      </w:r>
      <w:r>
        <w:rPr>
          <w:rFonts w:hint="eastAsia" w:ascii="仿宋" w:hAnsi="仿宋" w:eastAsia="仿宋"/>
          <w:color w:val="000000"/>
          <w:sz w:val="32"/>
          <w:szCs w:val="32"/>
          <w:lang w:eastAsia="zh-CN"/>
        </w:rPr>
        <w:t>各</w:t>
      </w:r>
      <w:r>
        <w:rPr>
          <w:rFonts w:hint="eastAsia" w:ascii="仿宋" w:hAnsi="仿宋" w:eastAsia="仿宋"/>
          <w:color w:val="000000"/>
          <w:sz w:val="32"/>
          <w:szCs w:val="32"/>
          <w:lang w:val="en-US" w:eastAsia="zh-CN"/>
        </w:rPr>
        <w:t>215.15</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年相比，财政拨款收、支总计各增加</w:t>
      </w:r>
      <w:r>
        <w:rPr>
          <w:rFonts w:hint="eastAsia" w:ascii="仿宋" w:hAnsi="仿宋" w:eastAsia="仿宋"/>
          <w:color w:val="000000"/>
          <w:sz w:val="32"/>
          <w:szCs w:val="32"/>
          <w:lang w:val="en-US" w:eastAsia="zh-CN"/>
        </w:rPr>
        <w:t>49.74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30.07</w:t>
      </w:r>
      <w:r>
        <w:rPr>
          <w:rFonts w:ascii="仿宋" w:hAnsi="仿宋" w:eastAsia="仿宋"/>
          <w:color w:val="000000"/>
          <w:sz w:val="32"/>
          <w:szCs w:val="32"/>
        </w:rPr>
        <w:t>%</w:t>
      </w:r>
      <w:r>
        <w:rPr>
          <w:rFonts w:hint="eastAsia" w:ascii="仿宋" w:hAnsi="仿宋" w:eastAsia="仿宋"/>
          <w:color w:val="000000"/>
          <w:sz w:val="32"/>
          <w:szCs w:val="32"/>
        </w:rPr>
        <w:t>。主要原因</w:t>
      </w:r>
      <w:r>
        <w:rPr>
          <w:rFonts w:hint="eastAsia" w:ascii="仿宋" w:hAnsi="仿宋" w:eastAsia="仿宋"/>
          <w:color w:val="000000"/>
          <w:sz w:val="32"/>
          <w:szCs w:val="32"/>
          <w:lang w:eastAsia="zh-CN"/>
        </w:rPr>
        <w:t>是人员变动</w:t>
      </w:r>
      <w:r>
        <w:rPr>
          <w:rFonts w:hint="eastAsia" w:ascii="仿宋_GB2312" w:hAnsi="仿宋" w:eastAsia="仿宋_GB2312" w:cs="仿宋"/>
          <w:sz w:val="32"/>
          <w:szCs w:val="32"/>
          <w:lang w:val="en-US" w:eastAsia="zh-CN"/>
        </w:rPr>
        <w:t>及基本工资增加</w:t>
      </w:r>
      <w:r>
        <w:rPr>
          <w:rFonts w:hint="eastAsia" w:ascii="仿宋" w:hAnsi="仿宋" w:eastAsia="仿宋"/>
          <w:color w:val="000000"/>
          <w:sz w:val="32"/>
          <w:szCs w:val="32"/>
          <w:lang w:val="en-US" w:eastAsia="zh-CN"/>
        </w:rPr>
        <w:t>。</w:t>
      </w:r>
    </w:p>
    <w:p>
      <w:pPr>
        <w:spacing w:line="600" w:lineRule="exact"/>
        <w:ind w:firstLine="640" w:firstLineChars="200"/>
        <w:outlineLvl w:val="1"/>
        <w:rPr>
          <w:rStyle w:val="26"/>
          <w:rFonts w:ascii="黑体" w:hAnsi="黑体" w:eastAsia="黑体"/>
          <w:b w:val="0"/>
        </w:rPr>
      </w:pPr>
      <w:bookmarkStart w:id="52" w:name="_Toc79163864"/>
      <w:bookmarkStart w:id="53" w:name="_Toc15377209"/>
      <w:bookmarkStart w:id="54" w:name="_Toc79163614"/>
      <w:bookmarkStart w:id="55"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15377210"/>
      <w:bookmarkStart w:id="57" w:name="_Toc79163865"/>
      <w:bookmarkStart w:id="58" w:name="_Toc7916361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215.15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20年相比，一般公共预算财政拨款增加</w:t>
      </w:r>
      <w:r>
        <w:rPr>
          <w:rFonts w:hint="eastAsia" w:ascii="仿宋" w:hAnsi="仿宋" w:eastAsia="仿宋"/>
          <w:color w:val="000000"/>
          <w:sz w:val="32"/>
          <w:szCs w:val="32"/>
          <w:lang w:val="en-US" w:eastAsia="zh-CN"/>
        </w:rPr>
        <w:t>49.74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30.07</w:t>
      </w:r>
      <w:r>
        <w:rPr>
          <w:rFonts w:ascii="仿宋" w:hAnsi="仿宋" w:eastAsia="仿宋"/>
          <w:color w:val="000000"/>
          <w:sz w:val="32"/>
          <w:szCs w:val="32"/>
        </w:rPr>
        <w:t>%</w:t>
      </w:r>
      <w:r>
        <w:rPr>
          <w:rFonts w:hint="eastAsia" w:ascii="仿宋" w:hAnsi="仿宋" w:eastAsia="仿宋"/>
          <w:color w:val="000000"/>
          <w:sz w:val="32"/>
          <w:szCs w:val="32"/>
        </w:rPr>
        <w:t>。主要原因</w:t>
      </w:r>
      <w:r>
        <w:rPr>
          <w:rFonts w:hint="eastAsia" w:ascii="仿宋" w:hAnsi="仿宋" w:eastAsia="仿宋"/>
          <w:color w:val="000000"/>
          <w:sz w:val="32"/>
          <w:szCs w:val="32"/>
          <w:lang w:eastAsia="zh-CN"/>
        </w:rPr>
        <w:t>是人员变动</w:t>
      </w:r>
      <w:r>
        <w:rPr>
          <w:rFonts w:hint="eastAsia" w:ascii="仿宋_GB2312" w:hAnsi="仿宋" w:eastAsia="仿宋_GB2312" w:cs="仿宋"/>
          <w:sz w:val="32"/>
          <w:szCs w:val="32"/>
          <w:lang w:val="en-US" w:eastAsia="zh-CN"/>
        </w:rPr>
        <w:t>及基本工资增加</w:t>
      </w:r>
      <w:r>
        <w:rPr>
          <w:rFonts w:hint="eastAsia" w:ascii="仿宋" w:hAnsi="仿宋" w:eastAsia="仿宋"/>
          <w:color w:val="000000"/>
          <w:sz w:val="32"/>
          <w:szCs w:val="32"/>
          <w:lang w:val="en-US" w:eastAsia="zh-CN"/>
        </w:rPr>
        <w:t>。</w:t>
      </w:r>
    </w:p>
    <w:p>
      <w:pPr>
        <w:spacing w:line="600" w:lineRule="exact"/>
        <w:ind w:firstLine="643" w:firstLineChars="200"/>
        <w:outlineLvl w:val="2"/>
        <w:rPr>
          <w:rFonts w:ascii="仿宋" w:hAnsi="仿宋" w:eastAsia="仿宋"/>
          <w:b/>
          <w:color w:val="000000"/>
          <w:sz w:val="32"/>
          <w:szCs w:val="32"/>
        </w:rPr>
      </w:pPr>
      <w:bookmarkStart w:id="59" w:name="_Toc79163866"/>
      <w:bookmarkStart w:id="60" w:name="_Toc79163616"/>
      <w:bookmarkStart w:id="61" w:name="_Toc15377211"/>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215.15</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185.15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86.05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b/>
          <w:bCs/>
          <w:color w:val="000000"/>
          <w:sz w:val="32"/>
          <w:szCs w:val="32"/>
          <w:lang w:val="en-US" w:eastAsia="zh-CN"/>
        </w:rPr>
        <w:t>11.45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5.32</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18.55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8.63</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3" w:firstLineChars="200"/>
        <w:outlineLvl w:val="2"/>
        <w:rPr>
          <w:rFonts w:ascii="仿宋" w:hAnsi="仿宋" w:eastAsia="仿宋"/>
          <w:b/>
          <w:color w:val="000000"/>
          <w:sz w:val="32"/>
          <w:szCs w:val="32"/>
        </w:rPr>
      </w:pPr>
      <w:bookmarkStart w:id="62" w:name="_Toc15377212"/>
      <w:bookmarkStart w:id="63" w:name="_Toc79163867"/>
      <w:bookmarkStart w:id="64" w:name="_Toc79163617"/>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3" w:firstLineChars="200"/>
        <w:rPr>
          <w:rFonts w:ascii="仿宋_GB2312" w:eastAsia="仿宋_GB2312"/>
          <w:b/>
          <w:bCs/>
          <w:sz w:val="32"/>
          <w:szCs w:val="32"/>
        </w:rPr>
      </w:pPr>
      <w:bookmarkStart w:id="65" w:name="_Toc15377444"/>
      <w:bookmarkStart w:id="66" w:name="_Toc15378460"/>
      <w:bookmarkStart w:id="67" w:name="_Toc15377213"/>
      <w:r>
        <w:rPr>
          <w:rFonts w:ascii="仿宋_GB2312" w:eastAsia="仿宋_GB2312"/>
          <w:b/>
          <w:bCs/>
          <w:sz w:val="32"/>
          <w:szCs w:val="32"/>
        </w:rPr>
        <w:t>202</w:t>
      </w:r>
      <w:r>
        <w:rPr>
          <w:rFonts w:hint="eastAsia" w:ascii="仿宋_GB2312" w:eastAsia="仿宋_GB2312"/>
          <w:b/>
          <w:bCs/>
          <w:sz w:val="32"/>
          <w:szCs w:val="32"/>
        </w:rPr>
        <w:t>1年一般公共预算支出决算数为</w:t>
      </w:r>
      <w:r>
        <w:rPr>
          <w:rFonts w:hint="eastAsia" w:ascii="仿宋_GB2312" w:eastAsia="仿宋_GB2312"/>
          <w:b/>
          <w:bCs/>
          <w:sz w:val="32"/>
          <w:szCs w:val="32"/>
          <w:lang w:val="en-US" w:eastAsia="zh-CN"/>
        </w:rPr>
        <w:t>215.15</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spacing w:line="600" w:lineRule="exact"/>
        <w:ind w:firstLine="643" w:firstLineChars="200"/>
        <w:rPr>
          <w:rFonts w:hint="eastAsia" w:ascii="仿宋" w:hAnsi="仿宋" w:eastAsia="仿宋"/>
          <w:b/>
          <w:color w:val="000000"/>
          <w:sz w:val="32"/>
          <w:szCs w:val="32"/>
          <w:lang w:eastAsia="zh-CN"/>
        </w:rPr>
      </w:pPr>
      <w:r>
        <w:rPr>
          <w:rStyle w:val="23"/>
          <w:rFonts w:hint="eastAsia" w:ascii="仿宋" w:hAnsi="仿宋" w:eastAsia="仿宋"/>
          <w:bCs/>
          <w:color w:val="000000"/>
          <w:sz w:val="32"/>
          <w:szCs w:val="32"/>
          <w:lang w:val="en-US" w:eastAsia="zh-CN"/>
        </w:rPr>
        <w:t>1</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社会保障和就业（类）</w:t>
      </w:r>
      <w:r>
        <w:rPr>
          <w:rStyle w:val="23"/>
          <w:rFonts w:hint="eastAsia" w:ascii="仿宋" w:hAnsi="仿宋" w:eastAsia="仿宋"/>
          <w:bCs/>
          <w:color w:val="000000"/>
          <w:sz w:val="32"/>
          <w:szCs w:val="32"/>
          <w:lang w:val="en-US" w:eastAsia="zh-CN"/>
        </w:rPr>
        <w:t>208</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01</w:t>
      </w:r>
      <w:r>
        <w:rPr>
          <w:rStyle w:val="23"/>
          <w:rFonts w:hint="eastAsia" w:ascii="仿宋" w:hAnsi="仿宋" w:eastAsia="仿宋"/>
          <w:bCs/>
          <w:color w:val="000000"/>
          <w:sz w:val="32"/>
          <w:szCs w:val="32"/>
        </w:rPr>
        <w:t>（项）</w:t>
      </w:r>
      <w:r>
        <w:rPr>
          <w:rStyle w:val="23"/>
          <w:rFonts w:hint="eastAsia" w:ascii="仿宋" w:hAnsi="仿宋" w:eastAsia="仿宋"/>
          <w:bCs/>
          <w:color w:val="000000"/>
          <w:sz w:val="32"/>
          <w:szCs w:val="32"/>
          <w:lang w:val="en-US" w:eastAsia="zh-CN"/>
        </w:rPr>
        <w:t>09</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185.15</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，决算数等于预算数的</w:t>
      </w:r>
      <w:r>
        <w:rPr>
          <w:rStyle w:val="23"/>
          <w:rFonts w:hint="eastAsia" w:ascii="仿宋" w:hAnsi="仿宋" w:eastAsia="仿宋"/>
          <w:b w:val="0"/>
          <w:bCs/>
          <w:color w:val="000000"/>
          <w:sz w:val="32"/>
          <w:szCs w:val="32"/>
          <w:lang w:eastAsia="zh-CN"/>
        </w:rPr>
        <w:t>。</w:t>
      </w:r>
    </w:p>
    <w:p>
      <w:pPr>
        <w:spacing w:line="600" w:lineRule="exact"/>
        <w:ind w:firstLine="643" w:firstLineChars="200"/>
        <w:rPr>
          <w:rStyle w:val="23"/>
          <w:rFonts w:hint="eastAsia" w:ascii="仿宋" w:hAnsi="仿宋" w:eastAsia="仿宋"/>
          <w:b w:val="0"/>
          <w:bCs/>
          <w:color w:val="000000"/>
          <w:sz w:val="32"/>
          <w:szCs w:val="32"/>
        </w:rPr>
      </w:pPr>
      <w:r>
        <w:rPr>
          <w:rStyle w:val="23"/>
          <w:rFonts w:hint="eastAsia" w:ascii="仿宋" w:hAnsi="仿宋" w:eastAsia="仿宋"/>
          <w:bCs/>
          <w:color w:val="000000"/>
          <w:sz w:val="32"/>
          <w:szCs w:val="32"/>
          <w:lang w:val="en-US" w:eastAsia="zh-CN"/>
        </w:rPr>
        <w:t>2</w:t>
      </w:r>
      <w:r>
        <w:rPr>
          <w:rStyle w:val="23"/>
          <w:rFonts w:ascii="仿宋" w:hAnsi="仿宋" w:eastAsia="仿宋"/>
          <w:bCs/>
          <w:color w:val="000000"/>
          <w:sz w:val="32"/>
          <w:szCs w:val="32"/>
        </w:rPr>
        <w:t>.</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w:t>
      </w:r>
      <w:r>
        <w:rPr>
          <w:rStyle w:val="23"/>
          <w:rFonts w:hint="eastAsia" w:ascii="仿宋" w:hAnsi="仿宋" w:eastAsia="仿宋"/>
          <w:bCs/>
          <w:color w:val="000000"/>
          <w:sz w:val="32"/>
          <w:szCs w:val="32"/>
          <w:lang w:val="en-US" w:eastAsia="zh-CN"/>
        </w:rPr>
        <w:t>210</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11</w:t>
      </w:r>
      <w:r>
        <w:rPr>
          <w:rStyle w:val="23"/>
          <w:rFonts w:hint="eastAsia" w:ascii="仿宋" w:hAnsi="仿宋" w:eastAsia="仿宋"/>
          <w:bCs/>
          <w:color w:val="000000"/>
          <w:sz w:val="32"/>
          <w:szCs w:val="32"/>
        </w:rPr>
        <w:t>（项）</w:t>
      </w:r>
      <w:r>
        <w:rPr>
          <w:rStyle w:val="23"/>
          <w:rFonts w:hint="eastAsia" w:ascii="仿宋" w:hAnsi="仿宋" w:eastAsia="仿宋"/>
          <w:bCs/>
          <w:color w:val="000000"/>
          <w:sz w:val="32"/>
          <w:szCs w:val="32"/>
          <w:lang w:val="en-US" w:eastAsia="zh-CN"/>
        </w:rPr>
        <w:t>02</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11.45</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3</w:t>
      </w:r>
      <w:r>
        <w:rPr>
          <w:rStyle w:val="23"/>
          <w:rFonts w:ascii="仿宋" w:hAnsi="仿宋" w:eastAsia="仿宋"/>
          <w:bCs/>
          <w:color w:val="000000"/>
          <w:sz w:val="32"/>
          <w:szCs w:val="32"/>
        </w:rPr>
        <w:t>.</w:t>
      </w:r>
      <w:r>
        <w:rPr>
          <w:rFonts w:hint="eastAsia" w:ascii="仿宋" w:hAnsi="仿宋" w:eastAsia="仿宋"/>
          <w:b/>
          <w:bCs/>
          <w:color w:val="000000" w:themeColor="text1"/>
          <w:sz w:val="32"/>
          <w:szCs w:val="32"/>
          <w:lang w:eastAsia="zh-CN"/>
        </w:rPr>
        <w:t>住房保障支出</w:t>
      </w:r>
      <w:r>
        <w:rPr>
          <w:rStyle w:val="23"/>
          <w:rFonts w:hint="eastAsia" w:ascii="仿宋" w:hAnsi="仿宋" w:eastAsia="仿宋"/>
          <w:bCs/>
          <w:color w:val="000000"/>
          <w:sz w:val="32"/>
          <w:szCs w:val="32"/>
        </w:rPr>
        <w:t>（类）</w:t>
      </w:r>
      <w:r>
        <w:rPr>
          <w:rStyle w:val="23"/>
          <w:rFonts w:hint="eastAsia" w:ascii="仿宋" w:hAnsi="仿宋" w:eastAsia="仿宋"/>
          <w:bCs/>
          <w:color w:val="000000"/>
          <w:sz w:val="32"/>
          <w:szCs w:val="32"/>
          <w:lang w:val="en-US" w:eastAsia="zh-CN"/>
        </w:rPr>
        <w:t>221</w:t>
      </w:r>
      <w:r>
        <w:rPr>
          <w:rStyle w:val="23"/>
          <w:rFonts w:hint="eastAsia" w:ascii="仿宋" w:hAnsi="仿宋" w:eastAsia="仿宋"/>
          <w:bCs/>
          <w:color w:val="000000"/>
          <w:sz w:val="32"/>
          <w:szCs w:val="32"/>
        </w:rPr>
        <w:t>（款）</w:t>
      </w:r>
      <w:r>
        <w:rPr>
          <w:rStyle w:val="23"/>
          <w:rFonts w:hint="eastAsia" w:ascii="仿宋" w:hAnsi="仿宋" w:eastAsia="仿宋"/>
          <w:bCs/>
          <w:color w:val="000000"/>
          <w:sz w:val="32"/>
          <w:szCs w:val="32"/>
          <w:lang w:val="en-US" w:eastAsia="zh-CN"/>
        </w:rPr>
        <w:t>02</w:t>
      </w:r>
      <w:r>
        <w:rPr>
          <w:rStyle w:val="23"/>
          <w:rFonts w:hint="eastAsia" w:ascii="仿宋" w:hAnsi="仿宋" w:eastAsia="仿宋"/>
          <w:bCs/>
          <w:color w:val="000000"/>
          <w:sz w:val="32"/>
          <w:szCs w:val="32"/>
        </w:rPr>
        <w:t>（项）</w:t>
      </w:r>
      <w:r>
        <w:rPr>
          <w:rStyle w:val="23"/>
          <w:rFonts w:hint="eastAsia" w:ascii="仿宋" w:hAnsi="仿宋" w:eastAsia="仿宋"/>
          <w:bCs/>
          <w:color w:val="000000"/>
          <w:sz w:val="32"/>
          <w:szCs w:val="32"/>
          <w:lang w:val="en-US" w:eastAsia="zh-CN"/>
        </w:rPr>
        <w:t>01</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18.55</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6"/>
        </w:rPr>
      </w:pPr>
      <w:bookmarkStart w:id="68" w:name="_Toc79163618"/>
      <w:bookmarkStart w:id="69" w:name="_Toc79163868"/>
      <w:bookmarkStart w:id="70" w:name="_Toc15396608"/>
      <w:bookmarkStart w:id="7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68"/>
      <w:bookmarkEnd w:id="69"/>
      <w:bookmarkEnd w:id="70"/>
      <w:bookmarkEnd w:id="7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w:t>
      </w:r>
      <w:r>
        <w:rPr>
          <w:rFonts w:hint="eastAsia" w:ascii="仿宋" w:hAnsi="仿宋" w:eastAsia="仿宋"/>
          <w:color w:val="000000"/>
          <w:sz w:val="32"/>
          <w:szCs w:val="32"/>
          <w:lang w:val="en-US" w:eastAsia="zh-CN"/>
        </w:rPr>
        <w:t>215.15</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202.53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12.62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72" w:name="_Toc15377215"/>
      <w:bookmarkStart w:id="73" w:name="_Toc79163869"/>
      <w:bookmarkStart w:id="74" w:name="_Toc79163619"/>
      <w:bookmarkStart w:id="75"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79163620"/>
      <w:bookmarkStart w:id="77" w:name="_Toc15377216"/>
      <w:bookmarkStart w:id="78" w:name="_Toc7916387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79" w:name="_Toc15377217"/>
      <w:bookmarkStart w:id="80" w:name="_Toc79163871"/>
      <w:bookmarkStart w:id="81" w:name="_Toc79163621"/>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numPr>
          <w:ilvl w:val="0"/>
          <w:numId w:val="2"/>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sz w:val="32"/>
          <w:szCs w:val="32"/>
          <w:lang w:val="en-US" w:eastAsia="zh-CN"/>
        </w:rPr>
        <w:t>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numPr>
          <w:ilvl w:val="0"/>
          <w:numId w:val="0"/>
        </w:num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sz w:val="32"/>
          <w:szCs w:val="32"/>
          <w:lang w:val="en-US" w:eastAsia="zh-CN"/>
        </w:rPr>
        <w:t>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hint="eastAsia" w:ascii="仿宋_GB2312" w:eastAsia="仿宋_GB2312"/>
          <w:color w:val="000000"/>
          <w:sz w:val="32"/>
          <w:szCs w:val="32"/>
          <w:lang w:val="en-US"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sz w:val="32"/>
          <w:szCs w:val="32"/>
          <w:lang w:val="en-US" w:eastAsia="zh-CN"/>
        </w:rPr>
        <w:t>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lang w:eastAsia="zh-CN"/>
        </w:rPr>
        <w:t>；</w:t>
      </w:r>
      <w:r>
        <w:rPr>
          <w:rFonts w:hint="eastAsia" w:ascii="仿宋_GB2312" w:eastAsia="仿宋_GB2312"/>
          <w:color w:val="000000"/>
          <w:sz w:val="32"/>
          <w:szCs w:val="32"/>
          <w:lang w:val="en-US" w:eastAsia="zh-CN"/>
        </w:rPr>
        <w:t>无国内公务接待支出，无外事接待支出</w:t>
      </w:r>
      <w:bookmarkStart w:id="82" w:name="_Toc79163622"/>
      <w:bookmarkStart w:id="83" w:name="_Toc79163872"/>
      <w:bookmarkStart w:id="84" w:name="_Toc15377218"/>
      <w:bookmarkStart w:id="85" w:name="_Toc15396610"/>
      <w:r>
        <w:rPr>
          <w:rFonts w:hint="eastAsia" w:ascii="仿宋_GB2312" w:eastAsia="仿宋_GB2312"/>
          <w:color w:val="000000"/>
          <w:sz w:val="32"/>
          <w:szCs w:val="32"/>
          <w:lang w:val="en-US" w:eastAsia="zh-CN"/>
        </w:rPr>
        <w:t>。</w:t>
      </w:r>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6"/>
          <w:rFonts w:ascii="黑体" w:hAnsi="黑体" w:eastAsia="黑体"/>
          <w:b w:val="0"/>
        </w:rPr>
      </w:pPr>
      <w:bookmarkStart w:id="86" w:name="_Toc79163623"/>
      <w:bookmarkStart w:id="87" w:name="_Toc79163873"/>
      <w:bookmarkStart w:id="88" w:name="_Toc15377219"/>
      <w:bookmarkStart w:id="89" w:name="_Toc15396611"/>
      <w:r>
        <w:rPr>
          <w:rStyle w:val="26"/>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eastAsia="黑体"/>
        </w:rPr>
      </w:pPr>
      <w:bookmarkStart w:id="90" w:name="_Toc15396612"/>
      <w:bookmarkStart w:id="91" w:name="_Toc79163874"/>
      <w:bookmarkStart w:id="92" w:name="_Toc15377221"/>
      <w:bookmarkStart w:id="93" w:name="_Toc79163624"/>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79163875"/>
      <w:bookmarkStart w:id="95" w:name="_Toc15377222"/>
      <w:bookmarkStart w:id="96" w:name="_Toc79163625"/>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eastAsia="zh-CN"/>
        </w:rPr>
        <w:t>松潘县城乡居民养老保险事业管理局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15377223"/>
      <w:bookmarkStart w:id="98" w:name="_Toc79163876"/>
      <w:bookmarkStart w:id="99" w:name="_Toc79163626"/>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eastAsia="zh-CN"/>
        </w:rPr>
        <w:t>松潘县城乡居民养老保险事业管理局无</w:t>
      </w:r>
      <w:r>
        <w:rPr>
          <w:rFonts w:hint="eastAsia" w:ascii="仿宋_GB2312" w:eastAsia="仿宋_GB2312"/>
          <w:color w:val="000000"/>
          <w:sz w:val="32"/>
          <w:szCs w:val="32"/>
        </w:rPr>
        <w:t>政府采购支出。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79163877"/>
      <w:bookmarkStart w:id="101" w:name="_Toc79163627"/>
      <w:bookmarkStart w:id="102" w:name="_Toc15377224"/>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松潘县城乡居民养老保险事业管理局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628"/>
      <w:bookmarkStart w:id="104" w:name="_Toc79163878"/>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1.本部门因为没有</w:t>
      </w:r>
      <w:r>
        <w:rPr>
          <w:rFonts w:hint="eastAsia" w:ascii="仿宋_GB2312" w:hAnsi="仿宋_GB2312" w:eastAsia="仿宋_GB2312" w:cs="仿宋_GB2312"/>
          <w:color w:val="000000" w:themeColor="text1"/>
          <w:sz w:val="32"/>
          <w:szCs w:val="32"/>
          <w:lang w:val="en-US" w:eastAsia="zh-CN"/>
        </w:rPr>
        <w:t>项目</w:t>
      </w:r>
      <w:r>
        <w:rPr>
          <w:rFonts w:hint="eastAsia" w:ascii="仿宋_GB2312" w:hAnsi="仿宋_GB2312" w:eastAsia="仿宋_GB2312" w:cs="仿宋_GB2312"/>
          <w:sz w:val="32"/>
          <w:szCs w:val="32"/>
          <w:lang w:val="en-US" w:eastAsia="zh-CN"/>
        </w:rPr>
        <w:t>，所以未开展项目支出绩效评价。</w:t>
      </w:r>
    </w:p>
    <w:p>
      <w:pPr>
        <w:widowControl/>
        <w:spacing w:line="540" w:lineRule="exact"/>
        <w:ind w:firstLine="640" w:firstLineChars="200"/>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年部门整体支出开展绩效自评，从评价情况来看</w:t>
      </w:r>
      <w:r>
        <w:rPr>
          <w:rFonts w:hint="eastAsia" w:ascii="仿宋_GB2312" w:eastAsia="仿宋_GB2312" w:cs="宋体"/>
          <w:color w:val="000000"/>
          <w:sz w:val="32"/>
          <w:szCs w:val="32"/>
          <w:lang w:val="en-US" w:eastAsia="zh-CN" w:bidi="ar-SA"/>
        </w:rPr>
        <w:t>2021</w:t>
      </w:r>
      <w:r>
        <w:rPr>
          <w:rFonts w:hint="eastAsia" w:ascii="仿宋_GB2312" w:eastAsia="仿宋_GB2312" w:cs="宋体"/>
          <w:color w:val="000000"/>
          <w:sz w:val="32"/>
          <w:szCs w:val="32"/>
          <w:lang w:bidi="ar-SA"/>
        </w:rPr>
        <w:t>年我部门预算执行整体情况正常，按照各项工作有序开展的进度，财政资金收支情况同时也按进度执行。</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松潘县城乡居民养老保险事业管理局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年部门整体支出绩效评价报告》见附件（附件1）</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pPr>
    </w:p>
    <w:p>
      <w:pPr>
        <w:widowControl/>
        <w:jc w:val="left"/>
        <w:rPr>
          <w:rFonts w:ascii="仿宋_GB2312" w:eastAsia="仿宋_GB2312"/>
          <w:b/>
          <w:color w:val="000000"/>
          <w:sz w:val="32"/>
          <w:szCs w:val="32"/>
        </w:rPr>
      </w:pPr>
    </w:p>
    <w:p>
      <w:pPr>
        <w:pStyle w:val="2"/>
        <w:rPr>
          <w:rFonts w:ascii="仿宋_GB2312" w:eastAsia="仿宋_GB2312"/>
          <w:b/>
          <w:color w:val="000000"/>
          <w:sz w:val="32"/>
          <w:szCs w:val="32"/>
        </w:rPr>
      </w:pPr>
    </w:p>
    <w:p>
      <w:pPr>
        <w:rPr>
          <w:rFonts w:ascii="仿宋_GB2312" w:eastAsia="仿宋_GB2312"/>
          <w:b/>
          <w:color w:val="000000"/>
          <w:sz w:val="32"/>
          <w:szCs w:val="32"/>
        </w:rPr>
      </w:pPr>
    </w:p>
    <w:p>
      <w:pPr>
        <w:pStyle w:val="2"/>
        <w:rPr>
          <w:rFonts w:ascii="仿宋_GB2312" w:eastAsia="仿宋_GB2312"/>
          <w:b/>
          <w:color w:val="000000"/>
          <w:sz w:val="32"/>
          <w:szCs w:val="32"/>
        </w:rPr>
      </w:pPr>
    </w:p>
    <w:p>
      <w:pPr>
        <w:rPr>
          <w:rFonts w:ascii="仿宋_GB2312" w:eastAsia="仿宋_GB2312"/>
          <w:b/>
          <w:color w:val="000000"/>
          <w:sz w:val="32"/>
          <w:szCs w:val="32"/>
        </w:rPr>
      </w:pPr>
    </w:p>
    <w:p>
      <w:pPr>
        <w:pStyle w:val="2"/>
        <w:rPr>
          <w:rFonts w:ascii="仿宋_GB2312" w:eastAsia="仿宋_GB2312"/>
          <w:b/>
          <w:color w:val="000000"/>
          <w:sz w:val="32"/>
          <w:szCs w:val="32"/>
        </w:rPr>
      </w:pPr>
    </w:p>
    <w:p>
      <w:pPr>
        <w:rPr>
          <w:rFonts w:ascii="仿宋_GB2312" w:eastAsia="仿宋_GB2312"/>
          <w:b/>
          <w:color w:val="000000"/>
          <w:sz w:val="32"/>
          <w:szCs w:val="32"/>
        </w:rPr>
      </w:pPr>
    </w:p>
    <w:p>
      <w:pPr>
        <w:pStyle w:val="2"/>
      </w:pPr>
    </w:p>
    <w:p>
      <w:pPr>
        <w:numPr>
          <w:ilvl w:val="0"/>
          <w:numId w:val="4"/>
        </w:numPr>
        <w:spacing w:line="600" w:lineRule="exact"/>
        <w:ind w:firstLine="660" w:firstLineChars="150"/>
        <w:jc w:val="center"/>
        <w:outlineLvl w:val="0"/>
        <w:rPr>
          <w:rStyle w:val="25"/>
          <w:rFonts w:ascii="黑体" w:hAnsi="黑体" w:eastAsia="黑体"/>
          <w:b w:val="0"/>
        </w:rPr>
      </w:pPr>
      <w:bookmarkStart w:id="105" w:name="_Toc79163629"/>
      <w:bookmarkStart w:id="106" w:name="_Toc15377225"/>
      <w:bookmarkStart w:id="107" w:name="_Toc79163879"/>
      <w:bookmarkStart w:id="108"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5"/>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财政拨款收入：指单位从同级财政部门取得的财政预算资金。</w:t>
      </w:r>
    </w:p>
    <w:p>
      <w:pPr>
        <w:pStyle w:val="35"/>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事业收入：指事业单位开展专业业务活动及辅助活动取得的收入。</w:t>
      </w:r>
    </w:p>
    <w:p>
      <w:pPr>
        <w:pStyle w:val="35"/>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经营收入：指事业单位在专业业务活动及其辅助活动之外开展非独立核算经营活动取得的收入。</w:t>
      </w:r>
    </w:p>
    <w:p>
      <w:pPr>
        <w:pStyle w:val="35"/>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5"/>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5"/>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5"/>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结余分配：指事业单位按照会计制度规定缴纳的所得税、提取的专用结余以及转入非财政拨款结余的金额等。</w:t>
      </w:r>
    </w:p>
    <w:p>
      <w:pPr>
        <w:pStyle w:val="35"/>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年末结转和结余：指单位按有关规定结转到下年或以后年度继续使用的资金。</w:t>
      </w:r>
    </w:p>
    <w:p>
      <w:pPr>
        <w:numPr>
          <w:ilvl w:val="0"/>
          <w:numId w:val="5"/>
        </w:numPr>
        <w:ind w:left="0" w:leftChars="0" w:firstLine="640" w:firstLineChars="200"/>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numPr>
          <w:ilvl w:val="0"/>
          <w:numId w:val="5"/>
        </w:numPr>
        <w:ind w:left="0" w:leftChars="0" w:firstLine="640" w:firstLineChars="200"/>
        <w:rPr>
          <w:rFonts w:ascii="仿宋_GB2312" w:eastAsia="仿宋_GB2312"/>
          <w:color w:val="000000"/>
          <w:sz w:val="32"/>
          <w:szCs w:val="32"/>
        </w:rPr>
      </w:pP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numPr>
          <w:ilvl w:val="0"/>
          <w:numId w:val="5"/>
        </w:numPr>
        <w:ind w:left="0" w:leftChars="0" w:firstLine="640" w:firstLineChars="200"/>
        <w:rPr>
          <w:rFonts w:ascii="仿宋_GB2312" w:eastAsia="仿宋_GB2312"/>
          <w:color w:val="000000"/>
          <w:sz w:val="32"/>
          <w:szCs w:val="32"/>
        </w:rPr>
      </w:pPr>
      <w:r>
        <w:rPr>
          <w:rFonts w:hint="eastAsia" w:ascii="仿宋_GB2312" w:eastAsia="仿宋_GB2312"/>
          <w:color w:val="000000"/>
          <w:sz w:val="32"/>
          <w:szCs w:val="32"/>
        </w:rPr>
        <w:t>经营支出：指事业单位在专业业务活动及其辅助活动之外开展非独立核算经营活动发生的支出。</w:t>
      </w:r>
    </w:p>
    <w:p>
      <w:pPr>
        <w:pStyle w:val="35"/>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numPr>
          <w:ilvl w:val="0"/>
          <w:numId w:val="5"/>
        </w:numPr>
        <w:spacing w:line="560" w:lineRule="exact"/>
        <w:ind w:left="0" w:leftChars="0" w:firstLine="640" w:firstLineChars="200"/>
        <w:rPr>
          <w:rFonts w:hint="eastAsia" w:ascii="仿宋_GB2312" w:eastAsia="仿宋_GB2312"/>
          <w:sz w:val="32"/>
          <w:szCs w:val="32"/>
        </w:rPr>
      </w:pP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09" w:name="_Toc15396614"/>
      <w:bookmarkStart w:id="110" w:name="_Toc79163880"/>
      <w:bookmarkStart w:id="111" w:name="_Toc79163630"/>
      <w:bookmarkStart w:id="112" w:name="_Toc15377226"/>
    </w:p>
    <w:p>
      <w:pPr>
        <w:pStyle w:val="35"/>
        <w:spacing w:line="560" w:lineRule="exact"/>
        <w:ind w:firstLine="640" w:firstLineChars="200"/>
        <w:rPr>
          <w:rFonts w:hint="eastAsia" w:ascii="仿宋_GB2312" w:eastAsia="仿宋_GB2312"/>
          <w:sz w:val="32"/>
          <w:szCs w:val="32"/>
        </w:rPr>
      </w:pPr>
    </w:p>
    <w:p>
      <w:pPr>
        <w:pStyle w:val="35"/>
        <w:spacing w:line="560" w:lineRule="exact"/>
        <w:ind w:firstLine="640" w:firstLineChars="200"/>
        <w:rPr>
          <w:rFonts w:hint="eastAsia" w:ascii="仿宋_GB2312" w:eastAsia="仿宋_GB2312"/>
          <w:sz w:val="32"/>
          <w:szCs w:val="32"/>
        </w:rPr>
      </w:pPr>
    </w:p>
    <w:p>
      <w:pPr>
        <w:pStyle w:val="35"/>
        <w:spacing w:line="560" w:lineRule="exact"/>
        <w:ind w:firstLine="640" w:firstLineChars="200"/>
        <w:rPr>
          <w:rFonts w:hint="eastAsia" w:ascii="仿宋_GB2312" w:eastAsia="仿宋_GB2312"/>
          <w:sz w:val="32"/>
          <w:szCs w:val="32"/>
        </w:rPr>
      </w:pPr>
    </w:p>
    <w:p>
      <w:pPr>
        <w:pStyle w:val="35"/>
        <w:spacing w:line="560" w:lineRule="exact"/>
        <w:ind w:firstLine="640" w:firstLineChars="200"/>
        <w:rPr>
          <w:rFonts w:hint="eastAsia" w:ascii="仿宋_GB2312" w:eastAsia="仿宋_GB2312"/>
          <w:sz w:val="32"/>
          <w:szCs w:val="32"/>
        </w:rPr>
      </w:pPr>
    </w:p>
    <w:p>
      <w:pPr>
        <w:pStyle w:val="35"/>
        <w:spacing w:line="560" w:lineRule="exact"/>
        <w:ind w:firstLine="640" w:firstLineChars="200"/>
        <w:rPr>
          <w:rFonts w:hint="eastAsia" w:ascii="仿宋_GB2312" w:eastAsia="仿宋_GB2312"/>
          <w:sz w:val="32"/>
          <w:szCs w:val="32"/>
        </w:rPr>
      </w:pPr>
    </w:p>
    <w:p>
      <w:pPr>
        <w:pStyle w:val="35"/>
        <w:spacing w:line="560" w:lineRule="exact"/>
        <w:ind w:firstLine="640" w:firstLineChars="200"/>
        <w:rPr>
          <w:rFonts w:hint="eastAsia" w:ascii="仿宋_GB2312" w:eastAsia="仿宋_GB2312"/>
          <w:sz w:val="32"/>
          <w:szCs w:val="32"/>
        </w:rPr>
      </w:pPr>
    </w:p>
    <w:p>
      <w:pPr>
        <w:pStyle w:val="35"/>
        <w:spacing w:line="560" w:lineRule="exact"/>
        <w:ind w:firstLine="640" w:firstLineChars="200"/>
        <w:rPr>
          <w:rFonts w:hint="eastAsia" w:ascii="仿宋_GB2312" w:eastAsia="仿宋_GB2312"/>
          <w:sz w:val="32"/>
          <w:szCs w:val="32"/>
        </w:rPr>
      </w:pPr>
    </w:p>
    <w:p>
      <w:pPr>
        <w:pStyle w:val="35"/>
        <w:spacing w:line="560" w:lineRule="exact"/>
        <w:ind w:firstLine="640" w:firstLineChars="200"/>
        <w:rPr>
          <w:rFonts w:hint="eastAsia" w:ascii="仿宋_GB2312" w:eastAsia="仿宋_GB2312"/>
          <w:sz w:val="32"/>
          <w:szCs w:val="32"/>
        </w:rPr>
      </w:pPr>
    </w:p>
    <w:p>
      <w:pPr>
        <w:pStyle w:val="35"/>
        <w:spacing w:line="560" w:lineRule="exact"/>
        <w:ind w:firstLine="640" w:firstLineChars="200"/>
        <w:rPr>
          <w:rFonts w:hint="eastAsia" w:ascii="仿宋_GB2312" w:eastAsia="仿宋_GB2312"/>
          <w:sz w:val="32"/>
          <w:szCs w:val="32"/>
        </w:rPr>
      </w:pPr>
    </w:p>
    <w:p>
      <w:pPr>
        <w:pStyle w:val="35"/>
        <w:spacing w:line="560" w:lineRule="exact"/>
        <w:ind w:firstLine="640" w:firstLineChars="200"/>
        <w:rPr>
          <w:rFonts w:hint="eastAsia" w:ascii="仿宋_GB2312" w:eastAsia="仿宋_GB2312"/>
          <w:sz w:val="32"/>
          <w:szCs w:val="32"/>
        </w:rPr>
      </w:pPr>
    </w:p>
    <w:p>
      <w:pPr>
        <w:pStyle w:val="35"/>
        <w:spacing w:line="560" w:lineRule="exact"/>
        <w:jc w:val="center"/>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四部分</w:t>
      </w:r>
      <w:r>
        <w:rPr>
          <w:rStyle w:val="25"/>
          <w:rFonts w:ascii="黑体" w:hAnsi="黑体" w:eastAsia="黑体"/>
          <w:b w:val="0"/>
        </w:rPr>
        <w:t xml:space="preserve"> </w:t>
      </w:r>
      <w:r>
        <w:rPr>
          <w:rStyle w:val="25"/>
          <w:rFonts w:hint="eastAsia" w:ascii="黑体" w:hAnsi="黑体" w:eastAsia="黑体"/>
          <w:b w:val="0"/>
        </w:rPr>
        <w:t>附件</w:t>
      </w:r>
      <w:bookmarkEnd w:id="109"/>
      <w:bookmarkEnd w:id="110"/>
      <w:bookmarkEnd w:id="111"/>
    </w:p>
    <w:p>
      <w:pPr>
        <w:spacing w:line="600" w:lineRule="exact"/>
        <w:jc w:val="left"/>
        <w:outlineLvl w:val="0"/>
        <w:rPr>
          <w:rFonts w:ascii="方正小标宋简体" w:hAnsi="方正小标宋简体" w:eastAsia="方正小标宋简体" w:cs="方正小标宋简体"/>
          <w:sz w:val="32"/>
          <w:szCs w:val="32"/>
        </w:rPr>
      </w:pPr>
      <w:bookmarkStart w:id="113" w:name="_Toc79163631"/>
      <w:bookmarkStart w:id="114" w:name="_Toc7916388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黑体" w:hAnsi="宋体" w:eastAsia="黑体" w:cs="宋体"/>
          <w:color w:val="000000"/>
          <w:kern w:val="0"/>
          <w:sz w:val="32"/>
          <w:szCs w:val="32"/>
          <w:shd w:val="clear" w:color="auto" w:fill="FFFFFF"/>
          <w:lang w:val="zh-CN"/>
        </w:rPr>
      </w:pPr>
      <w:bookmarkStart w:id="115" w:name="_Toc79163632"/>
      <w:bookmarkStart w:id="116" w:name="_Toc79163882"/>
      <w:r>
        <w:rPr>
          <w:rFonts w:hint="eastAsia" w:ascii="方正小标宋简体" w:hAnsi="黑体" w:eastAsia="方正小标宋简体" w:cs="黑体"/>
          <w:sz w:val="44"/>
          <w:szCs w:val="44"/>
          <w:lang w:eastAsia="zh-CN"/>
        </w:rPr>
        <w:t>松潘县城乡居民养老保险事业管理局</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rPr>
        <w:t>1年部门整体支出绩效评价报告</w:t>
      </w:r>
      <w:bookmarkEnd w:id="115"/>
      <w:bookmarkEnd w:id="116"/>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松潘县</w:t>
      </w:r>
      <w:r>
        <w:rPr>
          <w:rFonts w:hint="eastAsia" w:ascii="仿宋_GB2312" w:hAnsi="仿宋" w:eastAsia="仿宋_GB2312" w:cs="仿宋"/>
          <w:sz w:val="28"/>
          <w:szCs w:val="28"/>
          <w:lang w:eastAsia="zh-CN"/>
        </w:rPr>
        <w:t>城乡居民养老保险事业管理局</w:t>
      </w:r>
      <w:r>
        <w:rPr>
          <w:rFonts w:hint="eastAsia" w:ascii="仿宋_GB2312" w:hAnsi="仿宋" w:eastAsia="仿宋_GB2312" w:cs="仿宋"/>
          <w:sz w:val="28"/>
          <w:szCs w:val="28"/>
        </w:rPr>
        <w:t>设</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个内设机构：</w:t>
      </w:r>
    </w:p>
    <w:p>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一</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办公室</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承办局领导活动事宜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负责综合性调研工作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承担综合协调职责，拟定工作制度、工作计划并负责督促检查</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负责局领导指示和会议决定事项的督办工作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负责全局会议的组织、文件起草、公文审核、文电处理、机要档案、秘书事务和联络接待工作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6、负责单位人事编制工作。</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7、负责单位文明创建、综治、信访、后勤工作。</w:t>
      </w:r>
    </w:p>
    <w:p>
      <w:pPr>
        <w:ind w:firstLine="560" w:firstLineChars="200"/>
        <w:rPr>
          <w:rFonts w:hint="eastAsia" w:ascii="仿宋_GB2312" w:hAnsi="仿宋" w:eastAsia="仿宋_GB2312" w:cs="仿宋"/>
          <w:sz w:val="28"/>
          <w:szCs w:val="28"/>
          <w:lang w:eastAsia="zh-CN"/>
        </w:rPr>
      </w:pPr>
      <w:r>
        <w:rPr>
          <w:rFonts w:hint="eastAsia" w:ascii="仿宋_GB2312" w:hAnsi="仿宋" w:eastAsia="仿宋_GB2312" w:cs="仿宋"/>
          <w:sz w:val="28"/>
          <w:szCs w:val="28"/>
        </w:rPr>
        <w:t>（二）</w:t>
      </w:r>
      <w:r>
        <w:rPr>
          <w:rFonts w:hint="eastAsia" w:ascii="仿宋_GB2312" w:hAnsi="仿宋" w:eastAsia="仿宋_GB2312" w:cs="仿宋"/>
          <w:sz w:val="28"/>
          <w:szCs w:val="28"/>
          <w:lang w:eastAsia="zh-CN"/>
        </w:rPr>
        <w:t>财务股</w:t>
      </w:r>
    </w:p>
    <w:p>
      <w:pPr>
        <w:ind w:firstLine="560" w:firstLineChars="200"/>
        <w:rPr>
          <w:rFonts w:hint="eastAsia" w:ascii="仿宋_GB2312" w:eastAsia="仿宋_GB2312"/>
          <w:sz w:val="32"/>
          <w:szCs w:val="32"/>
          <w:lang w:eastAsia="zh-CN"/>
        </w:rPr>
      </w:pPr>
      <w:r>
        <w:rPr>
          <w:rFonts w:hint="eastAsia" w:ascii="仿宋_GB2312" w:hAnsi="仿宋" w:eastAsia="仿宋_GB2312" w:cs="仿宋"/>
          <w:sz w:val="28"/>
          <w:szCs w:val="28"/>
          <w:lang w:val="en-US" w:eastAsia="zh-CN"/>
        </w:rPr>
        <w:t>1、</w:t>
      </w:r>
      <w:r>
        <w:rPr>
          <w:rFonts w:hint="eastAsia" w:ascii="仿宋_GB2312" w:eastAsia="仿宋_GB2312"/>
          <w:sz w:val="32"/>
          <w:szCs w:val="32"/>
          <w:lang w:eastAsia="zh-CN"/>
        </w:rPr>
        <w:t>贯彻执行党和国家有关财务管理的政策法规和制度以及社会保险基金管理的具体政策和规定。</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编制松潘县城乡居民养老保险基金预算和决算报告。</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负责农村居民养老保险和城镇居民养老保险基金在记账和对账后及时划入城乡居民养老保险基金财政专户。</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记录、计算、反映基金财务的收支运营情况。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贯彻执行基金财务报表制度，编制各类会计报表。</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支付养老保险待遇，记录城乡居民的缴费情况。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管理城乡居民养老保险基金的各种会计凭证、账簿、报表等会计档案。</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负责单位人员经费等财务工作。</w:t>
      </w:r>
    </w:p>
    <w:p>
      <w:pPr>
        <w:ind w:firstLine="640" w:firstLineChars="200"/>
        <w:rPr>
          <w:rFonts w:hint="eastAsia" w:ascii="楷体_GB2312" w:hAnsi="楷体_GB2312" w:eastAsia="楷体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楷体_GB2312" w:hAnsi="楷体_GB2312" w:eastAsia="楷体_GB2312"/>
          <w:sz w:val="32"/>
          <w:szCs w:val="32"/>
          <w:lang w:eastAsia="zh-CN"/>
        </w:rPr>
        <w:t>待遇审核股</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负责</w:t>
      </w:r>
      <w:r>
        <w:rPr>
          <w:rFonts w:hint="eastAsia" w:ascii="仿宋_GB2312" w:eastAsia="仿宋_GB2312"/>
          <w:sz w:val="32"/>
          <w:szCs w:val="32"/>
          <w:lang w:val="en-US" w:eastAsia="zh-CN"/>
        </w:rPr>
        <w:t>60周岁以上符合领取待遇人员养老保险待遇的核定与调整。</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2、对待遇领取实施社会化发放。</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3、负责掌握待遇领取人员生存状况。</w:t>
      </w:r>
    </w:p>
    <w:p>
      <w:pPr>
        <w:ind w:firstLine="640" w:firstLineChars="200"/>
        <w:rPr>
          <w:rFonts w:hint="eastAsia" w:ascii="楷体_GB2312" w:hAnsi="楷体_GB2312" w:eastAsia="楷体_GB2312"/>
          <w:sz w:val="32"/>
          <w:szCs w:val="32"/>
          <w:lang w:val="en-US" w:eastAsia="zh-CN"/>
        </w:rPr>
      </w:pPr>
      <w:r>
        <w:rPr>
          <w:rFonts w:hint="eastAsia" w:ascii="楷体_GB2312" w:hAnsi="楷体_GB2312" w:eastAsia="楷体_GB2312"/>
          <w:sz w:val="32"/>
          <w:szCs w:val="32"/>
          <w:lang w:val="en-US" w:eastAsia="zh-CN"/>
        </w:rPr>
        <w:t>（四）统筹计划股</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1、认真贯彻执行城乡居民养老保险统筹政策，拟定测算城乡居民养老保险基金的征收方案并向局财务股提供执行统筹数据。</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2、负责全县城乡居民养老保险参保人员缴费档次的审核，并建立健全全县参保人员的个人账户。</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3、主要审核、检查、指导各乡镇、村办理相关参保手续，引导各乡镇城乡居民养老保险保费的积极参保缴费等。</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4、负责及时准确地报送各种有关资料及报表。</w:t>
      </w:r>
    </w:p>
    <w:p>
      <w:pPr>
        <w:ind w:firstLine="640" w:firstLineChars="200"/>
        <w:rPr>
          <w:rFonts w:hint="eastAsia" w:ascii="楷体_GB2312" w:hAnsi="楷体_GB2312" w:eastAsia="楷体_GB2312"/>
          <w:sz w:val="32"/>
          <w:szCs w:val="32"/>
          <w:lang w:val="en-US" w:eastAsia="zh-CN"/>
        </w:rPr>
      </w:pPr>
      <w:r>
        <w:rPr>
          <w:rFonts w:hint="eastAsia" w:ascii="楷体_GB2312" w:hAnsi="楷体_GB2312" w:eastAsia="楷体_GB2312"/>
          <w:sz w:val="32"/>
          <w:szCs w:val="32"/>
          <w:lang w:val="en-US" w:eastAsia="zh-CN"/>
        </w:rPr>
        <w:t>（五）稽核股</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1、对城乡居民养老保险参保登记、缴费记录、基金安全、养老保险资格认证。</w:t>
      </w:r>
    </w:p>
    <w:p>
      <w:pPr>
        <w:ind w:firstLine="640" w:firstLineChars="200"/>
        <w:rPr>
          <w:rFonts w:hint="eastAsia" w:ascii="仿宋_GB2312" w:hAnsi="仿宋" w:eastAsia="仿宋_GB2312" w:cs="仿宋"/>
          <w:bCs/>
          <w:sz w:val="28"/>
          <w:szCs w:val="28"/>
          <w:lang w:eastAsia="zh-CN"/>
        </w:rPr>
      </w:pPr>
      <w:r>
        <w:rPr>
          <w:rFonts w:hint="eastAsia" w:ascii="仿宋_GB2312" w:eastAsia="仿宋_GB2312"/>
          <w:sz w:val="32"/>
          <w:szCs w:val="32"/>
          <w:lang w:val="en-US" w:eastAsia="zh-CN"/>
        </w:rPr>
        <w:t>2、待遇支付等各项业务活动进行稽核。</w:t>
      </w:r>
    </w:p>
    <w:p>
      <w:pPr>
        <w:pStyle w:val="8"/>
        <w:spacing w:line="240" w:lineRule="auto"/>
        <w:ind w:firstLine="643" w:firstLineChars="200"/>
        <w:jc w:val="left"/>
        <w:rPr>
          <w:rFonts w:hint="eastAsia" w:ascii="仿宋_GB2312"/>
          <w:b/>
          <w:szCs w:val="32"/>
        </w:rPr>
      </w:pPr>
      <w:r>
        <w:rPr>
          <w:rFonts w:hint="eastAsia" w:ascii="仿宋_GB2312"/>
          <w:b/>
          <w:szCs w:val="32"/>
        </w:rPr>
        <w:t>（二）机构职能</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贯彻执行国家、省、州社会保险法律法规和政策，组织实施城乡居民养老保险年度工作计划。</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负责经办城乡居民养老保险参保登记、保费收缴、基金划拨、待遇核定与支付、领取待遇资格认证、保险关系转移、档案管理、受理咨询等业务工作。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负责参保人个人账户建立与管理。</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负责城乡居民养老保险的扩面续保工作。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负责城乡居民养老保险基金的管理结算工作。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编制城乡居民养老保险基金预决算。</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负责</w:t>
      </w:r>
      <w:r>
        <w:rPr>
          <w:rFonts w:hint="eastAsia" w:ascii="仿宋_GB2312" w:eastAsia="仿宋_GB2312"/>
          <w:sz w:val="32"/>
          <w:szCs w:val="32"/>
          <w:lang w:eastAsia="zh-CN"/>
        </w:rPr>
        <w:t>城乡居民养老保险</w:t>
      </w:r>
      <w:r>
        <w:rPr>
          <w:rFonts w:hint="eastAsia" w:ascii="仿宋_GB2312" w:eastAsia="仿宋_GB2312"/>
          <w:sz w:val="32"/>
          <w:szCs w:val="32"/>
        </w:rPr>
        <w:t>的信息和统计分析工作。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承办上级机关交办的其他工作。</w:t>
      </w:r>
    </w:p>
    <w:p>
      <w:pPr>
        <w:ind w:firstLine="643" w:firstLineChars="200"/>
        <w:rPr>
          <w:rFonts w:hint="eastAsia" w:ascii="仿宋_GB2312" w:eastAsia="仿宋_GB2312"/>
          <w:b/>
          <w:sz w:val="32"/>
          <w:szCs w:val="32"/>
        </w:rPr>
      </w:pPr>
      <w:r>
        <w:rPr>
          <w:rFonts w:hint="eastAsia" w:ascii="仿宋_GB2312" w:eastAsia="仿宋_GB2312"/>
          <w:b/>
          <w:sz w:val="32"/>
          <w:szCs w:val="32"/>
        </w:rPr>
        <w:t>（三）人员概况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333333"/>
          <w:kern w:val="0"/>
          <w:sz w:val="32"/>
          <w:szCs w:val="32"/>
        </w:rPr>
        <w:t>松潘县</w:t>
      </w:r>
      <w:r>
        <w:rPr>
          <w:rFonts w:hint="eastAsia" w:ascii="仿宋_GB2312" w:hAnsi="仿宋_GB2312" w:eastAsia="仿宋_GB2312" w:cs="仿宋_GB2312"/>
          <w:color w:val="333333"/>
          <w:kern w:val="0"/>
          <w:sz w:val="32"/>
          <w:szCs w:val="32"/>
          <w:lang w:val="en-US" w:eastAsia="zh-CN"/>
        </w:rPr>
        <w:t>城乡居民养老保险事业管理局成立于2010</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w:t>
      </w:r>
      <w:r>
        <w:rPr>
          <w:rFonts w:hint="eastAsia" w:ascii="仿宋_GB2312" w:eastAsia="仿宋_GB2312"/>
          <w:sz w:val="32"/>
          <w:szCs w:val="32"/>
        </w:rPr>
        <w:t>独立编制机构数1个，独立核算机构数1个。</w:t>
      </w:r>
      <w:r>
        <w:rPr>
          <w:rFonts w:hint="eastAsia" w:ascii="仿宋_GB2312" w:eastAsia="仿宋_GB2312"/>
          <w:sz w:val="32"/>
          <w:szCs w:val="32"/>
          <w:lang w:val="en-US" w:eastAsia="zh-CN"/>
        </w:rPr>
        <w:t>核定编制数14人，</w:t>
      </w:r>
      <w:r>
        <w:rPr>
          <w:rFonts w:hint="eastAsia" w:ascii="仿宋_GB2312" w:hAnsi="仿宋_GB2312" w:eastAsia="仿宋_GB2312" w:cs="仿宋_GB2312"/>
          <w:color w:val="000000"/>
          <w:kern w:val="0"/>
          <w:sz w:val="32"/>
          <w:szCs w:val="32"/>
        </w:rPr>
        <w:t>现有人员</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人，其中在职</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tabs>
          <w:tab w:val="left" w:pos="750"/>
        </w:tabs>
        <w:ind w:firstLine="627" w:firstLineChars="196"/>
        <w:rPr>
          <w:rFonts w:hint="eastAsia" w:ascii="仿宋_GB2312" w:hAnsi="仿宋" w:eastAsia="仿宋_GB2312" w:cs="仿宋"/>
          <w:sz w:val="28"/>
          <w:szCs w:val="28"/>
          <w:lang w:eastAsia="zh-CN"/>
        </w:rPr>
      </w:pPr>
      <w:r>
        <w:rPr>
          <w:rFonts w:hint="eastAsia" w:ascii="仿宋_GB2312" w:hAnsi="仿宋" w:eastAsia="仿宋_GB2312" w:cs="仿宋"/>
          <w:sz w:val="32"/>
          <w:szCs w:val="32"/>
          <w:lang w:val="en-US" w:eastAsia="zh-CN"/>
        </w:rPr>
        <w:t>2021</w:t>
      </w:r>
      <w:r>
        <w:rPr>
          <w:rFonts w:hint="eastAsia" w:ascii="仿宋_GB2312" w:hAnsi="仿宋" w:eastAsia="仿宋_GB2312" w:cs="仿宋"/>
          <w:sz w:val="32"/>
          <w:szCs w:val="32"/>
        </w:rPr>
        <w:t>年一般公共预算收入总数</w:t>
      </w:r>
      <w:r>
        <w:rPr>
          <w:rFonts w:hint="eastAsia" w:ascii="仿宋_GB2312" w:hAnsi="仿宋" w:eastAsia="仿宋_GB2312" w:cs="仿宋"/>
          <w:sz w:val="32"/>
          <w:szCs w:val="32"/>
          <w:lang w:val="en-US" w:eastAsia="zh-CN"/>
        </w:rPr>
        <w:t>215.15</w:t>
      </w:r>
      <w:r>
        <w:rPr>
          <w:rFonts w:hint="eastAsia" w:ascii="仿宋_GB2312" w:hAnsi="仿宋" w:eastAsia="仿宋_GB2312" w:cs="仿宋"/>
          <w:sz w:val="32"/>
          <w:szCs w:val="32"/>
        </w:rPr>
        <w:t>万元，较2</w:t>
      </w:r>
      <w:r>
        <w:rPr>
          <w:rFonts w:hint="eastAsia" w:ascii="仿宋_GB2312" w:hAnsi="仿宋" w:eastAsia="仿宋_GB2312" w:cs="仿宋"/>
          <w:sz w:val="32"/>
          <w:szCs w:val="32"/>
          <w:lang w:val="en-US" w:eastAsia="zh-CN"/>
        </w:rPr>
        <w:t>020</w:t>
      </w:r>
      <w:r>
        <w:rPr>
          <w:rFonts w:hint="eastAsia" w:ascii="仿宋_GB2312" w:hAnsi="仿宋" w:eastAsia="仿宋_GB2312" w:cs="仿宋"/>
          <w:sz w:val="32"/>
          <w:szCs w:val="32"/>
        </w:rPr>
        <w:t>年一般公共预算收入总数</w:t>
      </w:r>
      <w:r>
        <w:rPr>
          <w:rFonts w:hint="eastAsia" w:ascii="仿宋_GB2312" w:hAnsi="仿宋" w:eastAsia="仿宋_GB2312" w:cs="仿宋"/>
          <w:sz w:val="32"/>
          <w:szCs w:val="32"/>
          <w:lang w:val="en-US" w:eastAsia="zh-CN"/>
        </w:rPr>
        <w:t>165.41</w:t>
      </w:r>
      <w:r>
        <w:rPr>
          <w:rFonts w:hint="eastAsia" w:ascii="仿宋_GB2312" w:hAnsi="仿宋" w:eastAsia="仿宋_GB2312" w:cs="仿宋"/>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49.74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30.07%</w:t>
      </w:r>
      <w:r>
        <w:rPr>
          <w:rFonts w:hint="eastAsia" w:ascii="仿宋_GB2312" w:hAnsi="仿宋" w:eastAsia="仿宋_GB2312" w:cs="仿宋"/>
          <w:sz w:val="32"/>
          <w:szCs w:val="32"/>
          <w:lang w:val="en-US" w:eastAsia="zh-CN"/>
        </w:rPr>
        <w:t>,主要原因是人员变动及基本工资增加。</w:t>
      </w:r>
    </w:p>
    <w:p>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pStyle w:val="20"/>
        <w:shd w:val="clear" w:color="auto" w:fill="FFFFFF"/>
        <w:spacing w:before="0" w:beforeAutospacing="0" w:after="0" w:afterAutospacing="0" w:line="480" w:lineRule="atLeast"/>
        <w:ind w:firstLine="640" w:firstLineChars="200"/>
        <w:rPr>
          <w:rFonts w:hint="eastAsia" w:ascii="仿宋_GB2312" w:eastAsia="仿宋_GB2312"/>
          <w:color w:val="333333"/>
          <w:sz w:val="32"/>
          <w:szCs w:val="32"/>
          <w:lang w:val="en-US" w:eastAsia="zh-CN"/>
        </w:rPr>
      </w:pPr>
      <w:r>
        <w:rPr>
          <w:rFonts w:hint="eastAsia" w:ascii="仿宋_GB2312" w:eastAsia="仿宋_GB2312"/>
          <w:color w:val="333333"/>
          <w:sz w:val="32"/>
          <w:szCs w:val="32"/>
        </w:rPr>
        <w:t>基本支出，是用于保障</w:t>
      </w:r>
      <w:r>
        <w:rPr>
          <w:rFonts w:hint="eastAsia" w:ascii="仿宋_GB2312" w:eastAsia="仿宋_GB2312"/>
          <w:color w:val="333333"/>
          <w:sz w:val="32"/>
          <w:szCs w:val="32"/>
          <w:lang w:val="en-US" w:eastAsia="zh-CN"/>
        </w:rPr>
        <w:t>城乡居民养老保险事业</w:t>
      </w:r>
      <w:r>
        <w:rPr>
          <w:rFonts w:hint="eastAsia" w:ascii="仿宋_GB2312" w:eastAsia="仿宋_GB2312"/>
          <w:color w:val="333333"/>
          <w:sz w:val="32"/>
          <w:szCs w:val="32"/>
          <w:lang w:eastAsia="zh-CN"/>
        </w:rPr>
        <w:t>管理局</w:t>
      </w:r>
      <w:r>
        <w:rPr>
          <w:rFonts w:hint="eastAsia" w:ascii="仿宋_GB2312" w:eastAsia="仿宋_GB2312"/>
          <w:color w:val="333333"/>
          <w:sz w:val="32"/>
          <w:szCs w:val="32"/>
        </w:rPr>
        <w:t>行政机构、事业机构的正常运转的日常支出，包括基本工资、津贴补贴等人员经费以及办公费、印刷费、水电费等日常公用经费。</w:t>
      </w:r>
      <w:r>
        <w:rPr>
          <w:rFonts w:hint="eastAsia" w:eastAsia="仿宋_GB2312"/>
          <w:color w:val="333333"/>
          <w:sz w:val="32"/>
          <w:szCs w:val="32"/>
        </w:rPr>
        <w:t> </w:t>
      </w: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年部门预算基本支</w:t>
      </w:r>
      <w:r>
        <w:rPr>
          <w:rFonts w:hint="eastAsia" w:ascii="仿宋_GB2312" w:hAnsi="仿宋" w:eastAsia="仿宋_GB2312" w:cs="仿宋"/>
          <w:sz w:val="32"/>
          <w:szCs w:val="32"/>
          <w:lang w:eastAsia="zh-CN"/>
        </w:rPr>
        <w:t>出</w:t>
      </w:r>
      <w:r>
        <w:rPr>
          <w:rFonts w:hint="eastAsia" w:ascii="仿宋_GB2312" w:hAnsi="仿宋" w:eastAsia="仿宋_GB2312" w:cs="仿宋"/>
          <w:sz w:val="32"/>
          <w:szCs w:val="32"/>
          <w:lang w:val="en-US" w:eastAsia="zh-CN"/>
        </w:rPr>
        <w:t>215.15</w:t>
      </w:r>
      <w:r>
        <w:rPr>
          <w:rFonts w:hint="eastAsia" w:ascii="仿宋_GB2312" w:hAnsi="仿宋" w:eastAsia="仿宋_GB2312" w:cs="仿宋"/>
          <w:sz w:val="32"/>
          <w:szCs w:val="32"/>
        </w:rPr>
        <w:t>万元,其中:人员支出</w:t>
      </w:r>
      <w:r>
        <w:rPr>
          <w:rFonts w:hint="eastAsia" w:ascii="仿宋_GB2312" w:hAnsi="仿宋" w:eastAsia="仿宋_GB2312" w:cs="仿宋"/>
          <w:sz w:val="32"/>
          <w:szCs w:val="32"/>
          <w:lang w:val="en-US" w:eastAsia="zh-CN"/>
        </w:rPr>
        <w:t>202.53</w:t>
      </w:r>
      <w:r>
        <w:rPr>
          <w:rFonts w:hint="eastAsia" w:ascii="仿宋_GB2312" w:hAnsi="仿宋" w:eastAsia="仿宋_GB2312" w:cs="仿宋"/>
          <w:sz w:val="32"/>
          <w:szCs w:val="32"/>
        </w:rPr>
        <w:t>万元,公用支出</w:t>
      </w:r>
      <w:r>
        <w:rPr>
          <w:rFonts w:hint="eastAsia" w:ascii="仿宋_GB2312" w:hAnsi="仿宋" w:eastAsia="仿宋_GB2312" w:cs="仿宋"/>
          <w:sz w:val="32"/>
          <w:szCs w:val="32"/>
          <w:lang w:val="en-US" w:eastAsia="zh-CN"/>
        </w:rPr>
        <w:t>12.62</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p>
    <w:p>
      <w:pPr>
        <w:tabs>
          <w:tab w:val="left" w:pos="750"/>
        </w:tabs>
        <w:ind w:firstLine="627" w:firstLineChars="196"/>
        <w:rPr>
          <w:rFonts w:hint="eastAsia" w:ascii="仿宋_GB2312" w:hAnsi="仿宋" w:eastAsia="仿宋_GB2312" w:cs="仿宋"/>
          <w:sz w:val="32"/>
          <w:szCs w:val="32"/>
          <w:lang w:eastAsia="zh-CN"/>
        </w:rPr>
      </w:pPr>
      <w:r>
        <w:rPr>
          <w:rFonts w:hint="eastAsia" w:ascii="仿宋_GB2312" w:eastAsia="仿宋_GB2312"/>
          <w:color w:val="333333"/>
          <w:sz w:val="32"/>
          <w:szCs w:val="32"/>
        </w:rPr>
        <w:t>项目支出，是用于</w:t>
      </w:r>
      <w:r>
        <w:rPr>
          <w:rFonts w:hint="eastAsia" w:ascii="仿宋_GB2312" w:eastAsia="仿宋_GB2312"/>
          <w:color w:val="333333"/>
          <w:sz w:val="32"/>
          <w:szCs w:val="32"/>
          <w:lang w:val="en-US" w:eastAsia="zh-CN"/>
        </w:rPr>
        <w:t>城乡居民养老保险事业管理局</w:t>
      </w:r>
      <w:r>
        <w:rPr>
          <w:rFonts w:hint="eastAsia" w:ascii="仿宋_GB2312" w:eastAsia="仿宋_GB2312"/>
          <w:color w:val="333333"/>
          <w:sz w:val="32"/>
          <w:szCs w:val="32"/>
        </w:rPr>
        <w:t>行政机构、事业机构为完成特定的行政工作任务或事业发展目标，用于专项业务工作的经费支出。</w:t>
      </w:r>
      <w:r>
        <w:rPr>
          <w:rFonts w:hint="eastAsia"/>
          <w:color w:val="333333"/>
          <w:sz w:val="32"/>
          <w:szCs w:val="32"/>
        </w:rPr>
        <w:t> </w:t>
      </w: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年部门预算项目支出预算总数</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p>
    <w:p>
      <w:pPr>
        <w:pStyle w:val="40"/>
        <w:tabs>
          <w:tab w:val="left" w:pos="750"/>
        </w:tabs>
        <w:ind w:firstLine="560"/>
        <w:rPr>
          <w:rFonts w:hint="eastAsia" w:ascii="仿宋_GB2312" w:hAnsi="仿宋" w:eastAsia="仿宋_GB2312" w:cs="仿宋"/>
          <w:sz w:val="32"/>
          <w:szCs w:val="32"/>
        </w:rPr>
      </w:pPr>
      <w:r>
        <w:rPr>
          <w:rFonts w:hint="eastAsia" w:ascii="仿宋_GB2312" w:hAnsi="仿宋" w:eastAsia="仿宋_GB2312" w:cs="仿宋"/>
          <w:sz w:val="32"/>
          <w:szCs w:val="32"/>
        </w:rPr>
        <w:t>（一）按功能分类支出情况</w:t>
      </w:r>
    </w:p>
    <w:p>
      <w:pPr>
        <w:pStyle w:val="40"/>
        <w:tabs>
          <w:tab w:val="left" w:pos="750"/>
          <w:tab w:val="left" w:pos="1134"/>
        </w:tabs>
        <w:ind w:firstLine="560"/>
        <w:rPr>
          <w:rFonts w:hint="eastAsia"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社会保险经办机构</w:t>
      </w:r>
      <w:r>
        <w:rPr>
          <w:rFonts w:hint="eastAsia" w:ascii="仿宋_GB2312" w:hAnsi="仿宋" w:eastAsia="仿宋_GB2312" w:cs="仿宋"/>
          <w:sz w:val="32"/>
          <w:szCs w:val="32"/>
        </w:rPr>
        <w:t>支出</w:t>
      </w:r>
      <w:r>
        <w:rPr>
          <w:rFonts w:hint="eastAsia" w:ascii="仿宋_GB2312" w:hAnsi="仿宋" w:eastAsia="仿宋_GB2312" w:cs="仿宋"/>
          <w:sz w:val="32"/>
          <w:szCs w:val="32"/>
          <w:lang w:val="en-US" w:eastAsia="zh-CN"/>
        </w:rPr>
        <w:t>157.89</w:t>
      </w:r>
      <w:r>
        <w:rPr>
          <w:rFonts w:hint="eastAsia" w:ascii="仿宋_GB2312" w:hAnsi="仿宋" w:eastAsia="仿宋_GB2312" w:cs="仿宋"/>
          <w:sz w:val="32"/>
          <w:szCs w:val="32"/>
        </w:rPr>
        <w:t>万元。主要用于：机构人员工资、日常运转以及为完成财政特定行政工作任务和事业发展目标而安排的年度项目支出。</w:t>
      </w:r>
    </w:p>
    <w:p>
      <w:pPr>
        <w:pStyle w:val="40"/>
        <w:tabs>
          <w:tab w:val="left" w:pos="750"/>
          <w:tab w:val="left" w:pos="1134"/>
        </w:tabs>
        <w:ind w:firstLine="56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2、养老保险缴费支出27.26万元，主要用于：行政机构按照规定标准为职工缴纳的基本养老保险和职业年金支出。</w:t>
      </w:r>
    </w:p>
    <w:p>
      <w:pPr>
        <w:pStyle w:val="40"/>
        <w:tabs>
          <w:tab w:val="left" w:pos="750"/>
        </w:tabs>
        <w:ind w:firstLine="56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、医疗卫生与计划生育支出</w:t>
      </w:r>
      <w:r>
        <w:rPr>
          <w:rFonts w:hint="eastAsia" w:ascii="仿宋_GB2312" w:hAnsi="仿宋" w:eastAsia="仿宋_GB2312" w:cs="仿宋"/>
          <w:sz w:val="32"/>
          <w:szCs w:val="32"/>
          <w:lang w:val="en-US" w:eastAsia="zh-CN"/>
        </w:rPr>
        <w:t>11.45</w:t>
      </w:r>
      <w:r>
        <w:rPr>
          <w:rFonts w:hint="eastAsia" w:ascii="仿宋_GB2312" w:hAnsi="仿宋" w:eastAsia="仿宋_GB2312" w:cs="仿宋"/>
          <w:sz w:val="32"/>
          <w:szCs w:val="32"/>
        </w:rPr>
        <w:t>万元。主要用于：行政机构按照规定标准为职工缴纳的基本医疗保险及公务员医疗补助等支出。</w:t>
      </w:r>
    </w:p>
    <w:p>
      <w:pPr>
        <w:pStyle w:val="40"/>
        <w:tabs>
          <w:tab w:val="left" w:pos="750"/>
        </w:tabs>
        <w:ind w:firstLine="56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、住房保障支出</w:t>
      </w:r>
      <w:r>
        <w:rPr>
          <w:rFonts w:hint="eastAsia" w:ascii="仿宋_GB2312" w:hAnsi="仿宋" w:eastAsia="仿宋_GB2312" w:cs="仿宋"/>
          <w:sz w:val="32"/>
          <w:szCs w:val="32"/>
          <w:lang w:val="en-US" w:eastAsia="zh-CN"/>
        </w:rPr>
        <w:t>18.55</w:t>
      </w:r>
      <w:r>
        <w:rPr>
          <w:rFonts w:hint="eastAsia" w:ascii="仿宋_GB2312" w:hAnsi="仿宋" w:eastAsia="仿宋_GB2312" w:cs="仿宋"/>
          <w:sz w:val="32"/>
          <w:szCs w:val="32"/>
        </w:rPr>
        <w:t>万元。主要用于：行政机构按照规定标准为职工缴纳住房公积金等支出。</w:t>
      </w:r>
    </w:p>
    <w:p>
      <w:pPr>
        <w:pStyle w:val="40"/>
        <w:tabs>
          <w:tab w:val="left" w:pos="750"/>
        </w:tabs>
        <w:ind w:firstLine="560"/>
        <w:rPr>
          <w:rFonts w:hint="eastAsia" w:ascii="仿宋_GB2312" w:hAnsi="仿宋" w:eastAsia="仿宋_GB2312" w:cs="仿宋"/>
          <w:sz w:val="32"/>
          <w:szCs w:val="32"/>
        </w:rPr>
      </w:pPr>
      <w:r>
        <w:rPr>
          <w:rFonts w:hint="eastAsia" w:ascii="仿宋_GB2312" w:hAnsi="仿宋" w:eastAsia="仿宋_GB2312" w:cs="仿宋"/>
          <w:sz w:val="32"/>
          <w:szCs w:val="32"/>
        </w:rPr>
        <w:t>（二）按经济分类支出情况</w:t>
      </w:r>
    </w:p>
    <w:p>
      <w:pPr>
        <w:tabs>
          <w:tab w:val="left" w:pos="75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1、工资福利性支出：</w:t>
      </w:r>
      <w:r>
        <w:rPr>
          <w:rFonts w:hint="eastAsia" w:ascii="仿宋_GB2312" w:hAnsi="仿宋" w:eastAsia="仿宋_GB2312" w:cs="仿宋"/>
          <w:sz w:val="32"/>
          <w:szCs w:val="32"/>
          <w:lang w:val="en-US" w:eastAsia="zh-CN"/>
        </w:rPr>
        <w:t>202.53</w:t>
      </w:r>
      <w:r>
        <w:rPr>
          <w:rFonts w:hint="eastAsia" w:ascii="仿宋_GB2312" w:hAnsi="仿宋" w:eastAsia="仿宋_GB2312" w:cs="仿宋"/>
          <w:sz w:val="32"/>
          <w:szCs w:val="32"/>
        </w:rPr>
        <w:t>万元。</w:t>
      </w:r>
    </w:p>
    <w:p>
      <w:pPr>
        <w:tabs>
          <w:tab w:val="left" w:pos="750"/>
        </w:tabs>
        <w:ind w:firstLine="640" w:firstLineChars="200"/>
        <w:rPr>
          <w:sz w:val="32"/>
          <w:szCs w:val="32"/>
          <w:lang w:val="zh-CN"/>
        </w:rPr>
      </w:pPr>
      <w:r>
        <w:rPr>
          <w:rFonts w:hint="eastAsia" w:ascii="仿宋_GB2312" w:hAnsi="仿宋" w:eastAsia="仿宋_GB2312" w:cs="仿宋"/>
          <w:sz w:val="32"/>
          <w:szCs w:val="32"/>
        </w:rPr>
        <w:t>2、商品和服务支出：</w:t>
      </w:r>
      <w:r>
        <w:rPr>
          <w:rFonts w:hint="eastAsia" w:ascii="仿宋_GB2312" w:hAnsi="仿宋" w:eastAsia="仿宋_GB2312" w:cs="仿宋"/>
          <w:sz w:val="32"/>
          <w:szCs w:val="32"/>
          <w:lang w:val="en-US" w:eastAsia="zh-CN"/>
        </w:rPr>
        <w:t>12.62</w:t>
      </w:r>
      <w:r>
        <w:rPr>
          <w:rFonts w:hint="eastAsia" w:ascii="仿宋_GB2312" w:hAnsi="仿宋" w:eastAsia="仿宋_GB2312" w:cs="仿宋"/>
          <w:sz w:val="32"/>
          <w:szCs w:val="32"/>
        </w:rPr>
        <w:t>元。</w:t>
      </w:r>
    </w:p>
    <w:p>
      <w:pPr>
        <w:pStyle w:val="2"/>
        <w:numPr>
          <w:ilvl w:val="0"/>
          <w:numId w:val="0"/>
        </w:numPr>
        <w:ind w:left="420" w:leftChars="0"/>
        <w:rPr>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1、预算编制质量</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color w:val="333333"/>
          <w:kern w:val="0"/>
          <w:sz w:val="32"/>
          <w:szCs w:val="32"/>
          <w:shd w:val="clear" w:color="auto" w:fill="FBFBFB"/>
          <w:lang w:bidi="ar"/>
        </w:rPr>
        <w:t>按照预算管理有关规定，目前部门预算的编制实行综合预算制度，即全部收入和支出都反映在预算中。</w:t>
      </w:r>
      <w:r>
        <w:rPr>
          <w:rFonts w:hint="eastAsia" w:ascii="仿宋_GB2312" w:eastAsia="仿宋_GB2312" w:cs="仿宋_GB2312"/>
          <w:sz w:val="32"/>
          <w:szCs w:val="32"/>
          <w:lang w:bidi="ar-SA"/>
        </w:rPr>
        <w:t>本部门预算编制是由部门财务严格按照《预算法》的规定和财政部门预算股的要求，在即能保证本部门日常业务工作顺利开展的需要，又不浪费资金的前提下，合理编制出本部门的年度预算。</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2、绩效目标填报</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本部门不涉及绩效考评相关项目。</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3、转移支付提前下达及专项转移支付分地区分项目编制情况</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本部门转移支付资金为省级转移支付业务装备经费，转移支付资金本部门不参与预算编制，上级部门下达资金指标后，县财政部门按时足额将转移支付资金拨付到本部门。</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4、</w:t>
      </w:r>
      <w:r>
        <w:rPr>
          <w:rFonts w:hint="eastAsia" w:ascii="仿宋_GB2312" w:eastAsia="仿宋_GB2312" w:cs="仿宋_GB2312"/>
          <w:sz w:val="32"/>
          <w:szCs w:val="32"/>
          <w:lang w:bidi="ar-SA"/>
        </w:rPr>
        <w:t>执行管理情况</w:t>
      </w:r>
    </w:p>
    <w:p>
      <w:pPr>
        <w:ind w:firstLine="800" w:firstLineChars="250"/>
        <w:rPr>
          <w:rFonts w:hint="eastAsia" w:ascii="仿宋_GB2312" w:eastAsia="仿宋_GB2312" w:cs="仿宋_GB2312"/>
          <w:sz w:val="32"/>
          <w:szCs w:val="32"/>
          <w:lang w:bidi="ar-SA"/>
        </w:rPr>
      </w:pPr>
      <w:r>
        <w:rPr>
          <w:rFonts w:hint="eastAsia" w:ascii="仿宋_GB2312" w:eastAsia="仿宋_GB2312" w:cs="仿宋_GB2312"/>
          <w:sz w:val="32"/>
          <w:szCs w:val="32"/>
          <w:lang w:bidi="ar-SA"/>
        </w:rPr>
        <w:t>县财政及时足额下达年初预算，上级部门下达转移支付专项资金指标后，也能及时将资金落实给部门，为部门的业务工作顺利开展提供了强有力的财力保障。</w:t>
      </w:r>
    </w:p>
    <w:p>
      <w:pPr>
        <w:ind w:firstLine="480" w:firstLineChars="150"/>
        <w:rPr>
          <w:rFonts w:hint="eastAsia" w:ascii="仿宋_GB2312" w:eastAsia="仿宋_GB2312"/>
          <w:color w:val="auto"/>
          <w:sz w:val="32"/>
          <w:szCs w:val="32"/>
        </w:rPr>
      </w:pPr>
      <w:r>
        <w:rPr>
          <w:rFonts w:hint="eastAsia" w:ascii="仿宋_GB2312" w:eastAsia="仿宋_GB2312"/>
          <w:color w:val="auto"/>
          <w:sz w:val="32"/>
          <w:szCs w:val="32"/>
          <w:lang w:val="en-US" w:eastAsia="zh-CN"/>
        </w:rPr>
        <w:t>社会保险经办机构2021</w:t>
      </w:r>
      <w:r>
        <w:rPr>
          <w:rFonts w:hint="eastAsia" w:ascii="仿宋_GB2312" w:eastAsia="仿宋_GB2312"/>
          <w:color w:val="auto"/>
          <w:sz w:val="32"/>
          <w:szCs w:val="32"/>
        </w:rPr>
        <w:t>年支出数为</w:t>
      </w:r>
      <w:r>
        <w:rPr>
          <w:rFonts w:hint="eastAsia" w:ascii="仿宋_GB2312" w:eastAsia="仿宋_GB2312"/>
          <w:color w:val="auto"/>
          <w:sz w:val="32"/>
          <w:szCs w:val="32"/>
          <w:lang w:val="en-US" w:eastAsia="zh-CN"/>
        </w:rPr>
        <w:t>157.89</w:t>
      </w:r>
      <w:r>
        <w:rPr>
          <w:rFonts w:hint="eastAsia" w:ascii="仿宋_GB2312" w:eastAsia="仿宋_GB2312"/>
          <w:color w:val="auto"/>
          <w:sz w:val="32"/>
          <w:szCs w:val="32"/>
        </w:rPr>
        <w:t>万元,完成预算100%。机关事业单位基本养老保险缴费</w:t>
      </w:r>
      <w:r>
        <w:rPr>
          <w:rFonts w:hint="eastAsia" w:ascii="仿宋_GB2312" w:eastAsia="仿宋_GB2312"/>
          <w:color w:val="auto"/>
          <w:sz w:val="32"/>
          <w:szCs w:val="32"/>
          <w:lang w:val="en-US" w:eastAsia="zh-CN"/>
        </w:rPr>
        <w:t>2021年</w:t>
      </w:r>
      <w:r>
        <w:rPr>
          <w:rFonts w:hint="eastAsia" w:ascii="仿宋_GB2312" w:eastAsia="仿宋_GB2312"/>
          <w:color w:val="auto"/>
          <w:sz w:val="32"/>
          <w:szCs w:val="32"/>
        </w:rPr>
        <w:t>支出支出数为</w:t>
      </w:r>
      <w:r>
        <w:rPr>
          <w:rFonts w:hint="eastAsia" w:ascii="仿宋_GB2312" w:eastAsia="仿宋_GB2312"/>
          <w:color w:val="auto"/>
          <w:sz w:val="32"/>
          <w:szCs w:val="32"/>
          <w:lang w:val="en-US" w:eastAsia="zh-CN"/>
        </w:rPr>
        <w:t>27.26</w:t>
      </w:r>
      <w:r>
        <w:rPr>
          <w:rFonts w:hint="eastAsia" w:ascii="仿宋_GB2312" w:eastAsia="仿宋_GB2312"/>
          <w:color w:val="auto"/>
          <w:sz w:val="32"/>
          <w:szCs w:val="32"/>
        </w:rPr>
        <w:t>万元,完成预算100%。</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支出数为</w:t>
      </w:r>
      <w:r>
        <w:rPr>
          <w:rFonts w:hint="eastAsia" w:ascii="仿宋_GB2312" w:eastAsia="仿宋_GB2312"/>
          <w:color w:val="auto"/>
          <w:sz w:val="32"/>
          <w:szCs w:val="32"/>
          <w:lang w:val="en-US" w:eastAsia="zh-CN"/>
        </w:rPr>
        <w:t>11.45</w:t>
      </w:r>
      <w:r>
        <w:rPr>
          <w:rFonts w:hint="eastAsia" w:ascii="仿宋_GB2312" w:eastAsia="仿宋_GB2312"/>
          <w:color w:val="auto"/>
          <w:sz w:val="32"/>
          <w:szCs w:val="32"/>
        </w:rPr>
        <w:t>万元，完成预算100%</w:t>
      </w:r>
      <w:r>
        <w:rPr>
          <w:rFonts w:hint="eastAsia" w:ascii="仿宋_GB2312" w:eastAsia="仿宋_GB2312" w:cs="仿宋_GB2312"/>
          <w:color w:val="auto"/>
          <w:sz w:val="32"/>
          <w:szCs w:val="32"/>
          <w:lang w:bidi="ar-SA"/>
        </w:rPr>
        <w:t>。</w:t>
      </w:r>
      <w:r>
        <w:rPr>
          <w:rFonts w:hint="eastAsia" w:ascii="仿宋_GB2312" w:eastAsia="仿宋_GB2312"/>
          <w:color w:val="auto"/>
          <w:sz w:val="32"/>
          <w:szCs w:val="32"/>
        </w:rPr>
        <w:t>住房公积金20</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年决算数为</w:t>
      </w:r>
      <w:r>
        <w:rPr>
          <w:rFonts w:hint="eastAsia" w:ascii="仿宋_GB2312" w:eastAsia="仿宋_GB2312"/>
          <w:color w:val="auto"/>
          <w:sz w:val="32"/>
          <w:szCs w:val="32"/>
          <w:lang w:val="en-US" w:eastAsia="zh-CN"/>
        </w:rPr>
        <w:t>18.55</w:t>
      </w:r>
      <w:r>
        <w:rPr>
          <w:rFonts w:hint="eastAsia" w:ascii="仿宋_GB2312" w:eastAsia="仿宋_GB2312"/>
          <w:color w:val="auto"/>
          <w:sz w:val="32"/>
          <w:szCs w:val="32"/>
        </w:rPr>
        <w:t xml:space="preserve">万元，完成预算100%。 </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eastAsia="仿宋_GB2312" w:cs="仿宋_GB2312"/>
          <w:sz w:val="32"/>
          <w:szCs w:val="32"/>
          <w:lang w:bidi="ar-SA"/>
        </w:rPr>
        <w:t>本部门一直提倡厉行节约，节能降耗的原则，但部份费用对比去年同期还是稍许</w:t>
      </w:r>
      <w:r>
        <w:rPr>
          <w:rFonts w:hint="eastAsia" w:ascii="仿宋_GB2312" w:eastAsia="仿宋_GB2312"/>
          <w:sz w:val="32"/>
          <w:szCs w:val="32"/>
        </w:rPr>
        <w:t>增加，原因在于20</w:t>
      </w:r>
      <w:r>
        <w:rPr>
          <w:rFonts w:hint="eastAsia" w:ascii="仿宋_GB2312" w:eastAsia="仿宋_GB2312"/>
          <w:sz w:val="32"/>
          <w:szCs w:val="32"/>
          <w:lang w:val="en-US" w:eastAsia="zh-CN"/>
        </w:rPr>
        <w:t>21</w:t>
      </w:r>
      <w:r>
        <w:rPr>
          <w:rFonts w:hint="eastAsia" w:ascii="仿宋_GB2312" w:eastAsia="仿宋_GB2312"/>
          <w:sz w:val="32"/>
          <w:szCs w:val="32"/>
        </w:rPr>
        <w:t>年按照各项业务工作加</w:t>
      </w:r>
      <w:r>
        <w:rPr>
          <w:rFonts w:hint="eastAsia" w:ascii="仿宋_GB2312" w:eastAsia="仿宋_GB2312"/>
          <w:sz w:val="32"/>
          <w:szCs w:val="32"/>
          <w:lang w:eastAsia="zh-CN"/>
        </w:rPr>
        <w:t>大，以及人员相比</w:t>
      </w:r>
      <w:r>
        <w:rPr>
          <w:rFonts w:hint="eastAsia" w:ascii="仿宋_GB2312" w:eastAsia="仿宋_GB2312"/>
          <w:sz w:val="32"/>
          <w:szCs w:val="32"/>
          <w:lang w:val="en-US" w:eastAsia="zh-CN"/>
        </w:rPr>
        <w:t>2020年增加一人，但经费</w:t>
      </w:r>
      <w:r>
        <w:rPr>
          <w:rFonts w:hint="eastAsia" w:ascii="仿宋_GB2312" w:eastAsia="仿宋_GB2312"/>
          <w:sz w:val="32"/>
          <w:szCs w:val="32"/>
        </w:rPr>
        <w:t>增加数额未超出预算,</w:t>
      </w:r>
      <w:r>
        <w:rPr>
          <w:rFonts w:hint="eastAsia" w:ascii="仿宋_GB2312" w:eastAsia="仿宋_GB2312"/>
          <w:sz w:val="32"/>
          <w:szCs w:val="32"/>
          <w:lang w:eastAsia="zh-CN"/>
        </w:rPr>
        <w:t>本单位</w:t>
      </w:r>
      <w:r>
        <w:rPr>
          <w:rFonts w:hint="eastAsia" w:ascii="仿宋_GB2312" w:eastAsia="仿宋_GB2312"/>
          <w:sz w:val="32"/>
          <w:szCs w:val="32"/>
        </w:rPr>
        <w:t>严格执行了中央八项规定。</w:t>
      </w:r>
    </w:p>
    <w:p>
      <w:pPr>
        <w:pStyle w:val="20"/>
        <w:spacing w:before="0" w:beforeAutospacing="0" w:after="0" w:afterAutospacing="0" w:line="576"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pStyle w:val="20"/>
        <w:spacing w:before="0" w:beforeAutospacing="0" w:after="0" w:afterAutospacing="0" w:line="576"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我单位无政府性债务</w:t>
      </w:r>
      <w:r>
        <w:rPr>
          <w:rFonts w:hint="eastAsia" w:ascii="仿宋_GB2312" w:eastAsia="仿宋_GB2312" w:cs="仿宋_GB2312"/>
          <w:sz w:val="32"/>
          <w:szCs w:val="32"/>
          <w:lang w:eastAsia="zh-CN" w:bidi="ar-SA"/>
        </w:rPr>
        <w:t>，无</w:t>
      </w:r>
      <w:r>
        <w:rPr>
          <w:rFonts w:hint="eastAsia" w:ascii="仿宋_GB2312" w:eastAsia="仿宋_GB2312" w:cs="仿宋_GB2312"/>
          <w:sz w:val="32"/>
          <w:szCs w:val="32"/>
          <w:lang w:bidi="ar-SA"/>
        </w:rPr>
        <w:t>非税收收入</w:t>
      </w:r>
    </w:p>
    <w:p>
      <w:pPr>
        <w:pStyle w:val="20"/>
        <w:spacing w:before="0" w:beforeAutospacing="0" w:after="0" w:afterAutospacing="0" w:line="576"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我单位无</w:t>
      </w:r>
      <w:r>
        <w:rPr>
          <w:rFonts w:hint="eastAsia" w:ascii="仿宋_GB2312" w:eastAsia="仿宋_GB2312" w:cs="仿宋_GB2312"/>
          <w:sz w:val="32"/>
          <w:szCs w:val="32"/>
          <w:lang w:bidi="ar-SA"/>
        </w:rPr>
        <w:t>政府采购。</w:t>
      </w:r>
    </w:p>
    <w:p>
      <w:pPr>
        <w:pStyle w:val="20"/>
        <w:spacing w:before="0" w:beforeAutospacing="0" w:after="0" w:afterAutospacing="0" w:line="576" w:lineRule="exact"/>
        <w:ind w:firstLine="640" w:firstLineChars="200"/>
        <w:rPr>
          <w:rFonts w:hint="eastAsia" w:ascii="仿宋_GB2312" w:eastAsia="仿宋_GB2312"/>
          <w:color w:val="000000"/>
          <w:sz w:val="32"/>
          <w:szCs w:val="32"/>
        </w:rPr>
      </w:pPr>
      <w:r>
        <w:rPr>
          <w:rFonts w:hint="eastAsia" w:ascii="仿宋_GB2312" w:eastAsia="仿宋_GB2312" w:cs="仿宋_GB2312"/>
          <w:sz w:val="32"/>
          <w:szCs w:val="32"/>
          <w:lang w:bidi="ar-SA"/>
        </w:rPr>
        <w:t>资产管理严格按照资产管理制度执行，</w:t>
      </w:r>
      <w:r>
        <w:rPr>
          <w:rFonts w:hint="eastAsia" w:ascii="仿宋_GB2312" w:eastAsia="仿宋_GB2312"/>
          <w:color w:val="000000"/>
          <w:sz w:val="32"/>
          <w:szCs w:val="32"/>
        </w:rPr>
        <w:t>严格执行法律、法规和有关规章制度;与行政单位履行职能需要相适应;科学合理,充分发挥资产使用效益;勤俭节约,从严控制。</w:t>
      </w:r>
    </w:p>
    <w:p>
      <w:pPr>
        <w:pStyle w:val="20"/>
        <w:spacing w:before="0" w:beforeAutospacing="0" w:after="0" w:afterAutospacing="0" w:line="576"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建立单位内控制度，</w:t>
      </w:r>
      <w:r>
        <w:rPr>
          <w:rFonts w:hint="eastAsia" w:ascii="仿宋_GB2312" w:eastAsia="仿宋_GB2312"/>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pPr>
        <w:pStyle w:val="20"/>
        <w:spacing w:before="0" w:beforeAutospacing="0" w:after="0" w:afterAutospacing="0" w:line="576"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sz w:val="32"/>
          <w:szCs w:val="32"/>
        </w:rPr>
        <w:t>我部门将同级财政部门批复的本部门预决算报表及相关说明全部在政府门户网站公开，</w:t>
      </w:r>
      <w:r>
        <w:rPr>
          <w:rFonts w:hint="eastAsia" w:ascii="仿宋_GB2312" w:eastAsia="仿宋_GB2312" w:cs="仿宋_GB2312"/>
          <w:color w:val="000000"/>
          <w:sz w:val="32"/>
          <w:szCs w:val="32"/>
          <w:lang w:bidi="ar-SA"/>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pPr>
        <w:pStyle w:val="20"/>
        <w:spacing w:before="0" w:beforeAutospacing="0" w:after="0" w:afterAutospacing="0" w:line="576" w:lineRule="exact"/>
        <w:ind w:firstLine="640" w:firstLineChars="200"/>
        <w:rPr>
          <w:sz w:val="32"/>
          <w:szCs w:val="32"/>
          <w:lang w:val="zh-CN"/>
        </w:rPr>
      </w:pPr>
      <w:r>
        <w:rPr>
          <w:rFonts w:hint="eastAsia" w:ascii="仿宋_GB2312" w:eastAsia="仿宋_GB2312" w:cs="仿宋_GB2312"/>
          <w:color w:val="000000"/>
          <w:sz w:val="32"/>
          <w:szCs w:val="32"/>
          <w:lang w:bidi="ar-SA"/>
        </w:rPr>
        <w:t>我部门财务各项工作自觉配合县财政和上级部门的监督检查，对检查中存在的问题，严肃对待，认真开展整改落实。</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spacing w:line="540" w:lineRule="exact"/>
        <w:ind w:firstLine="640" w:firstLineChars="200"/>
        <w:rPr>
          <w:sz w:val="32"/>
          <w:szCs w:val="32"/>
          <w:lang w:val="zh-CN"/>
        </w:rPr>
      </w:pPr>
      <w:r>
        <w:rPr>
          <w:rFonts w:hint="eastAsia" w:ascii="仿宋_GB2312" w:eastAsia="仿宋_GB2312" w:cs="宋体"/>
          <w:color w:val="000000"/>
          <w:sz w:val="32"/>
          <w:szCs w:val="32"/>
          <w:lang w:val="en-US" w:eastAsia="zh-CN" w:bidi="ar-SA"/>
        </w:rPr>
        <w:t>2021</w:t>
      </w:r>
      <w:r>
        <w:rPr>
          <w:rFonts w:hint="eastAsia" w:ascii="仿宋_GB2312" w:eastAsia="仿宋_GB2312" w:cs="宋体"/>
          <w:color w:val="000000"/>
          <w:sz w:val="32"/>
          <w:szCs w:val="32"/>
          <w:lang w:bidi="ar-SA"/>
        </w:rPr>
        <w:t>年我部门预算执行整体情况正常，按照各项工作有序开展的进度，财政资金收支情况同时也按进度执行，有个别需要进一步加大力度开展。</w:t>
      </w:r>
    </w:p>
    <w:p>
      <w:pPr>
        <w:widowControl/>
        <w:numPr>
          <w:ilvl w:val="0"/>
          <w:numId w:val="7"/>
        </w:numPr>
        <w:adjustRightInd w:val="0"/>
        <w:snapToGrid w:val="0"/>
        <w:spacing w:line="580" w:lineRule="exact"/>
        <w:ind w:firstLine="640" w:firstLineChars="200"/>
        <w:contextualSpacing/>
        <w:jc w:val="left"/>
        <w:rPr>
          <w:sz w:val="32"/>
          <w:szCs w:val="32"/>
          <w:lang w:val="zh-CN"/>
        </w:rPr>
      </w:pPr>
      <w:r>
        <w:rPr>
          <w:rFonts w:hint="eastAsia" w:ascii="仿宋_GB2312" w:hAnsi="宋体" w:eastAsia="仿宋_GB2312" w:cs="宋体"/>
          <w:color w:val="000000"/>
          <w:kern w:val="0"/>
          <w:sz w:val="32"/>
          <w:szCs w:val="32"/>
          <w:shd w:val="clear" w:color="auto" w:fill="FFFFFF"/>
          <w:lang w:val="zh-CN"/>
        </w:rPr>
        <w:t>存在问题。</w:t>
      </w:r>
    </w:p>
    <w:p>
      <w:pPr>
        <w:widowControl/>
        <w:numPr>
          <w:ilvl w:val="0"/>
          <w:numId w:val="0"/>
        </w:numPr>
        <w:adjustRightInd w:val="0"/>
        <w:snapToGrid w:val="0"/>
        <w:spacing w:line="580" w:lineRule="exact"/>
        <w:ind w:firstLine="960" w:firstLineChars="300"/>
        <w:contextualSpacing/>
        <w:jc w:val="left"/>
        <w:rPr>
          <w:sz w:val="32"/>
          <w:szCs w:val="32"/>
          <w:lang w:val="zh-CN"/>
        </w:rPr>
      </w:pPr>
      <w:r>
        <w:rPr>
          <w:rFonts w:hint="eastAsia" w:ascii="仿宋_GB2312" w:eastAsia="仿宋_GB2312" w:cs="宋体"/>
          <w:color w:val="000000"/>
          <w:sz w:val="32"/>
          <w:szCs w:val="32"/>
          <w:lang w:val="en-US" w:eastAsia="zh-CN" w:bidi="ar-SA"/>
        </w:rPr>
        <w:t xml:space="preserve">1 </w:t>
      </w:r>
      <w:r>
        <w:rPr>
          <w:rFonts w:hint="eastAsia" w:ascii="仿宋_GB2312" w:eastAsia="仿宋_GB2312" w:cs="宋体"/>
          <w:color w:val="000000"/>
          <w:sz w:val="32"/>
          <w:szCs w:val="32"/>
          <w:lang w:bidi="ar-SA"/>
        </w:rPr>
        <w:t>、资金使用效益有待进一步提高。</w:t>
      </w:r>
    </w:p>
    <w:p>
      <w:pPr>
        <w:widowControl/>
        <w:numPr>
          <w:ilvl w:val="0"/>
          <w:numId w:val="7"/>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pPr>
        <w:widowControl/>
        <w:spacing w:line="540" w:lineRule="exact"/>
        <w:ind w:firstLine="640" w:firstLineChars="200"/>
        <w:rPr>
          <w:rFonts w:hint="eastAsia" w:ascii="仿宋_GB2312" w:eastAsia="仿宋_GB2312" w:cs="宋体"/>
          <w:color w:val="000000"/>
          <w:sz w:val="32"/>
          <w:szCs w:val="32"/>
          <w:lang w:bidi="ar-SA"/>
        </w:rPr>
      </w:pPr>
      <w:r>
        <w:rPr>
          <w:rFonts w:hint="eastAsia" w:ascii="仿宋_GB2312" w:eastAsia="仿宋_GB2312" w:cs="宋体"/>
          <w:color w:val="000000"/>
          <w:sz w:val="32"/>
          <w:szCs w:val="32"/>
          <w:lang w:bidi="ar-SA"/>
        </w:rPr>
        <w:t>1、建议财政部门能组织各单位财务人员进行业务的培训，不断提升各单位财务人员的业务素质和职业道德。</w:t>
      </w:r>
    </w:p>
    <w:p>
      <w:pPr>
        <w:widowControl/>
        <w:spacing w:line="540" w:lineRule="exact"/>
        <w:ind w:firstLine="640" w:firstLineChars="200"/>
        <w:rPr>
          <w:rFonts w:ascii="仿宋_GB2312" w:hAnsi="仿宋_GB2312" w:eastAsia="仿宋_GB2312" w:cs="仿宋_GB2312"/>
          <w:sz w:val="32"/>
          <w:szCs w:val="32"/>
        </w:rPr>
      </w:pPr>
      <w:r>
        <w:rPr>
          <w:rFonts w:hint="eastAsia" w:ascii="仿宋_GB2312" w:eastAsia="仿宋_GB2312" w:cs="宋体"/>
          <w:color w:val="000000"/>
          <w:sz w:val="32"/>
          <w:szCs w:val="32"/>
          <w:lang w:bidi="ar-SA"/>
        </w:rPr>
        <w:t>2、进一步加强资产的管理。</w:t>
      </w:r>
    </w:p>
    <w:p>
      <w:pPr>
        <w:spacing w:line="580" w:lineRule="exact"/>
        <w:ind w:firstLine="640" w:firstLineChars="20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
      <w:pPr>
        <w:spacing w:line="600" w:lineRule="exact"/>
        <w:jc w:val="center"/>
        <w:outlineLvl w:val="0"/>
        <w:rPr>
          <w:rStyle w:val="25"/>
          <w:rFonts w:ascii="黑体" w:hAnsi="黑体" w:eastAsia="黑体"/>
          <w:b w:val="0"/>
        </w:rPr>
      </w:pPr>
      <w:bookmarkStart w:id="117" w:name="_Toc15396618"/>
      <w:bookmarkStart w:id="118" w:name="_Toc79163635"/>
      <w:bookmarkStart w:id="119" w:name="_Toc79163885"/>
      <w:r>
        <w:rPr>
          <w:rFonts w:hint="eastAsia" w:ascii="黑体" w:hAnsi="黑体" w:eastAsia="黑体"/>
          <w:color w:val="000000"/>
          <w:sz w:val="44"/>
          <w:szCs w:val="44"/>
        </w:rPr>
        <w:t>第</w:t>
      </w:r>
      <w:r>
        <w:rPr>
          <w:rStyle w:val="25"/>
          <w:rFonts w:hint="eastAsia" w:ascii="黑体" w:hAnsi="黑体" w:eastAsia="黑体"/>
          <w:b w:val="0"/>
        </w:rPr>
        <w:t>五部分</w:t>
      </w:r>
      <w:r>
        <w:rPr>
          <w:rStyle w:val="25"/>
          <w:rFonts w:ascii="黑体" w:hAnsi="黑体" w:eastAsia="黑体"/>
          <w:b w:val="0"/>
        </w:rPr>
        <w:t xml:space="preserve"> </w:t>
      </w:r>
      <w:r>
        <w:rPr>
          <w:rStyle w:val="25"/>
          <w:rFonts w:hint="eastAsia" w:ascii="黑体" w:hAnsi="黑体" w:eastAsia="黑体"/>
          <w:b w:val="0"/>
        </w:rPr>
        <w:t>附表</w:t>
      </w:r>
      <w:bookmarkEnd w:id="112"/>
      <w:bookmarkEnd w:id="117"/>
      <w:bookmarkEnd w:id="118"/>
      <w:bookmarkEnd w:id="119"/>
    </w:p>
    <w:p>
      <w:pPr>
        <w:pStyle w:val="4"/>
        <w:rPr>
          <w:rFonts w:ascii="仿宋" w:hAnsi="仿宋" w:eastAsia="仿宋"/>
          <w:color w:val="000000"/>
        </w:rPr>
      </w:pPr>
      <w:bookmarkStart w:id="120" w:name="_Toc15396619"/>
      <w:bookmarkStart w:id="121" w:name="_Toc79163636"/>
      <w:bookmarkStart w:id="122" w:name="_Toc79163886"/>
      <w:r>
        <w:rPr>
          <w:rFonts w:hint="eastAsia" w:ascii="仿宋" w:hAnsi="仿宋" w:eastAsia="仿宋"/>
          <w:b w:val="0"/>
          <w:color w:val="000000"/>
        </w:rPr>
        <w:t>一、收</w:t>
      </w:r>
      <w:r>
        <w:rPr>
          <w:rStyle w:val="26"/>
          <w:rFonts w:hint="eastAsia" w:ascii="仿宋" w:hAnsi="仿宋" w:eastAsia="仿宋"/>
          <w:b w:val="0"/>
          <w:bCs w:val="0"/>
        </w:rPr>
        <w:t>入支出决算总表</w:t>
      </w:r>
      <w:bookmarkEnd w:id="120"/>
      <w:bookmarkEnd w:id="121"/>
      <w:bookmarkEnd w:id="122"/>
    </w:p>
    <w:p>
      <w:pPr>
        <w:pStyle w:val="4"/>
        <w:rPr>
          <w:rFonts w:ascii="仿宋" w:hAnsi="仿宋" w:eastAsia="仿宋"/>
          <w:color w:val="000000"/>
        </w:rPr>
      </w:pPr>
      <w:bookmarkStart w:id="123" w:name="_Toc15396620"/>
      <w:bookmarkStart w:id="124" w:name="_Toc79163637"/>
      <w:bookmarkStart w:id="125" w:name="_Toc79163887"/>
      <w:r>
        <w:rPr>
          <w:rFonts w:hint="eastAsia" w:ascii="仿宋" w:hAnsi="仿宋" w:eastAsia="仿宋"/>
          <w:b w:val="0"/>
          <w:color w:val="000000"/>
        </w:rPr>
        <w:t>二、收</w:t>
      </w:r>
      <w:r>
        <w:rPr>
          <w:rStyle w:val="26"/>
          <w:rFonts w:hint="eastAsia" w:ascii="仿宋" w:hAnsi="仿宋" w:eastAsia="仿宋"/>
          <w:b w:val="0"/>
          <w:bCs w:val="0"/>
        </w:rPr>
        <w:t>入决算表</w:t>
      </w:r>
      <w:bookmarkEnd w:id="123"/>
      <w:bookmarkEnd w:id="124"/>
      <w:bookmarkEnd w:id="125"/>
    </w:p>
    <w:p>
      <w:pPr>
        <w:pStyle w:val="4"/>
        <w:rPr>
          <w:rFonts w:ascii="仿宋" w:hAnsi="仿宋" w:eastAsia="仿宋"/>
          <w:color w:val="000000"/>
        </w:rPr>
      </w:pPr>
      <w:bookmarkStart w:id="126" w:name="_Toc15396621"/>
      <w:bookmarkStart w:id="127" w:name="_Toc79163638"/>
      <w:bookmarkStart w:id="128" w:name="_Toc79163888"/>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26"/>
      <w:bookmarkEnd w:id="127"/>
      <w:bookmarkEnd w:id="128"/>
    </w:p>
    <w:p>
      <w:pPr>
        <w:pStyle w:val="4"/>
        <w:rPr>
          <w:rFonts w:ascii="仿宋" w:hAnsi="仿宋" w:eastAsia="仿宋"/>
          <w:b w:val="0"/>
          <w:color w:val="000000"/>
        </w:rPr>
      </w:pPr>
      <w:bookmarkStart w:id="129" w:name="_Toc15396622"/>
      <w:bookmarkStart w:id="130" w:name="_Toc79163889"/>
      <w:bookmarkStart w:id="131" w:name="_Toc79163639"/>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29"/>
      <w:bookmarkEnd w:id="130"/>
      <w:bookmarkEnd w:id="131"/>
    </w:p>
    <w:p>
      <w:pPr>
        <w:pStyle w:val="4"/>
        <w:rPr>
          <w:rStyle w:val="26"/>
          <w:rFonts w:ascii="仿宋" w:hAnsi="仿宋" w:eastAsia="仿宋"/>
          <w:b w:val="0"/>
          <w:bCs w:val="0"/>
        </w:rPr>
      </w:pPr>
      <w:bookmarkStart w:id="132" w:name="_Toc79163640"/>
      <w:bookmarkStart w:id="133" w:name="_Toc79163890"/>
      <w:bookmarkStart w:id="13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32"/>
      <w:bookmarkEnd w:id="133"/>
      <w:bookmarkEnd w:id="134"/>
      <w:bookmarkStart w:id="135" w:name="_Toc15396624"/>
    </w:p>
    <w:p>
      <w:pPr>
        <w:pStyle w:val="4"/>
        <w:rPr>
          <w:rFonts w:ascii="仿宋" w:hAnsi="仿宋" w:eastAsia="仿宋"/>
          <w:color w:val="000000"/>
        </w:rPr>
      </w:pPr>
      <w:bookmarkStart w:id="136" w:name="_Toc79163891"/>
      <w:bookmarkStart w:id="137" w:name="_Toc79163641"/>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35"/>
      <w:bookmarkEnd w:id="136"/>
      <w:bookmarkEnd w:id="137"/>
    </w:p>
    <w:p>
      <w:pPr>
        <w:pStyle w:val="4"/>
        <w:rPr>
          <w:rFonts w:ascii="仿宋" w:hAnsi="仿宋" w:eastAsia="仿宋"/>
          <w:color w:val="000000"/>
        </w:rPr>
      </w:pPr>
      <w:bookmarkStart w:id="138" w:name="_Toc79163892"/>
      <w:bookmarkStart w:id="139" w:name="_Toc15396625"/>
      <w:bookmarkStart w:id="140" w:name="_Toc79163642"/>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38"/>
      <w:bookmarkEnd w:id="139"/>
      <w:bookmarkEnd w:id="140"/>
    </w:p>
    <w:p>
      <w:pPr>
        <w:pStyle w:val="4"/>
        <w:rPr>
          <w:rFonts w:ascii="仿宋" w:hAnsi="仿宋" w:eastAsia="仿宋"/>
          <w:color w:val="000000"/>
        </w:rPr>
      </w:pPr>
      <w:bookmarkStart w:id="141" w:name="_Toc15396626"/>
      <w:bookmarkStart w:id="142" w:name="_Toc79163893"/>
      <w:bookmarkStart w:id="143" w:name="_Toc79163643"/>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41"/>
      <w:bookmarkEnd w:id="142"/>
      <w:bookmarkEnd w:id="143"/>
    </w:p>
    <w:p>
      <w:pPr>
        <w:pStyle w:val="4"/>
        <w:rPr>
          <w:rFonts w:ascii="仿宋" w:hAnsi="仿宋" w:eastAsia="仿宋"/>
          <w:color w:val="000000"/>
        </w:rPr>
      </w:pPr>
      <w:bookmarkStart w:id="144" w:name="_Toc15396627"/>
      <w:bookmarkStart w:id="145" w:name="_Toc79163644"/>
      <w:bookmarkStart w:id="146" w:name="_Toc79163894"/>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44"/>
      <w:bookmarkEnd w:id="145"/>
      <w:bookmarkEnd w:id="146"/>
    </w:p>
    <w:p>
      <w:pPr>
        <w:pStyle w:val="4"/>
        <w:rPr>
          <w:rFonts w:ascii="仿宋" w:hAnsi="仿宋" w:eastAsia="仿宋"/>
          <w:color w:val="000000"/>
        </w:rPr>
      </w:pPr>
      <w:bookmarkStart w:id="147" w:name="_Toc15396628"/>
      <w:bookmarkStart w:id="148" w:name="_Toc79163645"/>
      <w:bookmarkStart w:id="149" w:name="_Toc79163895"/>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47"/>
      <w:bookmarkEnd w:id="148"/>
      <w:bookmarkEnd w:id="149"/>
    </w:p>
    <w:p>
      <w:pPr>
        <w:pStyle w:val="4"/>
        <w:rPr>
          <w:rFonts w:ascii="仿宋" w:hAnsi="仿宋" w:eastAsia="仿宋"/>
          <w:color w:val="000000"/>
        </w:rPr>
      </w:pPr>
      <w:bookmarkStart w:id="150" w:name="_Toc15396629"/>
      <w:bookmarkStart w:id="151" w:name="_Toc79163646"/>
      <w:bookmarkStart w:id="152" w:name="_Toc79163896"/>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50"/>
      <w:bookmarkEnd w:id="151"/>
      <w:bookmarkEnd w:id="152"/>
    </w:p>
    <w:p>
      <w:pPr>
        <w:pStyle w:val="4"/>
        <w:rPr>
          <w:rFonts w:ascii="仿宋" w:hAnsi="仿宋" w:eastAsia="仿宋"/>
          <w:color w:val="000000"/>
        </w:rPr>
      </w:pPr>
      <w:bookmarkStart w:id="153" w:name="_Toc15396630"/>
      <w:bookmarkStart w:id="154" w:name="_Toc79163647"/>
      <w:bookmarkStart w:id="155" w:name="_Toc79163897"/>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53"/>
      <w:bookmarkEnd w:id="154"/>
      <w:bookmarkEnd w:id="155"/>
    </w:p>
    <w:p>
      <w:pPr>
        <w:pStyle w:val="4"/>
        <w:rPr>
          <w:rStyle w:val="26"/>
          <w:rFonts w:ascii="仿宋" w:hAnsi="仿宋" w:eastAsia="仿宋"/>
          <w:b w:val="0"/>
          <w:bCs w:val="0"/>
        </w:rPr>
      </w:pPr>
      <w:bookmarkStart w:id="156" w:name="_Toc15396631"/>
      <w:bookmarkStart w:id="157" w:name="_Toc79163648"/>
      <w:bookmarkStart w:id="158" w:name="_Toc79163898"/>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有资本经营预算财政拨款</w:t>
      </w:r>
      <w:r>
        <w:rPr>
          <w:rStyle w:val="26"/>
          <w:rFonts w:hint="eastAsia" w:ascii="仿宋" w:hAnsi="仿宋" w:eastAsia="仿宋"/>
          <w:b w:val="0"/>
          <w:bCs w:val="0"/>
          <w:lang w:eastAsia="zh-CN"/>
        </w:rPr>
        <w:t>收入</w:t>
      </w:r>
      <w:r>
        <w:rPr>
          <w:rStyle w:val="26"/>
          <w:rFonts w:hint="eastAsia" w:ascii="仿宋" w:hAnsi="仿宋" w:eastAsia="仿宋"/>
          <w:b w:val="0"/>
          <w:bCs w:val="0"/>
        </w:rPr>
        <w:t>支出决算表</w:t>
      </w:r>
      <w:bookmarkEnd w:id="156"/>
      <w:bookmarkEnd w:id="157"/>
      <w:bookmarkEnd w:id="158"/>
    </w:p>
    <w:p>
      <w:pPr>
        <w:pStyle w:val="4"/>
        <w:rPr>
          <w:rStyle w:val="26"/>
          <w:rFonts w:ascii="仿宋" w:hAnsi="仿宋" w:eastAsia="仿宋"/>
          <w:b w:val="0"/>
          <w:bCs w:val="0"/>
        </w:rPr>
      </w:pPr>
      <w:bookmarkStart w:id="159" w:name="_Toc79163649"/>
      <w:bookmarkStart w:id="160" w:name="_Toc79163899"/>
      <w:r>
        <w:rPr>
          <w:rStyle w:val="26"/>
          <w:rFonts w:hint="eastAsia" w:ascii="仿宋" w:hAnsi="仿宋" w:eastAsia="仿宋"/>
          <w:b w:val="0"/>
          <w:bCs w:val="0"/>
        </w:rPr>
        <w:t>十四、国有资本经营预算财政拨款支出决算表</w:t>
      </w:r>
      <w:bookmarkEnd w:id="159"/>
      <w:bookmarkEnd w:id="16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微软雅黑"/>
    <w:panose1 w:val="00000000000000000000"/>
    <w:charset w:val="86"/>
    <w:family w:val="auto"/>
    <w:pitch w:val="default"/>
    <w:sig w:usb0="00000000" w:usb1="00000000"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24</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35EB0"/>
    <w:multiLevelType w:val="singleLevel"/>
    <w:tmpl w:val="C7835EB0"/>
    <w:lvl w:ilvl="0" w:tentative="0">
      <w:start w:val="1"/>
      <w:numFmt w:val="decimal"/>
      <w:suff w:val="nothing"/>
      <w:lvlText w:val="%1．"/>
      <w:lvlJc w:val="left"/>
      <w:pPr>
        <w:ind w:left="0" w:firstLine="400"/>
      </w:pPr>
      <w:rPr>
        <w:rFonts w:hint="default"/>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0E92BF4A"/>
    <w:multiLevelType w:val="singleLevel"/>
    <w:tmpl w:val="0E92BF4A"/>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98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30AC0F67"/>
    <w:multiLevelType w:val="singleLevel"/>
    <w:tmpl w:val="30AC0F67"/>
    <w:lvl w:ilvl="0" w:tentative="0">
      <w:start w:val="1"/>
      <w:numFmt w:val="decimal"/>
      <w:lvlText w:val="%1."/>
      <w:lvlJc w:val="left"/>
      <w:pPr>
        <w:tabs>
          <w:tab w:val="left" w:pos="312"/>
        </w:tabs>
      </w:pPr>
    </w:lvl>
  </w:abstractNum>
  <w:abstractNum w:abstractNumId="6">
    <w:nsid w:val="63C82ED6"/>
    <w:multiLevelType w:val="singleLevel"/>
    <w:tmpl w:val="63C82ED6"/>
    <w:lvl w:ilvl="0" w:tentative="0">
      <w:start w:val="2"/>
      <w:numFmt w:val="chineseCounting"/>
      <w:suff w:val="nothing"/>
      <w:lvlText w:val="（%1）"/>
      <w:lvlJc w:val="left"/>
      <w:rPr>
        <w:rFonts w:hint="eastAsia"/>
      </w:r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hOTdhM2Q3NDM0MDFkNTA0ZWEzZDZjZDc5NDQ1NG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437C9C"/>
    <w:rsid w:val="01F73FA0"/>
    <w:rsid w:val="02677EA1"/>
    <w:rsid w:val="04403406"/>
    <w:rsid w:val="071023CF"/>
    <w:rsid w:val="096A703F"/>
    <w:rsid w:val="09900FF6"/>
    <w:rsid w:val="0A2032A3"/>
    <w:rsid w:val="0AA948DE"/>
    <w:rsid w:val="0AE47DFA"/>
    <w:rsid w:val="0AFA761E"/>
    <w:rsid w:val="0B420FC5"/>
    <w:rsid w:val="0B6E1DBA"/>
    <w:rsid w:val="0B777AD7"/>
    <w:rsid w:val="0D0E4F40"/>
    <w:rsid w:val="0D24607B"/>
    <w:rsid w:val="0D350DE1"/>
    <w:rsid w:val="0D4922F4"/>
    <w:rsid w:val="0D701E19"/>
    <w:rsid w:val="0DEE1DDF"/>
    <w:rsid w:val="0E7B6CC7"/>
    <w:rsid w:val="0FE95EB3"/>
    <w:rsid w:val="10AF2C58"/>
    <w:rsid w:val="10C055FF"/>
    <w:rsid w:val="118107EC"/>
    <w:rsid w:val="11C523A5"/>
    <w:rsid w:val="14363667"/>
    <w:rsid w:val="16BB723D"/>
    <w:rsid w:val="17B31280"/>
    <w:rsid w:val="19195A0A"/>
    <w:rsid w:val="195C4B5C"/>
    <w:rsid w:val="19A8293B"/>
    <w:rsid w:val="1C2203EB"/>
    <w:rsid w:val="1CBA6C0D"/>
    <w:rsid w:val="1CDF48C5"/>
    <w:rsid w:val="1CEB498C"/>
    <w:rsid w:val="1D155CEE"/>
    <w:rsid w:val="1EEC5078"/>
    <w:rsid w:val="1F2767D2"/>
    <w:rsid w:val="1F76636F"/>
    <w:rsid w:val="204A474C"/>
    <w:rsid w:val="235B1C2C"/>
    <w:rsid w:val="240371BF"/>
    <w:rsid w:val="24997A50"/>
    <w:rsid w:val="27174C4E"/>
    <w:rsid w:val="283F446A"/>
    <w:rsid w:val="28FD67FF"/>
    <w:rsid w:val="29FD04D3"/>
    <w:rsid w:val="2DD83397"/>
    <w:rsid w:val="2DEF0579"/>
    <w:rsid w:val="2FC10AFD"/>
    <w:rsid w:val="319F7F4E"/>
    <w:rsid w:val="3288084F"/>
    <w:rsid w:val="344A6670"/>
    <w:rsid w:val="345C46C9"/>
    <w:rsid w:val="36982A7F"/>
    <w:rsid w:val="37576CD7"/>
    <w:rsid w:val="378508D2"/>
    <w:rsid w:val="3934742B"/>
    <w:rsid w:val="3A156427"/>
    <w:rsid w:val="3CED6733"/>
    <w:rsid w:val="3D034DCA"/>
    <w:rsid w:val="3DE713D4"/>
    <w:rsid w:val="3E0C5A95"/>
    <w:rsid w:val="3ED149D6"/>
    <w:rsid w:val="3ED14D00"/>
    <w:rsid w:val="3F5900B0"/>
    <w:rsid w:val="405745EF"/>
    <w:rsid w:val="405A78DB"/>
    <w:rsid w:val="40C132F7"/>
    <w:rsid w:val="42FB6DFD"/>
    <w:rsid w:val="434C6F43"/>
    <w:rsid w:val="43543068"/>
    <w:rsid w:val="44692B43"/>
    <w:rsid w:val="452E70B8"/>
    <w:rsid w:val="45656B11"/>
    <w:rsid w:val="467557DC"/>
    <w:rsid w:val="48832A4E"/>
    <w:rsid w:val="4B4149BD"/>
    <w:rsid w:val="4D19706E"/>
    <w:rsid w:val="4ECE2238"/>
    <w:rsid w:val="4FAB2261"/>
    <w:rsid w:val="50C066D6"/>
    <w:rsid w:val="56F3629C"/>
    <w:rsid w:val="57266F64"/>
    <w:rsid w:val="576A4749"/>
    <w:rsid w:val="58810B41"/>
    <w:rsid w:val="58B33A31"/>
    <w:rsid w:val="597951B6"/>
    <w:rsid w:val="599F7BA4"/>
    <w:rsid w:val="5B494476"/>
    <w:rsid w:val="5C2F5FC8"/>
    <w:rsid w:val="5E960581"/>
    <w:rsid w:val="5FB07420"/>
    <w:rsid w:val="61693D2A"/>
    <w:rsid w:val="6188324E"/>
    <w:rsid w:val="637075F2"/>
    <w:rsid w:val="69B018C1"/>
    <w:rsid w:val="6AEF52A0"/>
    <w:rsid w:val="6B930322"/>
    <w:rsid w:val="6BF608B1"/>
    <w:rsid w:val="6C4A05C8"/>
    <w:rsid w:val="6C5A0E3F"/>
    <w:rsid w:val="6CD429A0"/>
    <w:rsid w:val="6E8632FF"/>
    <w:rsid w:val="70735593"/>
    <w:rsid w:val="72734D90"/>
    <w:rsid w:val="74117904"/>
    <w:rsid w:val="756B7C19"/>
    <w:rsid w:val="761B33ED"/>
    <w:rsid w:val="778858CD"/>
    <w:rsid w:val="7A43256E"/>
    <w:rsid w:val="7A7B49A9"/>
    <w:rsid w:val="7BCE4F49"/>
    <w:rsid w:val="7F53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4"/>
    <w:qFormat/>
    <w:uiPriority w:val="99"/>
    <w:pPr>
      <w:spacing w:beforeLines="30"/>
    </w:pPr>
    <w:rPr>
      <w:rFonts w:ascii="仿宋_GB2312" w:eastAsia="仿宋_GB2312"/>
      <w:kern w:val="0"/>
      <w:sz w:val="24"/>
      <w:szCs w:val="20"/>
    </w:rPr>
  </w:style>
  <w:style w:type="paragraph" w:styleId="8">
    <w:name w:val="Body Text Indent"/>
    <w:basedOn w:val="1"/>
    <w:qFormat/>
    <w:uiPriority w:val="0"/>
    <w:pPr>
      <w:spacing w:line="540" w:lineRule="exact"/>
      <w:ind w:firstLine="200" w:firstLineChars="200"/>
    </w:pPr>
    <w:rPr>
      <w:rFonts w:ascii="Times New Roman" w:hAnsi="Times New Roman" w:eastAsia="仿宋_GB2312" w:cs="Times New Roman"/>
      <w:sz w:val="32"/>
      <w:szCs w:val="24"/>
      <w:lang w:bidi="ar-SA"/>
    </w:rPr>
  </w:style>
  <w:style w:type="paragraph" w:styleId="9">
    <w:name w:val="toc 5"/>
    <w:basedOn w:val="1"/>
    <w:next w:val="1"/>
    <w:unhideWhenUsed/>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9"/>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uiPriority w:val="39"/>
    <w:pPr>
      <w:ind w:left="1680"/>
      <w:jc w:val="left"/>
    </w:pPr>
    <w:rPr>
      <w:rFonts w:asciiTheme="minorHAnsi" w:eastAsiaTheme="minorHAnsi"/>
      <w:sz w:val="18"/>
      <w:szCs w:val="18"/>
    </w:rPr>
  </w:style>
  <w:style w:type="paragraph" w:styleId="20">
    <w:name w:val="Normal (Web)"/>
    <w:basedOn w:val="1"/>
    <w:qFormat/>
    <w:uiPriority w:val="0"/>
    <w:pPr>
      <w:widowControl/>
      <w:spacing w:before="100" w:beforeAutospacing="1" w:after="100" w:afterAutospacing="1"/>
      <w:jc w:val="left"/>
    </w:pPr>
    <w:rPr>
      <w:rFonts w:ascii="宋体" w:cs="宋体"/>
      <w:kern w:val="0"/>
      <w:sz w:val="24"/>
      <w:szCs w:val="24"/>
      <w:lang w:bidi="ar-SA"/>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5">
    <w:name w:val="标题 1 Char"/>
    <w:basedOn w:val="22"/>
    <w:link w:val="3"/>
    <w:qFormat/>
    <w:locked/>
    <w:uiPriority w:val="9"/>
    <w:rPr>
      <w:rFonts w:ascii="Times New Roman" w:hAnsi="Times New Roman" w:cs="Times New Roman"/>
      <w:b/>
      <w:bCs/>
      <w:kern w:val="44"/>
      <w:sz w:val="44"/>
      <w:szCs w:val="44"/>
    </w:rPr>
  </w:style>
  <w:style w:type="character" w:customStyle="1" w:styleId="26">
    <w:name w:val="标题 2 Char"/>
    <w:basedOn w:val="22"/>
    <w:link w:val="4"/>
    <w:qFormat/>
    <w:locked/>
    <w:uiPriority w:val="9"/>
    <w:rPr>
      <w:rFonts w:ascii="Cambria" w:hAnsi="Cambria" w:eastAsia="宋体" w:cs="Times New Roman"/>
      <w:b/>
      <w:bCs/>
      <w:kern w:val="2"/>
      <w:sz w:val="32"/>
      <w:szCs w:val="32"/>
    </w:rPr>
  </w:style>
  <w:style w:type="character" w:customStyle="1" w:styleId="27">
    <w:name w:val="标题 3 Char"/>
    <w:basedOn w:val="22"/>
    <w:link w:val="5"/>
    <w:qFormat/>
    <w:locked/>
    <w:uiPriority w:val="9"/>
    <w:rPr>
      <w:rFonts w:ascii="Times New Roman" w:hAnsi="Times New Roman" w:cs="Times New Roman"/>
      <w:b/>
      <w:bCs/>
      <w:kern w:val="2"/>
      <w:sz w:val="32"/>
      <w:szCs w:val="32"/>
    </w:rPr>
  </w:style>
  <w:style w:type="character" w:customStyle="1" w:styleId="28">
    <w:name w:val="Body Text Char"/>
    <w:basedOn w:val="22"/>
    <w:semiHidden/>
    <w:qFormat/>
    <w:uiPriority w:val="99"/>
    <w:rPr>
      <w:rFonts w:ascii="Times New Roman" w:hAnsi="Times New Roman" w:cs="Times New Roman"/>
      <w:sz w:val="24"/>
      <w:szCs w:val="24"/>
    </w:rPr>
  </w:style>
  <w:style w:type="character" w:customStyle="1" w:styleId="29">
    <w:name w:val="批注框文本 Char"/>
    <w:basedOn w:val="22"/>
    <w:link w:val="12"/>
    <w:semiHidden/>
    <w:qFormat/>
    <w:locked/>
    <w:uiPriority w:val="99"/>
    <w:rPr>
      <w:rFonts w:ascii="Times New Roman" w:hAnsi="Times New Roman" w:cs="Times New Roman"/>
      <w:kern w:val="2"/>
      <w:sz w:val="18"/>
      <w:szCs w:val="18"/>
    </w:rPr>
  </w:style>
  <w:style w:type="character" w:customStyle="1" w:styleId="30">
    <w:name w:val="Footer Char"/>
    <w:basedOn w:val="22"/>
    <w:semiHidden/>
    <w:qFormat/>
    <w:uiPriority w:val="99"/>
    <w:rPr>
      <w:rFonts w:ascii="Times New Roman" w:hAnsi="Times New Roman" w:cs="Times New Roman"/>
      <w:sz w:val="18"/>
      <w:szCs w:val="18"/>
    </w:rPr>
  </w:style>
  <w:style w:type="character" w:customStyle="1" w:styleId="31">
    <w:name w:val="Header Char"/>
    <w:basedOn w:val="22"/>
    <w:semiHidden/>
    <w:qFormat/>
    <w:uiPriority w:val="99"/>
    <w:rPr>
      <w:rFonts w:ascii="Times New Roman" w:hAnsi="Times New Roman" w:cs="Times New Roman"/>
      <w:sz w:val="18"/>
      <w:szCs w:val="18"/>
    </w:rPr>
  </w:style>
  <w:style w:type="character" w:customStyle="1" w:styleId="32">
    <w:name w:val="页眉 Char"/>
    <w:link w:val="14"/>
    <w:semiHidden/>
    <w:qFormat/>
    <w:locked/>
    <w:uiPriority w:val="99"/>
    <w:rPr>
      <w:sz w:val="18"/>
    </w:rPr>
  </w:style>
  <w:style w:type="character" w:customStyle="1" w:styleId="33">
    <w:name w:val="页脚 Char"/>
    <w:link w:val="13"/>
    <w:qFormat/>
    <w:locked/>
    <w:uiPriority w:val="99"/>
    <w:rPr>
      <w:sz w:val="18"/>
    </w:rPr>
  </w:style>
  <w:style w:type="character" w:customStyle="1" w:styleId="34">
    <w:name w:val="正文文本 Char"/>
    <w:link w:val="7"/>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4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6842</Words>
  <Characters>7275</Characters>
  <Lines>74</Lines>
  <Paragraphs>21</Paragraphs>
  <TotalTime>6</TotalTime>
  <ScaleCrop>false</ScaleCrop>
  <LinksUpToDate>false</LinksUpToDate>
  <CharactersWithSpaces>7812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Administrator</cp:lastModifiedBy>
  <cp:lastPrinted>2022-09-20T02:57:00Z</cp:lastPrinted>
  <dcterms:modified xsi:type="dcterms:W3CDTF">2022-09-26T13:39:47Z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4A72DAEFDC374584B9D143174CF90913</vt:lpwstr>
  </property>
</Properties>
</file>