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8441"/>
      <w:bookmarkStart w:id="3" w:name="_Toc15396597"/>
      <w:bookmarkStart w:id="4" w:name="_Toc15377425"/>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8442"/>
      <w:bookmarkStart w:id="8" w:name="_Toc15396598"/>
      <w:bookmarkStart w:id="9" w:name="_Toc15377194"/>
      <w:bookmarkStart w:id="10" w:name="_Toc15377426"/>
      <w:r>
        <w:rPr>
          <w:rFonts w:hint="eastAsia" w:ascii="方正小标宋简体" w:hAnsi="宋体" w:eastAsia="方正小标宋简体"/>
          <w:color w:val="000000"/>
          <w:sz w:val="72"/>
          <w:szCs w:val="72"/>
        </w:rPr>
        <w:t>四川省阿坝州</w:t>
      </w:r>
      <w:bookmarkEnd w:id="0"/>
      <w:bookmarkStart w:id="11" w:name="_Toc15306268"/>
      <w:r>
        <w:rPr>
          <w:rFonts w:hint="eastAsia" w:ascii="方正小标宋简体" w:hAnsi="宋体" w:eastAsia="方正小标宋简体"/>
          <w:color w:val="000000"/>
          <w:sz w:val="72"/>
          <w:szCs w:val="72"/>
          <w:lang w:eastAsia="zh-CN"/>
        </w:rPr>
        <w:t>松潘县城乡居民养老保险事业管理局</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both"/>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pPr>
        <w:widowControl/>
        <w:jc w:val="center"/>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2"/>
      </w:pPr>
      <w:r>
        <w:rPr>
          <w:rFonts w:hint="eastAsia"/>
        </w:rPr>
        <w:t>公开时间：2020年9月</w:t>
      </w:r>
      <w:r>
        <w:t>25</w:t>
      </w:r>
      <w:r>
        <w:rPr>
          <w:rFonts w:hint="eastAsia"/>
        </w:rPr>
        <w:t>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3"/>
        <w:adjustRightInd w:val="0"/>
        <w:snapToGrid w:val="0"/>
        <w:spacing w:line="440" w:lineRule="exact"/>
        <w:jc w:val="left"/>
        <w:rPr>
          <w:rFonts w:ascii="仿宋" w:hAnsi="仿宋" w:eastAsia="仿宋"/>
          <w:sz w:val="24"/>
        </w:rPr>
      </w:pPr>
      <w:r>
        <w:rPr>
          <w:rFonts w:hint="eastAsia"/>
          <w:sz w:val="24"/>
        </w:rPr>
        <w:t>一、基本职能及主要工作</w:t>
      </w:r>
    </w:p>
    <w:p>
      <w:pPr>
        <w:pStyle w:val="13"/>
        <w:adjustRightInd w:val="0"/>
        <w:snapToGrid w:val="0"/>
        <w:spacing w:line="440" w:lineRule="exact"/>
        <w:jc w:val="left"/>
        <w:rPr>
          <w:rFonts w:ascii="仿宋" w:hAnsi="仿宋" w:eastAsia="仿宋" w:cstheme="minorBidi"/>
          <w:sz w:val="24"/>
        </w:rPr>
      </w:pPr>
      <w:r>
        <w:rPr>
          <w:rFonts w:hint="eastAsia"/>
          <w:sz w:val="24"/>
        </w:rPr>
        <w:t>二、机构设置</w:t>
      </w:r>
    </w:p>
    <w:p>
      <w:pPr>
        <w:pStyle w:val="12"/>
        <w:adjustRightInd w:val="0"/>
        <w:snapToGrid w:val="0"/>
        <w:spacing w:before="0" w:line="440" w:lineRule="exact"/>
        <w:jc w:val="left"/>
        <w:rPr>
          <w:sz w:val="24"/>
          <w:szCs w:val="24"/>
        </w:rPr>
      </w:pPr>
      <w:r>
        <w:rPr>
          <w:rFonts w:hint="eastAsia"/>
          <w:sz w:val="24"/>
        </w:rPr>
        <w:t>第二部分度部门决算情况说明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3"/>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7"/>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3"/>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3"/>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3"/>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rPr>
          <w:rStyle w:val="28"/>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40" w:firstLineChars="200"/>
        <w:outlineLvl w:val="2"/>
        <w:rPr>
          <w:rFonts w:hint="eastAsia" w:ascii="仿宋" w:hAnsi="仿宋" w:eastAsia="仿宋"/>
          <w:bCs/>
          <w:color w:val="000000"/>
          <w:sz w:val="32"/>
          <w:szCs w:val="32"/>
          <w:lang w:eastAsia="zh-CN"/>
        </w:rPr>
      </w:pPr>
      <w:bookmarkStart w:id="16" w:name="_Toc15377198"/>
      <w:bookmarkStart w:id="17" w:name="_Toc15378445"/>
      <w:r>
        <w:rPr>
          <w:rFonts w:hint="eastAsia" w:ascii="仿宋" w:hAnsi="仿宋" w:eastAsia="仿宋"/>
          <w:bCs/>
          <w:color w:val="000000"/>
          <w:sz w:val="32"/>
          <w:szCs w:val="32"/>
        </w:rPr>
        <w:t>（一）主要职能</w:t>
      </w:r>
      <w:bookmarkEnd w:id="16"/>
      <w:bookmarkEnd w:id="17"/>
      <w:r>
        <w:rPr>
          <w:rFonts w:hint="eastAsia" w:ascii="仿宋" w:hAnsi="仿宋" w:eastAsia="仿宋"/>
          <w:bCs/>
          <w:color w:val="000000"/>
          <w:sz w:val="32"/>
          <w:szCs w:val="32"/>
          <w:lang w:eastAsia="zh-CN"/>
        </w:rPr>
        <w:t>。</w:t>
      </w:r>
    </w:p>
    <w:p>
      <w:pPr>
        <w:ind w:firstLine="640" w:firstLineChars="200"/>
        <w:rPr>
          <w:rFonts w:hint="eastAsia" w:ascii="仿宋" w:hAnsi="仿宋" w:eastAsia="仿宋" w:cs="仿宋"/>
          <w:bCs/>
          <w:color w:val="000000"/>
          <w:sz w:val="32"/>
          <w:szCs w:val="32"/>
        </w:rPr>
      </w:pPr>
      <w:r>
        <w:rPr>
          <w:rFonts w:hint="eastAsia" w:ascii="仿宋" w:hAnsi="仿宋" w:eastAsia="仿宋" w:cs="仿宋"/>
          <w:sz w:val="32"/>
          <w:szCs w:val="32"/>
          <w:lang w:eastAsia="zh-CN"/>
        </w:rPr>
        <w:t>贯</w:t>
      </w:r>
      <w:r>
        <w:rPr>
          <w:rFonts w:hint="eastAsia" w:ascii="仿宋" w:hAnsi="仿宋" w:eastAsia="仿宋" w:cs="仿宋"/>
          <w:sz w:val="32"/>
          <w:szCs w:val="32"/>
        </w:rPr>
        <w:t>彻执行国家、省、州社会保险法律法规和政策，组织实施城乡居民养老保险年度工作计划，负责经办城乡居民养老保险参保登记、保费收缴、基金划拨、待遇核定与支付、领取待遇资格认证、保险关系转移、档案管理、受理咨询等业务工作，</w:t>
      </w:r>
      <w:r>
        <w:rPr>
          <w:rFonts w:hint="eastAsia" w:ascii="仿宋" w:hAnsi="仿宋" w:eastAsia="仿宋" w:cs="仿宋"/>
          <w:bCs/>
          <w:color w:val="000000"/>
          <w:sz w:val="32"/>
          <w:szCs w:val="32"/>
        </w:rPr>
        <w:t>业务上受县人力资源和社会保障局的指导和监督。</w:t>
      </w:r>
    </w:p>
    <w:p>
      <w:pPr>
        <w:pStyle w:val="6"/>
        <w:adjustRightInd w:val="0"/>
        <w:snapToGrid w:val="0"/>
        <w:spacing w:before="93" w:line="600" w:lineRule="exact"/>
        <w:ind w:firstLine="640" w:firstLineChars="200"/>
        <w:jc w:val="left"/>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6"/>
        <w:adjustRightInd w:val="0"/>
        <w:snapToGrid w:val="0"/>
        <w:spacing w:line="600" w:lineRule="exact"/>
        <w:ind w:firstLine="672" w:firstLineChars="210"/>
        <w:rPr>
          <w:rFonts w:hint="eastAsia"/>
          <w:bCs/>
          <w:color w:val="000000"/>
          <w:sz w:val="32"/>
          <w:szCs w:val="32"/>
        </w:rPr>
      </w:pPr>
      <w:r>
        <w:rPr>
          <w:rFonts w:hint="eastAsia"/>
          <w:bCs/>
          <w:color w:val="000000"/>
          <w:sz w:val="32"/>
          <w:szCs w:val="32"/>
        </w:rPr>
        <w:t>完成了城乡居民养老保险的年度保费征缴工作；完成了年度养老金领取人员待遇发放工作；完成待遇领取人员生存验证工作；完成了参保人员关系转移接续工作；完成了年度精准脱贫结对帮扶工作；完成了年度民族团结创建工作；</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p>
    <w:p>
      <w:pPr>
        <w:pStyle w:val="4"/>
        <w:rPr>
          <w:rStyle w:val="28"/>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0"/>
      <w:bookmarkEnd w:id="21"/>
    </w:p>
    <w:p>
      <w:pPr>
        <w:ind w:firstLine="800" w:firstLineChars="250"/>
        <w:rPr>
          <w:rFonts w:ascii="仿宋" w:hAnsi="仿宋" w:eastAsia="仿宋"/>
          <w:color w:val="000000"/>
          <w:sz w:val="32"/>
          <w:szCs w:val="32"/>
        </w:rPr>
      </w:pPr>
      <w:r>
        <w:rPr>
          <w:rFonts w:hint="eastAsia" w:ascii="仿宋_GB2312" w:eastAsia="仿宋_GB2312"/>
          <w:bCs/>
          <w:color w:val="000000"/>
          <w:kern w:val="0"/>
          <w:sz w:val="32"/>
          <w:szCs w:val="32"/>
        </w:rPr>
        <w:t>城乡居民养老保险事业管理局</w:t>
      </w:r>
      <w:bookmarkStart w:id="73" w:name="_GoBack"/>
      <w:bookmarkEnd w:id="73"/>
      <w:r>
        <w:rPr>
          <w:rFonts w:hint="eastAsia" w:ascii="仿宋_GB2312" w:eastAsia="仿宋_GB2312"/>
          <w:bCs/>
          <w:color w:val="000000"/>
          <w:kern w:val="0"/>
          <w:sz w:val="32"/>
          <w:szCs w:val="32"/>
        </w:rPr>
        <w:t>内设机构1室4股，即办公室、财务股、待遇审核股、统筹计划股、稽核股。单位核定行政编制14人，其中设局长1名，副局长2名，股长5名；办事员6名，合计14个编制，目前在职人员合计12人。</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rPr>
          <w:rStyle w:val="27"/>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2019年度部门决算情况说明</w:t>
      </w:r>
      <w:bookmarkEnd w:id="22"/>
      <w:bookmarkEnd w:id="23"/>
    </w:p>
    <w:p/>
    <w:p>
      <w:pPr>
        <w:pStyle w:val="26"/>
        <w:numPr>
          <w:ilvl w:val="0"/>
          <w:numId w:val="1"/>
        </w:numPr>
        <w:spacing w:line="600" w:lineRule="exact"/>
        <w:ind w:firstLineChars="0"/>
        <w:outlineLvl w:val="1"/>
        <w:rPr>
          <w:rStyle w:val="28"/>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4"/>
      <w:bookmarkEnd w:id="25"/>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153.92</w:t>
      </w:r>
      <w:r>
        <w:rPr>
          <w:rFonts w:hint="eastAsia" w:ascii="仿宋" w:hAnsi="仿宋" w:eastAsia="仿宋"/>
          <w:color w:val="000000"/>
          <w:sz w:val="32"/>
          <w:szCs w:val="32"/>
        </w:rPr>
        <w:t>万元。与2018年相比，收、支总计各增加</w:t>
      </w:r>
      <w:r>
        <w:rPr>
          <w:rFonts w:hint="eastAsia" w:ascii="仿宋" w:hAnsi="仿宋" w:eastAsia="仿宋"/>
          <w:color w:val="000000"/>
          <w:sz w:val="32"/>
          <w:szCs w:val="32"/>
          <w:lang w:val="en-US" w:eastAsia="zh-CN"/>
        </w:rPr>
        <w:t>9.13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6.3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人员增加</w:t>
      </w:r>
    </w:p>
    <w:p>
      <w:pPr>
        <w:pStyle w:val="26"/>
        <w:numPr>
          <w:ilvl w:val="0"/>
          <w:numId w:val="1"/>
        </w:numPr>
        <w:spacing w:line="600" w:lineRule="exact"/>
        <w:ind w:firstLineChars="0"/>
        <w:outlineLvl w:val="1"/>
        <w:rPr>
          <w:rStyle w:val="28"/>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8"/>
          <w:rFonts w:hint="eastAsia" w:ascii="黑体" w:hAnsi="黑体" w:eastAsia="黑体"/>
          <w:b w:val="0"/>
        </w:rPr>
        <w:t>入决算情况说明</w:t>
      </w:r>
      <w:bookmarkEnd w:id="26"/>
      <w:bookmarkEnd w:id="27"/>
    </w:p>
    <w:p>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153.92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153.92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26"/>
        <w:numPr>
          <w:ilvl w:val="0"/>
          <w:numId w:val="1"/>
        </w:numPr>
        <w:spacing w:line="600" w:lineRule="exact"/>
        <w:ind w:firstLineChars="0"/>
        <w:outlineLvl w:val="1"/>
        <w:rPr>
          <w:rStyle w:val="28"/>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8"/>
          <w:rFonts w:hint="eastAsia" w:ascii="黑体" w:hAnsi="黑体" w:eastAsia="黑体"/>
          <w:b w:val="0"/>
        </w:rPr>
        <w:t>出决算情况说明</w:t>
      </w:r>
      <w:bookmarkEnd w:id="28"/>
      <w:bookmarkEnd w:id="29"/>
    </w:p>
    <w:p>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153.92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153.92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8"/>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0"/>
      <w:bookmarkEnd w:id="31"/>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153.92</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9.13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6.3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人员增加</w:t>
      </w:r>
    </w:p>
    <w:p>
      <w:pPr>
        <w:spacing w:line="600" w:lineRule="exact"/>
        <w:rPr>
          <w:rFonts w:ascii="仿宋" w:hAnsi="仿宋" w:eastAsia="仿宋"/>
          <w:b/>
          <w:color w:val="00B050"/>
          <w:sz w:val="32"/>
          <w:szCs w:val="32"/>
        </w:rPr>
      </w:pPr>
    </w:p>
    <w:p>
      <w:pPr>
        <w:spacing w:line="600" w:lineRule="exact"/>
        <w:ind w:firstLine="640" w:firstLineChars="200"/>
        <w:outlineLvl w:val="1"/>
        <w:rPr>
          <w:rStyle w:val="28"/>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153.92</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9.13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6.3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人员增加</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153.92</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130.79</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84.97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8.18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5.31</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14.95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9.72</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b/>
          <w:color w:val="000000"/>
          <w:sz w:val="32"/>
          <w:szCs w:val="32"/>
        </w:rPr>
      </w:pPr>
      <w:bookmarkStart w:id="37" w:name="_Toc15377444"/>
      <w:bookmarkStart w:id="38" w:name="_Toc15377213"/>
      <w:bookmarkStart w:id="39" w:name="_Toc15378460"/>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153.92</w:t>
      </w:r>
      <w:r>
        <w:rPr>
          <w:rFonts w:hint="eastAsia" w:ascii="仿宋" w:hAnsi="仿宋" w:eastAsia="仿宋"/>
          <w:color w:val="000000" w:themeColor="text1"/>
          <w:sz w:val="32"/>
          <w:szCs w:val="32"/>
        </w:rPr>
        <w:t>，</w:t>
      </w:r>
      <w:r>
        <w:rPr>
          <w:rStyle w:val="16"/>
          <w:rFonts w:hint="eastAsia" w:ascii="仿宋" w:hAnsi="仿宋" w:eastAsia="仿宋"/>
          <w:bCs/>
          <w:color w:val="000000" w:themeColor="text1"/>
          <w:sz w:val="32"/>
          <w:szCs w:val="32"/>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1</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社会保障和就业（类）</w:t>
      </w:r>
      <w:r>
        <w:rPr>
          <w:rStyle w:val="16"/>
          <w:rFonts w:hint="eastAsia" w:ascii="仿宋" w:hAnsi="仿宋" w:eastAsia="仿宋"/>
          <w:bCs/>
          <w:color w:val="000000"/>
          <w:sz w:val="32"/>
          <w:szCs w:val="32"/>
          <w:lang w:val="en-US" w:eastAsia="zh-CN"/>
        </w:rPr>
        <w:t>208（</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）01</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09</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lang w:eastAsia="zh-CN"/>
        </w:rPr>
        <w:t>支出决算为</w:t>
      </w:r>
      <w:r>
        <w:rPr>
          <w:rStyle w:val="16"/>
          <w:rFonts w:hint="eastAsia" w:ascii="仿宋" w:hAnsi="仿宋" w:eastAsia="仿宋"/>
          <w:b w:val="0"/>
          <w:bCs/>
          <w:color w:val="000000"/>
          <w:sz w:val="32"/>
          <w:szCs w:val="32"/>
          <w:lang w:val="en-US" w:eastAsia="zh-CN"/>
        </w:rPr>
        <w:t>130.79万元，完成预算100%，</w:t>
      </w:r>
      <w:r>
        <w:rPr>
          <w:rStyle w:val="16"/>
          <w:rFonts w:hint="eastAsia" w:ascii="仿宋" w:hAnsi="仿宋" w:eastAsia="仿宋"/>
          <w:b w:val="0"/>
          <w:bCs/>
          <w:color w:val="000000"/>
          <w:sz w:val="32"/>
          <w:szCs w:val="32"/>
          <w:lang w:eastAsia="zh-CN"/>
        </w:rPr>
        <w:t>支出</w:t>
      </w:r>
      <w:r>
        <w:rPr>
          <w:rStyle w:val="16"/>
          <w:rFonts w:hint="eastAsia" w:ascii="仿宋" w:hAnsi="仿宋" w:eastAsia="仿宋"/>
          <w:b w:val="0"/>
          <w:bCs/>
          <w:color w:val="000000"/>
          <w:sz w:val="32"/>
          <w:szCs w:val="32"/>
        </w:rPr>
        <w:t>决算数等于预算数。</w:t>
      </w:r>
    </w:p>
    <w:p>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2</w:t>
      </w:r>
      <w:r>
        <w:rPr>
          <w:rStyle w:val="16"/>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210</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11</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02</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8.18</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FF0000"/>
          <w:sz w:val="32"/>
          <w:szCs w:val="32"/>
        </w:rPr>
      </w:pPr>
      <w:r>
        <w:rPr>
          <w:rStyle w:val="16"/>
          <w:rFonts w:hint="eastAsia" w:ascii="仿宋" w:hAnsi="仿宋" w:eastAsia="仿宋"/>
          <w:bCs/>
          <w:color w:val="000000"/>
          <w:sz w:val="32"/>
          <w:szCs w:val="32"/>
          <w:lang w:val="en-US" w:eastAsia="zh-CN"/>
        </w:rPr>
        <w:t>3</w:t>
      </w:r>
      <w:r>
        <w:rPr>
          <w:rStyle w:val="16"/>
          <w:rFonts w:ascii="仿宋" w:hAnsi="仿宋" w:eastAsia="仿宋"/>
          <w:bCs/>
          <w:color w:val="000000"/>
          <w:sz w:val="32"/>
          <w:szCs w:val="32"/>
        </w:rPr>
        <w:t>.</w:t>
      </w:r>
      <w:r>
        <w:rPr>
          <w:rFonts w:hint="eastAsia" w:ascii="仿宋" w:hAnsi="仿宋" w:eastAsia="仿宋"/>
          <w:b/>
          <w:bCs/>
          <w:color w:val="000000" w:themeColor="text1"/>
          <w:sz w:val="32"/>
          <w:szCs w:val="32"/>
          <w:lang w:eastAsia="zh-CN"/>
        </w:rPr>
        <w:t>住房保障支出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221</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02</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01</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14.95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8"/>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153.92</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147.61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6.31</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8"/>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w:t>
      </w:r>
      <w:r>
        <w:rPr>
          <w:rFonts w:hint="eastAsia" w:ascii="仿宋" w:hAnsi="仿宋" w:eastAsia="仿宋"/>
          <w:color w:val="000000"/>
          <w:sz w:val="32"/>
          <w:szCs w:val="32"/>
          <w:lang w:eastAsia="zh-CN"/>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w:t>
      </w:r>
    </w:p>
    <w:p>
      <w:pPr>
        <w:spacing w:line="600" w:lineRule="exact"/>
        <w:ind w:firstLine="640"/>
        <w:rPr>
          <w:rFonts w:hint="eastAsia" w:ascii="仿宋_GB2312" w:eastAsia="仿宋_GB2312"/>
          <w:color w:val="000000"/>
          <w:sz w:val="32"/>
          <w:szCs w:val="32"/>
          <w:lang w:eastAsia="zh-CN"/>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3" w:firstLineChars="200"/>
        <w:rPr>
          <w:rFonts w:hint="eastAsia" w:ascii="仿宋_GB2312" w:eastAsia="仿宋_GB2312"/>
          <w:color w:val="000000" w:themeColor="text1"/>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8"/>
          <w:rFonts w:ascii="黑体" w:hAnsi="黑体" w:eastAsia="黑体"/>
          <w:b w:val="0"/>
        </w:rPr>
      </w:pPr>
      <w:bookmarkStart w:id="48" w:name="_Toc15377219"/>
      <w:bookmarkStart w:id="49" w:name="_Toc15396611"/>
      <w:r>
        <w:rPr>
          <w:rStyle w:val="28"/>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8"/>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城乡居民养老保险事业管理局无</w:t>
      </w:r>
      <w:r>
        <w:rPr>
          <w:rFonts w:hint="eastAsia" w:ascii="仿宋_GB2312" w:eastAsia="仿宋_GB2312"/>
          <w:color w:val="000000"/>
          <w:sz w:val="32"/>
          <w:szCs w:val="32"/>
        </w:rPr>
        <w:t>机关运行经费支</w:t>
      </w:r>
      <w:r>
        <w:rPr>
          <w:rFonts w:hint="eastAsia" w:ascii="仿宋_GB2312" w:eastAsia="仿宋_GB2312"/>
          <w:color w:val="000000"/>
          <w:sz w:val="32"/>
          <w:szCs w:val="32"/>
          <w:lang w:eastAsia="zh-CN"/>
        </w:rPr>
        <w:t>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城乡居民养老保险事业管理局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城乡居民养老保险事业管理局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1.本部门因为没有项目，所以未开展项目支出绩效评价。</w:t>
      </w:r>
    </w:p>
    <w:p>
      <w:pPr>
        <w:widowControl/>
        <w:spacing w:line="540" w:lineRule="exact"/>
        <w:ind w:firstLine="640" w:firstLineChars="200"/>
        <w:rPr>
          <w:rFonts w:hint="eastAsia" w:ascii="仿宋_GB2312" w:eastAsia="仿宋_GB2312" w:cs="宋体"/>
          <w:color w:val="000000"/>
          <w:sz w:val="32"/>
          <w:szCs w:val="32"/>
          <w:lang w:bidi="ar-SA"/>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eastAsia="仿宋_GB2312" w:cs="宋体"/>
          <w:color w:val="000000"/>
          <w:sz w:val="32"/>
          <w:szCs w:val="32"/>
          <w:lang w:val="en-US" w:eastAsia="zh-CN" w:bidi="ar-SA"/>
        </w:rPr>
        <w:t>2019</w:t>
      </w:r>
      <w:r>
        <w:rPr>
          <w:rFonts w:hint="eastAsia" w:ascii="仿宋_GB2312" w:eastAsia="仿宋_GB2312" w:cs="宋体"/>
          <w:color w:val="000000"/>
          <w:sz w:val="32"/>
          <w:szCs w:val="32"/>
          <w:lang w:bidi="ar-SA"/>
        </w:rPr>
        <w:t>年我部门预算执行整体情况正常，按照各项工作有序开展的进度，财政资金收支情况同时也按进度执行，有个别需要进一步加大力度开展。</w:t>
      </w:r>
    </w:p>
    <w:p>
      <w:pPr>
        <w:pStyle w:val="2"/>
        <w:rPr>
          <w:rFonts w:hint="eastAsia" w:ascii="仿宋_GB2312" w:eastAsia="仿宋_GB2312" w:cs="宋体"/>
          <w:color w:val="000000"/>
          <w:sz w:val="32"/>
          <w:szCs w:val="32"/>
          <w:lang w:bidi="ar-SA"/>
        </w:rPr>
      </w:pPr>
    </w:p>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松潘县城乡居民养老保险事业管理局</w:t>
      </w:r>
      <w:r>
        <w:rPr>
          <w:rFonts w:hint="eastAsia" w:ascii="仿宋_GB2312" w:hAnsi="仿宋_GB2312" w:eastAsia="仿宋_GB2312" w:cs="仿宋_GB2312"/>
          <w:sz w:val="32"/>
          <w:szCs w:val="32"/>
        </w:rPr>
        <w:t>2019年部门整体支出绩效评价报告》见附件（附件1）。</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7"/>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7"/>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26"/>
        <w:tabs>
          <w:tab w:val="left" w:pos="750"/>
          <w:tab w:val="left" w:pos="1134"/>
        </w:tabs>
        <w:ind w:firstLine="560"/>
        <w:rPr>
          <w:rFonts w:hint="eastAsia" w:ascii="仿宋_GB2312" w:hAnsi="仿宋" w:eastAsia="仿宋_GB2312" w:cs="仿宋"/>
          <w:sz w:val="28"/>
          <w:szCs w:val="28"/>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val="en-US" w:eastAsia="zh-CN"/>
        </w:rPr>
        <w:t>208</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09</w:t>
      </w:r>
      <w:r>
        <w:rPr>
          <w:rFonts w:hint="eastAsia" w:ascii="仿宋_GB2312" w:eastAsia="仿宋_GB2312"/>
          <w:color w:val="000000"/>
          <w:sz w:val="32"/>
          <w:szCs w:val="32"/>
        </w:rPr>
        <w:t>：</w:t>
      </w:r>
      <w:r>
        <w:rPr>
          <w:rFonts w:hint="eastAsia" w:ascii="仿宋_GB2312" w:hAnsi="仿宋" w:eastAsia="仿宋_GB2312" w:cs="仿宋"/>
          <w:sz w:val="28"/>
          <w:szCs w:val="28"/>
        </w:rPr>
        <w:t>机构人员工资、日常运转以及为完成财政特定行政工作任务和事业发展目标而安排的年度项目支出。</w:t>
      </w:r>
    </w:p>
    <w:p>
      <w:pPr>
        <w:pStyle w:val="26"/>
        <w:tabs>
          <w:tab w:val="left" w:pos="750"/>
        </w:tabs>
        <w:ind w:firstLine="560"/>
        <w:rPr>
          <w:rFonts w:hint="eastAsia" w:ascii="仿宋_GB2312" w:hAnsi="仿宋" w:eastAsia="仿宋_GB2312" w:cs="仿宋"/>
          <w:sz w:val="28"/>
          <w:szCs w:val="28"/>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住房保障（类）</w:t>
      </w:r>
      <w:r>
        <w:rPr>
          <w:rFonts w:hint="eastAsia" w:ascii="仿宋_GB2312" w:eastAsia="仿宋_GB2312"/>
          <w:color w:val="000000"/>
          <w:sz w:val="32"/>
          <w:szCs w:val="32"/>
          <w:lang w:val="en-US" w:eastAsia="zh-CN"/>
        </w:rPr>
        <w:t>221</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w:t>
      </w:r>
      <w:r>
        <w:rPr>
          <w:rFonts w:hint="eastAsia" w:ascii="仿宋_GB2312" w:hAnsi="仿宋" w:eastAsia="仿宋_GB2312" w:cs="仿宋"/>
          <w:sz w:val="28"/>
          <w:szCs w:val="28"/>
        </w:rPr>
        <w:t>行政机构按照规定标准为职工缴纳住房公积金等支出。</w:t>
      </w:r>
    </w:p>
    <w:p>
      <w:pPr>
        <w:pStyle w:val="26"/>
        <w:tabs>
          <w:tab w:val="left" w:pos="750"/>
        </w:tabs>
        <w:ind w:left="0" w:leftChars="0"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医疗卫生与计划生育（类）</w:t>
      </w:r>
      <w:r>
        <w:rPr>
          <w:rFonts w:hint="eastAsia" w:ascii="仿宋_GB2312" w:eastAsia="仿宋_GB2312"/>
          <w:color w:val="000000"/>
          <w:sz w:val="32"/>
          <w:szCs w:val="32"/>
          <w:lang w:val="en-US" w:eastAsia="zh-CN"/>
        </w:rPr>
        <w:t>210</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w:t>
      </w:r>
      <w:r>
        <w:rPr>
          <w:rFonts w:hint="eastAsia" w:ascii="仿宋_GB2312" w:hAnsi="仿宋" w:eastAsia="仿宋_GB2312" w:cs="仿宋"/>
          <w:sz w:val="28"/>
          <w:szCs w:val="28"/>
        </w:rPr>
        <w:t>行政机构按照规定标准为职工缴纳的基本医疗保险及公务员医疗补助等支出。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7"/>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zh-CN" w:eastAsia="zh-CN"/>
        </w:rPr>
        <w:t>松潘县城乡居民养老保险事业管理局</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松潘县</w:t>
      </w:r>
      <w:r>
        <w:rPr>
          <w:rFonts w:hint="eastAsia" w:ascii="仿宋_GB2312" w:hAnsi="仿宋" w:eastAsia="仿宋_GB2312" w:cs="仿宋"/>
          <w:sz w:val="28"/>
          <w:szCs w:val="28"/>
          <w:lang w:eastAsia="zh-CN"/>
        </w:rPr>
        <w:t>城乡居民养老保险事业管理局</w:t>
      </w:r>
      <w:r>
        <w:rPr>
          <w:rFonts w:hint="eastAsia" w:ascii="仿宋_GB2312" w:hAnsi="仿宋" w:eastAsia="仿宋_GB2312" w:cs="仿宋"/>
          <w:sz w:val="28"/>
          <w:szCs w:val="28"/>
        </w:rPr>
        <w:t>设</w:t>
      </w:r>
      <w:r>
        <w:rPr>
          <w:rFonts w:hint="eastAsia" w:ascii="仿宋_GB2312" w:hAnsi="仿宋" w:eastAsia="仿宋_GB2312" w:cs="仿宋"/>
          <w:sz w:val="28"/>
          <w:szCs w:val="28"/>
          <w:lang w:val="en-US" w:eastAsia="zh-CN"/>
        </w:rPr>
        <w:t>5</w:t>
      </w:r>
      <w:r>
        <w:rPr>
          <w:rFonts w:hint="eastAsia" w:ascii="仿宋_GB2312" w:hAnsi="仿宋" w:eastAsia="仿宋_GB2312" w:cs="仿宋"/>
          <w:sz w:val="28"/>
          <w:szCs w:val="28"/>
        </w:rPr>
        <w:t>个内设机构：</w:t>
      </w:r>
    </w:p>
    <w:p>
      <w:pPr>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一</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办公室</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承办局领导活动事宜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负责综合性调研工作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承担综合协调职责，拟定工作制度、工作计划并负责督促检查</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负责局领导指示和会议决定事项的督办工作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负责全局会议的组织、文件起草、公文审核、文电处理、机要档案、秘书事务和联络接待工作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6、负责单位人事编制工作。</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7、负责单位文明创建、综治、信访、后勤工作。</w:t>
      </w:r>
    </w:p>
    <w:p>
      <w:pPr>
        <w:ind w:firstLine="560" w:firstLineChars="200"/>
        <w:rPr>
          <w:rFonts w:hint="eastAsia" w:ascii="仿宋_GB2312" w:hAnsi="仿宋" w:eastAsia="仿宋_GB2312" w:cs="仿宋"/>
          <w:sz w:val="28"/>
          <w:szCs w:val="28"/>
          <w:lang w:eastAsia="zh-CN"/>
        </w:rPr>
      </w:pPr>
      <w:r>
        <w:rPr>
          <w:rFonts w:hint="eastAsia" w:ascii="仿宋_GB2312" w:hAnsi="仿宋" w:eastAsia="仿宋_GB2312" w:cs="仿宋"/>
          <w:sz w:val="28"/>
          <w:szCs w:val="28"/>
        </w:rPr>
        <w:t>（二）</w:t>
      </w:r>
      <w:r>
        <w:rPr>
          <w:rFonts w:hint="eastAsia" w:ascii="仿宋_GB2312" w:hAnsi="仿宋" w:eastAsia="仿宋_GB2312" w:cs="仿宋"/>
          <w:sz w:val="28"/>
          <w:szCs w:val="28"/>
          <w:lang w:eastAsia="zh-CN"/>
        </w:rPr>
        <w:t>财务股</w:t>
      </w:r>
    </w:p>
    <w:p>
      <w:pPr>
        <w:ind w:firstLine="560" w:firstLineChars="200"/>
        <w:rPr>
          <w:rFonts w:hint="eastAsia" w:ascii="仿宋_GB2312" w:eastAsia="仿宋_GB2312"/>
          <w:sz w:val="32"/>
          <w:szCs w:val="32"/>
          <w:lang w:eastAsia="zh-CN"/>
        </w:rPr>
      </w:pPr>
      <w:r>
        <w:rPr>
          <w:rFonts w:hint="eastAsia" w:ascii="仿宋_GB2312" w:hAnsi="仿宋" w:eastAsia="仿宋_GB2312" w:cs="仿宋"/>
          <w:sz w:val="28"/>
          <w:szCs w:val="28"/>
          <w:lang w:val="en-US" w:eastAsia="zh-CN"/>
        </w:rPr>
        <w:t>1、</w:t>
      </w:r>
      <w:r>
        <w:rPr>
          <w:rFonts w:hint="eastAsia" w:ascii="仿宋_GB2312" w:eastAsia="仿宋_GB2312"/>
          <w:sz w:val="32"/>
          <w:szCs w:val="32"/>
          <w:lang w:eastAsia="zh-CN"/>
        </w:rPr>
        <w:t>贯彻执行党和国家有关财务管理的政策法规和制度以及社会保险基金管理的具体政策和规定。</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编制松潘县城乡居民养老保险基金预算和决算报告。</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负责农村居民养老保险和城镇居民养老保险基金在记账和对账后及时划入城乡居民养老保险基金财政专户。</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记录、计算、反映基金财务的收支运营情况。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贯彻执行基金财务报表制度，编制各类会计报表。</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支付养老保险待遇，记录城乡居民的缴费情况。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lang w:eastAsia="zh-CN"/>
        </w:rPr>
        <w:t>管理城乡居民养老保险基金的各种会计凭证、账簿、报表等会计档案。</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lang w:eastAsia="zh-CN"/>
        </w:rPr>
        <w:t>负责单位人员经费等财务工作。</w:t>
      </w:r>
    </w:p>
    <w:p>
      <w:pPr>
        <w:ind w:firstLine="640" w:firstLineChars="200"/>
        <w:rPr>
          <w:rFonts w:hint="eastAsia" w:ascii="楷体_GB2312" w:hAnsi="楷体_GB2312" w:eastAsia="楷体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楷体_GB2312" w:hAnsi="楷体_GB2312" w:eastAsia="楷体_GB2312"/>
          <w:sz w:val="32"/>
          <w:szCs w:val="32"/>
          <w:lang w:eastAsia="zh-CN"/>
        </w:rPr>
        <w:t>待遇审核股</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负责</w:t>
      </w:r>
      <w:r>
        <w:rPr>
          <w:rFonts w:hint="eastAsia" w:ascii="仿宋_GB2312" w:eastAsia="仿宋_GB2312"/>
          <w:sz w:val="32"/>
          <w:szCs w:val="32"/>
          <w:lang w:val="en-US" w:eastAsia="zh-CN"/>
        </w:rPr>
        <w:t>60周岁以上符合领取待遇人员养老保险待遇的核定与调整。</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2、对待遇领取实施社会化发放。</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3、负责掌握待遇领取人员生存状况。</w:t>
      </w:r>
    </w:p>
    <w:p>
      <w:pPr>
        <w:ind w:firstLine="640" w:firstLineChars="200"/>
        <w:rPr>
          <w:rFonts w:hint="eastAsia" w:ascii="楷体_GB2312" w:hAnsi="楷体_GB2312" w:eastAsia="楷体_GB2312"/>
          <w:sz w:val="32"/>
          <w:szCs w:val="32"/>
          <w:lang w:val="en-US" w:eastAsia="zh-CN"/>
        </w:rPr>
      </w:pPr>
      <w:r>
        <w:rPr>
          <w:rFonts w:hint="eastAsia" w:ascii="楷体_GB2312" w:hAnsi="楷体_GB2312" w:eastAsia="楷体_GB2312"/>
          <w:sz w:val="32"/>
          <w:szCs w:val="32"/>
          <w:lang w:val="en-US" w:eastAsia="zh-CN"/>
        </w:rPr>
        <w:t>（四）统筹计划股</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1、认真贯彻执行城乡居民养老保险统筹政策，拟定测算城乡居民养老保险基金的征收方案并向局财务股提供执行统筹数据。</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2、负责全县城乡居民养老保险参保人员缴费档次的审核，并建立健全全县参保人员的个人账户。</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3、主要审核、检查、指导各乡镇、村办理相关参保手续，监督各乡镇城乡居民养老保险保费的征缴等。</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4、负责及时准确地报送各种有关资料及报表。</w:t>
      </w:r>
    </w:p>
    <w:p>
      <w:pPr>
        <w:ind w:firstLine="640" w:firstLineChars="200"/>
        <w:rPr>
          <w:rFonts w:hint="eastAsia" w:ascii="楷体_GB2312" w:hAnsi="楷体_GB2312" w:eastAsia="楷体_GB2312"/>
          <w:sz w:val="32"/>
          <w:szCs w:val="32"/>
          <w:lang w:val="en-US" w:eastAsia="zh-CN"/>
        </w:rPr>
      </w:pPr>
      <w:r>
        <w:rPr>
          <w:rFonts w:hint="eastAsia" w:ascii="楷体_GB2312" w:hAnsi="楷体_GB2312" w:eastAsia="楷体_GB2312"/>
          <w:sz w:val="32"/>
          <w:szCs w:val="32"/>
          <w:lang w:val="en-US" w:eastAsia="zh-CN"/>
        </w:rPr>
        <w:t>（五）稽核股</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1、对城乡居民养老保险参保登记、缴费记录、基金安全、养老保险资格认证。</w:t>
      </w:r>
    </w:p>
    <w:p>
      <w:pPr>
        <w:ind w:firstLine="640" w:firstLineChars="200"/>
        <w:rPr>
          <w:rFonts w:hint="eastAsia" w:ascii="仿宋_GB2312" w:hAnsi="仿宋" w:eastAsia="仿宋_GB2312" w:cs="仿宋"/>
          <w:bCs/>
          <w:sz w:val="28"/>
          <w:szCs w:val="28"/>
          <w:lang w:eastAsia="zh-CN"/>
        </w:rPr>
      </w:pPr>
      <w:r>
        <w:rPr>
          <w:rFonts w:hint="eastAsia" w:ascii="仿宋_GB2312" w:eastAsia="仿宋_GB2312"/>
          <w:sz w:val="32"/>
          <w:szCs w:val="32"/>
          <w:lang w:val="en-US" w:eastAsia="zh-CN"/>
        </w:rPr>
        <w:t>2、待遇支付等各项业务活动进行稽核。</w:t>
      </w:r>
    </w:p>
    <w:p>
      <w:pPr>
        <w:pStyle w:val="7"/>
        <w:spacing w:line="240" w:lineRule="auto"/>
        <w:ind w:firstLine="643" w:firstLineChars="200"/>
        <w:jc w:val="left"/>
        <w:rPr>
          <w:rFonts w:hint="eastAsia" w:ascii="仿宋_GB2312"/>
          <w:b/>
          <w:szCs w:val="32"/>
        </w:rPr>
      </w:pPr>
      <w:r>
        <w:rPr>
          <w:rFonts w:hint="eastAsia" w:ascii="仿宋_GB2312"/>
          <w:b/>
          <w:szCs w:val="32"/>
        </w:rPr>
        <w:t>（二）机构职能</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贯彻执行国家、省、州社会保险法律法规和政策，组织实施城乡居民养老保险年度工作计划。</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负责经办城乡居民养老保险参保登记、保费收缴、基金划拨、待遇核定与支付、领取待遇资格认证、保险关系转移、档案管理、受理咨询等业务工作。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负责参保人个人账户建立与管理。</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负责城乡居民养老保险的扩面续保工作。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负责城乡居民养老保险基金的管理结算工作。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编制城乡居民养老保险基金预决算。</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负责</w:t>
      </w:r>
      <w:r>
        <w:rPr>
          <w:rFonts w:hint="eastAsia" w:ascii="仿宋_GB2312" w:eastAsia="仿宋_GB2312"/>
          <w:sz w:val="32"/>
          <w:szCs w:val="32"/>
          <w:lang w:eastAsia="zh-CN"/>
        </w:rPr>
        <w:t>城乡居民养老保险</w:t>
      </w:r>
      <w:r>
        <w:rPr>
          <w:rFonts w:hint="eastAsia" w:ascii="仿宋_GB2312" w:eastAsia="仿宋_GB2312"/>
          <w:sz w:val="32"/>
          <w:szCs w:val="32"/>
        </w:rPr>
        <w:t>的信息和统计分析工作。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承办上级机关交办的其他工作。</w:t>
      </w:r>
    </w:p>
    <w:p>
      <w:pPr>
        <w:ind w:firstLine="643" w:firstLineChars="200"/>
        <w:rPr>
          <w:rFonts w:hint="eastAsia" w:ascii="仿宋_GB2312" w:eastAsia="仿宋_GB2312"/>
          <w:b/>
          <w:sz w:val="32"/>
          <w:szCs w:val="32"/>
        </w:rPr>
      </w:pPr>
      <w:r>
        <w:rPr>
          <w:rFonts w:hint="eastAsia" w:ascii="仿宋_GB2312" w:eastAsia="仿宋_GB2312"/>
          <w:b/>
          <w:sz w:val="32"/>
          <w:szCs w:val="32"/>
        </w:rPr>
        <w:t>（三）人员概况</w:t>
      </w:r>
    </w:p>
    <w:p>
      <w:pPr>
        <w:spacing w:line="578" w:lineRule="exact"/>
        <w:ind w:firstLine="640" w:firstLineChars="200"/>
        <w:rPr>
          <w:rFonts w:hint="eastAsia" w:ascii="仿宋_GB2312" w:hAnsi="仿宋" w:eastAsia="仿宋_GB2312" w:cs="仿宋"/>
          <w:sz w:val="32"/>
          <w:szCs w:val="32"/>
          <w:lang w:eastAsia="zh-CN"/>
        </w:rPr>
      </w:pPr>
      <w:r>
        <w:rPr>
          <w:rFonts w:hint="eastAsia" w:ascii="仿宋_GB2312" w:hAnsi="仿宋_GB2312" w:eastAsia="仿宋_GB2312" w:cs="仿宋_GB2312"/>
          <w:color w:val="333333"/>
          <w:kern w:val="0"/>
          <w:sz w:val="32"/>
          <w:szCs w:val="32"/>
        </w:rPr>
        <w:t>松潘县</w:t>
      </w:r>
      <w:r>
        <w:rPr>
          <w:rFonts w:hint="eastAsia" w:ascii="仿宋_GB2312" w:hAnsi="仿宋_GB2312" w:eastAsia="仿宋_GB2312" w:cs="仿宋_GB2312"/>
          <w:color w:val="333333"/>
          <w:kern w:val="0"/>
          <w:sz w:val="32"/>
          <w:szCs w:val="32"/>
          <w:lang w:val="en-US" w:eastAsia="zh-CN"/>
        </w:rPr>
        <w:t>城乡居民养老保险事业管理局成立于2010</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w:t>
      </w:r>
      <w:r>
        <w:rPr>
          <w:rFonts w:hint="eastAsia" w:ascii="仿宋_GB2312" w:eastAsia="仿宋_GB2312"/>
          <w:sz w:val="32"/>
          <w:szCs w:val="32"/>
        </w:rPr>
        <w:t>独立编制机构数1个，独立核算机构数1个。</w:t>
      </w:r>
      <w:r>
        <w:rPr>
          <w:rFonts w:hint="eastAsia" w:ascii="仿宋_GB2312" w:eastAsia="仿宋_GB2312"/>
          <w:sz w:val="32"/>
          <w:szCs w:val="32"/>
          <w:lang w:val="en-US" w:eastAsia="zh-CN"/>
        </w:rPr>
        <w:t>核定编制数14人，</w:t>
      </w:r>
      <w:r>
        <w:rPr>
          <w:rFonts w:hint="eastAsia" w:ascii="仿宋_GB2312" w:hAnsi="仿宋_GB2312" w:eastAsia="仿宋_GB2312" w:cs="仿宋_GB2312"/>
          <w:color w:val="000000"/>
          <w:kern w:val="0"/>
          <w:sz w:val="32"/>
          <w:szCs w:val="32"/>
        </w:rPr>
        <w:t>现有人员</w:t>
      </w:r>
      <w:r>
        <w:rPr>
          <w:rFonts w:hint="eastAsia" w:ascii="仿宋_GB2312" w:hAnsi="仿宋_GB2312" w:eastAsia="仿宋_GB2312" w:cs="仿宋_GB2312"/>
          <w:color w:val="000000"/>
          <w:kern w:val="0"/>
          <w:sz w:val="32"/>
          <w:szCs w:val="32"/>
          <w:lang w:val="en-US" w:eastAsia="zh-CN"/>
        </w:rPr>
        <w:t>13</w:t>
      </w:r>
      <w:r>
        <w:rPr>
          <w:rFonts w:hint="eastAsia" w:ascii="仿宋_GB2312" w:hAnsi="仿宋_GB2312" w:eastAsia="仿宋_GB2312" w:cs="仿宋_GB2312"/>
          <w:color w:val="000000"/>
          <w:kern w:val="0"/>
          <w:sz w:val="32"/>
          <w:szCs w:val="32"/>
        </w:rPr>
        <w:t>人，其中在职</w:t>
      </w:r>
      <w:r>
        <w:rPr>
          <w:rFonts w:hint="eastAsia" w:ascii="仿宋_GB2312" w:hAnsi="仿宋_GB2312" w:eastAsia="仿宋_GB2312" w:cs="仿宋_GB2312"/>
          <w:color w:val="000000"/>
          <w:kern w:val="0"/>
          <w:sz w:val="32"/>
          <w:szCs w:val="32"/>
          <w:lang w:val="en-US" w:eastAsia="zh-CN"/>
        </w:rPr>
        <w:t>13</w:t>
      </w:r>
      <w:r>
        <w:rPr>
          <w:rFonts w:hint="eastAsia" w:ascii="仿宋_GB2312" w:hAnsi="仿宋_GB2312" w:eastAsia="仿宋_GB2312" w:cs="仿宋_GB2312"/>
          <w:color w:val="000000"/>
          <w:kern w:val="0"/>
          <w:sz w:val="32"/>
          <w:szCs w:val="32"/>
        </w:rPr>
        <w:t>人</w:t>
      </w:r>
      <w:r>
        <w:rPr>
          <w:rFonts w:hint="eastAsia" w:ascii="仿宋_GB2312" w:hAnsi="仿宋_GB2312" w:eastAsia="仿宋_GB2312" w:cs="仿宋_GB2312"/>
          <w:color w:val="000000"/>
          <w:kern w:val="0"/>
          <w:sz w:val="32"/>
          <w:szCs w:val="32"/>
          <w:lang w:eastAsia="zh-CN"/>
        </w:rPr>
        <w:t>。</w:t>
      </w:r>
    </w:p>
    <w:p>
      <w:pPr>
        <w:widowControl/>
        <w:adjustRightInd w:val="0"/>
        <w:snapToGrid w:val="0"/>
        <w:spacing w:line="580" w:lineRule="exact"/>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tabs>
          <w:tab w:val="left" w:pos="750"/>
        </w:tabs>
        <w:ind w:firstLine="627" w:firstLineChars="196"/>
        <w:rPr>
          <w:rFonts w:hint="eastAsia" w:ascii="仿宋_GB2312" w:hAnsi="仿宋" w:eastAsia="仿宋_GB2312" w:cs="仿宋"/>
          <w:sz w:val="28"/>
          <w:szCs w:val="28"/>
          <w:lang w:eastAsia="zh-CN"/>
        </w:rPr>
      </w:pPr>
      <w:r>
        <w:rPr>
          <w:rFonts w:hint="eastAsia" w:ascii="仿宋_GB2312" w:hAnsi="仿宋" w:eastAsia="仿宋_GB2312" w:cs="仿宋"/>
          <w:sz w:val="32"/>
          <w:szCs w:val="32"/>
          <w:lang w:val="en-US" w:eastAsia="zh-CN"/>
        </w:rPr>
        <w:t>2019</w:t>
      </w:r>
      <w:r>
        <w:rPr>
          <w:rFonts w:hint="eastAsia" w:ascii="仿宋_GB2312" w:hAnsi="仿宋" w:eastAsia="仿宋_GB2312" w:cs="仿宋"/>
          <w:sz w:val="32"/>
          <w:szCs w:val="32"/>
        </w:rPr>
        <w:t>年一般公共预算收入总数</w:t>
      </w:r>
      <w:r>
        <w:rPr>
          <w:rFonts w:hint="eastAsia" w:ascii="仿宋_GB2312" w:hAnsi="仿宋" w:eastAsia="仿宋_GB2312" w:cs="仿宋"/>
          <w:color w:val="000000"/>
          <w:sz w:val="32"/>
          <w:szCs w:val="32"/>
          <w:lang w:val="en-US" w:eastAsia="zh-CN"/>
        </w:rPr>
        <w:t>1289.20</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含</w:t>
      </w:r>
      <w:r>
        <w:rPr>
          <w:rFonts w:hint="eastAsia" w:ascii="仿宋_GB2312" w:hAnsi="仿宋" w:eastAsia="仿宋_GB2312" w:cs="仿宋"/>
          <w:sz w:val="32"/>
          <w:szCs w:val="32"/>
        </w:rPr>
        <w:t>基金预算</w:t>
      </w:r>
      <w:r>
        <w:rPr>
          <w:rFonts w:hint="eastAsia" w:ascii="仿宋_GB2312" w:hAnsi="仿宋" w:eastAsia="仿宋_GB2312" w:cs="仿宋"/>
          <w:sz w:val="32"/>
          <w:szCs w:val="32"/>
          <w:lang w:val="en-US" w:eastAsia="zh-CN"/>
        </w:rPr>
        <w:t>1135.28万元</w:t>
      </w:r>
      <w:r>
        <w:rPr>
          <w:rFonts w:hint="eastAsia" w:ascii="仿宋_GB2312" w:hAnsi="仿宋" w:eastAsia="仿宋_GB2312" w:cs="仿宋"/>
          <w:sz w:val="32"/>
          <w:szCs w:val="32"/>
        </w:rPr>
        <w:t>，较201</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年一般公共预算收入总数</w:t>
      </w:r>
      <w:r>
        <w:rPr>
          <w:rFonts w:hint="eastAsia" w:ascii="仿宋_GB2312" w:hAnsi="仿宋" w:eastAsia="仿宋_GB2312" w:cs="仿宋"/>
          <w:color w:val="000000"/>
          <w:sz w:val="32"/>
          <w:szCs w:val="32"/>
          <w:lang w:val="en-US" w:eastAsia="zh-CN"/>
        </w:rPr>
        <w:t>144.79</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增加</w:t>
      </w:r>
      <w:r>
        <w:rPr>
          <w:rFonts w:hint="eastAsia" w:ascii="仿宋_GB2312" w:hAnsi="仿宋" w:eastAsia="仿宋_GB2312" w:cs="仿宋"/>
          <w:sz w:val="32"/>
          <w:szCs w:val="32"/>
          <w:lang w:val="en-US" w:eastAsia="zh-CN"/>
        </w:rPr>
        <w:t>790.39</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,原因是有363名被征农民出口补拨入大平台，然后转入到城乡居民养老保险基金专户，以出口补贴形式按月发</w:t>
      </w:r>
      <w:r>
        <w:rPr>
          <w:rFonts w:hint="eastAsia" w:ascii="仿宋_GB2312" w:hAnsi="仿宋" w:eastAsia="仿宋_GB2312" w:cs="仿宋"/>
          <w:sz w:val="30"/>
          <w:szCs w:val="30"/>
          <w:lang w:val="en-US" w:eastAsia="zh-CN"/>
        </w:rPr>
        <w:t>放。</w:t>
      </w:r>
    </w:p>
    <w:p>
      <w:pPr>
        <w:pStyle w:val="2"/>
        <w:rPr>
          <w:lang w:val="zh-CN"/>
        </w:rPr>
      </w:pPr>
    </w:p>
    <w:p>
      <w:pPr>
        <w:widowControl/>
        <w:numPr>
          <w:ilvl w:val="0"/>
          <w:numId w:val="4"/>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pStyle w:val="14"/>
        <w:shd w:val="clear" w:color="auto" w:fill="FFFFFF"/>
        <w:spacing w:before="0" w:beforeAutospacing="0" w:after="0" w:afterAutospacing="0" w:line="480" w:lineRule="atLeast"/>
        <w:ind w:firstLine="640" w:firstLineChars="200"/>
        <w:rPr>
          <w:rFonts w:hint="default" w:ascii="仿宋_GB2312" w:eastAsia="仿宋_GB2312"/>
          <w:color w:val="333333"/>
          <w:sz w:val="32"/>
          <w:szCs w:val="32"/>
          <w:lang w:val="en-US" w:eastAsia="zh-CN"/>
        </w:rPr>
      </w:pPr>
      <w:r>
        <w:rPr>
          <w:rFonts w:hint="eastAsia" w:ascii="仿宋_GB2312" w:eastAsia="仿宋_GB2312"/>
          <w:color w:val="333333"/>
          <w:sz w:val="32"/>
          <w:szCs w:val="32"/>
        </w:rPr>
        <w:t>基本支出，是用于保障</w:t>
      </w:r>
      <w:r>
        <w:rPr>
          <w:rFonts w:hint="eastAsia" w:ascii="仿宋_GB2312" w:eastAsia="仿宋_GB2312"/>
          <w:color w:val="333333"/>
          <w:sz w:val="32"/>
          <w:szCs w:val="32"/>
          <w:lang w:val="en-US" w:eastAsia="zh-CN"/>
        </w:rPr>
        <w:t>城乡居民养老保险事业</w:t>
      </w:r>
      <w:r>
        <w:rPr>
          <w:rFonts w:hint="eastAsia" w:ascii="仿宋_GB2312" w:eastAsia="仿宋_GB2312"/>
          <w:color w:val="333333"/>
          <w:sz w:val="32"/>
          <w:szCs w:val="32"/>
          <w:lang w:eastAsia="zh-CN"/>
        </w:rPr>
        <w:t>管理局</w:t>
      </w:r>
      <w:r>
        <w:rPr>
          <w:rFonts w:hint="eastAsia" w:ascii="仿宋_GB2312" w:eastAsia="仿宋_GB2312"/>
          <w:color w:val="333333"/>
          <w:sz w:val="32"/>
          <w:szCs w:val="32"/>
        </w:rPr>
        <w:t>行政机构、事业机构的正常运转的日常支出，包括基本工资、津贴补贴等人员经费以及办公费、印刷费、水电费等日常公用经费。</w:t>
      </w:r>
      <w:r>
        <w:rPr>
          <w:rFonts w:hint="eastAsia" w:eastAsia="仿宋_GB2312"/>
          <w:color w:val="333333"/>
          <w:sz w:val="32"/>
          <w:szCs w:val="32"/>
        </w:rPr>
        <w:t> </w:t>
      </w:r>
      <w:r>
        <w:rPr>
          <w:rFonts w:hint="eastAsia" w:ascii="仿宋_GB2312" w:hAnsi="仿宋" w:eastAsia="仿宋_GB2312" w:cs="仿宋"/>
          <w:sz w:val="32"/>
          <w:szCs w:val="32"/>
        </w:rPr>
        <w:t>201</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年部门预算基本支</w:t>
      </w:r>
      <w:r>
        <w:rPr>
          <w:rFonts w:hint="eastAsia" w:ascii="仿宋_GB2312" w:hAnsi="仿宋" w:eastAsia="仿宋_GB2312" w:cs="仿宋"/>
          <w:sz w:val="32"/>
          <w:szCs w:val="32"/>
          <w:lang w:eastAsia="zh-CN"/>
        </w:rPr>
        <w:t>出</w:t>
      </w:r>
      <w:r>
        <w:rPr>
          <w:rFonts w:hint="eastAsia" w:ascii="仿宋_GB2312" w:hAnsi="仿宋" w:eastAsia="仿宋_GB2312" w:cs="仿宋"/>
          <w:sz w:val="32"/>
          <w:szCs w:val="32"/>
          <w:lang w:val="en-US" w:eastAsia="zh-CN"/>
        </w:rPr>
        <w:t>1279.82</w:t>
      </w:r>
      <w:r>
        <w:rPr>
          <w:rFonts w:hint="eastAsia" w:ascii="仿宋_GB2312" w:hAnsi="仿宋" w:eastAsia="仿宋_GB2312" w:cs="仿宋"/>
          <w:sz w:val="32"/>
          <w:szCs w:val="32"/>
        </w:rPr>
        <w:t>万元,其中:人员支出</w:t>
      </w:r>
      <w:r>
        <w:rPr>
          <w:rFonts w:hint="eastAsia" w:ascii="仿宋_GB2312" w:hAnsi="仿宋" w:eastAsia="仿宋_GB2312" w:cs="仿宋"/>
          <w:sz w:val="32"/>
          <w:szCs w:val="32"/>
          <w:lang w:val="en-US" w:eastAsia="zh-CN"/>
        </w:rPr>
        <w:t>145.61</w:t>
      </w:r>
      <w:r>
        <w:rPr>
          <w:rFonts w:hint="eastAsia" w:ascii="仿宋_GB2312" w:hAnsi="仿宋" w:eastAsia="仿宋_GB2312" w:cs="仿宋"/>
          <w:sz w:val="32"/>
          <w:szCs w:val="32"/>
        </w:rPr>
        <w:t>万元,公用支出</w:t>
      </w:r>
      <w:r>
        <w:rPr>
          <w:rFonts w:hint="eastAsia" w:ascii="仿宋_GB2312" w:hAnsi="仿宋" w:eastAsia="仿宋_GB2312" w:cs="仿宋"/>
          <w:sz w:val="32"/>
          <w:szCs w:val="32"/>
          <w:lang w:val="en-US" w:eastAsia="zh-CN"/>
        </w:rPr>
        <w:t>8.31</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，其他对个人和家庭的补助支出</w:t>
      </w:r>
      <w:r>
        <w:rPr>
          <w:rFonts w:hint="eastAsia" w:ascii="仿宋_GB2312" w:hAnsi="仿宋" w:eastAsia="仿宋_GB2312" w:cs="仿宋"/>
          <w:sz w:val="32"/>
          <w:szCs w:val="32"/>
          <w:lang w:val="en-US" w:eastAsia="zh-CN"/>
        </w:rPr>
        <w:t>1125.9万元。</w:t>
      </w:r>
    </w:p>
    <w:p>
      <w:pPr>
        <w:tabs>
          <w:tab w:val="left" w:pos="750"/>
        </w:tabs>
        <w:ind w:firstLine="627" w:firstLineChars="196"/>
        <w:rPr>
          <w:rFonts w:hint="eastAsia" w:ascii="仿宋_GB2312" w:hAnsi="仿宋" w:eastAsia="仿宋_GB2312" w:cs="仿宋"/>
          <w:sz w:val="32"/>
          <w:szCs w:val="32"/>
          <w:lang w:eastAsia="zh-CN"/>
        </w:rPr>
      </w:pPr>
      <w:r>
        <w:rPr>
          <w:rFonts w:hint="eastAsia" w:ascii="仿宋_GB2312" w:eastAsia="仿宋_GB2312"/>
          <w:color w:val="333333"/>
          <w:sz w:val="32"/>
          <w:szCs w:val="32"/>
        </w:rPr>
        <w:t>项目支出，是用于</w:t>
      </w:r>
      <w:r>
        <w:rPr>
          <w:rFonts w:hint="eastAsia" w:ascii="仿宋_GB2312" w:eastAsia="仿宋_GB2312"/>
          <w:color w:val="333333"/>
          <w:sz w:val="32"/>
          <w:szCs w:val="32"/>
          <w:lang w:val="en-US" w:eastAsia="zh-CN"/>
        </w:rPr>
        <w:t>城乡居民养老保险事业管理局</w:t>
      </w:r>
      <w:r>
        <w:rPr>
          <w:rFonts w:hint="eastAsia" w:ascii="仿宋_GB2312" w:eastAsia="仿宋_GB2312"/>
          <w:color w:val="333333"/>
          <w:sz w:val="32"/>
          <w:szCs w:val="32"/>
        </w:rPr>
        <w:t>行政机构、事业机构为完成特定的行政工作任务或事业发展目标，用于专项业务工作的经费支出。</w:t>
      </w:r>
      <w:r>
        <w:rPr>
          <w:rFonts w:hint="eastAsia"/>
          <w:color w:val="333333"/>
          <w:sz w:val="32"/>
          <w:szCs w:val="32"/>
        </w:rPr>
        <w:t> </w:t>
      </w:r>
      <w:r>
        <w:rPr>
          <w:rFonts w:hint="eastAsia" w:ascii="仿宋_GB2312" w:hAnsi="仿宋" w:eastAsia="仿宋_GB2312" w:cs="仿宋"/>
          <w:sz w:val="32"/>
          <w:szCs w:val="32"/>
        </w:rPr>
        <w:t>201</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年部门预算项目支出预算总数</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w:t>
      </w:r>
    </w:p>
    <w:p>
      <w:pPr>
        <w:tabs>
          <w:tab w:val="left" w:pos="750"/>
        </w:tabs>
        <w:ind w:firstLine="627" w:firstLineChars="196"/>
        <w:rPr>
          <w:rFonts w:hint="default" w:eastAsia="仿宋_GB2312"/>
          <w:sz w:val="32"/>
          <w:szCs w:val="32"/>
          <w:lang w:val="en-US" w:eastAsia="zh-CN"/>
        </w:rPr>
      </w:pPr>
      <w:r>
        <w:rPr>
          <w:rFonts w:hint="eastAsia" w:ascii="仿宋_GB2312" w:hAnsi="仿宋" w:eastAsia="仿宋_GB2312" w:cs="仿宋"/>
          <w:sz w:val="32"/>
          <w:szCs w:val="32"/>
          <w:lang w:val="en-US" w:eastAsia="zh-CN"/>
        </w:rPr>
        <w:t>2019年</w:t>
      </w:r>
      <w:r>
        <w:rPr>
          <w:rFonts w:hint="eastAsia" w:ascii="仿宋_GB2312" w:hAnsi="仿宋" w:eastAsia="仿宋_GB2312" w:cs="仿宋"/>
          <w:sz w:val="32"/>
          <w:szCs w:val="32"/>
          <w:lang w:eastAsia="zh-CN"/>
        </w:rPr>
        <w:t>财政应返还金额</w:t>
      </w:r>
      <w:r>
        <w:rPr>
          <w:rFonts w:hint="eastAsia" w:ascii="仿宋_GB2312" w:hAnsi="仿宋" w:eastAsia="仿宋_GB2312" w:cs="仿宋"/>
          <w:sz w:val="32"/>
          <w:szCs w:val="32"/>
          <w:lang w:val="en-US" w:eastAsia="zh-CN"/>
        </w:rPr>
        <w:t>9.38万元，因有3人暂时未核查清楚。</w:t>
      </w:r>
    </w:p>
    <w:p>
      <w:pPr>
        <w:pStyle w:val="26"/>
        <w:tabs>
          <w:tab w:val="left" w:pos="750"/>
        </w:tabs>
        <w:ind w:firstLine="560"/>
        <w:rPr>
          <w:rFonts w:hint="eastAsia" w:ascii="仿宋_GB2312" w:hAnsi="仿宋" w:eastAsia="仿宋_GB2312" w:cs="仿宋"/>
          <w:sz w:val="32"/>
          <w:szCs w:val="32"/>
        </w:rPr>
      </w:pPr>
      <w:r>
        <w:rPr>
          <w:rFonts w:hint="eastAsia" w:ascii="仿宋_GB2312" w:hAnsi="仿宋" w:eastAsia="仿宋_GB2312" w:cs="仿宋"/>
          <w:sz w:val="32"/>
          <w:szCs w:val="32"/>
        </w:rPr>
        <w:t>（一）按功能分类支出情况</w:t>
      </w:r>
    </w:p>
    <w:p>
      <w:pPr>
        <w:pStyle w:val="26"/>
        <w:tabs>
          <w:tab w:val="left" w:pos="750"/>
          <w:tab w:val="left" w:pos="1134"/>
        </w:tabs>
        <w:ind w:firstLine="560"/>
        <w:rPr>
          <w:rFonts w:hint="eastAsia"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社会保险经办机构</w:t>
      </w:r>
      <w:r>
        <w:rPr>
          <w:rFonts w:hint="eastAsia" w:ascii="仿宋_GB2312" w:hAnsi="仿宋" w:eastAsia="仿宋_GB2312" w:cs="仿宋"/>
          <w:sz w:val="32"/>
          <w:szCs w:val="32"/>
        </w:rPr>
        <w:t>支出</w:t>
      </w:r>
      <w:r>
        <w:rPr>
          <w:rFonts w:hint="eastAsia" w:ascii="仿宋_GB2312" w:hAnsi="仿宋" w:eastAsia="仿宋_GB2312" w:cs="仿宋"/>
          <w:sz w:val="32"/>
          <w:szCs w:val="32"/>
          <w:lang w:val="en-US" w:eastAsia="zh-CN"/>
        </w:rPr>
        <w:t>111.68</w:t>
      </w:r>
      <w:r>
        <w:rPr>
          <w:rFonts w:hint="eastAsia" w:ascii="仿宋_GB2312" w:hAnsi="仿宋" w:eastAsia="仿宋_GB2312" w:cs="仿宋"/>
          <w:sz w:val="32"/>
          <w:szCs w:val="32"/>
        </w:rPr>
        <w:t>万元。主要用于：机构人员工资、日常运转以及为完成财政特定行政工作任务和事业发展目标而安排的年度项目支出。</w:t>
      </w:r>
    </w:p>
    <w:p>
      <w:pPr>
        <w:pStyle w:val="26"/>
        <w:tabs>
          <w:tab w:val="left" w:pos="750"/>
          <w:tab w:val="left" w:pos="1134"/>
        </w:tabs>
        <w:ind w:firstLine="56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2、养老保险缴费支出19.11万元，主要用于：行政机构按照规定标准为职工缴纳的基本养老保险和职业年金支出。</w:t>
      </w:r>
    </w:p>
    <w:p>
      <w:pPr>
        <w:pStyle w:val="26"/>
        <w:tabs>
          <w:tab w:val="left" w:pos="750"/>
        </w:tabs>
        <w:ind w:firstLine="56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、医疗卫生与计划生育支出</w:t>
      </w:r>
      <w:r>
        <w:rPr>
          <w:rFonts w:hint="eastAsia" w:ascii="仿宋_GB2312" w:hAnsi="仿宋" w:eastAsia="仿宋_GB2312" w:cs="仿宋"/>
          <w:sz w:val="32"/>
          <w:szCs w:val="32"/>
          <w:lang w:val="en-US" w:eastAsia="zh-CN"/>
        </w:rPr>
        <w:t>8.18</w:t>
      </w:r>
      <w:r>
        <w:rPr>
          <w:rFonts w:hint="eastAsia" w:ascii="仿宋_GB2312" w:hAnsi="仿宋" w:eastAsia="仿宋_GB2312" w:cs="仿宋"/>
          <w:sz w:val="32"/>
          <w:szCs w:val="32"/>
        </w:rPr>
        <w:t>万元。主要用于：行政机构按照规定标准为职工缴纳的基本医疗保险及公务员医疗补助等支出。</w:t>
      </w:r>
    </w:p>
    <w:p>
      <w:pPr>
        <w:pStyle w:val="26"/>
        <w:tabs>
          <w:tab w:val="left" w:pos="750"/>
        </w:tabs>
        <w:ind w:firstLine="56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、住房保障支出</w:t>
      </w:r>
      <w:r>
        <w:rPr>
          <w:rFonts w:hint="eastAsia" w:ascii="仿宋_GB2312" w:hAnsi="仿宋" w:eastAsia="仿宋_GB2312" w:cs="仿宋"/>
          <w:sz w:val="32"/>
          <w:szCs w:val="32"/>
          <w:lang w:val="en-US" w:eastAsia="zh-CN"/>
        </w:rPr>
        <w:t>14.95</w:t>
      </w:r>
      <w:r>
        <w:rPr>
          <w:rFonts w:hint="eastAsia" w:ascii="仿宋_GB2312" w:hAnsi="仿宋" w:eastAsia="仿宋_GB2312" w:cs="仿宋"/>
          <w:sz w:val="32"/>
          <w:szCs w:val="32"/>
        </w:rPr>
        <w:t>万元。主要用于：行政机构按照规定标准为职工缴纳住房公积金等支出。</w:t>
      </w:r>
    </w:p>
    <w:p>
      <w:pPr>
        <w:pStyle w:val="26"/>
        <w:tabs>
          <w:tab w:val="left" w:pos="750"/>
        </w:tabs>
        <w:ind w:firstLine="56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5.其他对个人和家庭的补助支出1125.90万元。主要用于：360名被征地农民出口补贴。</w:t>
      </w:r>
    </w:p>
    <w:p>
      <w:pPr>
        <w:pStyle w:val="26"/>
        <w:tabs>
          <w:tab w:val="left" w:pos="750"/>
        </w:tabs>
        <w:ind w:firstLine="560"/>
        <w:rPr>
          <w:rFonts w:hint="eastAsia" w:ascii="仿宋_GB2312" w:hAnsi="仿宋" w:eastAsia="仿宋_GB2312" w:cs="仿宋"/>
          <w:sz w:val="32"/>
          <w:szCs w:val="32"/>
        </w:rPr>
      </w:pPr>
      <w:r>
        <w:rPr>
          <w:rFonts w:hint="eastAsia" w:ascii="仿宋_GB2312" w:hAnsi="仿宋" w:eastAsia="仿宋_GB2312" w:cs="仿宋"/>
          <w:sz w:val="32"/>
          <w:szCs w:val="32"/>
        </w:rPr>
        <w:t>（二）按经济分类支出情况</w:t>
      </w:r>
    </w:p>
    <w:p>
      <w:pPr>
        <w:tabs>
          <w:tab w:val="left" w:pos="750"/>
        </w:tabs>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1、工资福利性支出：</w:t>
      </w:r>
      <w:r>
        <w:rPr>
          <w:rFonts w:hint="eastAsia" w:ascii="仿宋_GB2312" w:hAnsi="仿宋" w:eastAsia="仿宋_GB2312" w:cs="仿宋"/>
          <w:sz w:val="32"/>
          <w:szCs w:val="32"/>
          <w:lang w:val="en-US" w:eastAsia="zh-CN"/>
        </w:rPr>
        <w:t>145.61</w:t>
      </w:r>
      <w:r>
        <w:rPr>
          <w:rFonts w:hint="eastAsia" w:ascii="仿宋_GB2312" w:hAnsi="仿宋" w:eastAsia="仿宋_GB2312" w:cs="仿宋"/>
          <w:sz w:val="32"/>
          <w:szCs w:val="32"/>
        </w:rPr>
        <w:t>万元。</w:t>
      </w:r>
    </w:p>
    <w:p>
      <w:pPr>
        <w:tabs>
          <w:tab w:val="left" w:pos="750"/>
        </w:tabs>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2、商品和服务支出：</w:t>
      </w:r>
      <w:r>
        <w:rPr>
          <w:rFonts w:hint="eastAsia" w:ascii="仿宋_GB2312" w:hAnsi="仿宋" w:eastAsia="仿宋_GB2312" w:cs="仿宋"/>
          <w:sz w:val="32"/>
          <w:szCs w:val="32"/>
          <w:lang w:val="en-US" w:eastAsia="zh-CN"/>
        </w:rPr>
        <w:t>8.31</w:t>
      </w:r>
      <w:r>
        <w:rPr>
          <w:rFonts w:hint="eastAsia" w:ascii="仿宋_GB2312" w:hAnsi="仿宋" w:eastAsia="仿宋_GB2312" w:cs="仿宋"/>
          <w:sz w:val="32"/>
          <w:szCs w:val="32"/>
        </w:rPr>
        <w:t>元。</w:t>
      </w:r>
    </w:p>
    <w:p>
      <w:pPr>
        <w:tabs>
          <w:tab w:val="left" w:pos="750"/>
        </w:tabs>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3、对个人和家庭的补助支出：</w:t>
      </w:r>
      <w:r>
        <w:rPr>
          <w:rFonts w:hint="eastAsia" w:ascii="仿宋_GB2312" w:hAnsi="仿宋" w:eastAsia="仿宋_GB2312" w:cs="仿宋"/>
          <w:sz w:val="32"/>
          <w:szCs w:val="32"/>
          <w:lang w:val="en-US" w:eastAsia="zh-CN"/>
        </w:rPr>
        <w:t>1125.90</w:t>
      </w:r>
      <w:r>
        <w:rPr>
          <w:rFonts w:hint="eastAsia" w:ascii="仿宋_GB2312" w:hAnsi="仿宋" w:eastAsia="仿宋_GB2312" w:cs="仿宋"/>
          <w:sz w:val="32"/>
          <w:szCs w:val="32"/>
        </w:rPr>
        <w:t>万元。</w:t>
      </w:r>
    </w:p>
    <w:p>
      <w:pPr>
        <w:pStyle w:val="2"/>
        <w:numPr>
          <w:ilvl w:val="0"/>
          <w:numId w:val="0"/>
        </w:numPr>
        <w:ind w:left="640" w:leftChars="0"/>
        <w:rPr>
          <w:sz w:val="32"/>
          <w:szCs w:val="32"/>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1、预算编制质量</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color w:val="333333"/>
          <w:kern w:val="0"/>
          <w:sz w:val="32"/>
          <w:szCs w:val="32"/>
          <w:shd w:val="clear" w:color="auto" w:fill="FBFBFB"/>
          <w:lang w:bidi="ar"/>
        </w:rPr>
        <w:t>按照预算管理有关规定，目前部门预算的编制实行综合预算制度，即全部收入和支出都反映在预算中。</w:t>
      </w:r>
      <w:r>
        <w:rPr>
          <w:rFonts w:hint="eastAsia" w:ascii="仿宋_GB2312" w:eastAsia="仿宋_GB2312" w:cs="仿宋_GB2312"/>
          <w:sz w:val="32"/>
          <w:szCs w:val="32"/>
          <w:lang w:bidi="ar-SA"/>
        </w:rPr>
        <w:t>本部门预算编制是由部门财务严格按照《预算法》的规定和财政部门预算股的要求，在即能保证本部门日常业务工作顺利开展的需要，又不浪费资金的前提下，合理编制出本部门的年度预算。</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2、绩效目标填报</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本部门不涉及绩效考评相关项目。</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3、转移支付提前下达及专项转移支付分地区分项目编制情况</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本部门转移支付资金为省级转移支付业务装备经费，转移支付资金本部门不参与预算编制，上级部门下达资金指标后，县财政部门按时足额将转移支付资金拨付到本部门。</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（二）执行管理情况</w:t>
      </w:r>
    </w:p>
    <w:p>
      <w:pPr>
        <w:ind w:firstLine="800" w:firstLineChars="250"/>
        <w:rPr>
          <w:rFonts w:hint="eastAsia" w:ascii="仿宋_GB2312" w:eastAsia="仿宋_GB2312" w:cs="仿宋_GB2312"/>
          <w:sz w:val="32"/>
          <w:szCs w:val="32"/>
          <w:lang w:bidi="ar-SA"/>
        </w:rPr>
      </w:pPr>
      <w:r>
        <w:rPr>
          <w:rFonts w:hint="eastAsia" w:ascii="仿宋_GB2312" w:eastAsia="仿宋_GB2312" w:cs="仿宋_GB2312"/>
          <w:sz w:val="32"/>
          <w:szCs w:val="32"/>
          <w:lang w:bidi="ar-SA"/>
        </w:rPr>
        <w:t>县财政及时足额下达年初预算，上级部门下达转移支付专项资金指标后，也能及时将资金落实给部门，为部门的业务工作顺利开展提供了强有力的财力保障。</w:t>
      </w:r>
    </w:p>
    <w:p>
      <w:pPr>
        <w:ind w:firstLine="480" w:firstLineChars="150"/>
        <w:rPr>
          <w:rFonts w:hint="eastAsia" w:ascii="仿宋_GB2312" w:eastAsia="仿宋_GB2312"/>
          <w:color w:val="auto"/>
          <w:sz w:val="32"/>
          <w:szCs w:val="32"/>
        </w:rPr>
      </w:pPr>
      <w:r>
        <w:rPr>
          <w:rFonts w:hint="eastAsia" w:ascii="仿宋_GB2312" w:eastAsia="仿宋_GB2312"/>
          <w:color w:val="auto"/>
          <w:sz w:val="32"/>
          <w:szCs w:val="32"/>
        </w:rPr>
        <w:t>行政运行</w:t>
      </w:r>
      <w:r>
        <w:rPr>
          <w:rFonts w:hint="eastAsia" w:ascii="仿宋_GB2312" w:eastAsia="仿宋_GB2312"/>
          <w:color w:val="auto"/>
          <w:sz w:val="32"/>
          <w:szCs w:val="32"/>
          <w:lang w:val="en-US" w:eastAsia="zh-CN"/>
        </w:rPr>
        <w:t>2019</w:t>
      </w:r>
      <w:r>
        <w:rPr>
          <w:rFonts w:hint="eastAsia" w:ascii="仿宋_GB2312" w:eastAsia="仿宋_GB2312"/>
          <w:color w:val="auto"/>
          <w:sz w:val="32"/>
          <w:szCs w:val="32"/>
        </w:rPr>
        <w:t>年支出数为</w:t>
      </w:r>
      <w:r>
        <w:rPr>
          <w:rFonts w:hint="eastAsia" w:ascii="仿宋_GB2312" w:eastAsia="仿宋_GB2312"/>
          <w:color w:val="auto"/>
          <w:sz w:val="32"/>
          <w:szCs w:val="32"/>
          <w:lang w:val="en-US" w:eastAsia="zh-CN"/>
        </w:rPr>
        <w:t>1279.82</w:t>
      </w:r>
      <w:r>
        <w:rPr>
          <w:rFonts w:hint="eastAsia" w:ascii="仿宋_GB2312" w:eastAsia="仿宋_GB2312"/>
          <w:color w:val="auto"/>
          <w:sz w:val="32"/>
          <w:szCs w:val="32"/>
        </w:rPr>
        <w:t>万元，完成预算100%。</w:t>
      </w:r>
      <w:r>
        <w:rPr>
          <w:rFonts w:hint="eastAsia" w:ascii="仿宋_GB2312" w:eastAsia="仿宋_GB2312"/>
          <w:color w:val="auto"/>
          <w:sz w:val="32"/>
          <w:szCs w:val="32"/>
          <w:lang w:val="en-US" w:eastAsia="zh-CN"/>
        </w:rPr>
        <w:t>社会保险经办机构2019</w:t>
      </w:r>
      <w:r>
        <w:rPr>
          <w:rFonts w:hint="eastAsia" w:ascii="仿宋_GB2312" w:eastAsia="仿宋_GB2312"/>
          <w:color w:val="auto"/>
          <w:sz w:val="32"/>
          <w:szCs w:val="32"/>
        </w:rPr>
        <w:t>年支出数为</w:t>
      </w:r>
      <w:r>
        <w:rPr>
          <w:rFonts w:hint="eastAsia" w:ascii="仿宋_GB2312" w:eastAsia="仿宋_GB2312"/>
          <w:color w:val="auto"/>
          <w:sz w:val="32"/>
          <w:szCs w:val="32"/>
          <w:lang w:val="en-US" w:eastAsia="zh-CN"/>
        </w:rPr>
        <w:t>111.68</w:t>
      </w:r>
      <w:r>
        <w:rPr>
          <w:rFonts w:hint="eastAsia" w:ascii="仿宋_GB2312" w:eastAsia="仿宋_GB2312"/>
          <w:color w:val="auto"/>
          <w:sz w:val="32"/>
          <w:szCs w:val="32"/>
        </w:rPr>
        <w:t>万元,完成预算100%。机关事业单位基本养老保险缴费</w:t>
      </w:r>
      <w:r>
        <w:rPr>
          <w:rFonts w:hint="eastAsia" w:ascii="仿宋_GB2312" w:eastAsia="仿宋_GB2312"/>
          <w:color w:val="auto"/>
          <w:sz w:val="32"/>
          <w:szCs w:val="32"/>
          <w:lang w:val="en-US" w:eastAsia="zh-CN"/>
        </w:rPr>
        <w:t>2019年</w:t>
      </w:r>
      <w:r>
        <w:rPr>
          <w:rFonts w:hint="eastAsia" w:ascii="仿宋_GB2312" w:eastAsia="仿宋_GB2312"/>
          <w:color w:val="auto"/>
          <w:sz w:val="32"/>
          <w:szCs w:val="32"/>
        </w:rPr>
        <w:t>支出支出数为</w:t>
      </w:r>
      <w:r>
        <w:rPr>
          <w:rFonts w:hint="eastAsia" w:ascii="仿宋_GB2312" w:eastAsia="仿宋_GB2312"/>
          <w:color w:val="auto"/>
          <w:sz w:val="32"/>
          <w:szCs w:val="32"/>
          <w:lang w:val="en-US" w:eastAsia="zh-CN"/>
        </w:rPr>
        <w:t>19.11</w:t>
      </w:r>
      <w:r>
        <w:rPr>
          <w:rFonts w:hint="eastAsia" w:ascii="仿宋_GB2312" w:eastAsia="仿宋_GB2312"/>
          <w:color w:val="auto"/>
          <w:sz w:val="32"/>
          <w:szCs w:val="32"/>
        </w:rPr>
        <w:t>万元,完成预算100%。</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单位医疗</w:t>
      </w:r>
      <w:r>
        <w:rPr>
          <w:rFonts w:hint="eastAsia" w:ascii="仿宋_GB2312" w:eastAsia="仿宋_GB2312"/>
          <w:color w:val="auto"/>
          <w:sz w:val="32"/>
          <w:szCs w:val="32"/>
          <w:lang w:val="en-US" w:eastAsia="zh-CN"/>
        </w:rPr>
        <w:t>2019</w:t>
      </w:r>
      <w:r>
        <w:rPr>
          <w:rFonts w:hint="eastAsia" w:ascii="仿宋_GB2312" w:eastAsia="仿宋_GB2312"/>
          <w:color w:val="auto"/>
          <w:sz w:val="32"/>
          <w:szCs w:val="32"/>
        </w:rPr>
        <w:t>支出数为</w:t>
      </w:r>
      <w:r>
        <w:rPr>
          <w:rFonts w:hint="eastAsia" w:ascii="仿宋_GB2312" w:eastAsia="仿宋_GB2312"/>
          <w:color w:val="auto"/>
          <w:sz w:val="32"/>
          <w:szCs w:val="32"/>
          <w:lang w:val="en-US" w:eastAsia="zh-CN"/>
        </w:rPr>
        <w:t>8.18</w:t>
      </w:r>
      <w:r>
        <w:rPr>
          <w:rFonts w:hint="eastAsia" w:ascii="仿宋_GB2312" w:eastAsia="仿宋_GB2312"/>
          <w:color w:val="auto"/>
          <w:sz w:val="32"/>
          <w:szCs w:val="32"/>
        </w:rPr>
        <w:t>万元，完成预算100%</w:t>
      </w:r>
      <w:r>
        <w:rPr>
          <w:rFonts w:hint="eastAsia" w:ascii="仿宋_GB2312" w:eastAsia="仿宋_GB2312" w:cs="仿宋_GB2312"/>
          <w:color w:val="auto"/>
          <w:sz w:val="32"/>
          <w:szCs w:val="32"/>
          <w:lang w:bidi="ar-SA"/>
        </w:rPr>
        <w:t>。</w:t>
      </w:r>
      <w:r>
        <w:rPr>
          <w:rFonts w:hint="eastAsia" w:ascii="仿宋_GB2312" w:eastAsia="仿宋_GB2312"/>
          <w:color w:val="auto"/>
          <w:sz w:val="32"/>
          <w:szCs w:val="32"/>
        </w:rPr>
        <w:t>住房公积金201</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年决算数为</w:t>
      </w:r>
      <w:r>
        <w:rPr>
          <w:rFonts w:hint="eastAsia" w:ascii="仿宋_GB2312" w:eastAsia="仿宋_GB2312"/>
          <w:color w:val="auto"/>
          <w:sz w:val="32"/>
          <w:szCs w:val="32"/>
          <w:lang w:val="en-US" w:eastAsia="zh-CN"/>
        </w:rPr>
        <w:t>14.95</w:t>
      </w:r>
      <w:r>
        <w:rPr>
          <w:rFonts w:hint="eastAsia" w:ascii="仿宋_GB2312" w:eastAsia="仿宋_GB2312"/>
          <w:color w:val="auto"/>
          <w:sz w:val="32"/>
          <w:szCs w:val="32"/>
        </w:rPr>
        <w:t>万元，完成预算100%。</w:t>
      </w:r>
      <w:r>
        <w:rPr>
          <w:rFonts w:hint="eastAsia" w:ascii="仿宋_GB2312" w:eastAsia="仿宋_GB2312"/>
          <w:color w:val="auto"/>
          <w:sz w:val="32"/>
          <w:szCs w:val="32"/>
          <w:lang w:eastAsia="zh-CN"/>
        </w:rPr>
        <w:t>其他对个人和家庭的补助</w:t>
      </w:r>
      <w:r>
        <w:rPr>
          <w:rFonts w:hint="eastAsia" w:ascii="仿宋_GB2312" w:eastAsia="仿宋_GB2312"/>
          <w:color w:val="auto"/>
          <w:sz w:val="32"/>
          <w:szCs w:val="32"/>
          <w:lang w:val="en-US" w:eastAsia="zh-CN"/>
        </w:rPr>
        <w:t>2019年支出数为1125.90万元，完成预算99.17%。</w:t>
      </w:r>
      <w:r>
        <w:rPr>
          <w:rFonts w:hint="eastAsia" w:ascii="仿宋_GB2312" w:eastAsia="仿宋_GB2312"/>
          <w:color w:val="auto"/>
          <w:sz w:val="32"/>
          <w:szCs w:val="32"/>
        </w:rPr>
        <w:t xml:space="preserve"> </w:t>
      </w:r>
    </w:p>
    <w:p>
      <w:pPr>
        <w:ind w:firstLine="800" w:firstLineChars="250"/>
        <w:rPr>
          <w:rFonts w:hint="eastAsia" w:ascii="仿宋_GB2312" w:eastAsia="仿宋_GB2312"/>
          <w:sz w:val="32"/>
          <w:szCs w:val="32"/>
        </w:rPr>
      </w:pPr>
      <w:r>
        <w:rPr>
          <w:rFonts w:hint="eastAsia" w:ascii="仿宋_GB2312" w:eastAsia="仿宋_GB2312" w:cs="仿宋_GB2312"/>
          <w:sz w:val="32"/>
          <w:szCs w:val="32"/>
          <w:lang w:bidi="ar-SA"/>
        </w:rPr>
        <w:t>本部门一直提倡厉行节约，节能降耗的原则，但部份费用对比去年同期还是稍许</w:t>
      </w:r>
      <w:r>
        <w:rPr>
          <w:rFonts w:hint="eastAsia" w:ascii="仿宋_GB2312" w:eastAsia="仿宋_GB2312"/>
          <w:sz w:val="32"/>
          <w:szCs w:val="32"/>
        </w:rPr>
        <w:t>增加，原因在于201</w:t>
      </w:r>
      <w:r>
        <w:rPr>
          <w:rFonts w:hint="eastAsia" w:ascii="仿宋_GB2312" w:eastAsia="仿宋_GB2312"/>
          <w:sz w:val="32"/>
          <w:szCs w:val="32"/>
          <w:lang w:val="en-US" w:eastAsia="zh-CN"/>
        </w:rPr>
        <w:t>9</w:t>
      </w:r>
      <w:r>
        <w:rPr>
          <w:rFonts w:hint="eastAsia" w:ascii="仿宋_GB2312" w:eastAsia="仿宋_GB2312"/>
          <w:sz w:val="32"/>
          <w:szCs w:val="32"/>
        </w:rPr>
        <w:t>年按照各项业务工作加大了资金力度的投入,促进了工作上了一个新台阶,增加数额未超出预算,严格执行了中央八项规定。</w:t>
      </w:r>
    </w:p>
    <w:p>
      <w:pPr>
        <w:numPr>
          <w:ilvl w:val="0"/>
          <w:numId w:val="4"/>
        </w:numPr>
        <w:ind w:left="0" w:leftChars="0"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结果应用情况。</w:t>
      </w:r>
    </w:p>
    <w:p>
      <w:pPr>
        <w:pStyle w:val="14"/>
        <w:spacing w:before="0" w:beforeAutospacing="0" w:after="0" w:afterAutospacing="0" w:line="576"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我单位无政府性债务</w:t>
      </w:r>
      <w:r>
        <w:rPr>
          <w:rFonts w:hint="eastAsia" w:ascii="仿宋_GB2312" w:eastAsia="仿宋_GB2312" w:cs="仿宋_GB2312"/>
          <w:sz w:val="32"/>
          <w:szCs w:val="32"/>
          <w:lang w:eastAsia="zh-CN" w:bidi="ar-SA"/>
        </w:rPr>
        <w:t>，无</w:t>
      </w:r>
      <w:r>
        <w:rPr>
          <w:rFonts w:hint="eastAsia" w:ascii="仿宋_GB2312" w:eastAsia="仿宋_GB2312" w:cs="仿宋_GB2312"/>
          <w:sz w:val="32"/>
          <w:szCs w:val="32"/>
          <w:lang w:bidi="ar-SA"/>
        </w:rPr>
        <w:t>非税收收入</w:t>
      </w:r>
    </w:p>
    <w:p>
      <w:pPr>
        <w:pStyle w:val="14"/>
        <w:spacing w:before="0" w:beforeAutospacing="0" w:after="0" w:afterAutospacing="0" w:line="576"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政府采购严格按照相关采购规定执行。</w:t>
      </w:r>
    </w:p>
    <w:p>
      <w:pPr>
        <w:pStyle w:val="14"/>
        <w:spacing w:before="0" w:beforeAutospacing="0" w:after="0" w:afterAutospacing="0" w:line="576" w:lineRule="exact"/>
        <w:ind w:firstLine="640" w:firstLineChars="200"/>
        <w:rPr>
          <w:rFonts w:hint="eastAsia" w:ascii="仿宋_GB2312" w:eastAsia="仿宋_GB2312"/>
          <w:color w:val="000000"/>
          <w:sz w:val="32"/>
          <w:szCs w:val="32"/>
        </w:rPr>
      </w:pPr>
      <w:r>
        <w:rPr>
          <w:rFonts w:hint="eastAsia" w:ascii="仿宋_GB2312" w:eastAsia="仿宋_GB2312" w:cs="仿宋_GB2312"/>
          <w:sz w:val="32"/>
          <w:szCs w:val="32"/>
          <w:lang w:bidi="ar-SA"/>
        </w:rPr>
        <w:t>资产管理严格按照资产管理制度执行，</w:t>
      </w:r>
      <w:r>
        <w:rPr>
          <w:rFonts w:hint="eastAsia" w:ascii="仿宋_GB2312" w:eastAsia="仿宋_GB2312"/>
          <w:color w:val="000000"/>
          <w:sz w:val="32"/>
          <w:szCs w:val="32"/>
        </w:rPr>
        <w:t>严格执行法律、法规和有关规章制度;与行政单位履行职能需要相适应;科学合理,充分发挥资产使用效益;勤俭节约,从严控制。</w:t>
      </w:r>
    </w:p>
    <w:p>
      <w:pPr>
        <w:pStyle w:val="14"/>
        <w:spacing w:before="0" w:beforeAutospacing="0" w:after="0" w:afterAutospacing="0" w:line="576" w:lineRule="exact"/>
        <w:ind w:firstLine="640" w:firstLineChars="200"/>
        <w:rPr>
          <w:rFonts w:hint="eastAsia" w:ascii="仿宋_GB2312" w:eastAsia="仿宋_GB2312"/>
          <w:sz w:val="32"/>
          <w:szCs w:val="32"/>
        </w:rPr>
      </w:pPr>
      <w:r>
        <w:rPr>
          <w:rFonts w:hint="eastAsia" w:ascii="仿宋_GB2312" w:eastAsia="仿宋_GB2312"/>
          <w:color w:val="000000"/>
          <w:sz w:val="32"/>
          <w:szCs w:val="32"/>
        </w:rPr>
        <w:t>建立单位内控制度，</w:t>
      </w:r>
      <w:r>
        <w:rPr>
          <w:rFonts w:hint="eastAsia" w:ascii="仿宋_GB2312" w:eastAsia="仿宋_GB2312"/>
          <w:sz w:val="32"/>
          <w:szCs w:val="32"/>
        </w:rPr>
        <w:t>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pPr>
        <w:pStyle w:val="14"/>
        <w:spacing w:before="0" w:beforeAutospacing="0" w:after="0" w:afterAutospacing="0" w:line="576"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sz w:val="32"/>
          <w:szCs w:val="32"/>
        </w:rPr>
        <w:t>我部门将同级财政部门批复的本部门预决算报表及相关说明全部在政府门户网站公开，</w:t>
      </w:r>
      <w:r>
        <w:rPr>
          <w:rFonts w:hint="eastAsia" w:ascii="仿宋_GB2312" w:eastAsia="仿宋_GB2312" w:cs="仿宋_GB2312"/>
          <w:color w:val="000000"/>
          <w:sz w:val="32"/>
          <w:szCs w:val="32"/>
          <w:lang w:bidi="ar-SA"/>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pPr>
        <w:pStyle w:val="14"/>
        <w:spacing w:before="0" w:beforeAutospacing="0" w:after="0" w:afterAutospacing="0" w:line="576"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我部门财务各项工作自觉配合县财政和上级部门的监督检查，对检查中存在的问题，严肃对待，认真开展整改落实。</w:t>
      </w:r>
    </w:p>
    <w:p>
      <w:pPr>
        <w:pStyle w:val="2"/>
        <w:numPr>
          <w:ilvl w:val="0"/>
          <w:numId w:val="0"/>
        </w:numPr>
        <w:ind w:leftChars="200"/>
        <w:rPr>
          <w:sz w:val="32"/>
          <w:szCs w:val="32"/>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spacing w:line="540" w:lineRule="exact"/>
        <w:ind w:firstLine="640" w:firstLineChars="200"/>
        <w:rPr>
          <w:rFonts w:hint="eastAsia" w:ascii="仿宋_GB2312" w:eastAsia="仿宋_GB2312" w:cs="宋体"/>
          <w:color w:val="000000"/>
          <w:sz w:val="32"/>
          <w:szCs w:val="32"/>
          <w:lang w:bidi="ar-SA"/>
        </w:rPr>
      </w:pPr>
      <w:r>
        <w:rPr>
          <w:rFonts w:hint="eastAsia" w:ascii="仿宋_GB2312" w:eastAsia="仿宋_GB2312" w:cs="宋体"/>
          <w:color w:val="000000"/>
          <w:sz w:val="32"/>
          <w:szCs w:val="32"/>
          <w:lang w:val="en-US" w:eastAsia="zh-CN" w:bidi="ar-SA"/>
        </w:rPr>
        <w:t>2019</w:t>
      </w:r>
      <w:r>
        <w:rPr>
          <w:rFonts w:hint="eastAsia" w:ascii="仿宋_GB2312" w:eastAsia="仿宋_GB2312" w:cs="宋体"/>
          <w:color w:val="000000"/>
          <w:sz w:val="32"/>
          <w:szCs w:val="32"/>
          <w:lang w:bidi="ar-SA"/>
        </w:rPr>
        <w:t>年我部门预算执行整体情况正常，按照各项工作有序开展的进度，财政资金收支情况同时也按进度执行，有个别需要进一步加大力度开展。</w:t>
      </w:r>
    </w:p>
    <w:p>
      <w:pPr>
        <w:pStyle w:val="2"/>
        <w:rPr>
          <w:sz w:val="32"/>
          <w:szCs w:val="32"/>
          <w:lang w:val="zh-CN"/>
        </w:rPr>
      </w:pPr>
    </w:p>
    <w:p>
      <w:pPr>
        <w:widowControl/>
        <w:numPr>
          <w:ilvl w:val="0"/>
          <w:numId w:val="5"/>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widowControl/>
        <w:spacing w:line="540" w:lineRule="exact"/>
        <w:ind w:firstLine="640" w:firstLineChars="200"/>
        <w:rPr>
          <w:rFonts w:hint="eastAsia" w:ascii="仿宋_GB2312" w:eastAsia="仿宋_GB2312" w:cs="宋体"/>
          <w:color w:val="000000"/>
          <w:sz w:val="32"/>
          <w:szCs w:val="32"/>
          <w:lang w:bidi="ar-SA"/>
        </w:rPr>
      </w:pPr>
      <w:r>
        <w:rPr>
          <w:rFonts w:hint="eastAsia" w:ascii="仿宋_GB2312" w:eastAsia="仿宋_GB2312" w:cs="宋体"/>
          <w:color w:val="000000"/>
          <w:sz w:val="32"/>
          <w:szCs w:val="32"/>
          <w:lang w:bidi="ar-SA"/>
        </w:rPr>
        <w:t>1、资产管理不规范。单位人员流动大，股室变动频繁，造成资产管理不到位。</w:t>
      </w:r>
    </w:p>
    <w:p>
      <w:pPr>
        <w:widowControl/>
        <w:spacing w:line="540" w:lineRule="exact"/>
        <w:ind w:firstLine="640" w:firstLineChars="200"/>
        <w:rPr>
          <w:rFonts w:hint="eastAsia" w:ascii="仿宋_GB2312" w:eastAsia="仿宋_GB2312" w:cs="宋体"/>
          <w:color w:val="000000"/>
          <w:sz w:val="32"/>
          <w:szCs w:val="32"/>
          <w:lang w:bidi="ar-SA"/>
        </w:rPr>
      </w:pPr>
      <w:r>
        <w:rPr>
          <w:rFonts w:hint="eastAsia" w:ascii="仿宋_GB2312" w:eastAsia="仿宋_GB2312" w:cs="宋体"/>
          <w:color w:val="000000"/>
          <w:sz w:val="32"/>
          <w:szCs w:val="32"/>
          <w:lang w:bidi="ar-SA"/>
        </w:rPr>
        <w:t>2、资金使用科目不明确，存在错录科目的问题。</w:t>
      </w:r>
    </w:p>
    <w:p>
      <w:pPr>
        <w:widowControl/>
        <w:spacing w:line="540" w:lineRule="exact"/>
        <w:ind w:firstLine="640" w:firstLineChars="200"/>
        <w:rPr>
          <w:rFonts w:hint="eastAsia" w:ascii="仿宋_GB2312" w:eastAsia="仿宋_GB2312" w:cs="宋体"/>
          <w:color w:val="000000"/>
          <w:sz w:val="32"/>
          <w:szCs w:val="32"/>
          <w:lang w:bidi="ar-SA"/>
        </w:rPr>
      </w:pPr>
      <w:r>
        <w:rPr>
          <w:rFonts w:hint="eastAsia" w:ascii="仿宋_GB2312" w:eastAsia="仿宋_GB2312" w:cs="宋体"/>
          <w:color w:val="000000"/>
          <w:sz w:val="32"/>
          <w:szCs w:val="32"/>
          <w:lang w:bidi="ar-SA"/>
        </w:rPr>
        <w:t>3、资金使用效益有待进一步提高。</w:t>
      </w:r>
    </w:p>
    <w:p>
      <w:pPr>
        <w:pStyle w:val="2"/>
        <w:numPr>
          <w:ilvl w:val="0"/>
          <w:numId w:val="0"/>
        </w:numPr>
        <w:ind w:left="640" w:leftChars="0"/>
        <w:rPr>
          <w:sz w:val="32"/>
          <w:szCs w:val="32"/>
          <w:lang w:val="zh-CN"/>
        </w:rPr>
      </w:pPr>
    </w:p>
    <w:p>
      <w:pPr>
        <w:widowControl/>
        <w:numPr>
          <w:ilvl w:val="0"/>
          <w:numId w:val="5"/>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改进建议。</w:t>
      </w:r>
    </w:p>
    <w:p>
      <w:pPr>
        <w:widowControl/>
        <w:spacing w:line="540" w:lineRule="exact"/>
        <w:ind w:firstLine="640" w:firstLineChars="200"/>
        <w:rPr>
          <w:rFonts w:hint="eastAsia" w:ascii="仿宋_GB2312" w:eastAsia="仿宋_GB2312" w:cs="宋体"/>
          <w:color w:val="000000"/>
          <w:sz w:val="32"/>
          <w:szCs w:val="32"/>
          <w:lang w:bidi="ar-SA"/>
        </w:rPr>
      </w:pPr>
      <w:r>
        <w:rPr>
          <w:rFonts w:hint="eastAsia" w:ascii="仿宋_GB2312" w:eastAsia="仿宋_GB2312" w:cs="宋体"/>
          <w:color w:val="000000"/>
          <w:sz w:val="32"/>
          <w:szCs w:val="32"/>
          <w:lang w:bidi="ar-SA"/>
        </w:rPr>
        <w:t>1、建议财政部门能组织各单位财务人员进行业务的培训，不断提升各单位财务人员的业务素质和职业道德。</w:t>
      </w:r>
    </w:p>
    <w:p>
      <w:pPr>
        <w:widowControl/>
        <w:spacing w:line="540" w:lineRule="exact"/>
        <w:ind w:firstLine="640" w:firstLineChars="200"/>
        <w:rPr>
          <w:rFonts w:hint="eastAsia" w:ascii="仿宋_GB2312" w:eastAsia="仿宋_GB2312" w:cs="宋体"/>
          <w:color w:val="000000"/>
          <w:sz w:val="32"/>
          <w:szCs w:val="32"/>
          <w:lang w:bidi="ar-SA"/>
        </w:rPr>
      </w:pPr>
      <w:r>
        <w:rPr>
          <w:rFonts w:hint="eastAsia" w:ascii="仿宋_GB2312" w:eastAsia="仿宋_GB2312" w:cs="宋体"/>
          <w:color w:val="000000"/>
          <w:sz w:val="32"/>
          <w:szCs w:val="32"/>
          <w:lang w:bidi="ar-SA"/>
        </w:rPr>
        <w:t>2、进一步加强资产的管理。</w:t>
      </w:r>
    </w:p>
    <w:p>
      <w:pPr>
        <w:pStyle w:val="2"/>
        <w:numPr>
          <w:ilvl w:val="0"/>
          <w:numId w:val="0"/>
        </w:numPr>
        <w:ind w:leftChars="200"/>
        <w:rPr>
          <w:lang w:val="zh-CN"/>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rPr>
          <w:rFonts w:ascii="宋体" w:hAnsi="宋体"/>
          <w:sz w:val="32"/>
          <w:szCs w:val="32"/>
          <w:lang w:val="zh-CN"/>
        </w:rPr>
      </w:pP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7"/>
          <w:rFonts w:ascii="黑体" w:hAnsi="黑体" w:eastAsia="黑体"/>
          <w:b w:val="0"/>
        </w:rPr>
      </w:pPr>
    </w:p>
    <w:p>
      <w:pPr>
        <w:widowControl/>
        <w:jc w:val="left"/>
        <w:rPr>
          <w:rStyle w:val="27"/>
          <w:rFonts w:ascii="黑体" w:hAnsi="黑体" w:eastAsia="黑体"/>
          <w:b w:val="0"/>
        </w:rPr>
      </w:pPr>
      <w:r>
        <w:rPr>
          <w:rStyle w:val="27"/>
          <w:rFonts w:ascii="黑体" w:hAnsi="黑体" w:eastAsia="黑体"/>
          <w:b w:val="0"/>
        </w:rPr>
        <w:br w:type="page"/>
      </w:r>
    </w:p>
    <w:p>
      <w:pPr>
        <w:spacing w:line="600" w:lineRule="exact"/>
        <w:jc w:val="center"/>
        <w:outlineLvl w:val="0"/>
        <w:rPr>
          <w:rStyle w:val="27"/>
          <w:rFonts w:ascii="黑体" w:hAnsi="黑体" w:eastAsia="黑体"/>
          <w:b w:val="0"/>
        </w:rPr>
      </w:pPr>
    </w:p>
    <w:p>
      <w:pPr>
        <w:spacing w:line="600" w:lineRule="exact"/>
        <w:jc w:val="center"/>
        <w:outlineLvl w:val="0"/>
        <w:rPr>
          <w:rStyle w:val="27"/>
          <w:rFonts w:ascii="黑体" w:hAnsi="黑体" w:eastAsia="黑体"/>
          <w:b w:val="0"/>
        </w:rPr>
      </w:pPr>
      <w:bookmarkStart w:id="59" w:name="_Toc15396618"/>
      <w:r>
        <w:rPr>
          <w:rFonts w:hint="eastAsia" w:ascii="黑体" w:hAnsi="黑体" w:eastAsia="黑体"/>
          <w:color w:val="000000"/>
          <w:sz w:val="44"/>
          <w:szCs w:val="44"/>
        </w:rPr>
        <w:t>第</w:t>
      </w:r>
      <w:r>
        <w:rPr>
          <w:rStyle w:val="27"/>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60"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60"/>
    </w:p>
    <w:p>
      <w:pPr>
        <w:pStyle w:val="4"/>
        <w:rPr>
          <w:rFonts w:ascii="仿宋" w:hAnsi="仿宋" w:eastAsia="仿宋"/>
          <w:color w:val="000000"/>
        </w:rPr>
      </w:pPr>
      <w:bookmarkStart w:id="61"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61"/>
    </w:p>
    <w:p>
      <w:pPr>
        <w:pStyle w:val="4"/>
        <w:rPr>
          <w:rFonts w:ascii="仿宋" w:hAnsi="仿宋" w:eastAsia="仿宋"/>
          <w:color w:val="000000"/>
        </w:rPr>
      </w:pPr>
      <w:bookmarkStart w:id="62"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62"/>
    </w:p>
    <w:p>
      <w:pPr>
        <w:pStyle w:val="4"/>
        <w:rPr>
          <w:rFonts w:ascii="仿宋" w:hAnsi="仿宋" w:eastAsia="仿宋"/>
          <w:b w:val="0"/>
          <w:color w:val="000000"/>
        </w:rPr>
      </w:pPr>
      <w:bookmarkStart w:id="63"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63"/>
    </w:p>
    <w:p>
      <w:pPr>
        <w:pStyle w:val="4"/>
        <w:rPr>
          <w:rStyle w:val="28"/>
          <w:rFonts w:ascii="仿宋" w:hAnsi="仿宋" w:eastAsia="仿宋"/>
          <w:b w:val="0"/>
          <w:bCs w:val="0"/>
        </w:rPr>
      </w:pPr>
      <w:bookmarkStart w:id="64"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64"/>
      <w:bookmarkStart w:id="65" w:name="_Toc15396624"/>
    </w:p>
    <w:p>
      <w:pPr>
        <w:pStyle w:val="4"/>
        <w:rPr>
          <w:rFonts w:ascii="仿宋" w:hAnsi="仿宋" w:eastAsia="仿宋"/>
          <w:color w:val="000000"/>
        </w:rPr>
      </w:pPr>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65"/>
    </w:p>
    <w:p>
      <w:pPr>
        <w:pStyle w:val="4"/>
        <w:rPr>
          <w:rFonts w:ascii="仿宋" w:hAnsi="仿宋" w:eastAsia="仿宋"/>
          <w:color w:val="000000"/>
        </w:rPr>
      </w:pPr>
      <w:bookmarkStart w:id="66"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66"/>
    </w:p>
    <w:p>
      <w:pPr>
        <w:pStyle w:val="4"/>
        <w:rPr>
          <w:rFonts w:ascii="仿宋" w:hAnsi="仿宋" w:eastAsia="仿宋"/>
          <w:color w:val="000000"/>
        </w:rPr>
      </w:pPr>
      <w:bookmarkStart w:id="67"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67"/>
    </w:p>
    <w:p>
      <w:pPr>
        <w:pStyle w:val="4"/>
        <w:rPr>
          <w:rFonts w:ascii="仿宋" w:hAnsi="仿宋" w:eastAsia="仿宋"/>
          <w:color w:val="000000"/>
        </w:rPr>
      </w:pPr>
      <w:bookmarkStart w:id="68"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68"/>
    </w:p>
    <w:p>
      <w:pPr>
        <w:pStyle w:val="4"/>
        <w:rPr>
          <w:rFonts w:ascii="仿宋" w:hAnsi="仿宋" w:eastAsia="仿宋"/>
          <w:color w:val="000000"/>
        </w:rPr>
      </w:pPr>
      <w:bookmarkStart w:id="69"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69"/>
    </w:p>
    <w:p>
      <w:pPr>
        <w:pStyle w:val="4"/>
        <w:rPr>
          <w:rFonts w:ascii="仿宋" w:hAnsi="仿宋" w:eastAsia="仿宋"/>
          <w:color w:val="000000"/>
        </w:rPr>
      </w:pPr>
      <w:bookmarkStart w:id="70"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70"/>
    </w:p>
    <w:p>
      <w:pPr>
        <w:pStyle w:val="4"/>
        <w:rPr>
          <w:rFonts w:ascii="仿宋" w:hAnsi="仿宋" w:eastAsia="仿宋"/>
          <w:color w:val="000000"/>
        </w:rPr>
      </w:pPr>
      <w:bookmarkStart w:id="71"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71"/>
    </w:p>
    <w:p>
      <w:pPr>
        <w:pStyle w:val="4"/>
        <w:rPr>
          <w:rFonts w:ascii="仿宋" w:hAnsi="仿宋" w:eastAsia="仿宋"/>
          <w:color w:val="000000" w:themeColor="text1"/>
        </w:rPr>
      </w:pPr>
      <w:bookmarkStart w:id="72"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ACC1A61"/>
    <w:multiLevelType w:val="singleLevel"/>
    <w:tmpl w:val="3ACC1A61"/>
    <w:lvl w:ilvl="0" w:tentative="0">
      <w:start w:val="2"/>
      <w:numFmt w:val="chineseCounting"/>
      <w:suff w:val="nothing"/>
      <w:lvlText w:val="（%1）"/>
      <w:lvlJc w:val="left"/>
      <w:rPr>
        <w:rFonts w:hint="eastAsia"/>
      </w:rPr>
    </w:lvl>
  </w:abstractNum>
  <w:abstractNum w:abstractNumId="4">
    <w:nsid w:val="63C82ED6"/>
    <w:multiLevelType w:val="singleLevel"/>
    <w:tmpl w:val="63C82ED6"/>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7A5FE8"/>
    <w:rsid w:val="10C055FF"/>
    <w:rsid w:val="132B5DB2"/>
    <w:rsid w:val="13D65FE7"/>
    <w:rsid w:val="16BB723D"/>
    <w:rsid w:val="23307856"/>
    <w:rsid w:val="240371BF"/>
    <w:rsid w:val="29FD04D3"/>
    <w:rsid w:val="2DBC32DC"/>
    <w:rsid w:val="31071AB1"/>
    <w:rsid w:val="319F7F4E"/>
    <w:rsid w:val="3AC97E89"/>
    <w:rsid w:val="41082D32"/>
    <w:rsid w:val="430E02AF"/>
    <w:rsid w:val="4ECE2238"/>
    <w:rsid w:val="53A85DF4"/>
    <w:rsid w:val="55450A36"/>
    <w:rsid w:val="5BCD45E1"/>
    <w:rsid w:val="5E34124D"/>
    <w:rsid w:val="606372D3"/>
    <w:rsid w:val="609704BB"/>
    <w:rsid w:val="619A7611"/>
    <w:rsid w:val="67624130"/>
    <w:rsid w:val="6D50574E"/>
    <w:rsid w:val="72734D90"/>
    <w:rsid w:val="73357B6A"/>
    <w:rsid w:val="75941962"/>
    <w:rsid w:val="76BE216F"/>
    <w:rsid w:val="773012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line="540" w:lineRule="exact"/>
      <w:ind w:firstLine="200" w:firstLineChars="200"/>
    </w:pPr>
    <w:rPr>
      <w:rFonts w:ascii="Times New Roman" w:hAnsi="Times New Roman" w:eastAsia="仿宋_GB2312" w:cs="Times New Roman"/>
      <w:sz w:val="32"/>
      <w:szCs w:val="24"/>
      <w:lang w:bidi="ar-SA"/>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widowControl/>
      <w:spacing w:before="100" w:beforeAutospacing="1" w:after="100" w:afterAutospacing="1"/>
      <w:jc w:val="left"/>
    </w:pPr>
    <w:rPr>
      <w:rFonts w:ascii="宋体" w:cs="宋体"/>
      <w:kern w:val="0"/>
      <w:sz w:val="24"/>
      <w:szCs w:val="24"/>
      <w:lang w:bidi="ar-SA"/>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字符"/>
    <w:basedOn w:val="15"/>
    <w:link w:val="9"/>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10</TotalTime>
  <ScaleCrop>false</ScaleCrop>
  <LinksUpToDate>false</LinksUpToDate>
  <CharactersWithSpaces>8587</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2020-09-23T09:34:47Z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